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E705E6" w14:textId="70F0AEDA" w:rsidR="004C2DE3" w:rsidRDefault="004C2DE3" w:rsidP="004C2DE3">
      <w:pPr>
        <w:widowControl/>
        <w:autoSpaceDE w:val="0"/>
        <w:autoSpaceDN w:val="0"/>
        <w:adjustRightInd w:val="0"/>
        <w:spacing w:after="240"/>
        <w:jc w:val="center"/>
        <w:rPr>
          <w:rFonts w:cs="Arial"/>
          <w:color w:val="000000"/>
          <w:szCs w:val="24"/>
        </w:rPr>
      </w:pPr>
      <w:bookmarkStart w:id="0" w:name="_Hlk146956540"/>
      <w:bookmarkStart w:id="1" w:name="_Hlk146956575"/>
      <w:r w:rsidRPr="0037646C">
        <w:rPr>
          <w:rFonts w:cs="Arial"/>
          <w:b/>
          <w:bCs/>
          <w:color w:val="000000"/>
          <w:szCs w:val="24"/>
        </w:rPr>
        <w:t>EL INEGI PRESENTA LA ENCUESTA NACIONAL DE TRABAJO INFANTIL (ENTI) 2022</w:t>
      </w:r>
      <w:bookmarkStart w:id="2" w:name="_GoBack"/>
      <w:bookmarkEnd w:id="2"/>
    </w:p>
    <w:bookmarkEnd w:id="0"/>
    <w:p w14:paraId="3F88E173" w14:textId="7D9DFFB0" w:rsidR="004C2DE3" w:rsidRPr="0015409A" w:rsidRDefault="004C2DE3" w:rsidP="00AA04A7">
      <w:pPr>
        <w:pStyle w:val="Prrafodelista"/>
        <w:widowControl/>
        <w:numPr>
          <w:ilvl w:val="3"/>
          <w:numId w:val="2"/>
        </w:numPr>
        <w:autoSpaceDE w:val="0"/>
        <w:autoSpaceDN w:val="0"/>
        <w:adjustRightInd w:val="0"/>
        <w:spacing w:after="120"/>
        <w:ind w:left="425" w:right="51" w:hanging="357"/>
        <w:contextualSpacing w:val="0"/>
        <w:rPr>
          <w:rFonts w:cs="Arial"/>
          <w:color w:val="000000"/>
          <w:szCs w:val="24"/>
        </w:rPr>
      </w:pPr>
      <w:r w:rsidRPr="0015409A">
        <w:rPr>
          <w:rFonts w:cs="Arial"/>
          <w:color w:val="000000"/>
          <w:szCs w:val="24"/>
        </w:rPr>
        <w:t>En 2022, 3.7 millones de niñas, niños y adolescentes de 5 a 17 años realizaban trabajo infan</w:t>
      </w:r>
      <w:r w:rsidRPr="00A72431">
        <w:rPr>
          <w:rFonts w:cs="Arial"/>
          <w:color w:val="000000"/>
          <w:szCs w:val="24"/>
        </w:rPr>
        <w:t>til</w:t>
      </w:r>
      <w:r w:rsidR="00A72431" w:rsidRPr="00A72431">
        <w:rPr>
          <w:rFonts w:cs="Arial"/>
          <w:color w:val="000000"/>
          <w:szCs w:val="24"/>
        </w:rPr>
        <w:t>,</w:t>
      </w:r>
      <w:r w:rsidRPr="0023518C">
        <w:rPr>
          <w:rStyle w:val="Refdenotaalpie"/>
          <w:color w:val="000000"/>
          <w:sz w:val="24"/>
          <w:szCs w:val="24"/>
        </w:rPr>
        <w:footnoteReference w:id="2"/>
      </w:r>
      <w:r w:rsidRPr="00A72431">
        <w:rPr>
          <w:rFonts w:cs="Arial"/>
          <w:color w:val="000000"/>
          <w:szCs w:val="24"/>
        </w:rPr>
        <w:t xml:space="preserve"> lo </w:t>
      </w:r>
      <w:r>
        <w:rPr>
          <w:rFonts w:cs="Arial"/>
          <w:color w:val="000000"/>
          <w:szCs w:val="24"/>
        </w:rPr>
        <w:t xml:space="preserve">que representó una tasa </w:t>
      </w:r>
      <w:r w:rsidRPr="0015409A">
        <w:rPr>
          <w:rFonts w:cs="Arial"/>
          <w:color w:val="000000"/>
          <w:szCs w:val="24"/>
        </w:rPr>
        <w:t>de 13.1 %</w:t>
      </w:r>
      <w:r w:rsidR="00C640E7">
        <w:rPr>
          <w:rFonts w:cs="Arial"/>
          <w:color w:val="000000"/>
          <w:szCs w:val="24"/>
        </w:rPr>
        <w:t>. Esta cifra fue</w:t>
      </w:r>
      <w:r>
        <w:rPr>
          <w:rFonts w:cs="Arial"/>
          <w:color w:val="000000"/>
          <w:szCs w:val="24"/>
        </w:rPr>
        <w:t xml:space="preserve"> </w:t>
      </w:r>
      <w:r w:rsidRPr="0015409A">
        <w:rPr>
          <w:rFonts w:cs="Arial"/>
          <w:color w:val="000000"/>
          <w:szCs w:val="24"/>
        </w:rPr>
        <w:t>1.7 puntos porcentuales m</w:t>
      </w:r>
      <w:r>
        <w:rPr>
          <w:rFonts w:cs="Arial"/>
          <w:color w:val="000000"/>
          <w:szCs w:val="24"/>
        </w:rPr>
        <w:t xml:space="preserve">ás </w:t>
      </w:r>
      <w:r w:rsidRPr="0015409A">
        <w:rPr>
          <w:rFonts w:cs="Arial"/>
          <w:color w:val="000000"/>
          <w:szCs w:val="24"/>
        </w:rPr>
        <w:t xml:space="preserve">que en 2019. </w:t>
      </w:r>
      <w:r w:rsidR="00A639DD">
        <w:rPr>
          <w:rFonts w:cs="Arial"/>
          <w:color w:val="000000"/>
          <w:szCs w:val="24"/>
        </w:rPr>
        <w:t>Para las</w:t>
      </w:r>
      <w:r w:rsidRPr="0015409A">
        <w:rPr>
          <w:rFonts w:cs="Arial"/>
          <w:color w:val="000000"/>
          <w:szCs w:val="24"/>
        </w:rPr>
        <w:t xml:space="preserve"> niñas </w:t>
      </w:r>
      <w:r w:rsidR="00C640E7">
        <w:rPr>
          <w:rFonts w:cs="Arial"/>
          <w:color w:val="000000"/>
          <w:szCs w:val="24"/>
        </w:rPr>
        <w:t>dicha</w:t>
      </w:r>
      <w:r w:rsidR="00C640E7" w:rsidRPr="0015409A">
        <w:rPr>
          <w:rFonts w:cs="Arial"/>
          <w:color w:val="000000"/>
          <w:szCs w:val="24"/>
        </w:rPr>
        <w:t xml:space="preserve"> </w:t>
      </w:r>
      <w:r w:rsidRPr="0015409A">
        <w:rPr>
          <w:rFonts w:cs="Arial"/>
          <w:color w:val="000000"/>
          <w:szCs w:val="24"/>
        </w:rPr>
        <w:t xml:space="preserve">tasa fue 10.7 % y </w:t>
      </w:r>
      <w:r w:rsidR="00A639DD">
        <w:rPr>
          <w:rFonts w:cs="Arial"/>
          <w:color w:val="000000"/>
          <w:szCs w:val="24"/>
        </w:rPr>
        <w:t>para los</w:t>
      </w:r>
      <w:r w:rsidRPr="0015409A">
        <w:rPr>
          <w:rFonts w:cs="Arial"/>
          <w:color w:val="000000"/>
          <w:szCs w:val="24"/>
        </w:rPr>
        <w:t xml:space="preserve"> niños</w:t>
      </w:r>
      <w:r w:rsidR="00A639DD">
        <w:rPr>
          <w:rFonts w:cs="Arial"/>
          <w:color w:val="000000"/>
          <w:szCs w:val="24"/>
        </w:rPr>
        <w:t xml:space="preserve"> fue </w:t>
      </w:r>
      <w:r w:rsidRPr="0015409A">
        <w:rPr>
          <w:rFonts w:cs="Arial"/>
          <w:color w:val="000000"/>
          <w:szCs w:val="24"/>
        </w:rPr>
        <w:t>15.5 por ciento.</w:t>
      </w:r>
    </w:p>
    <w:bookmarkEnd w:id="1"/>
    <w:p w14:paraId="013DCB94" w14:textId="47A9C020" w:rsidR="004C2DE3" w:rsidRDefault="004C2DE3" w:rsidP="00AA04A7">
      <w:pPr>
        <w:pStyle w:val="Prrafodelista"/>
        <w:widowControl/>
        <w:numPr>
          <w:ilvl w:val="3"/>
          <w:numId w:val="2"/>
        </w:numPr>
        <w:autoSpaceDE w:val="0"/>
        <w:autoSpaceDN w:val="0"/>
        <w:adjustRightInd w:val="0"/>
        <w:spacing w:after="120"/>
        <w:ind w:left="425" w:right="51" w:hanging="357"/>
        <w:contextualSpacing w:val="0"/>
        <w:rPr>
          <w:rFonts w:cs="Arial"/>
          <w:color w:val="000000"/>
          <w:szCs w:val="24"/>
        </w:rPr>
      </w:pPr>
      <w:r>
        <w:rPr>
          <w:rFonts w:cs="Arial"/>
          <w:color w:val="000000"/>
          <w:szCs w:val="24"/>
        </w:rPr>
        <w:t>2.1</w:t>
      </w:r>
      <w:r w:rsidRPr="000C64BD">
        <w:rPr>
          <w:rFonts w:cs="Arial"/>
          <w:color w:val="000000"/>
          <w:szCs w:val="24"/>
        </w:rPr>
        <w:t xml:space="preserve"> millones </w:t>
      </w:r>
      <w:r>
        <w:rPr>
          <w:rFonts w:cs="Arial"/>
          <w:color w:val="000000"/>
          <w:szCs w:val="24"/>
        </w:rPr>
        <w:t>(7.5</w:t>
      </w:r>
      <w:r w:rsidR="00E4209F">
        <w:rPr>
          <w:rFonts w:cs="Arial"/>
          <w:color w:val="000000"/>
          <w:szCs w:val="24"/>
        </w:rPr>
        <w:t xml:space="preserve"> </w:t>
      </w:r>
      <w:r>
        <w:rPr>
          <w:rFonts w:cs="Arial"/>
          <w:color w:val="000000"/>
          <w:szCs w:val="24"/>
        </w:rPr>
        <w:t xml:space="preserve">%) </w:t>
      </w:r>
      <w:r w:rsidRPr="000C64BD">
        <w:rPr>
          <w:rFonts w:cs="Arial"/>
          <w:color w:val="000000"/>
          <w:szCs w:val="24"/>
        </w:rPr>
        <w:t>de niñ</w:t>
      </w:r>
      <w:r>
        <w:rPr>
          <w:rFonts w:cs="Arial"/>
          <w:color w:val="000000"/>
          <w:szCs w:val="24"/>
        </w:rPr>
        <w:t>a</w:t>
      </w:r>
      <w:r w:rsidRPr="000C64BD">
        <w:rPr>
          <w:rFonts w:cs="Arial"/>
          <w:color w:val="000000"/>
          <w:szCs w:val="24"/>
        </w:rPr>
        <w:t>s, niñ</w:t>
      </w:r>
      <w:r>
        <w:rPr>
          <w:rFonts w:cs="Arial"/>
          <w:color w:val="000000"/>
          <w:szCs w:val="24"/>
        </w:rPr>
        <w:t>o</w:t>
      </w:r>
      <w:r w:rsidRPr="000C64BD">
        <w:rPr>
          <w:rFonts w:cs="Arial"/>
          <w:color w:val="000000"/>
          <w:szCs w:val="24"/>
        </w:rPr>
        <w:t xml:space="preserve">s y adolescentes </w:t>
      </w:r>
      <w:r>
        <w:rPr>
          <w:rFonts w:cs="Arial"/>
          <w:color w:val="000000"/>
          <w:szCs w:val="24"/>
        </w:rPr>
        <w:t>laboraron</w:t>
      </w:r>
      <w:r w:rsidRPr="000C64BD">
        <w:rPr>
          <w:rFonts w:cs="Arial"/>
          <w:color w:val="000000"/>
          <w:szCs w:val="24"/>
        </w:rPr>
        <w:t xml:space="preserve"> en actividades económicas no permitidas</w:t>
      </w:r>
      <w:r w:rsidR="00B86B46">
        <w:rPr>
          <w:rFonts w:cs="Arial"/>
          <w:color w:val="000000"/>
          <w:szCs w:val="24"/>
        </w:rPr>
        <w:t xml:space="preserve">, </w:t>
      </w:r>
      <w:r w:rsidR="009825E2">
        <w:rPr>
          <w:rFonts w:cs="Arial"/>
          <w:color w:val="000000"/>
          <w:szCs w:val="24"/>
        </w:rPr>
        <w:t>cifra similar a 2019</w:t>
      </w:r>
      <w:r w:rsidR="009825E2">
        <w:rPr>
          <w:rStyle w:val="Refdenotaalpie"/>
          <w:color w:val="000000"/>
          <w:szCs w:val="24"/>
        </w:rPr>
        <w:footnoteReference w:id="3"/>
      </w:r>
      <w:r w:rsidR="009825E2">
        <w:rPr>
          <w:rFonts w:cs="Arial"/>
          <w:color w:val="000000"/>
          <w:szCs w:val="24"/>
        </w:rPr>
        <w:t xml:space="preserve"> pero </w:t>
      </w:r>
      <w:r w:rsidR="00AA04A7">
        <w:rPr>
          <w:rFonts w:cs="Arial"/>
          <w:color w:val="000000"/>
          <w:szCs w:val="24"/>
        </w:rPr>
        <w:t>cuatro</w:t>
      </w:r>
      <w:r w:rsidR="009825E2" w:rsidRPr="000C64BD">
        <w:rPr>
          <w:rFonts w:cs="Arial"/>
          <w:color w:val="000000"/>
          <w:szCs w:val="24"/>
        </w:rPr>
        <w:t xml:space="preserve"> puntos porcentuales </w:t>
      </w:r>
      <w:r w:rsidR="0018648D">
        <w:rPr>
          <w:rFonts w:cs="Arial"/>
          <w:color w:val="000000"/>
          <w:szCs w:val="24"/>
        </w:rPr>
        <w:t xml:space="preserve">menos que en </w:t>
      </w:r>
      <w:r w:rsidR="009825E2" w:rsidRPr="000C64BD">
        <w:rPr>
          <w:rFonts w:cs="Arial"/>
          <w:color w:val="000000"/>
          <w:szCs w:val="24"/>
        </w:rPr>
        <w:t>2007</w:t>
      </w:r>
      <w:r w:rsidR="009825E2">
        <w:rPr>
          <w:rFonts w:cs="Arial"/>
          <w:color w:val="000000"/>
          <w:szCs w:val="24"/>
        </w:rPr>
        <w:t>.</w:t>
      </w:r>
      <w:r w:rsidR="00B86B46">
        <w:rPr>
          <w:rFonts w:cs="Arial"/>
          <w:color w:val="000000"/>
          <w:szCs w:val="24"/>
        </w:rPr>
        <w:t xml:space="preserve"> </w:t>
      </w:r>
      <w:r w:rsidR="00921568">
        <w:rPr>
          <w:rFonts w:cs="Arial"/>
          <w:color w:val="000000"/>
          <w:szCs w:val="24"/>
        </w:rPr>
        <w:t xml:space="preserve">Esto incluye a </w:t>
      </w:r>
      <w:r w:rsidR="00A639DD">
        <w:rPr>
          <w:rFonts w:cs="Arial"/>
          <w:color w:val="000000"/>
          <w:szCs w:val="24"/>
        </w:rPr>
        <w:t>quienes no cuentan con</w:t>
      </w:r>
      <w:r w:rsidR="00A41BFF">
        <w:rPr>
          <w:rFonts w:cs="Arial"/>
          <w:color w:val="000000"/>
          <w:szCs w:val="24"/>
        </w:rPr>
        <w:t xml:space="preserve"> la edad mínima</w:t>
      </w:r>
      <w:r w:rsidR="00B205CD">
        <w:rPr>
          <w:rFonts w:cs="Arial"/>
          <w:color w:val="000000"/>
          <w:szCs w:val="24"/>
        </w:rPr>
        <w:t xml:space="preserve"> legal para trabajar </w:t>
      </w:r>
      <w:r w:rsidR="003802F6">
        <w:rPr>
          <w:rFonts w:cs="Arial"/>
          <w:color w:val="000000"/>
          <w:szCs w:val="24"/>
        </w:rPr>
        <w:t>(1</w:t>
      </w:r>
      <w:r w:rsidR="00B205CD">
        <w:rPr>
          <w:rFonts w:cs="Arial"/>
          <w:color w:val="000000"/>
          <w:szCs w:val="24"/>
        </w:rPr>
        <w:t>5 años</w:t>
      </w:r>
      <w:r w:rsidR="003802F6">
        <w:rPr>
          <w:rFonts w:cs="Arial"/>
          <w:color w:val="000000"/>
          <w:szCs w:val="24"/>
        </w:rPr>
        <w:t>)</w:t>
      </w:r>
      <w:r w:rsidR="00B91159">
        <w:rPr>
          <w:rFonts w:cs="Arial"/>
          <w:color w:val="000000"/>
          <w:szCs w:val="24"/>
        </w:rPr>
        <w:t xml:space="preserve"> </w:t>
      </w:r>
      <w:r w:rsidR="00C34310">
        <w:rPr>
          <w:rFonts w:cs="Arial"/>
          <w:color w:val="000000"/>
          <w:szCs w:val="24"/>
        </w:rPr>
        <w:t>o</w:t>
      </w:r>
      <w:r w:rsidR="00DF13C6">
        <w:rPr>
          <w:rFonts w:cs="Arial"/>
          <w:color w:val="000000"/>
          <w:szCs w:val="24"/>
        </w:rPr>
        <w:t xml:space="preserve"> </w:t>
      </w:r>
      <w:r w:rsidR="008A37F7">
        <w:rPr>
          <w:rFonts w:cs="Arial"/>
          <w:color w:val="000000"/>
          <w:szCs w:val="24"/>
        </w:rPr>
        <w:t>quienes</w:t>
      </w:r>
      <w:r w:rsidR="00EF4AC8">
        <w:rPr>
          <w:rFonts w:cs="Arial"/>
          <w:color w:val="000000"/>
          <w:szCs w:val="24"/>
        </w:rPr>
        <w:t xml:space="preserve"> </w:t>
      </w:r>
      <w:r w:rsidR="002E1429">
        <w:rPr>
          <w:rFonts w:cs="Arial"/>
          <w:color w:val="000000"/>
          <w:szCs w:val="24"/>
        </w:rPr>
        <w:t>realizan</w:t>
      </w:r>
      <w:r w:rsidR="000417EA">
        <w:rPr>
          <w:rFonts w:cs="Arial"/>
          <w:color w:val="000000"/>
          <w:szCs w:val="24"/>
        </w:rPr>
        <w:t xml:space="preserve"> </w:t>
      </w:r>
      <w:r w:rsidR="003802F6">
        <w:rPr>
          <w:rFonts w:cs="Arial"/>
          <w:color w:val="000000"/>
          <w:szCs w:val="24"/>
        </w:rPr>
        <w:t>ocupaciones peligrosas</w:t>
      </w:r>
      <w:r w:rsidR="00A60BC2">
        <w:rPr>
          <w:rStyle w:val="Refdenotaalpie"/>
          <w:color w:val="000000"/>
          <w:szCs w:val="24"/>
        </w:rPr>
        <w:footnoteReference w:id="4"/>
      </w:r>
      <w:r w:rsidR="000417EA">
        <w:rPr>
          <w:rFonts w:cs="Arial"/>
          <w:color w:val="000000"/>
          <w:szCs w:val="24"/>
        </w:rPr>
        <w:t xml:space="preserve"> (hasta 17 años)</w:t>
      </w:r>
      <w:r w:rsidR="00921568">
        <w:rPr>
          <w:rFonts w:cs="Arial"/>
          <w:color w:val="000000"/>
          <w:szCs w:val="24"/>
        </w:rPr>
        <w:t>.</w:t>
      </w:r>
    </w:p>
    <w:p w14:paraId="3AB7953A" w14:textId="684F1DE8" w:rsidR="004C2DE3" w:rsidRDefault="004C2DE3" w:rsidP="00AA04A7">
      <w:pPr>
        <w:pStyle w:val="Prrafodelista"/>
        <w:widowControl/>
        <w:numPr>
          <w:ilvl w:val="3"/>
          <w:numId w:val="2"/>
        </w:numPr>
        <w:autoSpaceDE w:val="0"/>
        <w:autoSpaceDN w:val="0"/>
        <w:adjustRightInd w:val="0"/>
        <w:spacing w:after="120"/>
        <w:ind w:left="425" w:right="51" w:hanging="357"/>
        <w:contextualSpacing w:val="0"/>
        <w:rPr>
          <w:rFonts w:cs="Arial"/>
          <w:color w:val="000000"/>
          <w:szCs w:val="24"/>
        </w:rPr>
      </w:pPr>
      <w:r>
        <w:rPr>
          <w:rFonts w:cs="Arial"/>
          <w:color w:val="000000"/>
          <w:szCs w:val="24"/>
        </w:rPr>
        <w:t xml:space="preserve">1.9 millones (6.7 %) </w:t>
      </w:r>
      <w:r w:rsidR="00EB11B0">
        <w:rPr>
          <w:rFonts w:cs="Arial"/>
          <w:color w:val="000000"/>
          <w:szCs w:val="24"/>
        </w:rPr>
        <w:t>de</w:t>
      </w:r>
      <w:r w:rsidR="00A639DD">
        <w:rPr>
          <w:rFonts w:cs="Arial"/>
          <w:color w:val="000000"/>
          <w:szCs w:val="24"/>
        </w:rPr>
        <w:t xml:space="preserve"> la población</w:t>
      </w:r>
      <w:r w:rsidR="00EB11B0">
        <w:rPr>
          <w:rFonts w:cs="Arial"/>
          <w:color w:val="000000"/>
          <w:szCs w:val="24"/>
        </w:rPr>
        <w:t xml:space="preserve"> </w:t>
      </w:r>
      <w:r>
        <w:rPr>
          <w:rFonts w:cs="Arial"/>
          <w:color w:val="000000"/>
          <w:szCs w:val="24"/>
        </w:rPr>
        <w:t xml:space="preserve">entre 5 a 17 años </w:t>
      </w:r>
      <w:r w:rsidRPr="000B2655">
        <w:rPr>
          <w:rFonts w:cs="Arial"/>
          <w:color w:val="000000"/>
          <w:szCs w:val="24"/>
        </w:rPr>
        <w:t>realiz</w:t>
      </w:r>
      <w:r>
        <w:rPr>
          <w:rFonts w:cs="Arial"/>
          <w:color w:val="000000"/>
          <w:szCs w:val="24"/>
        </w:rPr>
        <w:t>aron</w:t>
      </w:r>
      <w:r w:rsidRPr="000B2655">
        <w:rPr>
          <w:rFonts w:cs="Arial"/>
          <w:color w:val="000000"/>
          <w:szCs w:val="24"/>
        </w:rPr>
        <w:t xml:space="preserve"> quehaceres domésticos en condiciones no adecuadas</w:t>
      </w:r>
      <w:r w:rsidR="00AA04A7">
        <w:rPr>
          <w:rFonts w:cs="Arial"/>
          <w:color w:val="000000"/>
          <w:szCs w:val="24"/>
        </w:rPr>
        <w:t>,</w:t>
      </w:r>
      <w:r w:rsidR="008A66DB">
        <w:rPr>
          <w:rStyle w:val="Refdenotaalpie"/>
          <w:color w:val="000000"/>
          <w:szCs w:val="24"/>
        </w:rPr>
        <w:footnoteReference w:id="5"/>
      </w:r>
      <w:r w:rsidR="006056BA">
        <w:rPr>
          <w:rFonts w:cs="Arial"/>
          <w:color w:val="000000"/>
          <w:szCs w:val="24"/>
        </w:rPr>
        <w:t xml:space="preserve"> es decir,</w:t>
      </w:r>
      <w:r>
        <w:rPr>
          <w:rFonts w:cs="Arial"/>
          <w:color w:val="000000"/>
          <w:szCs w:val="24"/>
        </w:rPr>
        <w:t xml:space="preserve"> durante horarios prolongados</w:t>
      </w:r>
      <w:r w:rsidR="00DE65D2">
        <w:rPr>
          <w:rStyle w:val="Refdenotaalpie"/>
          <w:color w:val="000000"/>
          <w:szCs w:val="24"/>
        </w:rPr>
        <w:footnoteReference w:id="6"/>
      </w:r>
      <w:r>
        <w:rPr>
          <w:rFonts w:cs="Arial"/>
          <w:color w:val="000000"/>
          <w:szCs w:val="24"/>
        </w:rPr>
        <w:t xml:space="preserve"> y/</w:t>
      </w:r>
      <w:r w:rsidR="008F36C1">
        <w:rPr>
          <w:rFonts w:cs="Arial"/>
          <w:color w:val="000000"/>
          <w:szCs w:val="24"/>
        </w:rPr>
        <w:t xml:space="preserve"> </w:t>
      </w:r>
      <w:r>
        <w:rPr>
          <w:rFonts w:cs="Arial"/>
          <w:color w:val="000000"/>
          <w:szCs w:val="24"/>
        </w:rPr>
        <w:t xml:space="preserve">o expuestos a riesgos. Esto </w:t>
      </w:r>
      <w:r w:rsidR="008F36C1">
        <w:rPr>
          <w:rFonts w:cs="Arial"/>
          <w:color w:val="000000"/>
          <w:szCs w:val="24"/>
        </w:rPr>
        <w:t xml:space="preserve">significó </w:t>
      </w:r>
      <w:r w:rsidRPr="00987020">
        <w:rPr>
          <w:rFonts w:cs="Arial"/>
          <w:color w:val="000000"/>
          <w:szCs w:val="24"/>
        </w:rPr>
        <w:t>409 mil niñas, niños y adolescentes</w:t>
      </w:r>
      <w:r>
        <w:rPr>
          <w:rFonts w:cs="Arial"/>
          <w:color w:val="000000"/>
          <w:szCs w:val="24"/>
        </w:rPr>
        <w:t xml:space="preserve"> más </w:t>
      </w:r>
      <w:r w:rsidR="00A639DD">
        <w:rPr>
          <w:rFonts w:cs="Arial"/>
          <w:color w:val="000000"/>
          <w:szCs w:val="24"/>
        </w:rPr>
        <w:t>en 2022 que en</w:t>
      </w:r>
      <w:r>
        <w:rPr>
          <w:rFonts w:cs="Arial"/>
          <w:color w:val="000000"/>
          <w:szCs w:val="24"/>
        </w:rPr>
        <w:t xml:space="preserve"> 2019.</w:t>
      </w:r>
    </w:p>
    <w:p w14:paraId="2FE4AF35" w14:textId="77777777" w:rsidR="004C2DE3" w:rsidRDefault="004C2DE3" w:rsidP="004C2DE3">
      <w:pPr>
        <w:spacing w:before="240"/>
      </w:pPr>
    </w:p>
    <w:p w14:paraId="73226116" w14:textId="27ADEBFA" w:rsidR="004C2DE3" w:rsidRPr="00121FAC" w:rsidRDefault="001A5A80" w:rsidP="00AA04A7">
      <w:pPr>
        <w:widowControl/>
        <w:autoSpaceDE w:val="0"/>
        <w:autoSpaceDN w:val="0"/>
        <w:adjustRightInd w:val="0"/>
        <w:spacing w:after="240"/>
        <w:ind w:right="51"/>
        <w:rPr>
          <w:rFonts w:cs="Arial"/>
          <w:szCs w:val="24"/>
        </w:rPr>
      </w:pPr>
      <w:r>
        <w:rPr>
          <w:rFonts w:cs="Arial"/>
          <w:color w:val="000000"/>
          <w:szCs w:val="24"/>
        </w:rPr>
        <w:t>El Instituto Nacional de Estadística y Geografía (INEGI)</w:t>
      </w:r>
      <w:r w:rsidR="009140F4">
        <w:rPr>
          <w:rFonts w:cs="Arial"/>
          <w:color w:val="000000"/>
          <w:szCs w:val="24"/>
        </w:rPr>
        <w:t>,</w:t>
      </w:r>
      <w:r>
        <w:rPr>
          <w:rFonts w:cs="Arial"/>
          <w:color w:val="000000"/>
          <w:szCs w:val="24"/>
        </w:rPr>
        <w:t xml:space="preserve"> </w:t>
      </w:r>
      <w:r w:rsidRPr="0037646C">
        <w:rPr>
          <w:rFonts w:cs="Arial"/>
          <w:color w:val="000000"/>
          <w:szCs w:val="24"/>
        </w:rPr>
        <w:t xml:space="preserve">en colaboración </w:t>
      </w:r>
      <w:r>
        <w:rPr>
          <w:rFonts w:cs="Arial"/>
          <w:color w:val="000000"/>
          <w:szCs w:val="24"/>
        </w:rPr>
        <w:t xml:space="preserve">con </w:t>
      </w:r>
      <w:r w:rsidRPr="0037646C">
        <w:rPr>
          <w:rFonts w:cs="Arial"/>
          <w:color w:val="000000"/>
          <w:szCs w:val="24"/>
        </w:rPr>
        <w:t>la Organización Internacional del Trabajo</w:t>
      </w:r>
      <w:r>
        <w:rPr>
          <w:rFonts w:cs="Arial"/>
          <w:color w:val="000000"/>
          <w:szCs w:val="24"/>
        </w:rPr>
        <w:t xml:space="preserve"> y</w:t>
      </w:r>
      <w:r w:rsidRPr="0037646C">
        <w:rPr>
          <w:rFonts w:cs="Arial"/>
          <w:color w:val="000000"/>
          <w:szCs w:val="24"/>
        </w:rPr>
        <w:t xml:space="preserve"> la Secretaría del Trabajo y Previsión Social</w:t>
      </w:r>
      <w:r w:rsidR="0018648D">
        <w:rPr>
          <w:rFonts w:cs="Arial"/>
          <w:color w:val="000000"/>
          <w:szCs w:val="24"/>
        </w:rPr>
        <w:t xml:space="preserve"> (STPS)</w:t>
      </w:r>
      <w:r w:rsidR="009140F4">
        <w:rPr>
          <w:rFonts w:cs="Arial"/>
          <w:color w:val="000000"/>
          <w:szCs w:val="24"/>
        </w:rPr>
        <w:t>,</w:t>
      </w:r>
      <w:r>
        <w:rPr>
          <w:rFonts w:cs="Arial"/>
          <w:color w:val="000000"/>
          <w:szCs w:val="24"/>
        </w:rPr>
        <w:t xml:space="preserve"> realizó la </w:t>
      </w:r>
      <w:r w:rsidR="004C2DE3" w:rsidRPr="0037646C">
        <w:rPr>
          <w:rFonts w:cs="Arial"/>
          <w:color w:val="000000"/>
          <w:szCs w:val="24"/>
        </w:rPr>
        <w:t xml:space="preserve">Encuesta Nacional de Trabajo Infantil </w:t>
      </w:r>
      <w:r>
        <w:rPr>
          <w:rFonts w:cs="Arial"/>
          <w:color w:val="000000"/>
          <w:szCs w:val="24"/>
        </w:rPr>
        <w:t xml:space="preserve">(ENTI) </w:t>
      </w:r>
      <w:r w:rsidR="004C2DE3" w:rsidRPr="0037646C">
        <w:rPr>
          <w:rFonts w:cs="Arial"/>
          <w:color w:val="000000"/>
          <w:szCs w:val="24"/>
        </w:rPr>
        <w:t>2022</w:t>
      </w:r>
      <w:r w:rsidR="004C2DE3">
        <w:rPr>
          <w:rFonts w:cs="Arial"/>
          <w:color w:val="000000"/>
          <w:szCs w:val="24"/>
        </w:rPr>
        <w:t xml:space="preserve">. </w:t>
      </w:r>
      <w:r w:rsidR="000566C4">
        <w:rPr>
          <w:rFonts w:cs="Arial"/>
          <w:color w:val="000000"/>
          <w:szCs w:val="24"/>
        </w:rPr>
        <w:t>E</w:t>
      </w:r>
      <w:r w:rsidR="004F73D3">
        <w:rPr>
          <w:rFonts w:cs="Arial"/>
          <w:color w:val="000000"/>
          <w:szCs w:val="24"/>
        </w:rPr>
        <w:t>ste</w:t>
      </w:r>
      <w:r w:rsidR="000566C4">
        <w:rPr>
          <w:rFonts w:cs="Arial"/>
          <w:color w:val="000000"/>
          <w:szCs w:val="24"/>
        </w:rPr>
        <w:t xml:space="preserve"> ejercicio e</w:t>
      </w:r>
      <w:r w:rsidR="004F73D3">
        <w:rPr>
          <w:rFonts w:cs="Arial"/>
          <w:color w:val="000000"/>
          <w:szCs w:val="24"/>
        </w:rPr>
        <w:t xml:space="preserve">s el </w:t>
      </w:r>
      <w:r w:rsidR="004C2DE3">
        <w:t xml:space="preserve">segundo </w:t>
      </w:r>
      <w:r w:rsidR="004F73D3">
        <w:t xml:space="preserve">como </w:t>
      </w:r>
      <w:r w:rsidR="004C2DE3">
        <w:rPr>
          <w:rFonts w:cs="Arial"/>
          <w:szCs w:val="24"/>
        </w:rPr>
        <w:t>encuesta independiente</w:t>
      </w:r>
      <w:r w:rsidR="00BA302F">
        <w:rPr>
          <w:rFonts w:cs="Arial"/>
          <w:szCs w:val="24"/>
        </w:rPr>
        <w:t xml:space="preserve">, pues de </w:t>
      </w:r>
      <w:r w:rsidR="004C2DE3" w:rsidRPr="00121FAC">
        <w:rPr>
          <w:rFonts w:cs="Arial"/>
          <w:szCs w:val="24"/>
        </w:rPr>
        <w:t xml:space="preserve">2007 </w:t>
      </w:r>
      <w:r w:rsidR="004C2DE3">
        <w:rPr>
          <w:rFonts w:cs="Arial"/>
          <w:szCs w:val="24"/>
        </w:rPr>
        <w:t xml:space="preserve">a </w:t>
      </w:r>
      <w:r w:rsidR="004C2DE3" w:rsidRPr="00121FAC">
        <w:rPr>
          <w:rFonts w:cs="Arial"/>
          <w:szCs w:val="24"/>
        </w:rPr>
        <w:t>2017</w:t>
      </w:r>
      <w:r w:rsidR="004C2DE3">
        <w:rPr>
          <w:rFonts w:cs="Arial"/>
          <w:szCs w:val="24"/>
        </w:rPr>
        <w:t xml:space="preserve"> </w:t>
      </w:r>
      <w:r w:rsidR="00BA302F">
        <w:rPr>
          <w:rFonts w:cs="Arial"/>
          <w:szCs w:val="24"/>
        </w:rPr>
        <w:t xml:space="preserve">el tratamiento fue </w:t>
      </w:r>
      <w:r w:rsidR="00DB43F4">
        <w:rPr>
          <w:rFonts w:cs="Arial"/>
          <w:szCs w:val="24"/>
        </w:rPr>
        <w:t>mediante el Módulo de Trabajo Infantil (MTI)</w:t>
      </w:r>
      <w:r w:rsidR="009140F4">
        <w:rPr>
          <w:rFonts w:cs="Arial"/>
          <w:szCs w:val="24"/>
        </w:rPr>
        <w:t xml:space="preserve">. A </w:t>
      </w:r>
      <w:r w:rsidR="004C2DE3" w:rsidRPr="00121FAC">
        <w:rPr>
          <w:rFonts w:cs="Arial"/>
          <w:szCs w:val="24"/>
        </w:rPr>
        <w:t>partir de 20</w:t>
      </w:r>
      <w:r w:rsidR="004C2DE3">
        <w:rPr>
          <w:rFonts w:cs="Arial"/>
          <w:szCs w:val="24"/>
        </w:rPr>
        <w:t>19, se realiza</w:t>
      </w:r>
      <w:r w:rsidR="004C2DE3" w:rsidRPr="00121FAC">
        <w:rPr>
          <w:rFonts w:cs="Arial"/>
          <w:szCs w:val="24"/>
        </w:rPr>
        <w:t xml:space="preserve"> cada tres años</w:t>
      </w:r>
      <w:r w:rsidR="004C2DE3">
        <w:rPr>
          <w:rFonts w:cs="Arial"/>
          <w:szCs w:val="24"/>
        </w:rPr>
        <w:t xml:space="preserve"> como encuesta</w:t>
      </w:r>
      <w:r w:rsidR="004C2DE3" w:rsidRPr="00121FAC">
        <w:rPr>
          <w:rFonts w:cs="Arial"/>
          <w:szCs w:val="24"/>
        </w:rPr>
        <w:t>.</w:t>
      </w:r>
    </w:p>
    <w:p w14:paraId="08F38B39" w14:textId="77777777" w:rsidR="004C2DE3" w:rsidRPr="00121FAC" w:rsidRDefault="004C2DE3" w:rsidP="004C2DE3">
      <w:pPr>
        <w:pStyle w:val="Prrafodelista"/>
        <w:widowControl/>
        <w:autoSpaceDE w:val="0"/>
        <w:autoSpaceDN w:val="0"/>
        <w:ind w:left="0"/>
        <w:contextualSpacing w:val="0"/>
        <w:rPr>
          <w:rFonts w:cs="Arial"/>
          <w:szCs w:val="24"/>
        </w:rPr>
      </w:pPr>
    </w:p>
    <w:p w14:paraId="0230B180" w14:textId="26D8824D" w:rsidR="004C2DE3" w:rsidRDefault="004C2DE3" w:rsidP="004C2DE3">
      <w:pPr>
        <w:widowControl/>
        <w:rPr>
          <w:rFonts w:cs="Arial"/>
          <w:b/>
          <w:bCs/>
          <w:color w:val="000000"/>
          <w:szCs w:val="24"/>
        </w:rPr>
      </w:pPr>
      <w:r>
        <w:rPr>
          <w:rFonts w:ascii="Arial Negrita" w:hAnsi="Arial Negrita" w:cs="Arial"/>
          <w:b/>
          <w:bCs/>
          <w:smallCaps/>
          <w:color w:val="000000"/>
          <w:szCs w:val="24"/>
        </w:rPr>
        <w:t>P</w:t>
      </w:r>
      <w:r w:rsidRPr="0037646C">
        <w:rPr>
          <w:rFonts w:cs="Arial"/>
          <w:b/>
          <w:bCs/>
          <w:color w:val="000000"/>
          <w:szCs w:val="24"/>
        </w:rPr>
        <w:t>RINCIPALES RESULTADOS</w:t>
      </w:r>
    </w:p>
    <w:p w14:paraId="18534DDA" w14:textId="77777777" w:rsidR="004A52E8" w:rsidRPr="0037646C" w:rsidRDefault="004A52E8" w:rsidP="004C2DE3">
      <w:pPr>
        <w:widowControl/>
        <w:rPr>
          <w:rFonts w:cs="Arial"/>
          <w:b/>
          <w:bCs/>
          <w:color w:val="000000"/>
          <w:szCs w:val="24"/>
        </w:rPr>
      </w:pPr>
    </w:p>
    <w:p w14:paraId="67ED42D5" w14:textId="779DD04E" w:rsidR="004C2DE3" w:rsidRPr="00533F36" w:rsidRDefault="004C2DE3" w:rsidP="00533F36">
      <w:pPr>
        <w:pStyle w:val="Prrafodelista"/>
        <w:widowControl/>
        <w:numPr>
          <w:ilvl w:val="0"/>
          <w:numId w:val="13"/>
        </w:numPr>
        <w:autoSpaceDE w:val="0"/>
        <w:autoSpaceDN w:val="0"/>
        <w:adjustRightInd w:val="0"/>
        <w:jc w:val="center"/>
        <w:rPr>
          <w:rFonts w:ascii="Arial Negrita" w:hAnsi="Arial Negrita" w:cs="Arial"/>
          <w:b/>
          <w:bCs/>
          <w:smallCaps/>
          <w:color w:val="000000"/>
          <w:szCs w:val="24"/>
        </w:rPr>
      </w:pPr>
      <w:r w:rsidRPr="00533F36">
        <w:rPr>
          <w:rFonts w:ascii="Arial Negrita" w:hAnsi="Arial Negrita" w:cs="Arial"/>
          <w:b/>
          <w:bCs/>
          <w:smallCaps/>
          <w:color w:val="000000"/>
          <w:szCs w:val="24"/>
        </w:rPr>
        <w:t>Trabajo infantil</w:t>
      </w:r>
    </w:p>
    <w:p w14:paraId="1429DCE4" w14:textId="77777777" w:rsidR="004C2DE3" w:rsidRDefault="004C2DE3" w:rsidP="004C2DE3">
      <w:pPr>
        <w:widowControl/>
        <w:rPr>
          <w:rFonts w:cs="Arial"/>
          <w:color w:val="000000"/>
          <w:szCs w:val="24"/>
        </w:rPr>
      </w:pPr>
    </w:p>
    <w:p w14:paraId="250BE5CE" w14:textId="49444A94" w:rsidR="004C2DE3" w:rsidRDefault="00993159" w:rsidP="00AA04A7">
      <w:pPr>
        <w:widowControl/>
        <w:ind w:right="51"/>
        <w:rPr>
          <w:rFonts w:cs="Arial"/>
          <w:color w:val="000000"/>
          <w:szCs w:val="24"/>
        </w:rPr>
      </w:pPr>
      <w:r>
        <w:rPr>
          <w:rFonts w:cs="Arial"/>
          <w:color w:val="000000"/>
          <w:szCs w:val="24"/>
        </w:rPr>
        <w:t xml:space="preserve">Se considera </w:t>
      </w:r>
      <w:r w:rsidR="004C2DE3">
        <w:rPr>
          <w:rFonts w:cs="Arial"/>
          <w:color w:val="000000"/>
          <w:szCs w:val="24"/>
        </w:rPr>
        <w:t>trabajo infantil</w:t>
      </w:r>
      <w:r>
        <w:rPr>
          <w:rFonts w:cs="Arial"/>
          <w:color w:val="000000"/>
          <w:szCs w:val="24"/>
        </w:rPr>
        <w:t xml:space="preserve"> cuando </w:t>
      </w:r>
      <w:r w:rsidR="004C2DE3">
        <w:rPr>
          <w:rFonts w:cs="Arial"/>
          <w:color w:val="000000"/>
          <w:szCs w:val="24"/>
        </w:rPr>
        <w:t>niñas, niños y adolescentes</w:t>
      </w:r>
      <w:r w:rsidR="004C2DE3" w:rsidRPr="0037646C">
        <w:rPr>
          <w:rFonts w:cs="Arial"/>
          <w:color w:val="000000"/>
          <w:szCs w:val="24"/>
        </w:rPr>
        <w:t xml:space="preserve"> de 5 a 17 años </w:t>
      </w:r>
      <w:r w:rsidR="005E2698">
        <w:rPr>
          <w:rFonts w:cs="Arial"/>
          <w:color w:val="000000"/>
          <w:szCs w:val="24"/>
        </w:rPr>
        <w:t xml:space="preserve">participan </w:t>
      </w:r>
      <w:r w:rsidR="004C2DE3" w:rsidRPr="0037646C">
        <w:rPr>
          <w:rFonts w:cs="Arial"/>
          <w:color w:val="000000"/>
          <w:szCs w:val="24"/>
        </w:rPr>
        <w:t xml:space="preserve">en una o más </w:t>
      </w:r>
      <w:r w:rsidR="004C2DE3">
        <w:rPr>
          <w:rFonts w:cs="Arial"/>
          <w:color w:val="000000"/>
          <w:szCs w:val="24"/>
        </w:rPr>
        <w:t xml:space="preserve">formas de </w:t>
      </w:r>
      <w:r w:rsidR="005E2698">
        <w:rPr>
          <w:rFonts w:cs="Arial"/>
          <w:color w:val="000000"/>
          <w:szCs w:val="24"/>
        </w:rPr>
        <w:t>t</w:t>
      </w:r>
      <w:r w:rsidR="004C2DE3">
        <w:rPr>
          <w:rFonts w:cs="Arial"/>
          <w:color w:val="000000"/>
          <w:szCs w:val="24"/>
        </w:rPr>
        <w:t>rabajo</w:t>
      </w:r>
      <w:r w:rsidR="00C37973">
        <w:rPr>
          <w:rFonts w:cs="Arial"/>
          <w:color w:val="000000"/>
          <w:szCs w:val="24"/>
        </w:rPr>
        <w:t xml:space="preserve"> no permitidas</w:t>
      </w:r>
      <w:r w:rsidR="004C2DE3">
        <w:rPr>
          <w:rFonts w:cs="Arial"/>
          <w:color w:val="000000"/>
          <w:szCs w:val="24"/>
        </w:rPr>
        <w:t xml:space="preserve">. </w:t>
      </w:r>
      <w:r w:rsidR="002B2D40">
        <w:rPr>
          <w:rFonts w:cs="Arial"/>
          <w:color w:val="000000"/>
          <w:szCs w:val="24"/>
        </w:rPr>
        <w:t>S</w:t>
      </w:r>
      <w:r w:rsidR="004C2DE3">
        <w:rPr>
          <w:rFonts w:cs="Arial"/>
          <w:color w:val="000000"/>
          <w:szCs w:val="24"/>
        </w:rPr>
        <w:t xml:space="preserve">e </w:t>
      </w:r>
      <w:r w:rsidR="00D403EA">
        <w:rPr>
          <w:rFonts w:cs="Arial"/>
          <w:color w:val="000000"/>
          <w:szCs w:val="24"/>
        </w:rPr>
        <w:t>c</w:t>
      </w:r>
      <w:r w:rsidR="00F249AF">
        <w:rPr>
          <w:rFonts w:cs="Arial"/>
          <w:color w:val="000000"/>
          <w:szCs w:val="24"/>
        </w:rPr>
        <w:t>lasifica como</w:t>
      </w:r>
      <w:r w:rsidR="00D403EA">
        <w:rPr>
          <w:rFonts w:cs="Arial"/>
          <w:color w:val="000000"/>
          <w:szCs w:val="24"/>
        </w:rPr>
        <w:t xml:space="preserve"> </w:t>
      </w:r>
      <w:r w:rsidR="004C2DE3">
        <w:rPr>
          <w:rFonts w:cs="Arial"/>
          <w:color w:val="000000"/>
          <w:szCs w:val="24"/>
        </w:rPr>
        <w:t xml:space="preserve">ocupación no permitida a </w:t>
      </w:r>
      <w:r w:rsidR="00D403EA">
        <w:rPr>
          <w:rFonts w:cs="Arial"/>
          <w:color w:val="000000"/>
          <w:szCs w:val="24"/>
        </w:rPr>
        <w:t xml:space="preserve">la que realizan </w:t>
      </w:r>
      <w:r w:rsidR="00CA584B">
        <w:rPr>
          <w:rFonts w:cs="Arial"/>
          <w:color w:val="000000"/>
          <w:szCs w:val="24"/>
        </w:rPr>
        <w:t>personas de este grupo de edad</w:t>
      </w:r>
      <w:r w:rsidR="004C2DE3">
        <w:rPr>
          <w:rFonts w:cs="Arial"/>
          <w:color w:val="000000"/>
          <w:szCs w:val="24"/>
        </w:rPr>
        <w:t xml:space="preserve"> en la producción de bienes y servicios destinados al mercado, o en ocupaciones de sectores económicos, lugares o actividades peligrosas. </w:t>
      </w:r>
      <w:r w:rsidR="005C4B45">
        <w:rPr>
          <w:rFonts w:cs="Arial"/>
          <w:color w:val="000000"/>
          <w:szCs w:val="24"/>
        </w:rPr>
        <w:t xml:space="preserve">Asimismo, </w:t>
      </w:r>
      <w:r w:rsidR="00A639DD">
        <w:rPr>
          <w:rFonts w:cs="Arial"/>
          <w:color w:val="000000"/>
          <w:szCs w:val="24"/>
        </w:rPr>
        <w:t xml:space="preserve">incluye a quienes realizan </w:t>
      </w:r>
      <w:r w:rsidR="004C2DE3">
        <w:rPr>
          <w:rFonts w:cs="Arial"/>
          <w:color w:val="000000"/>
          <w:szCs w:val="24"/>
        </w:rPr>
        <w:t xml:space="preserve">quehaceres domésticos no remunerados en sus propios hogares en condiciones no adecuadas, </w:t>
      </w:r>
      <w:r w:rsidR="00A639DD">
        <w:rPr>
          <w:rFonts w:cs="Arial"/>
          <w:color w:val="000000"/>
          <w:szCs w:val="24"/>
        </w:rPr>
        <w:t>lo que</w:t>
      </w:r>
      <w:r w:rsidR="004C2DE3">
        <w:rPr>
          <w:rFonts w:cs="Arial"/>
          <w:color w:val="000000"/>
          <w:szCs w:val="24"/>
        </w:rPr>
        <w:t xml:space="preserve"> incluye a</w:t>
      </w:r>
      <w:r w:rsidR="004C2DE3" w:rsidRPr="001051A4">
        <w:rPr>
          <w:rFonts w:cs="Arial"/>
          <w:color w:val="000000"/>
          <w:szCs w:val="24"/>
        </w:rPr>
        <w:t xml:space="preserve"> niña</w:t>
      </w:r>
      <w:r w:rsidR="004C2DE3">
        <w:rPr>
          <w:rFonts w:cs="Arial"/>
          <w:color w:val="000000"/>
          <w:szCs w:val="24"/>
        </w:rPr>
        <w:t xml:space="preserve">s, </w:t>
      </w:r>
      <w:r w:rsidR="004C2DE3" w:rsidRPr="001051A4">
        <w:rPr>
          <w:rFonts w:cs="Arial"/>
          <w:color w:val="000000"/>
          <w:szCs w:val="24"/>
        </w:rPr>
        <w:t>niño</w:t>
      </w:r>
      <w:r w:rsidR="004C2DE3">
        <w:rPr>
          <w:rFonts w:cs="Arial"/>
          <w:color w:val="000000"/>
          <w:szCs w:val="24"/>
        </w:rPr>
        <w:t xml:space="preserve">s y adolescentes que </w:t>
      </w:r>
      <w:r w:rsidR="004C2DE3" w:rsidRPr="001051A4">
        <w:rPr>
          <w:rFonts w:cs="Arial"/>
          <w:color w:val="000000"/>
          <w:szCs w:val="24"/>
        </w:rPr>
        <w:t>las realizan durante horarios prolongados o en condiciones peligrosas o riesgosas.</w:t>
      </w:r>
      <w:r w:rsidR="003670B7">
        <w:rPr>
          <w:rFonts w:cs="Arial"/>
          <w:color w:val="000000"/>
          <w:szCs w:val="24"/>
        </w:rPr>
        <w:t xml:space="preserve"> En la figura 1 se </w:t>
      </w:r>
      <w:r w:rsidR="004C78CF">
        <w:rPr>
          <w:rFonts w:cs="Arial"/>
          <w:color w:val="000000"/>
          <w:szCs w:val="24"/>
        </w:rPr>
        <w:t>detallan los componentes del trabajo infantil</w:t>
      </w:r>
      <w:r w:rsidR="003670B7" w:rsidRPr="0037646C">
        <w:rPr>
          <w:rFonts w:cs="Arial"/>
          <w:color w:val="000000"/>
          <w:szCs w:val="24"/>
        </w:rPr>
        <w:t>.</w:t>
      </w:r>
    </w:p>
    <w:p w14:paraId="547BD48B" w14:textId="77777777" w:rsidR="004C2DE3" w:rsidRDefault="004C2DE3" w:rsidP="004C2DE3">
      <w:pPr>
        <w:widowControl/>
        <w:rPr>
          <w:rFonts w:cs="Arial"/>
          <w:color w:val="000000"/>
          <w:szCs w:val="24"/>
        </w:rPr>
      </w:pPr>
    </w:p>
    <w:p w14:paraId="66261989" w14:textId="7698CC94" w:rsidR="004C2DE3" w:rsidRDefault="004C2DE3" w:rsidP="004C2DE3">
      <w:pPr>
        <w:widowControl/>
        <w:rPr>
          <w:rFonts w:cs="Arial"/>
          <w:color w:val="000000"/>
          <w:szCs w:val="24"/>
        </w:rPr>
      </w:pPr>
    </w:p>
    <w:p w14:paraId="139EA28D" w14:textId="257BBD6A" w:rsidR="004C2DE3" w:rsidRPr="00D94D89" w:rsidRDefault="004C78CF" w:rsidP="004C2DE3">
      <w:pPr>
        <w:widowControl/>
        <w:jc w:val="center"/>
        <w:rPr>
          <w:rFonts w:cs="Arial"/>
          <w:color w:val="000000"/>
          <w:szCs w:val="24"/>
        </w:rPr>
      </w:pPr>
      <w:r w:rsidRPr="00D94D89">
        <w:rPr>
          <w:rFonts w:cs="Arial"/>
          <w:color w:val="000000"/>
          <w:szCs w:val="24"/>
        </w:rPr>
        <w:lastRenderedPageBreak/>
        <w:t xml:space="preserve">Figura </w:t>
      </w:r>
      <w:r w:rsidR="004C2DE3" w:rsidRPr="00D94D89">
        <w:rPr>
          <w:rFonts w:cs="Arial"/>
          <w:color w:val="000000"/>
          <w:szCs w:val="24"/>
        </w:rPr>
        <w:t>1</w:t>
      </w:r>
    </w:p>
    <w:p w14:paraId="47CEBE95" w14:textId="6D1B0799" w:rsidR="004C2DE3" w:rsidRPr="00D94D89" w:rsidRDefault="004C78CF" w:rsidP="004C2DE3">
      <w:pPr>
        <w:widowControl/>
        <w:jc w:val="center"/>
        <w:rPr>
          <w:rFonts w:cs="Arial"/>
          <w:b/>
          <w:bCs/>
          <w:color w:val="000000"/>
          <w:szCs w:val="24"/>
        </w:rPr>
      </w:pPr>
      <w:bookmarkStart w:id="3" w:name="_Hlk146639900"/>
      <w:r w:rsidRPr="00D94D89">
        <w:rPr>
          <w:rFonts w:cs="Arial"/>
          <w:b/>
          <w:bCs/>
          <w:color w:val="000000"/>
          <w:szCs w:val="24"/>
        </w:rPr>
        <w:t xml:space="preserve">Componentes del trabajo </w:t>
      </w:r>
      <w:r w:rsidR="009D1F2D" w:rsidRPr="00D94D89">
        <w:rPr>
          <w:rFonts w:cs="Arial"/>
          <w:b/>
          <w:bCs/>
          <w:color w:val="000000"/>
          <w:szCs w:val="24"/>
        </w:rPr>
        <w:t>i</w:t>
      </w:r>
      <w:r w:rsidRPr="00D94D89">
        <w:rPr>
          <w:rFonts w:cs="Arial"/>
          <w:b/>
          <w:bCs/>
          <w:color w:val="000000"/>
          <w:szCs w:val="24"/>
        </w:rPr>
        <w:t>nfantil</w:t>
      </w:r>
    </w:p>
    <w:p w14:paraId="40FF6DE2" w14:textId="4B75A46E" w:rsidR="009D1F2D" w:rsidRDefault="009D1F2D" w:rsidP="004C2DE3">
      <w:pPr>
        <w:widowControl/>
        <w:jc w:val="center"/>
        <w:rPr>
          <w:rFonts w:cs="Arial"/>
          <w:b/>
          <w:bCs/>
          <w:color w:val="000000"/>
          <w:szCs w:val="24"/>
        </w:rPr>
      </w:pPr>
      <w:r>
        <w:rPr>
          <w:rFonts w:cs="Arial"/>
          <w:b/>
          <w:bCs/>
          <w:noProof/>
          <w:color w:val="000000"/>
          <w:szCs w:val="24"/>
        </w:rPr>
        <w:drawing>
          <wp:inline distT="0" distB="0" distL="0" distR="0" wp14:anchorId="7B31F81C" wp14:editId="1899A8E2">
            <wp:extent cx="6303564" cy="2835979"/>
            <wp:effectExtent l="0" t="0" r="2540" b="2540"/>
            <wp:docPr id="120519510" name="Imagen 120519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28433" cy="2847168"/>
                    </a:xfrm>
                    <a:prstGeom prst="rect">
                      <a:avLst/>
                    </a:prstGeom>
                    <a:noFill/>
                  </pic:spPr>
                </pic:pic>
              </a:graphicData>
            </a:graphic>
          </wp:inline>
        </w:drawing>
      </w:r>
    </w:p>
    <w:p w14:paraId="5E9DB47A" w14:textId="77777777" w:rsidR="00AA04A7" w:rsidRDefault="00CD3606" w:rsidP="000B34C0">
      <w:pPr>
        <w:widowControl/>
        <w:ind w:left="142" w:hanging="142"/>
        <w:rPr>
          <w:rFonts w:cs="Arial"/>
          <w:color w:val="000000"/>
          <w:sz w:val="16"/>
          <w:szCs w:val="16"/>
        </w:rPr>
      </w:pPr>
      <w:r>
        <w:rPr>
          <w:rFonts w:cs="Arial"/>
          <w:color w:val="000000"/>
          <w:sz w:val="16"/>
          <w:szCs w:val="16"/>
          <w:vertAlign w:val="superscript"/>
        </w:rPr>
        <w:t>1</w:t>
      </w:r>
      <w:r w:rsidR="004C2DE3" w:rsidRPr="009D1F2D">
        <w:rPr>
          <w:rFonts w:cs="Arial"/>
          <w:color w:val="000000"/>
          <w:sz w:val="16"/>
          <w:szCs w:val="16"/>
        </w:rPr>
        <w:t xml:space="preserve"> </w:t>
      </w:r>
      <w:r w:rsidR="00AA04A7">
        <w:rPr>
          <w:rFonts w:cs="Arial"/>
          <w:color w:val="000000"/>
          <w:sz w:val="16"/>
          <w:szCs w:val="16"/>
        </w:rPr>
        <w:t xml:space="preserve">           </w:t>
      </w:r>
      <w:proofErr w:type="gramStart"/>
      <w:r w:rsidR="004C2DE3" w:rsidRPr="009D1F2D">
        <w:rPr>
          <w:rFonts w:cs="Arial"/>
          <w:color w:val="000000"/>
          <w:sz w:val="16"/>
          <w:szCs w:val="16"/>
        </w:rPr>
        <w:t>Ocupados</w:t>
      </w:r>
      <w:proofErr w:type="gramEnd"/>
      <w:r w:rsidR="004C2DE3" w:rsidRPr="009D1F2D">
        <w:rPr>
          <w:rFonts w:cs="Arial"/>
          <w:color w:val="000000"/>
          <w:sz w:val="16"/>
          <w:szCs w:val="16"/>
        </w:rPr>
        <w:t xml:space="preserve"> en trabajos prohibidos debajo de la edad mínima (5 a 14 años) u ocupados de 15 a 17 años en trabajos peligrosos</w:t>
      </w:r>
      <w:r w:rsidR="005B41C3">
        <w:rPr>
          <w:rFonts w:cs="Arial"/>
          <w:color w:val="000000"/>
          <w:sz w:val="16"/>
          <w:szCs w:val="16"/>
        </w:rPr>
        <w:t>,</w:t>
      </w:r>
      <w:r w:rsidR="004C2DE3" w:rsidRPr="009D1F2D">
        <w:rPr>
          <w:rFonts w:cs="Arial"/>
          <w:color w:val="000000"/>
          <w:sz w:val="16"/>
          <w:szCs w:val="16"/>
        </w:rPr>
        <w:t xml:space="preserve"> según </w:t>
      </w:r>
    </w:p>
    <w:p w14:paraId="45588CE3" w14:textId="415C2784" w:rsidR="004C2DE3" w:rsidRPr="009D1F2D" w:rsidRDefault="00AA04A7" w:rsidP="000B34C0">
      <w:pPr>
        <w:widowControl/>
        <w:ind w:left="142" w:hanging="142"/>
        <w:rPr>
          <w:rFonts w:cs="Arial"/>
          <w:color w:val="000000"/>
          <w:sz w:val="16"/>
          <w:szCs w:val="16"/>
        </w:rPr>
      </w:pPr>
      <w:r>
        <w:rPr>
          <w:rFonts w:cs="Arial"/>
          <w:color w:val="000000"/>
          <w:sz w:val="16"/>
          <w:szCs w:val="16"/>
        </w:rPr>
        <w:t xml:space="preserve">             </w:t>
      </w:r>
      <w:r w:rsidR="004C2DE3" w:rsidRPr="009D1F2D">
        <w:rPr>
          <w:rFonts w:cs="Arial"/>
          <w:color w:val="000000"/>
          <w:sz w:val="16"/>
          <w:szCs w:val="16"/>
        </w:rPr>
        <w:t>la Ley Federal de Trabajo.</w:t>
      </w:r>
    </w:p>
    <w:p w14:paraId="5441F8DE" w14:textId="6F014A2E" w:rsidR="00AA04A7" w:rsidRDefault="00CD3606" w:rsidP="000B34C0">
      <w:pPr>
        <w:widowControl/>
        <w:ind w:left="142" w:hanging="142"/>
        <w:rPr>
          <w:rFonts w:cs="Arial"/>
          <w:color w:val="000000"/>
          <w:sz w:val="16"/>
          <w:szCs w:val="16"/>
        </w:rPr>
      </w:pPr>
      <w:r>
        <w:rPr>
          <w:rFonts w:cs="Arial"/>
          <w:color w:val="000000"/>
          <w:sz w:val="16"/>
          <w:szCs w:val="16"/>
          <w:vertAlign w:val="superscript"/>
        </w:rPr>
        <w:t>2</w:t>
      </w:r>
      <w:r w:rsidR="004C2DE3" w:rsidRPr="009D1F2D">
        <w:rPr>
          <w:rFonts w:cs="Arial"/>
          <w:color w:val="000000"/>
          <w:sz w:val="16"/>
          <w:szCs w:val="16"/>
        </w:rPr>
        <w:t xml:space="preserve"> </w:t>
      </w:r>
      <w:r w:rsidR="00AA04A7">
        <w:rPr>
          <w:rFonts w:cs="Arial"/>
          <w:color w:val="000000"/>
          <w:sz w:val="16"/>
          <w:szCs w:val="16"/>
        </w:rPr>
        <w:t xml:space="preserve">           </w:t>
      </w:r>
      <w:proofErr w:type="gramStart"/>
      <w:r w:rsidR="004C2DE3" w:rsidRPr="009D1F2D">
        <w:rPr>
          <w:rFonts w:cs="Arial"/>
          <w:color w:val="000000"/>
          <w:sz w:val="16"/>
          <w:szCs w:val="16"/>
        </w:rPr>
        <w:t>Ocupados</w:t>
      </w:r>
      <w:proofErr w:type="gramEnd"/>
      <w:r w:rsidR="004C2DE3" w:rsidRPr="009D1F2D">
        <w:rPr>
          <w:rFonts w:cs="Arial"/>
          <w:color w:val="000000"/>
          <w:sz w:val="16"/>
          <w:szCs w:val="16"/>
        </w:rPr>
        <w:t xml:space="preserve"> en trabajos peligrosos según la Ley Federal de Trabajo: construcción, minas, sector agropecuario, bares, cantinas, entre </w:t>
      </w:r>
    </w:p>
    <w:p w14:paraId="7121A878" w14:textId="4B85A3D0" w:rsidR="004C2DE3" w:rsidRDefault="00AA04A7" w:rsidP="000B34C0">
      <w:pPr>
        <w:widowControl/>
        <w:ind w:left="142" w:hanging="142"/>
        <w:rPr>
          <w:rFonts w:cs="Arial"/>
          <w:color w:val="000000"/>
          <w:sz w:val="16"/>
          <w:szCs w:val="16"/>
        </w:rPr>
      </w:pPr>
      <w:r>
        <w:rPr>
          <w:rFonts w:cs="Arial"/>
          <w:color w:val="000000"/>
          <w:sz w:val="16"/>
          <w:szCs w:val="16"/>
        </w:rPr>
        <w:t xml:space="preserve">             </w:t>
      </w:r>
      <w:r w:rsidR="004C2DE3" w:rsidRPr="009D1F2D">
        <w:rPr>
          <w:rFonts w:cs="Arial"/>
          <w:color w:val="000000"/>
          <w:sz w:val="16"/>
          <w:szCs w:val="16"/>
        </w:rPr>
        <w:t>otros.</w:t>
      </w:r>
    </w:p>
    <w:p w14:paraId="107BBDBF" w14:textId="38F8CBE0" w:rsidR="009D1F2D" w:rsidRPr="009342B5" w:rsidRDefault="009D1F2D" w:rsidP="009D1F2D">
      <w:pPr>
        <w:widowControl/>
        <w:ind w:left="142" w:hanging="142"/>
        <w:rPr>
          <w:rFonts w:cs="Arial"/>
          <w:color w:val="000000"/>
          <w:sz w:val="16"/>
          <w:szCs w:val="16"/>
        </w:rPr>
      </w:pPr>
      <w:r w:rsidRPr="009342B5">
        <w:rPr>
          <w:rFonts w:cs="Arial"/>
          <w:color w:val="000000"/>
          <w:sz w:val="16"/>
          <w:szCs w:val="16"/>
          <w:vertAlign w:val="superscript"/>
        </w:rPr>
        <w:t>3</w:t>
      </w:r>
      <w:r w:rsidRPr="009342B5">
        <w:rPr>
          <w:rFonts w:cs="Arial"/>
          <w:color w:val="000000"/>
          <w:sz w:val="16"/>
          <w:szCs w:val="16"/>
        </w:rPr>
        <w:t xml:space="preserve"> </w:t>
      </w:r>
      <w:r w:rsidR="00AA04A7">
        <w:rPr>
          <w:rFonts w:cs="Arial"/>
          <w:color w:val="000000"/>
          <w:sz w:val="16"/>
          <w:szCs w:val="16"/>
        </w:rPr>
        <w:t xml:space="preserve">           </w:t>
      </w:r>
      <w:proofErr w:type="gramStart"/>
      <w:r w:rsidRPr="009342B5">
        <w:rPr>
          <w:rFonts w:cs="Arial"/>
          <w:color w:val="000000"/>
          <w:sz w:val="16"/>
          <w:szCs w:val="16"/>
        </w:rPr>
        <w:t>En</w:t>
      </w:r>
      <w:proofErr w:type="gramEnd"/>
      <w:r w:rsidRPr="009342B5">
        <w:rPr>
          <w:rFonts w:cs="Arial"/>
          <w:color w:val="000000"/>
          <w:sz w:val="16"/>
          <w:szCs w:val="16"/>
        </w:rPr>
        <w:t xml:space="preserve"> actividades domésticas sin remuneración en su propio hogar en horarios prolongados o exposición a riesgos.</w:t>
      </w:r>
    </w:p>
    <w:p w14:paraId="762B0F1E" w14:textId="77777777" w:rsidR="009D1F2D" w:rsidRPr="009342B5" w:rsidRDefault="009D1F2D" w:rsidP="009D1F2D">
      <w:pPr>
        <w:widowControl/>
        <w:ind w:left="142" w:hanging="142"/>
        <w:rPr>
          <w:rFonts w:cs="Arial"/>
          <w:color w:val="000000"/>
          <w:sz w:val="16"/>
          <w:szCs w:val="16"/>
        </w:rPr>
      </w:pPr>
      <w:r w:rsidRPr="009342B5">
        <w:rPr>
          <w:rFonts w:cs="Arial"/>
          <w:color w:val="000000"/>
          <w:sz w:val="16"/>
          <w:szCs w:val="16"/>
        </w:rPr>
        <w:t>Fuente: Elaboración con base en la resolución sobre estadísticas del trabajo de la OIT y la legislación nacional.</w:t>
      </w:r>
    </w:p>
    <w:bookmarkEnd w:id="3"/>
    <w:p w14:paraId="3348F2CA" w14:textId="77777777" w:rsidR="004C2DE3" w:rsidRPr="00C956B9" w:rsidRDefault="004C2DE3" w:rsidP="004C2DE3">
      <w:pPr>
        <w:widowControl/>
        <w:jc w:val="left"/>
        <w:rPr>
          <w:rFonts w:cs="Arial"/>
          <w:b/>
          <w:bCs/>
          <w:color w:val="000000"/>
          <w:szCs w:val="24"/>
        </w:rPr>
      </w:pPr>
    </w:p>
    <w:p w14:paraId="260A908F" w14:textId="1C877C94" w:rsidR="004C2DE3" w:rsidRPr="0037646C" w:rsidRDefault="004C78CF" w:rsidP="00AA04A7">
      <w:pPr>
        <w:widowControl/>
        <w:ind w:right="51"/>
        <w:rPr>
          <w:rFonts w:cs="Arial"/>
          <w:color w:val="000000"/>
          <w:szCs w:val="24"/>
        </w:rPr>
      </w:pPr>
      <w:r w:rsidRPr="00D76999">
        <w:rPr>
          <w:rFonts w:cs="Arial"/>
          <w:color w:val="000000"/>
          <w:szCs w:val="24"/>
        </w:rPr>
        <w:t>E</w:t>
      </w:r>
      <w:r>
        <w:rPr>
          <w:rFonts w:cs="Arial"/>
          <w:color w:val="000000"/>
          <w:szCs w:val="24"/>
        </w:rPr>
        <w:t xml:space="preserve">n 2022, </w:t>
      </w:r>
      <w:r w:rsidRPr="00D76999">
        <w:rPr>
          <w:rFonts w:cs="Arial"/>
          <w:color w:val="000000"/>
          <w:szCs w:val="24"/>
        </w:rPr>
        <w:t>3.7 millones de niñas</w:t>
      </w:r>
      <w:r>
        <w:rPr>
          <w:rFonts w:cs="Arial"/>
          <w:color w:val="000000"/>
          <w:szCs w:val="24"/>
        </w:rPr>
        <w:t>,</w:t>
      </w:r>
      <w:r w:rsidRPr="00D76999">
        <w:rPr>
          <w:rFonts w:cs="Arial"/>
          <w:color w:val="000000"/>
          <w:szCs w:val="24"/>
        </w:rPr>
        <w:t xml:space="preserve"> niños </w:t>
      </w:r>
      <w:r>
        <w:rPr>
          <w:rFonts w:cs="Arial"/>
          <w:color w:val="000000"/>
          <w:szCs w:val="24"/>
        </w:rPr>
        <w:t xml:space="preserve">y adolescentes realizaron </w:t>
      </w:r>
      <w:r w:rsidR="00A639DD">
        <w:rPr>
          <w:rFonts w:cs="Arial"/>
          <w:color w:val="000000"/>
          <w:szCs w:val="24"/>
        </w:rPr>
        <w:t xml:space="preserve">alguna actividad considerada como </w:t>
      </w:r>
      <w:r>
        <w:rPr>
          <w:rFonts w:cs="Arial"/>
          <w:color w:val="000000"/>
          <w:szCs w:val="24"/>
        </w:rPr>
        <w:t xml:space="preserve">trabajo infantil, </w:t>
      </w:r>
      <w:r w:rsidR="00A639DD">
        <w:rPr>
          <w:rFonts w:cs="Arial"/>
          <w:color w:val="000000"/>
          <w:szCs w:val="24"/>
        </w:rPr>
        <w:t>y</w:t>
      </w:r>
      <w:r>
        <w:rPr>
          <w:rFonts w:cs="Arial"/>
          <w:color w:val="000000"/>
          <w:szCs w:val="24"/>
        </w:rPr>
        <w:t xml:space="preserve"> represent</w:t>
      </w:r>
      <w:r w:rsidR="00EB5DBC">
        <w:rPr>
          <w:rFonts w:cs="Arial"/>
          <w:color w:val="000000"/>
          <w:szCs w:val="24"/>
        </w:rPr>
        <w:t>aron</w:t>
      </w:r>
      <w:r>
        <w:rPr>
          <w:rFonts w:cs="Arial"/>
          <w:color w:val="000000"/>
          <w:szCs w:val="24"/>
        </w:rPr>
        <w:t xml:space="preserve"> </w:t>
      </w:r>
      <w:r w:rsidRPr="0037646C">
        <w:rPr>
          <w:rFonts w:cs="Arial"/>
          <w:color w:val="000000"/>
          <w:szCs w:val="24"/>
        </w:rPr>
        <w:t>13.1 % de la población de 5 a 17 años</w:t>
      </w:r>
      <w:r>
        <w:rPr>
          <w:rFonts w:cs="Arial"/>
          <w:color w:val="000000"/>
          <w:szCs w:val="24"/>
        </w:rPr>
        <w:t xml:space="preserve"> (28.4 millones)</w:t>
      </w:r>
      <w:r w:rsidR="002C3BAA">
        <w:rPr>
          <w:rFonts w:cs="Arial"/>
          <w:color w:val="000000"/>
          <w:szCs w:val="24"/>
        </w:rPr>
        <w:t xml:space="preserve">. </w:t>
      </w:r>
      <w:r w:rsidR="00AC10C0">
        <w:rPr>
          <w:rFonts w:cs="Arial"/>
          <w:color w:val="000000"/>
          <w:szCs w:val="24"/>
        </w:rPr>
        <w:t xml:space="preserve">La gráfica 1 </w:t>
      </w:r>
      <w:r w:rsidR="00693E3C">
        <w:rPr>
          <w:rFonts w:cs="Arial"/>
          <w:color w:val="000000"/>
          <w:szCs w:val="24"/>
        </w:rPr>
        <w:t>ilustra e</w:t>
      </w:r>
      <w:r w:rsidR="004C2DE3">
        <w:rPr>
          <w:rFonts w:cs="Arial"/>
          <w:color w:val="000000"/>
          <w:szCs w:val="24"/>
        </w:rPr>
        <w:t xml:space="preserve">l trabajo infantil </w:t>
      </w:r>
      <w:r w:rsidR="00A639DD">
        <w:rPr>
          <w:rFonts w:cs="Arial"/>
          <w:color w:val="000000"/>
          <w:szCs w:val="24"/>
        </w:rPr>
        <w:t>y sus componentes, identificando</w:t>
      </w:r>
      <w:r w:rsidR="004C2DE3">
        <w:rPr>
          <w:rFonts w:cs="Arial"/>
          <w:color w:val="000000"/>
          <w:szCs w:val="24"/>
        </w:rPr>
        <w:t xml:space="preserve"> </w:t>
      </w:r>
      <w:r w:rsidR="004C2DE3" w:rsidRPr="0037646C">
        <w:rPr>
          <w:rFonts w:cs="Arial"/>
          <w:color w:val="000000"/>
          <w:szCs w:val="24"/>
        </w:rPr>
        <w:t>1.8 millones</w:t>
      </w:r>
      <w:r w:rsidR="004C2DE3">
        <w:rPr>
          <w:rFonts w:cs="Arial"/>
          <w:color w:val="000000"/>
          <w:szCs w:val="24"/>
        </w:rPr>
        <w:t xml:space="preserve"> (6.4 %)</w:t>
      </w:r>
      <w:r w:rsidR="004C2DE3" w:rsidRPr="0037646C">
        <w:rPr>
          <w:rFonts w:cs="Arial"/>
          <w:color w:val="000000"/>
          <w:szCs w:val="24"/>
        </w:rPr>
        <w:t xml:space="preserve"> </w:t>
      </w:r>
      <w:r w:rsidR="00154A21">
        <w:rPr>
          <w:rFonts w:cs="Arial"/>
          <w:color w:val="000000"/>
          <w:szCs w:val="24"/>
        </w:rPr>
        <w:t>que solo realiza</w:t>
      </w:r>
      <w:r w:rsidR="00693E3C">
        <w:rPr>
          <w:rFonts w:cs="Arial"/>
          <w:color w:val="000000"/>
          <w:szCs w:val="24"/>
        </w:rPr>
        <w:t>ban</w:t>
      </w:r>
      <w:r w:rsidR="0006051D">
        <w:rPr>
          <w:rFonts w:cs="Arial"/>
          <w:color w:val="000000"/>
          <w:szCs w:val="24"/>
        </w:rPr>
        <w:t xml:space="preserve"> ocupaciones no permitidas; </w:t>
      </w:r>
      <w:r w:rsidR="004C2DE3" w:rsidRPr="0037646C">
        <w:rPr>
          <w:rFonts w:cs="Arial"/>
          <w:color w:val="000000"/>
          <w:szCs w:val="24"/>
        </w:rPr>
        <w:t>1.6 millones</w:t>
      </w:r>
      <w:r w:rsidR="004C2DE3">
        <w:rPr>
          <w:rFonts w:cs="Arial"/>
          <w:color w:val="000000"/>
          <w:szCs w:val="24"/>
        </w:rPr>
        <w:t xml:space="preserve"> (5.6 %)</w:t>
      </w:r>
      <w:r w:rsidR="004C2DE3" w:rsidRPr="0037646C">
        <w:rPr>
          <w:rFonts w:cs="Arial"/>
          <w:color w:val="000000"/>
          <w:szCs w:val="24"/>
        </w:rPr>
        <w:t xml:space="preserve"> </w:t>
      </w:r>
      <w:r w:rsidR="004C2DE3">
        <w:rPr>
          <w:rFonts w:cs="Arial"/>
          <w:color w:val="000000"/>
          <w:szCs w:val="24"/>
        </w:rPr>
        <w:t xml:space="preserve">que </w:t>
      </w:r>
      <w:r w:rsidR="004C2DE3" w:rsidRPr="0037646C">
        <w:rPr>
          <w:rFonts w:cs="Arial"/>
          <w:color w:val="000000"/>
          <w:szCs w:val="24"/>
        </w:rPr>
        <w:t>exclusivamente</w:t>
      </w:r>
      <w:r w:rsidR="004C2DE3">
        <w:rPr>
          <w:rFonts w:cs="Arial"/>
          <w:color w:val="000000"/>
          <w:szCs w:val="24"/>
        </w:rPr>
        <w:t xml:space="preserve"> </w:t>
      </w:r>
      <w:r w:rsidR="00F3496E">
        <w:rPr>
          <w:rFonts w:cs="Arial"/>
          <w:color w:val="000000"/>
          <w:szCs w:val="24"/>
        </w:rPr>
        <w:t>hac</w:t>
      </w:r>
      <w:r w:rsidR="009456A5">
        <w:rPr>
          <w:rFonts w:cs="Arial"/>
          <w:color w:val="000000"/>
          <w:szCs w:val="24"/>
        </w:rPr>
        <w:t>ían</w:t>
      </w:r>
      <w:r w:rsidR="004C2DE3">
        <w:rPr>
          <w:rFonts w:cs="Arial"/>
          <w:color w:val="000000"/>
          <w:szCs w:val="24"/>
        </w:rPr>
        <w:t xml:space="preserve"> </w:t>
      </w:r>
      <w:r w:rsidR="004C2DE3" w:rsidRPr="0037646C">
        <w:rPr>
          <w:rFonts w:cs="Arial"/>
          <w:color w:val="000000"/>
          <w:szCs w:val="24"/>
        </w:rPr>
        <w:t>quehaceres domésticos en condiciones no adecuadas</w:t>
      </w:r>
      <w:r w:rsidR="004C2DE3">
        <w:rPr>
          <w:rFonts w:cs="Arial"/>
          <w:color w:val="000000"/>
          <w:szCs w:val="24"/>
        </w:rPr>
        <w:t xml:space="preserve"> y </w:t>
      </w:r>
      <w:r w:rsidR="004C2DE3" w:rsidRPr="0037646C">
        <w:rPr>
          <w:rFonts w:cs="Arial"/>
          <w:color w:val="000000"/>
          <w:szCs w:val="24"/>
        </w:rPr>
        <w:t xml:space="preserve">318 mil </w:t>
      </w:r>
      <w:r w:rsidR="004C2DE3">
        <w:rPr>
          <w:rFonts w:cs="Arial"/>
          <w:color w:val="000000"/>
          <w:szCs w:val="24"/>
        </w:rPr>
        <w:t>que combina</w:t>
      </w:r>
      <w:r w:rsidR="009456A5">
        <w:rPr>
          <w:rFonts w:cs="Arial"/>
          <w:color w:val="000000"/>
          <w:szCs w:val="24"/>
        </w:rPr>
        <w:t>ban</w:t>
      </w:r>
      <w:r w:rsidR="0006051D">
        <w:rPr>
          <w:rFonts w:cs="Arial"/>
          <w:color w:val="000000"/>
          <w:szCs w:val="24"/>
        </w:rPr>
        <w:t xml:space="preserve"> ocupaciones no permitidas </w:t>
      </w:r>
      <w:r w:rsidR="004C2DE3">
        <w:rPr>
          <w:rFonts w:cs="Arial"/>
          <w:color w:val="000000"/>
          <w:szCs w:val="24"/>
        </w:rPr>
        <w:t>y</w:t>
      </w:r>
      <w:r w:rsidR="004C2DE3" w:rsidRPr="0037646C">
        <w:rPr>
          <w:rFonts w:cs="Arial"/>
          <w:color w:val="000000"/>
          <w:szCs w:val="24"/>
        </w:rPr>
        <w:t xml:space="preserve"> </w:t>
      </w:r>
      <w:r w:rsidR="004C2DE3">
        <w:rPr>
          <w:rFonts w:cs="Arial"/>
          <w:color w:val="000000"/>
          <w:szCs w:val="24"/>
        </w:rPr>
        <w:t>los</w:t>
      </w:r>
      <w:r w:rsidR="004C2DE3" w:rsidRPr="0037646C">
        <w:rPr>
          <w:rFonts w:cs="Arial"/>
          <w:color w:val="000000"/>
          <w:szCs w:val="24"/>
        </w:rPr>
        <w:t xml:space="preserve"> quehaceres domésticos en condiciones no adecuadas</w:t>
      </w:r>
      <w:r w:rsidR="004C2DE3">
        <w:rPr>
          <w:rFonts w:cs="Arial"/>
          <w:color w:val="000000"/>
          <w:szCs w:val="24"/>
        </w:rPr>
        <w:t xml:space="preserve"> (1.1 </w:t>
      </w:r>
      <w:r w:rsidR="0006051D">
        <w:rPr>
          <w:rFonts w:cs="Arial"/>
          <w:color w:val="000000"/>
          <w:szCs w:val="24"/>
        </w:rPr>
        <w:t>%</w:t>
      </w:r>
      <w:r w:rsidR="004C2DE3">
        <w:rPr>
          <w:rFonts w:cs="Arial"/>
          <w:color w:val="000000"/>
          <w:szCs w:val="24"/>
        </w:rPr>
        <w:t>)</w:t>
      </w:r>
      <w:r w:rsidR="004C2DE3" w:rsidRPr="0037646C">
        <w:rPr>
          <w:rFonts w:cs="Arial"/>
          <w:color w:val="000000"/>
          <w:szCs w:val="24"/>
        </w:rPr>
        <w:t>.</w:t>
      </w:r>
    </w:p>
    <w:p w14:paraId="15DBB29B" w14:textId="30A5F4CF" w:rsidR="00D94D89" w:rsidRDefault="00D94D89">
      <w:pPr>
        <w:widowControl/>
        <w:jc w:val="left"/>
        <w:rPr>
          <w:rFonts w:cs="Arial"/>
          <w:color w:val="000000"/>
          <w:szCs w:val="24"/>
        </w:rPr>
      </w:pPr>
      <w:r>
        <w:rPr>
          <w:rFonts w:cs="Arial"/>
          <w:color w:val="000000"/>
          <w:szCs w:val="24"/>
        </w:rPr>
        <w:br w:type="page"/>
      </w:r>
    </w:p>
    <w:p w14:paraId="24B8F51B" w14:textId="1FF5055E" w:rsidR="004C2DE3" w:rsidRPr="00AA04A7" w:rsidRDefault="004C2DE3" w:rsidP="004C2DE3">
      <w:pPr>
        <w:widowControl/>
        <w:jc w:val="center"/>
        <w:rPr>
          <w:rFonts w:cs="Arial"/>
          <w:color w:val="000000"/>
          <w:sz w:val="20"/>
        </w:rPr>
      </w:pPr>
      <w:r w:rsidRPr="00AA04A7">
        <w:rPr>
          <w:rFonts w:cs="Arial"/>
          <w:color w:val="000000"/>
          <w:sz w:val="20"/>
        </w:rPr>
        <w:lastRenderedPageBreak/>
        <w:t>Gráfica 1</w:t>
      </w:r>
    </w:p>
    <w:p w14:paraId="669FC42E" w14:textId="316F936A" w:rsidR="004C2DE3" w:rsidRPr="00AA04A7" w:rsidRDefault="00693E3C" w:rsidP="00AA04A7">
      <w:pPr>
        <w:widowControl/>
        <w:autoSpaceDE w:val="0"/>
        <w:autoSpaceDN w:val="0"/>
        <w:adjustRightInd w:val="0"/>
        <w:ind w:left="567" w:right="618"/>
        <w:jc w:val="center"/>
        <w:rPr>
          <w:rFonts w:cs="Arial"/>
          <w:b/>
          <w:smallCaps/>
          <w:sz w:val="22"/>
          <w:szCs w:val="22"/>
        </w:rPr>
      </w:pPr>
      <w:r w:rsidRPr="00AA04A7">
        <w:rPr>
          <w:rFonts w:cs="Arial"/>
          <w:b/>
          <w:smallCaps/>
          <w:sz w:val="22"/>
          <w:szCs w:val="22"/>
        </w:rPr>
        <w:t xml:space="preserve">Personas </w:t>
      </w:r>
      <w:r w:rsidR="004C2DE3" w:rsidRPr="00AA04A7">
        <w:rPr>
          <w:rFonts w:cs="Arial"/>
          <w:b/>
          <w:smallCaps/>
          <w:sz w:val="22"/>
          <w:szCs w:val="22"/>
        </w:rPr>
        <w:t>de 5 a 17 años por condición de trabajo infantil y forma de trabajo</w:t>
      </w:r>
    </w:p>
    <w:p w14:paraId="77CBB5EF" w14:textId="626A4453" w:rsidR="00693E3C" w:rsidRDefault="00693E3C" w:rsidP="00AA04A7">
      <w:pPr>
        <w:widowControl/>
        <w:autoSpaceDE w:val="0"/>
        <w:autoSpaceDN w:val="0"/>
        <w:adjustRightInd w:val="0"/>
        <w:ind w:right="-232"/>
        <w:jc w:val="center"/>
        <w:rPr>
          <w:rFonts w:cs="Arial"/>
          <w:bCs/>
          <w:sz w:val="18"/>
          <w:szCs w:val="18"/>
        </w:rPr>
      </w:pPr>
      <w:r w:rsidRPr="005F0EF8">
        <w:rPr>
          <w:rFonts w:cs="Arial"/>
          <w:bCs/>
          <w:sz w:val="18"/>
          <w:szCs w:val="18"/>
        </w:rPr>
        <w:t>(distribución porcentual)</w:t>
      </w:r>
    </w:p>
    <w:p w14:paraId="1A35FB78" w14:textId="7624AA6C" w:rsidR="004C2DE3" w:rsidRPr="00CF5DBF" w:rsidRDefault="00CF5DBF" w:rsidP="00AA04A7">
      <w:pPr>
        <w:widowControl/>
        <w:autoSpaceDE w:val="0"/>
        <w:autoSpaceDN w:val="0"/>
        <w:adjustRightInd w:val="0"/>
        <w:ind w:left="567" w:right="1183" w:firstLine="284"/>
        <w:jc w:val="center"/>
        <w:rPr>
          <w:rFonts w:cs="Arial"/>
          <w:bCs/>
          <w:sz w:val="18"/>
          <w:szCs w:val="18"/>
        </w:rPr>
      </w:pPr>
      <w:r w:rsidRPr="00CF5DBF">
        <w:rPr>
          <w:rFonts w:cs="Arial"/>
          <w:bCs/>
          <w:noProof/>
          <w:sz w:val="18"/>
          <w:szCs w:val="18"/>
        </w:rPr>
        <w:drawing>
          <wp:inline distT="0" distB="0" distL="0" distR="0" wp14:anchorId="7F7D521E" wp14:editId="072DC637">
            <wp:extent cx="5010150" cy="2854676"/>
            <wp:effectExtent l="0" t="0" r="0" b="0"/>
            <wp:docPr id="1" name="Imagen 1">
              <a:extLst xmlns:a="http://schemas.openxmlformats.org/drawingml/2006/main">
                <a:ext uri="{FF2B5EF4-FFF2-40B4-BE49-F238E27FC236}">
                  <a16:creationId xmlns:a16="http://schemas.microsoft.com/office/drawing/2014/main" id="{BD04E9EF-2CFA-4C3E-95F0-43C4F4777A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BD04E9EF-2CFA-4C3E-95F0-43C4F4777AE1}"/>
                        </a:ext>
                      </a:extLst>
                    </pic:cNvPr>
                    <pic:cNvPicPr>
                      <a:picLocks noChangeAspect="1"/>
                    </pic:cNvPicPr>
                  </pic:nvPicPr>
                  <pic:blipFill rotWithShape="1">
                    <a:blip r:embed="rId12"/>
                    <a:srcRect l="9976"/>
                    <a:stretch/>
                  </pic:blipFill>
                  <pic:spPr bwMode="auto">
                    <a:xfrm>
                      <a:off x="0" y="0"/>
                      <a:ext cx="5027208" cy="2864395"/>
                    </a:xfrm>
                    <a:prstGeom prst="rect">
                      <a:avLst/>
                    </a:prstGeom>
                    <a:ln>
                      <a:noFill/>
                    </a:ln>
                    <a:extLst>
                      <a:ext uri="{53640926-AAD7-44D8-BBD7-CCE9431645EC}">
                        <a14:shadowObscured xmlns:a14="http://schemas.microsoft.com/office/drawing/2010/main"/>
                      </a:ext>
                    </a:extLst>
                  </pic:spPr>
                </pic:pic>
              </a:graphicData>
            </a:graphic>
          </wp:inline>
        </w:drawing>
      </w:r>
    </w:p>
    <w:p w14:paraId="23FCED82" w14:textId="7D02E99F" w:rsidR="004C2DE3" w:rsidRPr="00AA04A7" w:rsidRDefault="00706234" w:rsidP="00AA04A7">
      <w:pPr>
        <w:widowControl/>
        <w:autoSpaceDE w:val="0"/>
        <w:autoSpaceDN w:val="0"/>
        <w:adjustRightInd w:val="0"/>
        <w:ind w:left="567" w:right="1183" w:firstLine="142"/>
        <w:rPr>
          <w:rFonts w:cs="Arial"/>
          <w:color w:val="000000"/>
          <w:sz w:val="16"/>
          <w:szCs w:val="16"/>
        </w:rPr>
      </w:pPr>
      <w:r>
        <w:rPr>
          <w:rFonts w:cs="Arial"/>
          <w:color w:val="000000" w:themeColor="text1"/>
          <w:sz w:val="18"/>
          <w:szCs w:val="18"/>
        </w:rPr>
        <w:t xml:space="preserve">     </w:t>
      </w:r>
      <w:r w:rsidR="004C2DE3" w:rsidRPr="00AA04A7">
        <w:rPr>
          <w:rFonts w:cs="Arial"/>
          <w:color w:val="000000" w:themeColor="text1"/>
          <w:sz w:val="16"/>
          <w:szCs w:val="16"/>
        </w:rPr>
        <w:t>Fuente:</w:t>
      </w:r>
      <w:r w:rsidR="00A6734B" w:rsidRPr="00AA04A7">
        <w:rPr>
          <w:rFonts w:cs="Arial"/>
          <w:color w:val="000000" w:themeColor="text1"/>
          <w:sz w:val="16"/>
          <w:szCs w:val="16"/>
        </w:rPr>
        <w:t xml:space="preserve"> </w:t>
      </w:r>
      <w:r w:rsidR="004C2DE3" w:rsidRPr="00AA04A7">
        <w:rPr>
          <w:rFonts w:cs="Arial"/>
          <w:color w:val="000000" w:themeColor="text1"/>
          <w:sz w:val="16"/>
          <w:szCs w:val="16"/>
        </w:rPr>
        <w:t>INEGI</w:t>
      </w:r>
      <w:r w:rsidR="00950DBD" w:rsidRPr="00AA04A7">
        <w:rPr>
          <w:rFonts w:cs="Arial"/>
          <w:color w:val="000000" w:themeColor="text1"/>
          <w:sz w:val="16"/>
          <w:szCs w:val="16"/>
        </w:rPr>
        <w:t>,</w:t>
      </w:r>
      <w:r w:rsidR="004C2DE3" w:rsidRPr="00AA04A7">
        <w:rPr>
          <w:rFonts w:cs="Arial"/>
          <w:color w:val="000000" w:themeColor="text1"/>
          <w:sz w:val="16"/>
          <w:szCs w:val="16"/>
        </w:rPr>
        <w:t xml:space="preserve"> </w:t>
      </w:r>
      <w:r w:rsidR="0066317D" w:rsidRPr="00AA04A7">
        <w:rPr>
          <w:rFonts w:cs="Arial"/>
          <w:color w:val="000000" w:themeColor="text1"/>
          <w:sz w:val="16"/>
          <w:szCs w:val="16"/>
        </w:rPr>
        <w:t>ENTI</w:t>
      </w:r>
      <w:r w:rsidR="000B34C0" w:rsidRPr="00AA04A7">
        <w:rPr>
          <w:rFonts w:cs="Arial"/>
          <w:color w:val="000000" w:themeColor="text1"/>
          <w:sz w:val="16"/>
          <w:szCs w:val="16"/>
        </w:rPr>
        <w:t>.</w:t>
      </w:r>
      <w:r w:rsidR="004C2DE3" w:rsidRPr="00AA04A7">
        <w:rPr>
          <w:rFonts w:cs="Arial"/>
          <w:color w:val="000000" w:themeColor="text1"/>
          <w:sz w:val="16"/>
          <w:szCs w:val="16"/>
        </w:rPr>
        <w:t xml:space="preserve"> 2022.</w:t>
      </w:r>
    </w:p>
    <w:p w14:paraId="39304F92" w14:textId="77777777" w:rsidR="004C2DE3" w:rsidRDefault="004C2DE3" w:rsidP="004C2DE3">
      <w:pPr>
        <w:widowControl/>
        <w:autoSpaceDE w:val="0"/>
        <w:autoSpaceDN w:val="0"/>
        <w:adjustRightInd w:val="0"/>
        <w:rPr>
          <w:rFonts w:cs="Arial"/>
          <w:szCs w:val="24"/>
        </w:rPr>
      </w:pPr>
    </w:p>
    <w:p w14:paraId="21296B74" w14:textId="7A2771F7" w:rsidR="00F6711C" w:rsidRDefault="00294D66" w:rsidP="004B1EF2">
      <w:pPr>
        <w:widowControl/>
        <w:ind w:right="51"/>
        <w:rPr>
          <w:rFonts w:cs="Arial"/>
          <w:szCs w:val="24"/>
        </w:rPr>
      </w:pPr>
      <w:r>
        <w:rPr>
          <w:rFonts w:cs="Arial"/>
          <w:szCs w:val="24"/>
        </w:rPr>
        <w:t>L</w:t>
      </w:r>
      <w:r w:rsidR="004C2DE3">
        <w:rPr>
          <w:rFonts w:cs="Arial"/>
          <w:szCs w:val="24"/>
        </w:rPr>
        <w:t>a ocupación no permitida</w:t>
      </w:r>
      <w:r w:rsidR="00A639DD">
        <w:rPr>
          <w:rFonts w:cs="Arial"/>
          <w:szCs w:val="24"/>
        </w:rPr>
        <w:t xml:space="preserve"> </w:t>
      </w:r>
      <w:r w:rsidR="00C640E7">
        <w:rPr>
          <w:rFonts w:cs="Arial"/>
          <w:szCs w:val="24"/>
        </w:rPr>
        <w:t>la realizaron</w:t>
      </w:r>
      <w:r w:rsidR="0066317D">
        <w:rPr>
          <w:rFonts w:cs="Arial"/>
          <w:szCs w:val="24"/>
        </w:rPr>
        <w:t xml:space="preserve"> </w:t>
      </w:r>
      <w:r w:rsidR="004C2DE3" w:rsidRPr="0037646C">
        <w:rPr>
          <w:rFonts w:cs="Arial"/>
          <w:szCs w:val="24"/>
        </w:rPr>
        <w:t>2.1 millones</w:t>
      </w:r>
      <w:r w:rsidR="0066317D">
        <w:rPr>
          <w:rFonts w:cs="Arial"/>
          <w:szCs w:val="24"/>
        </w:rPr>
        <w:t xml:space="preserve"> de personas (7.5 %) entre los 5 y los </w:t>
      </w:r>
      <w:r w:rsidR="004B1EF2">
        <w:rPr>
          <w:rFonts w:cs="Arial"/>
          <w:szCs w:val="24"/>
        </w:rPr>
        <w:br/>
      </w:r>
      <w:r w:rsidR="0066317D">
        <w:rPr>
          <w:rFonts w:cs="Arial"/>
          <w:szCs w:val="24"/>
        </w:rPr>
        <w:t>17</w:t>
      </w:r>
      <w:r w:rsidR="00917139">
        <w:rPr>
          <w:rFonts w:cs="Arial"/>
          <w:szCs w:val="24"/>
        </w:rPr>
        <w:t xml:space="preserve"> </w:t>
      </w:r>
      <w:r w:rsidR="0066317D">
        <w:rPr>
          <w:rFonts w:cs="Arial"/>
          <w:szCs w:val="24"/>
        </w:rPr>
        <w:t>años</w:t>
      </w:r>
      <w:r w:rsidR="00917139">
        <w:rPr>
          <w:rFonts w:cs="Arial"/>
          <w:szCs w:val="24"/>
        </w:rPr>
        <w:t xml:space="preserve">. </w:t>
      </w:r>
      <w:r w:rsidR="00A639DD">
        <w:rPr>
          <w:rFonts w:cs="Arial"/>
          <w:szCs w:val="24"/>
        </w:rPr>
        <w:t>Asimismo</w:t>
      </w:r>
      <w:r w:rsidR="004C2DE3">
        <w:rPr>
          <w:rFonts w:cs="Arial"/>
          <w:szCs w:val="24"/>
        </w:rPr>
        <w:t xml:space="preserve">, </w:t>
      </w:r>
      <w:r w:rsidR="004C2DE3" w:rsidRPr="0037646C">
        <w:rPr>
          <w:rFonts w:cs="Arial"/>
          <w:szCs w:val="24"/>
        </w:rPr>
        <w:t xml:space="preserve">1.9 millones </w:t>
      </w:r>
      <w:r w:rsidR="004C2DE3">
        <w:rPr>
          <w:rFonts w:cs="Arial"/>
          <w:szCs w:val="24"/>
        </w:rPr>
        <w:t xml:space="preserve">de niñas y niños </w:t>
      </w:r>
      <w:r w:rsidR="00532317">
        <w:rPr>
          <w:rFonts w:cs="Arial"/>
          <w:szCs w:val="24"/>
        </w:rPr>
        <w:t xml:space="preserve">hicieron </w:t>
      </w:r>
      <w:r w:rsidR="004C2DE3" w:rsidRPr="0037646C">
        <w:rPr>
          <w:rFonts w:cs="Arial"/>
          <w:szCs w:val="24"/>
        </w:rPr>
        <w:t xml:space="preserve">quehaceres domésticos en condiciones no adecuadas, </w:t>
      </w:r>
      <w:r w:rsidR="004C2DE3">
        <w:rPr>
          <w:rFonts w:cs="Arial"/>
          <w:szCs w:val="24"/>
        </w:rPr>
        <w:t>es decir,</w:t>
      </w:r>
      <w:r w:rsidR="004C2DE3" w:rsidRPr="0037646C">
        <w:rPr>
          <w:rFonts w:cs="Arial"/>
          <w:szCs w:val="24"/>
        </w:rPr>
        <w:t xml:space="preserve"> 6.7 % de la población de 5 a 17 años</w:t>
      </w:r>
      <w:r w:rsidR="004C2DE3">
        <w:rPr>
          <w:rFonts w:cs="Arial"/>
          <w:szCs w:val="24"/>
        </w:rPr>
        <w:t xml:space="preserve">. </w:t>
      </w:r>
    </w:p>
    <w:p w14:paraId="62E732B3" w14:textId="77777777" w:rsidR="00F6711C" w:rsidRDefault="00F6711C" w:rsidP="004B1EF2">
      <w:pPr>
        <w:widowControl/>
        <w:ind w:right="51"/>
        <w:rPr>
          <w:rFonts w:cs="Arial"/>
          <w:szCs w:val="24"/>
        </w:rPr>
      </w:pPr>
    </w:p>
    <w:p w14:paraId="74030A18" w14:textId="3837D6C6" w:rsidR="008D4481" w:rsidRDefault="008D4481" w:rsidP="004B1EF2">
      <w:pPr>
        <w:widowControl/>
        <w:ind w:right="51"/>
        <w:rPr>
          <w:rFonts w:cs="Arial"/>
          <w:szCs w:val="24"/>
        </w:rPr>
      </w:pPr>
      <w:r>
        <w:rPr>
          <w:rFonts w:cs="Arial"/>
          <w:szCs w:val="24"/>
        </w:rPr>
        <w:t>En 2015, l</w:t>
      </w:r>
      <w:r w:rsidRPr="0037646C">
        <w:rPr>
          <w:rFonts w:cs="Arial"/>
          <w:szCs w:val="24"/>
        </w:rPr>
        <w:t>a tasa de trabajo infantil</w:t>
      </w:r>
      <w:r>
        <w:rPr>
          <w:rFonts w:cs="Arial"/>
          <w:szCs w:val="24"/>
        </w:rPr>
        <w:t xml:space="preserve"> se ubicó en 12.3 </w:t>
      </w:r>
      <w:r w:rsidR="009664AA">
        <w:rPr>
          <w:rFonts w:cs="Arial"/>
          <w:szCs w:val="24"/>
        </w:rPr>
        <w:t xml:space="preserve">%, </w:t>
      </w:r>
      <w:r w:rsidR="00DC6B1B">
        <w:rPr>
          <w:rFonts w:cs="Arial"/>
          <w:szCs w:val="24"/>
        </w:rPr>
        <w:t>y</w:t>
      </w:r>
      <w:r w:rsidR="009664AA">
        <w:rPr>
          <w:rFonts w:cs="Arial"/>
          <w:szCs w:val="24"/>
        </w:rPr>
        <w:t xml:space="preserve"> e</w:t>
      </w:r>
      <w:r>
        <w:rPr>
          <w:rFonts w:cs="Arial"/>
          <w:szCs w:val="24"/>
        </w:rPr>
        <w:t xml:space="preserve">n 2017 disminuyó a 11 % y en los siguientes años </w:t>
      </w:r>
      <w:r w:rsidR="004841D1">
        <w:rPr>
          <w:rFonts w:cs="Arial"/>
          <w:szCs w:val="24"/>
        </w:rPr>
        <w:t xml:space="preserve">aumentó </w:t>
      </w:r>
      <w:r w:rsidR="00C640E7">
        <w:rPr>
          <w:rFonts w:cs="Arial"/>
          <w:szCs w:val="24"/>
        </w:rPr>
        <w:t>a</w:t>
      </w:r>
      <w:r>
        <w:rPr>
          <w:rFonts w:cs="Arial"/>
          <w:szCs w:val="24"/>
        </w:rPr>
        <w:t xml:space="preserve"> 13.1 % en 2022.</w:t>
      </w:r>
      <w:r w:rsidR="00F6711C">
        <w:rPr>
          <w:rFonts w:cs="Arial"/>
          <w:szCs w:val="24"/>
        </w:rPr>
        <w:t xml:space="preserve"> En este año, l</w:t>
      </w:r>
      <w:r w:rsidR="00F6711C" w:rsidRPr="0037646C">
        <w:rPr>
          <w:rFonts w:cs="Arial"/>
          <w:szCs w:val="24"/>
        </w:rPr>
        <w:t>a tasa de trabajo infantil</w:t>
      </w:r>
      <w:r w:rsidR="00F6711C">
        <w:rPr>
          <w:rFonts w:cs="Arial"/>
          <w:szCs w:val="24"/>
        </w:rPr>
        <w:t xml:space="preserve"> en niños fue de 15.5 %, mientras que 10.7 % en el caso de las niñas (ver gráfica 2).</w:t>
      </w:r>
    </w:p>
    <w:p w14:paraId="0D69687D" w14:textId="0FAB87C0" w:rsidR="004C2DE3" w:rsidRDefault="004C2DE3" w:rsidP="004C2DE3">
      <w:pPr>
        <w:widowControl/>
        <w:rPr>
          <w:rFonts w:cs="Arial"/>
          <w:szCs w:val="24"/>
        </w:rPr>
      </w:pPr>
    </w:p>
    <w:p w14:paraId="5398F14D" w14:textId="256754D1" w:rsidR="004C2DE3" w:rsidRPr="00AA04A7" w:rsidRDefault="004C2DE3" w:rsidP="004B1EF2">
      <w:pPr>
        <w:widowControl/>
        <w:autoSpaceDE w:val="0"/>
        <w:autoSpaceDN w:val="0"/>
        <w:adjustRightInd w:val="0"/>
        <w:jc w:val="center"/>
        <w:rPr>
          <w:rFonts w:cs="Arial"/>
          <w:sz w:val="20"/>
        </w:rPr>
      </w:pPr>
      <w:r w:rsidRPr="00AA04A7">
        <w:rPr>
          <w:rFonts w:cs="Arial"/>
          <w:sz w:val="20"/>
        </w:rPr>
        <w:t>Gráfica 2</w:t>
      </w:r>
    </w:p>
    <w:p w14:paraId="2D6E0352" w14:textId="710FC5A0" w:rsidR="004C2DE3" w:rsidRPr="004B1EF2" w:rsidRDefault="004C2DE3" w:rsidP="004B1EF2">
      <w:pPr>
        <w:widowControl/>
        <w:autoSpaceDE w:val="0"/>
        <w:autoSpaceDN w:val="0"/>
        <w:adjustRightInd w:val="0"/>
        <w:ind w:right="51"/>
        <w:jc w:val="center"/>
        <w:rPr>
          <w:rFonts w:cs="Arial"/>
          <w:b/>
          <w:smallCaps/>
          <w:sz w:val="22"/>
          <w:szCs w:val="22"/>
        </w:rPr>
      </w:pPr>
      <w:r w:rsidRPr="004B1EF2">
        <w:rPr>
          <w:rFonts w:cs="Arial"/>
          <w:b/>
          <w:smallCaps/>
          <w:sz w:val="22"/>
          <w:szCs w:val="22"/>
        </w:rPr>
        <w:t>Tasa de trabajo infantil según sexo, 2015</w:t>
      </w:r>
      <w:r w:rsidR="00D1279C" w:rsidRPr="004B1EF2">
        <w:rPr>
          <w:rFonts w:cs="Arial"/>
          <w:b/>
          <w:smallCaps/>
          <w:sz w:val="22"/>
          <w:szCs w:val="22"/>
        </w:rPr>
        <w:t>-</w:t>
      </w:r>
      <w:r w:rsidRPr="004B1EF2">
        <w:rPr>
          <w:rFonts w:cs="Arial"/>
          <w:b/>
          <w:smallCaps/>
          <w:sz w:val="22"/>
          <w:szCs w:val="22"/>
        </w:rPr>
        <w:t>2022</w:t>
      </w:r>
    </w:p>
    <w:p w14:paraId="70822D4A" w14:textId="323FD020" w:rsidR="004C2DE3" w:rsidRPr="00ED45C1" w:rsidRDefault="004C2DE3" w:rsidP="004B1EF2">
      <w:pPr>
        <w:widowControl/>
        <w:autoSpaceDE w:val="0"/>
        <w:autoSpaceDN w:val="0"/>
        <w:adjustRightInd w:val="0"/>
        <w:ind w:right="51"/>
        <w:jc w:val="center"/>
        <w:rPr>
          <w:rFonts w:cs="Arial"/>
          <w:bCs/>
          <w:sz w:val="18"/>
          <w:szCs w:val="18"/>
        </w:rPr>
      </w:pPr>
      <w:r w:rsidRPr="00ED45C1">
        <w:rPr>
          <w:rFonts w:cs="Arial"/>
          <w:bCs/>
          <w:sz w:val="18"/>
          <w:szCs w:val="18"/>
        </w:rPr>
        <w:t>(</w:t>
      </w:r>
      <w:r w:rsidR="00F30A41" w:rsidRPr="00ED45C1">
        <w:rPr>
          <w:rFonts w:cs="Arial"/>
          <w:bCs/>
          <w:sz w:val="18"/>
          <w:szCs w:val="18"/>
        </w:rPr>
        <w:t>p</w:t>
      </w:r>
      <w:r w:rsidRPr="00ED45C1">
        <w:rPr>
          <w:rFonts w:cs="Arial"/>
          <w:bCs/>
          <w:sz w:val="18"/>
          <w:szCs w:val="18"/>
        </w:rPr>
        <w:t>orcentaje respecto a la población de 5 a 17 años)</w:t>
      </w:r>
    </w:p>
    <w:p w14:paraId="4D105B2E" w14:textId="64712329" w:rsidR="004C2DE3" w:rsidRDefault="00CC437A" w:rsidP="007D287A">
      <w:pPr>
        <w:widowControl/>
        <w:autoSpaceDE w:val="0"/>
        <w:autoSpaceDN w:val="0"/>
        <w:adjustRightInd w:val="0"/>
        <w:ind w:right="51"/>
        <w:rPr>
          <w:rFonts w:cs="Arial"/>
          <w:bCs/>
          <w:sz w:val="22"/>
          <w:szCs w:val="22"/>
        </w:rPr>
      </w:pPr>
      <w:r>
        <w:rPr>
          <w:noProof/>
        </w:rPr>
        <w:drawing>
          <wp:inline distT="0" distB="0" distL="0" distR="0" wp14:anchorId="635EBAE7" wp14:editId="6FBA53F5">
            <wp:extent cx="6019800" cy="2524125"/>
            <wp:effectExtent l="0" t="0" r="0" b="0"/>
            <wp:docPr id="1541999370" name="Gráfico 1">
              <a:extLst xmlns:a="http://schemas.openxmlformats.org/drawingml/2006/main">
                <a:ext uri="{FF2B5EF4-FFF2-40B4-BE49-F238E27FC236}">
                  <a16:creationId xmlns:a16="http://schemas.microsoft.com/office/drawing/2014/main" id="{05D3E2F2-56C4-40C8-846F-C77D00FCA8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A2964A7" w14:textId="31C25FCB" w:rsidR="004C2DE3" w:rsidRPr="00AA04A7" w:rsidRDefault="004C2DE3" w:rsidP="000B34C0">
      <w:pPr>
        <w:widowControl/>
        <w:autoSpaceDE w:val="0"/>
        <w:autoSpaceDN w:val="0"/>
        <w:adjustRightInd w:val="0"/>
        <w:spacing w:line="276" w:lineRule="auto"/>
        <w:ind w:left="709" w:hanging="709"/>
        <w:jc w:val="left"/>
        <w:rPr>
          <w:rFonts w:cs="Arial"/>
          <w:color w:val="000000"/>
          <w:sz w:val="16"/>
          <w:szCs w:val="16"/>
        </w:rPr>
      </w:pPr>
      <w:r w:rsidRPr="00AA04A7">
        <w:rPr>
          <w:rFonts w:cs="Arial"/>
          <w:color w:val="000000" w:themeColor="text1"/>
          <w:sz w:val="16"/>
          <w:szCs w:val="16"/>
        </w:rPr>
        <w:t>Fuente:</w:t>
      </w:r>
      <w:r w:rsidRPr="00AA04A7">
        <w:rPr>
          <w:rFonts w:cs="Arial"/>
          <w:color w:val="000000" w:themeColor="text1"/>
          <w:sz w:val="16"/>
          <w:szCs w:val="16"/>
        </w:rPr>
        <w:tab/>
        <w:t>INEGI</w:t>
      </w:r>
      <w:r w:rsidR="005B0B5C" w:rsidRPr="00AA04A7">
        <w:rPr>
          <w:rFonts w:cs="Arial"/>
          <w:color w:val="000000" w:themeColor="text1"/>
          <w:sz w:val="16"/>
          <w:szCs w:val="16"/>
        </w:rPr>
        <w:t>,</w:t>
      </w:r>
      <w:r w:rsidRPr="00AA04A7">
        <w:rPr>
          <w:rFonts w:cs="Arial"/>
          <w:color w:val="000000" w:themeColor="text1"/>
          <w:sz w:val="16"/>
          <w:szCs w:val="16"/>
        </w:rPr>
        <w:t xml:space="preserve"> </w:t>
      </w:r>
      <w:r w:rsidR="0042654F" w:rsidRPr="00AA04A7">
        <w:rPr>
          <w:rFonts w:cs="Arial"/>
          <w:color w:val="000000" w:themeColor="text1"/>
          <w:sz w:val="16"/>
          <w:szCs w:val="16"/>
        </w:rPr>
        <w:t>MTI</w:t>
      </w:r>
      <w:r w:rsidR="000B34C0" w:rsidRPr="00AA04A7">
        <w:rPr>
          <w:rFonts w:cs="Arial"/>
          <w:color w:val="000000" w:themeColor="text1"/>
          <w:sz w:val="16"/>
          <w:szCs w:val="16"/>
        </w:rPr>
        <w:t>.</w:t>
      </w:r>
      <w:r w:rsidRPr="00AA04A7">
        <w:rPr>
          <w:rFonts w:cs="Arial"/>
          <w:color w:val="000000" w:themeColor="text1"/>
          <w:sz w:val="16"/>
          <w:szCs w:val="16"/>
        </w:rPr>
        <w:t xml:space="preserve"> 2015 y 2017</w:t>
      </w:r>
      <w:r w:rsidR="005B0B5C" w:rsidRPr="00AA04A7">
        <w:rPr>
          <w:rFonts w:cs="Arial"/>
          <w:color w:val="000000" w:themeColor="text1"/>
          <w:sz w:val="16"/>
          <w:szCs w:val="16"/>
        </w:rPr>
        <w:t xml:space="preserve">. </w:t>
      </w:r>
      <w:r w:rsidR="003B7707" w:rsidRPr="00AA04A7">
        <w:rPr>
          <w:rFonts w:cs="Arial"/>
          <w:color w:val="000000" w:themeColor="text1"/>
          <w:sz w:val="16"/>
          <w:szCs w:val="16"/>
        </w:rPr>
        <w:t>ENTI</w:t>
      </w:r>
      <w:r w:rsidR="000B34C0" w:rsidRPr="00AA04A7">
        <w:rPr>
          <w:rFonts w:cs="Arial"/>
          <w:color w:val="000000" w:themeColor="text1"/>
          <w:sz w:val="16"/>
          <w:szCs w:val="16"/>
        </w:rPr>
        <w:t>.</w:t>
      </w:r>
      <w:r w:rsidR="005B0B5C" w:rsidRPr="00AA04A7">
        <w:rPr>
          <w:rFonts w:cs="Arial"/>
          <w:color w:val="000000" w:themeColor="text1"/>
          <w:sz w:val="16"/>
          <w:szCs w:val="16"/>
        </w:rPr>
        <w:t xml:space="preserve"> </w:t>
      </w:r>
      <w:r w:rsidRPr="00AA04A7">
        <w:rPr>
          <w:rFonts w:cs="Arial"/>
          <w:color w:val="000000" w:themeColor="text1"/>
          <w:sz w:val="16"/>
          <w:szCs w:val="16"/>
        </w:rPr>
        <w:t>2019 y 2022.</w:t>
      </w:r>
    </w:p>
    <w:p w14:paraId="0C4DF2B6" w14:textId="229F5329" w:rsidR="004C2DE3" w:rsidRPr="00D9248D" w:rsidRDefault="004C2DE3" w:rsidP="007D287A">
      <w:pPr>
        <w:pStyle w:val="Prrafodelista"/>
        <w:widowControl/>
        <w:numPr>
          <w:ilvl w:val="0"/>
          <w:numId w:val="13"/>
        </w:numPr>
        <w:autoSpaceDE w:val="0"/>
        <w:autoSpaceDN w:val="0"/>
        <w:adjustRightInd w:val="0"/>
        <w:jc w:val="center"/>
        <w:rPr>
          <w:rFonts w:ascii="Arial Negrita" w:hAnsi="Arial Negrita" w:cs="Arial"/>
          <w:b/>
          <w:bCs/>
          <w:smallCaps/>
          <w:color w:val="000000"/>
          <w:szCs w:val="24"/>
        </w:rPr>
      </w:pPr>
      <w:r w:rsidRPr="00D9248D">
        <w:rPr>
          <w:rFonts w:ascii="Arial Negrita" w:hAnsi="Arial Negrita" w:cs="Arial"/>
          <w:b/>
          <w:bCs/>
          <w:smallCaps/>
          <w:color w:val="000000"/>
          <w:szCs w:val="24"/>
        </w:rPr>
        <w:lastRenderedPageBreak/>
        <w:t>Ocupación no permitida</w:t>
      </w:r>
    </w:p>
    <w:p w14:paraId="2564F67A" w14:textId="77777777" w:rsidR="004C2DE3" w:rsidRDefault="004C2DE3" w:rsidP="004C2DE3">
      <w:pPr>
        <w:widowControl/>
        <w:autoSpaceDE w:val="0"/>
        <w:autoSpaceDN w:val="0"/>
        <w:adjustRightInd w:val="0"/>
        <w:spacing w:line="276" w:lineRule="auto"/>
        <w:rPr>
          <w:rFonts w:cs="Arial"/>
          <w:color w:val="000000"/>
          <w:szCs w:val="24"/>
        </w:rPr>
      </w:pPr>
    </w:p>
    <w:p w14:paraId="750B29B1" w14:textId="1F2A8DF1" w:rsidR="004862A0" w:rsidRDefault="002D17C4" w:rsidP="004B1EF2">
      <w:pPr>
        <w:widowControl/>
        <w:autoSpaceDE w:val="0"/>
        <w:autoSpaceDN w:val="0"/>
        <w:adjustRightInd w:val="0"/>
        <w:ind w:right="51"/>
        <w:rPr>
          <w:rFonts w:cs="Arial"/>
          <w:color w:val="000000"/>
          <w:szCs w:val="24"/>
        </w:rPr>
      </w:pPr>
      <w:r>
        <w:rPr>
          <w:rFonts w:cs="Arial"/>
          <w:szCs w:val="24"/>
        </w:rPr>
        <w:t>De la población de niñas, niños y adolescentes</w:t>
      </w:r>
      <w:r w:rsidR="00F6711C">
        <w:rPr>
          <w:rFonts w:cs="Arial"/>
          <w:szCs w:val="24"/>
        </w:rPr>
        <w:t xml:space="preserve"> de 5 a 17 años</w:t>
      </w:r>
      <w:r w:rsidR="00281571">
        <w:rPr>
          <w:rFonts w:cs="Arial"/>
          <w:szCs w:val="24"/>
        </w:rPr>
        <w:t xml:space="preserve"> que </w:t>
      </w:r>
      <w:r>
        <w:rPr>
          <w:rFonts w:cs="Arial"/>
          <w:color w:val="000000"/>
          <w:szCs w:val="24"/>
        </w:rPr>
        <w:t xml:space="preserve">realizaron </w:t>
      </w:r>
      <w:r>
        <w:rPr>
          <w:rFonts w:cs="Arial"/>
          <w:szCs w:val="24"/>
        </w:rPr>
        <w:t>alguna ocupación no permitida</w:t>
      </w:r>
      <w:r w:rsidR="00281571">
        <w:rPr>
          <w:rFonts w:cs="Arial"/>
          <w:color w:val="000000"/>
          <w:szCs w:val="24"/>
        </w:rPr>
        <w:t>,</w:t>
      </w:r>
      <w:r w:rsidR="00F6711C">
        <w:rPr>
          <w:rFonts w:cs="Arial"/>
          <w:szCs w:val="24"/>
        </w:rPr>
        <w:t>1.5 millones (71.9 %) eran niños y 0.6 millones (28.1 %) eran niñas.</w:t>
      </w:r>
      <w:r w:rsidR="00F6711C">
        <w:rPr>
          <w:rFonts w:cs="Arial"/>
          <w:color w:val="000000"/>
          <w:szCs w:val="24"/>
        </w:rPr>
        <w:t xml:space="preserve"> </w:t>
      </w:r>
      <w:r>
        <w:rPr>
          <w:rFonts w:cs="Arial"/>
          <w:color w:val="000000"/>
          <w:szCs w:val="24"/>
        </w:rPr>
        <w:t>Quienes</w:t>
      </w:r>
      <w:r>
        <w:rPr>
          <w:rFonts w:cs="Arial"/>
          <w:szCs w:val="24"/>
        </w:rPr>
        <w:t xml:space="preserve"> </w:t>
      </w:r>
      <w:r w:rsidR="00F6711C">
        <w:rPr>
          <w:rFonts w:cs="Arial"/>
          <w:szCs w:val="24"/>
        </w:rPr>
        <w:t xml:space="preserve">estuvieron en ocupación no permitida de forma exclusiva </w:t>
      </w:r>
      <w:r>
        <w:rPr>
          <w:rFonts w:cs="Arial"/>
          <w:color w:val="000000"/>
          <w:szCs w:val="24"/>
        </w:rPr>
        <w:t xml:space="preserve">fueron 1.8 millones </w:t>
      </w:r>
      <w:r w:rsidR="004B1EF2">
        <w:rPr>
          <w:rFonts w:cs="Arial"/>
          <w:color w:val="000000"/>
          <w:szCs w:val="24"/>
        </w:rPr>
        <w:br/>
      </w:r>
      <w:r>
        <w:rPr>
          <w:rFonts w:cs="Arial"/>
          <w:color w:val="000000"/>
          <w:szCs w:val="24"/>
        </w:rPr>
        <w:t>(85.1 %) y quienes además las combinaron con quehaceres domésticos en condiciones no adecuadas fueron 0.3 millones (14.9 %)</w:t>
      </w:r>
      <w:r w:rsidR="004862A0">
        <w:rPr>
          <w:rFonts w:cs="Arial"/>
          <w:color w:val="000000"/>
          <w:szCs w:val="24"/>
        </w:rPr>
        <w:t>, de manera particular, de las niñas en ocupación no permitida 17.6</w:t>
      </w:r>
      <w:r w:rsidR="00AA04A7">
        <w:rPr>
          <w:rFonts w:cs="Arial"/>
          <w:color w:val="000000"/>
          <w:szCs w:val="24"/>
        </w:rPr>
        <w:t xml:space="preserve"> </w:t>
      </w:r>
      <w:r w:rsidR="004862A0">
        <w:rPr>
          <w:rFonts w:cs="Arial"/>
          <w:color w:val="000000"/>
          <w:szCs w:val="24"/>
        </w:rPr>
        <w:t>% también realizaron quehaceres domésticos en condiciones no adecuadas.</w:t>
      </w:r>
      <w:r w:rsidRPr="00A856AA">
        <w:rPr>
          <w:rFonts w:cs="Arial"/>
          <w:color w:val="000000"/>
          <w:szCs w:val="24"/>
        </w:rPr>
        <w:t xml:space="preserve"> </w:t>
      </w:r>
    </w:p>
    <w:p w14:paraId="110EBE1D" w14:textId="77777777" w:rsidR="004862A0" w:rsidRDefault="004862A0" w:rsidP="004B1EF2">
      <w:pPr>
        <w:widowControl/>
        <w:autoSpaceDE w:val="0"/>
        <w:autoSpaceDN w:val="0"/>
        <w:adjustRightInd w:val="0"/>
        <w:ind w:right="51"/>
        <w:rPr>
          <w:rFonts w:cs="Arial"/>
          <w:color w:val="000000"/>
          <w:szCs w:val="24"/>
        </w:rPr>
      </w:pPr>
    </w:p>
    <w:p w14:paraId="0294E272" w14:textId="5A0D45B3" w:rsidR="00A856AA" w:rsidRDefault="00A856AA" w:rsidP="004B1EF2">
      <w:pPr>
        <w:widowControl/>
        <w:autoSpaceDE w:val="0"/>
        <w:autoSpaceDN w:val="0"/>
        <w:adjustRightInd w:val="0"/>
        <w:ind w:right="51"/>
        <w:rPr>
          <w:rFonts w:cs="Arial"/>
          <w:color w:val="000000"/>
          <w:szCs w:val="24"/>
        </w:rPr>
      </w:pPr>
      <w:r>
        <w:rPr>
          <w:rFonts w:cs="Arial"/>
          <w:color w:val="000000"/>
          <w:szCs w:val="24"/>
        </w:rPr>
        <w:t>E</w:t>
      </w:r>
      <w:r w:rsidRPr="0037646C">
        <w:rPr>
          <w:rFonts w:cs="Arial"/>
          <w:color w:val="000000"/>
          <w:szCs w:val="24"/>
        </w:rPr>
        <w:t>n los últimos quince años</w:t>
      </w:r>
      <w:r>
        <w:rPr>
          <w:rFonts w:cs="Arial"/>
          <w:color w:val="000000"/>
          <w:szCs w:val="24"/>
        </w:rPr>
        <w:t xml:space="preserve"> ha disminuido el número de </w:t>
      </w:r>
      <w:r w:rsidR="00F6711C">
        <w:rPr>
          <w:rFonts w:cs="Arial"/>
          <w:color w:val="000000"/>
          <w:szCs w:val="24"/>
        </w:rPr>
        <w:t xml:space="preserve">personas </w:t>
      </w:r>
      <w:r w:rsidR="00347041">
        <w:rPr>
          <w:rFonts w:cs="Arial"/>
          <w:color w:val="000000"/>
          <w:szCs w:val="24"/>
        </w:rPr>
        <w:t>que trabajan en o</w:t>
      </w:r>
      <w:r>
        <w:rPr>
          <w:rFonts w:cs="Arial"/>
          <w:color w:val="000000"/>
          <w:szCs w:val="24"/>
        </w:rPr>
        <w:t xml:space="preserve">cupaciones no permitidas, pues pasó </w:t>
      </w:r>
      <w:r w:rsidRPr="0037646C">
        <w:rPr>
          <w:rFonts w:cs="Arial"/>
          <w:color w:val="000000"/>
          <w:szCs w:val="24"/>
        </w:rPr>
        <w:t>de 3.5 millones a 2.1 millones, entre 2007 y 2022</w:t>
      </w:r>
      <w:r w:rsidR="00B2567E">
        <w:rPr>
          <w:rFonts w:cs="Arial"/>
          <w:color w:val="000000"/>
          <w:szCs w:val="24"/>
        </w:rPr>
        <w:t xml:space="preserve">, es decir, la </w:t>
      </w:r>
      <w:r>
        <w:rPr>
          <w:rFonts w:cs="Arial"/>
          <w:color w:val="000000"/>
          <w:szCs w:val="24"/>
        </w:rPr>
        <w:t xml:space="preserve">reducción </w:t>
      </w:r>
      <w:r w:rsidR="00B2567E">
        <w:rPr>
          <w:rFonts w:cs="Arial"/>
          <w:color w:val="000000"/>
          <w:szCs w:val="24"/>
        </w:rPr>
        <w:t xml:space="preserve">fue </w:t>
      </w:r>
      <w:r>
        <w:rPr>
          <w:rFonts w:cs="Arial"/>
          <w:color w:val="000000"/>
          <w:szCs w:val="24"/>
        </w:rPr>
        <w:t xml:space="preserve">de 1.4 millones de personas. </w:t>
      </w:r>
      <w:r w:rsidR="004862A0">
        <w:rPr>
          <w:rFonts w:cs="Arial"/>
          <w:color w:val="000000"/>
          <w:szCs w:val="24"/>
        </w:rPr>
        <w:t>Sin embargo</w:t>
      </w:r>
      <w:r>
        <w:rPr>
          <w:rFonts w:cs="Arial"/>
          <w:color w:val="000000"/>
          <w:szCs w:val="24"/>
        </w:rPr>
        <w:t>, desde 2017, la</w:t>
      </w:r>
      <w:r w:rsidR="004D519F">
        <w:rPr>
          <w:rFonts w:cs="Arial"/>
          <w:color w:val="000000"/>
          <w:szCs w:val="24"/>
        </w:rPr>
        <w:t xml:space="preserve"> </w:t>
      </w:r>
      <w:r w:rsidR="004862A0">
        <w:rPr>
          <w:rFonts w:cs="Arial"/>
          <w:color w:val="000000"/>
          <w:szCs w:val="24"/>
        </w:rPr>
        <w:t>población</w:t>
      </w:r>
      <w:r w:rsidR="004D519F">
        <w:rPr>
          <w:rFonts w:cs="Arial"/>
          <w:color w:val="000000"/>
          <w:szCs w:val="24"/>
        </w:rPr>
        <w:t xml:space="preserve"> de niñas, niños y adolescentes en </w:t>
      </w:r>
      <w:r>
        <w:rPr>
          <w:rFonts w:cs="Arial"/>
          <w:color w:val="000000"/>
          <w:szCs w:val="24"/>
        </w:rPr>
        <w:t>ocupaci</w:t>
      </w:r>
      <w:r w:rsidR="00934D27">
        <w:rPr>
          <w:rFonts w:cs="Arial"/>
          <w:color w:val="000000"/>
          <w:szCs w:val="24"/>
        </w:rPr>
        <w:t>ones</w:t>
      </w:r>
      <w:r>
        <w:rPr>
          <w:rFonts w:cs="Arial"/>
          <w:color w:val="000000"/>
          <w:szCs w:val="24"/>
        </w:rPr>
        <w:t xml:space="preserve"> no permitida</w:t>
      </w:r>
      <w:r w:rsidR="00934D27">
        <w:rPr>
          <w:rFonts w:cs="Arial"/>
          <w:color w:val="000000"/>
          <w:szCs w:val="24"/>
        </w:rPr>
        <w:t>s</w:t>
      </w:r>
      <w:r>
        <w:rPr>
          <w:rFonts w:cs="Arial"/>
          <w:color w:val="000000"/>
          <w:szCs w:val="24"/>
        </w:rPr>
        <w:t xml:space="preserve"> </w:t>
      </w:r>
      <w:r w:rsidR="00C640E7">
        <w:rPr>
          <w:rFonts w:cs="Arial"/>
          <w:color w:val="000000"/>
          <w:szCs w:val="24"/>
        </w:rPr>
        <w:t xml:space="preserve">ha mostrado </w:t>
      </w:r>
      <w:r w:rsidR="00347041">
        <w:rPr>
          <w:rFonts w:cs="Arial"/>
          <w:color w:val="000000"/>
          <w:szCs w:val="24"/>
        </w:rPr>
        <w:t>niveles similares</w:t>
      </w:r>
      <w:r w:rsidR="00AA04A7">
        <w:rPr>
          <w:rFonts w:cs="Arial"/>
          <w:color w:val="000000"/>
          <w:szCs w:val="24"/>
        </w:rPr>
        <w:t>,</w:t>
      </w:r>
      <w:r w:rsidR="00347041">
        <w:rPr>
          <w:rStyle w:val="Refdenotaalpie"/>
          <w:color w:val="000000"/>
          <w:szCs w:val="24"/>
        </w:rPr>
        <w:footnoteReference w:id="7"/>
      </w:r>
      <w:r w:rsidR="00E247B7">
        <w:rPr>
          <w:rFonts w:cs="Arial"/>
          <w:color w:val="000000"/>
          <w:szCs w:val="24"/>
        </w:rPr>
        <w:t xml:space="preserve"> como se puede observar</w:t>
      </w:r>
      <w:r>
        <w:rPr>
          <w:rFonts w:cs="Arial"/>
          <w:color w:val="000000"/>
          <w:szCs w:val="24"/>
        </w:rPr>
        <w:t xml:space="preserve"> </w:t>
      </w:r>
      <w:r w:rsidR="00E247B7">
        <w:rPr>
          <w:rFonts w:cs="Arial"/>
          <w:color w:val="000000"/>
          <w:szCs w:val="24"/>
        </w:rPr>
        <w:t xml:space="preserve">en la </w:t>
      </w:r>
      <w:r>
        <w:rPr>
          <w:rFonts w:cs="Arial"/>
          <w:color w:val="000000"/>
          <w:szCs w:val="24"/>
        </w:rPr>
        <w:t>gráfica 3.</w:t>
      </w:r>
    </w:p>
    <w:p w14:paraId="1371776A" w14:textId="4A37D638" w:rsidR="00864049" w:rsidRDefault="00864049">
      <w:pPr>
        <w:widowControl/>
        <w:jc w:val="left"/>
        <w:rPr>
          <w:rFonts w:cs="Arial"/>
          <w:color w:val="000000"/>
          <w:szCs w:val="24"/>
        </w:rPr>
      </w:pPr>
    </w:p>
    <w:p w14:paraId="794A9DD5" w14:textId="6CE11F0F" w:rsidR="004C2DE3" w:rsidRPr="00AA04A7" w:rsidRDefault="004C2DE3" w:rsidP="004B1EF2">
      <w:pPr>
        <w:widowControl/>
        <w:autoSpaceDE w:val="0"/>
        <w:autoSpaceDN w:val="0"/>
        <w:adjustRightInd w:val="0"/>
        <w:jc w:val="center"/>
        <w:rPr>
          <w:rFonts w:cs="Arial"/>
          <w:color w:val="000000"/>
          <w:sz w:val="20"/>
        </w:rPr>
      </w:pPr>
      <w:r w:rsidRPr="00AA04A7">
        <w:rPr>
          <w:rFonts w:cs="Arial"/>
          <w:color w:val="000000"/>
          <w:sz w:val="20"/>
        </w:rPr>
        <w:t>Gráfica 3</w:t>
      </w:r>
    </w:p>
    <w:p w14:paraId="3E95FC4D" w14:textId="28797FE4" w:rsidR="004C2DE3" w:rsidRPr="004B1EF2" w:rsidRDefault="00EB0807" w:rsidP="004B1EF2">
      <w:pPr>
        <w:widowControl/>
        <w:autoSpaceDE w:val="0"/>
        <w:autoSpaceDN w:val="0"/>
        <w:adjustRightInd w:val="0"/>
        <w:jc w:val="center"/>
        <w:rPr>
          <w:rFonts w:cs="Arial"/>
          <w:b/>
          <w:bCs/>
          <w:smallCaps/>
          <w:color w:val="000000"/>
          <w:sz w:val="22"/>
          <w:szCs w:val="22"/>
        </w:rPr>
      </w:pPr>
      <w:r w:rsidRPr="004B1EF2">
        <w:rPr>
          <w:rFonts w:cs="Arial"/>
          <w:b/>
          <w:bCs/>
          <w:smallCaps/>
          <w:color w:val="000000"/>
          <w:sz w:val="22"/>
          <w:szCs w:val="22"/>
        </w:rPr>
        <w:t xml:space="preserve">Personas en </w:t>
      </w:r>
      <w:r w:rsidR="00865526" w:rsidRPr="004B1EF2">
        <w:rPr>
          <w:rFonts w:cs="Arial"/>
          <w:b/>
          <w:bCs/>
          <w:smallCaps/>
          <w:color w:val="000000"/>
          <w:sz w:val="22"/>
          <w:szCs w:val="22"/>
        </w:rPr>
        <w:t xml:space="preserve">alguna </w:t>
      </w:r>
      <w:r w:rsidRPr="004B1EF2">
        <w:rPr>
          <w:rFonts w:cs="Arial"/>
          <w:b/>
          <w:bCs/>
          <w:smallCaps/>
          <w:color w:val="000000"/>
          <w:sz w:val="22"/>
          <w:szCs w:val="22"/>
        </w:rPr>
        <w:t>o</w:t>
      </w:r>
      <w:r w:rsidR="004C2DE3" w:rsidRPr="004B1EF2">
        <w:rPr>
          <w:rFonts w:cs="Arial"/>
          <w:b/>
          <w:bCs/>
          <w:smallCaps/>
          <w:color w:val="000000"/>
          <w:sz w:val="22"/>
          <w:szCs w:val="22"/>
        </w:rPr>
        <w:t>cupaci</w:t>
      </w:r>
      <w:r w:rsidRPr="004B1EF2">
        <w:rPr>
          <w:rFonts w:cs="Arial"/>
          <w:b/>
          <w:bCs/>
          <w:smallCaps/>
          <w:color w:val="000000"/>
          <w:sz w:val="22"/>
          <w:szCs w:val="22"/>
        </w:rPr>
        <w:t>ón</w:t>
      </w:r>
      <w:r w:rsidR="00F56ED1" w:rsidRPr="004B1EF2">
        <w:rPr>
          <w:rFonts w:cs="Arial"/>
          <w:b/>
          <w:bCs/>
          <w:smallCaps/>
          <w:color w:val="000000"/>
          <w:sz w:val="22"/>
          <w:szCs w:val="22"/>
        </w:rPr>
        <w:t xml:space="preserve"> </w:t>
      </w:r>
      <w:r w:rsidR="004C2DE3" w:rsidRPr="004B1EF2">
        <w:rPr>
          <w:rFonts w:cs="Arial"/>
          <w:b/>
          <w:bCs/>
          <w:smallCaps/>
          <w:color w:val="000000"/>
          <w:sz w:val="22"/>
          <w:szCs w:val="22"/>
        </w:rPr>
        <w:t>no permitida según sexo, 2007</w:t>
      </w:r>
      <w:r w:rsidR="00D1279C" w:rsidRPr="004B1EF2">
        <w:rPr>
          <w:rFonts w:cs="Arial"/>
          <w:b/>
          <w:bCs/>
          <w:smallCaps/>
          <w:color w:val="000000"/>
          <w:sz w:val="22"/>
          <w:szCs w:val="22"/>
        </w:rPr>
        <w:t>-</w:t>
      </w:r>
      <w:r w:rsidR="004C2DE3" w:rsidRPr="004B1EF2">
        <w:rPr>
          <w:rFonts w:cs="Arial"/>
          <w:b/>
          <w:bCs/>
          <w:smallCaps/>
          <w:color w:val="000000"/>
          <w:sz w:val="22"/>
          <w:szCs w:val="22"/>
        </w:rPr>
        <w:t>2022</w:t>
      </w:r>
    </w:p>
    <w:p w14:paraId="1AFCDCA2" w14:textId="6776D6F3" w:rsidR="004C2DE3" w:rsidRDefault="004C2DE3" w:rsidP="004B1EF2">
      <w:pPr>
        <w:widowControl/>
        <w:autoSpaceDE w:val="0"/>
        <w:autoSpaceDN w:val="0"/>
        <w:adjustRightInd w:val="0"/>
        <w:jc w:val="center"/>
        <w:rPr>
          <w:rFonts w:cs="Arial"/>
          <w:color w:val="000000"/>
          <w:sz w:val="18"/>
          <w:szCs w:val="14"/>
        </w:rPr>
      </w:pPr>
      <w:r w:rsidRPr="00ED45C1">
        <w:rPr>
          <w:rFonts w:cs="Arial"/>
          <w:color w:val="000000"/>
          <w:sz w:val="18"/>
          <w:szCs w:val="14"/>
        </w:rPr>
        <w:t>(</w:t>
      </w:r>
      <w:r w:rsidR="00544DD9" w:rsidRPr="00ED45C1">
        <w:rPr>
          <w:rFonts w:cs="Arial"/>
          <w:color w:val="000000"/>
          <w:sz w:val="18"/>
          <w:szCs w:val="14"/>
        </w:rPr>
        <w:t>m</w:t>
      </w:r>
      <w:r w:rsidRPr="00ED45C1">
        <w:rPr>
          <w:rFonts w:cs="Arial"/>
          <w:color w:val="000000"/>
          <w:sz w:val="18"/>
          <w:szCs w:val="14"/>
        </w:rPr>
        <w:t>illones</w:t>
      </w:r>
      <w:r w:rsidR="00522478">
        <w:rPr>
          <w:rFonts w:cs="Arial"/>
          <w:color w:val="000000"/>
          <w:sz w:val="18"/>
          <w:szCs w:val="14"/>
        </w:rPr>
        <w:t xml:space="preserve"> de personas</w:t>
      </w:r>
      <w:r w:rsidRPr="00ED45C1">
        <w:rPr>
          <w:rFonts w:cs="Arial"/>
          <w:color w:val="000000"/>
          <w:sz w:val="18"/>
          <w:szCs w:val="14"/>
        </w:rPr>
        <w:t>)</w:t>
      </w:r>
    </w:p>
    <w:p w14:paraId="65A1D111" w14:textId="5929B65B" w:rsidR="00072812" w:rsidRPr="00ED45C1" w:rsidRDefault="00CC437A" w:rsidP="004C2DE3">
      <w:pPr>
        <w:widowControl/>
        <w:autoSpaceDE w:val="0"/>
        <w:autoSpaceDN w:val="0"/>
        <w:adjustRightInd w:val="0"/>
        <w:spacing w:line="276" w:lineRule="auto"/>
        <w:jc w:val="center"/>
        <w:rPr>
          <w:rFonts w:cs="Arial"/>
          <w:color w:val="000000"/>
          <w:sz w:val="18"/>
          <w:szCs w:val="14"/>
        </w:rPr>
      </w:pPr>
      <w:r>
        <w:rPr>
          <w:noProof/>
        </w:rPr>
        <w:drawing>
          <wp:inline distT="0" distB="0" distL="0" distR="0" wp14:anchorId="30459ECC" wp14:editId="34A44B04">
            <wp:extent cx="6333490" cy="3057525"/>
            <wp:effectExtent l="0" t="0" r="0" b="0"/>
            <wp:docPr id="398501561" name="Gráfico 1">
              <a:extLst xmlns:a="http://schemas.openxmlformats.org/drawingml/2006/main">
                <a:ext uri="{FF2B5EF4-FFF2-40B4-BE49-F238E27FC236}">
                  <a16:creationId xmlns:a16="http://schemas.microsoft.com/office/drawing/2014/main" id="{B562423B-9615-4200-837D-F0E863F7BF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49836D5" w14:textId="77D27291" w:rsidR="004C2DE3" w:rsidRPr="00AA04A7" w:rsidRDefault="004C2DE3" w:rsidP="00D94D89">
      <w:pPr>
        <w:widowControl/>
        <w:autoSpaceDE w:val="0"/>
        <w:autoSpaceDN w:val="0"/>
        <w:adjustRightInd w:val="0"/>
        <w:spacing w:line="276" w:lineRule="auto"/>
        <w:ind w:left="709" w:hanging="709"/>
        <w:jc w:val="left"/>
        <w:rPr>
          <w:rFonts w:cs="Arial"/>
          <w:color w:val="000000"/>
          <w:sz w:val="16"/>
          <w:szCs w:val="16"/>
        </w:rPr>
      </w:pPr>
      <w:r w:rsidRPr="00AA04A7">
        <w:rPr>
          <w:rFonts w:cs="Arial"/>
          <w:color w:val="000000" w:themeColor="text1"/>
          <w:sz w:val="16"/>
          <w:szCs w:val="16"/>
        </w:rPr>
        <w:t>Fuente:</w:t>
      </w:r>
      <w:r w:rsidRPr="00AA04A7">
        <w:rPr>
          <w:rFonts w:cs="Arial"/>
          <w:color w:val="000000" w:themeColor="text1"/>
          <w:sz w:val="16"/>
          <w:szCs w:val="16"/>
        </w:rPr>
        <w:tab/>
        <w:t>INEGI</w:t>
      </w:r>
      <w:r w:rsidR="005A1BDF" w:rsidRPr="00AA04A7">
        <w:rPr>
          <w:rFonts w:cs="Arial"/>
          <w:color w:val="000000" w:themeColor="text1"/>
          <w:sz w:val="16"/>
          <w:szCs w:val="16"/>
        </w:rPr>
        <w:t>,</w:t>
      </w:r>
      <w:r w:rsidRPr="00AA04A7">
        <w:rPr>
          <w:rFonts w:cs="Arial"/>
          <w:color w:val="000000" w:themeColor="text1"/>
          <w:sz w:val="16"/>
          <w:szCs w:val="16"/>
        </w:rPr>
        <w:t xml:space="preserve"> M</w:t>
      </w:r>
      <w:r w:rsidR="00EB0807" w:rsidRPr="00AA04A7">
        <w:rPr>
          <w:rFonts w:cs="Arial"/>
          <w:color w:val="000000" w:themeColor="text1"/>
          <w:sz w:val="16"/>
          <w:szCs w:val="16"/>
        </w:rPr>
        <w:t>TI</w:t>
      </w:r>
      <w:r w:rsidR="005A1BDF" w:rsidRPr="00AA04A7">
        <w:rPr>
          <w:rFonts w:cs="Arial"/>
          <w:color w:val="000000" w:themeColor="text1"/>
          <w:sz w:val="16"/>
          <w:szCs w:val="16"/>
        </w:rPr>
        <w:t>.</w:t>
      </w:r>
      <w:r w:rsidRPr="00AA04A7">
        <w:rPr>
          <w:rFonts w:cs="Arial"/>
          <w:color w:val="000000" w:themeColor="text1"/>
          <w:sz w:val="16"/>
          <w:szCs w:val="16"/>
        </w:rPr>
        <w:t xml:space="preserve"> 2007 a 2017.</w:t>
      </w:r>
      <w:r w:rsidR="00EB0807" w:rsidRPr="00AA04A7">
        <w:rPr>
          <w:rFonts w:cs="Arial"/>
          <w:color w:val="000000" w:themeColor="text1"/>
          <w:sz w:val="16"/>
          <w:szCs w:val="16"/>
        </w:rPr>
        <w:t xml:space="preserve"> </w:t>
      </w:r>
      <w:r w:rsidR="00B44FDD" w:rsidRPr="00AA04A7">
        <w:rPr>
          <w:rFonts w:cs="Arial"/>
          <w:color w:val="000000" w:themeColor="text1"/>
          <w:sz w:val="16"/>
          <w:szCs w:val="16"/>
        </w:rPr>
        <w:t>ENTI</w:t>
      </w:r>
      <w:r w:rsidR="005A1BDF" w:rsidRPr="00AA04A7">
        <w:rPr>
          <w:rFonts w:cs="Arial"/>
          <w:color w:val="000000" w:themeColor="text1"/>
          <w:sz w:val="16"/>
          <w:szCs w:val="16"/>
        </w:rPr>
        <w:t>.</w:t>
      </w:r>
      <w:r w:rsidRPr="00AA04A7">
        <w:rPr>
          <w:rFonts w:cs="Arial"/>
          <w:color w:val="000000" w:themeColor="text1"/>
          <w:sz w:val="16"/>
          <w:szCs w:val="16"/>
        </w:rPr>
        <w:t xml:space="preserve"> 2019 y 2022.</w:t>
      </w:r>
    </w:p>
    <w:p w14:paraId="19A01D9B" w14:textId="77777777" w:rsidR="006F4870" w:rsidRDefault="006F4870" w:rsidP="004C2DE3">
      <w:pPr>
        <w:widowControl/>
        <w:autoSpaceDE w:val="0"/>
        <w:autoSpaceDN w:val="0"/>
        <w:adjustRightInd w:val="0"/>
        <w:spacing w:line="276" w:lineRule="auto"/>
        <w:rPr>
          <w:rFonts w:cs="Arial"/>
          <w:b/>
          <w:bCs/>
          <w:color w:val="000000"/>
          <w:szCs w:val="24"/>
        </w:rPr>
      </w:pPr>
    </w:p>
    <w:p w14:paraId="0542061D" w14:textId="77777777" w:rsidR="004C2DE3" w:rsidRPr="00B7117F" w:rsidRDefault="004C2DE3" w:rsidP="00B7117F">
      <w:pPr>
        <w:pStyle w:val="Prrafodelista"/>
        <w:widowControl/>
        <w:numPr>
          <w:ilvl w:val="0"/>
          <w:numId w:val="13"/>
        </w:numPr>
        <w:autoSpaceDE w:val="0"/>
        <w:autoSpaceDN w:val="0"/>
        <w:adjustRightInd w:val="0"/>
        <w:jc w:val="center"/>
        <w:rPr>
          <w:rFonts w:ascii="Arial Negrita" w:hAnsi="Arial Negrita" w:cs="Arial"/>
          <w:b/>
          <w:bCs/>
          <w:smallCaps/>
          <w:color w:val="000000"/>
          <w:szCs w:val="24"/>
        </w:rPr>
      </w:pPr>
      <w:r w:rsidRPr="00B7117F">
        <w:rPr>
          <w:rFonts w:ascii="Arial Negrita" w:hAnsi="Arial Negrita" w:cs="Arial"/>
          <w:b/>
          <w:bCs/>
          <w:smallCaps/>
          <w:color w:val="000000"/>
          <w:szCs w:val="24"/>
        </w:rPr>
        <w:t>Ocupación peligrosa</w:t>
      </w:r>
    </w:p>
    <w:p w14:paraId="50F144CD" w14:textId="77777777" w:rsidR="004C2DE3" w:rsidRDefault="004C2DE3" w:rsidP="004C2DE3">
      <w:pPr>
        <w:widowControl/>
        <w:autoSpaceDE w:val="0"/>
        <w:autoSpaceDN w:val="0"/>
        <w:adjustRightInd w:val="0"/>
        <w:rPr>
          <w:rFonts w:cs="Arial"/>
          <w:color w:val="000000"/>
          <w:szCs w:val="24"/>
        </w:rPr>
      </w:pPr>
    </w:p>
    <w:p w14:paraId="200CA56D" w14:textId="33ADF2C5" w:rsidR="005906A3" w:rsidRDefault="004C2DE3" w:rsidP="004C2DE3">
      <w:pPr>
        <w:widowControl/>
        <w:autoSpaceDE w:val="0"/>
        <w:autoSpaceDN w:val="0"/>
        <w:adjustRightInd w:val="0"/>
        <w:rPr>
          <w:rFonts w:cs="Arial"/>
          <w:szCs w:val="24"/>
        </w:rPr>
      </w:pPr>
      <w:r>
        <w:rPr>
          <w:rFonts w:cs="Arial"/>
          <w:szCs w:val="24"/>
        </w:rPr>
        <w:t xml:space="preserve">De </w:t>
      </w:r>
      <w:r w:rsidRPr="0067366D">
        <w:rPr>
          <w:rFonts w:cs="Arial"/>
          <w:szCs w:val="24"/>
        </w:rPr>
        <w:t>los 2.1 millones</w:t>
      </w:r>
      <w:r>
        <w:rPr>
          <w:rFonts w:cs="Arial"/>
          <w:szCs w:val="24"/>
        </w:rPr>
        <w:t xml:space="preserve"> de niñas, niños y adolescentes</w:t>
      </w:r>
      <w:r w:rsidRPr="0067366D">
        <w:rPr>
          <w:rFonts w:cs="Arial"/>
          <w:szCs w:val="24"/>
        </w:rPr>
        <w:t xml:space="preserve"> </w:t>
      </w:r>
      <w:r w:rsidR="0045476E">
        <w:rPr>
          <w:rFonts w:cs="Arial"/>
          <w:szCs w:val="24"/>
        </w:rPr>
        <w:t>que realizan</w:t>
      </w:r>
      <w:r>
        <w:rPr>
          <w:rFonts w:cs="Arial"/>
          <w:szCs w:val="24"/>
        </w:rPr>
        <w:t xml:space="preserve"> </w:t>
      </w:r>
      <w:r w:rsidR="0045476E">
        <w:rPr>
          <w:rFonts w:cs="Arial"/>
          <w:szCs w:val="24"/>
        </w:rPr>
        <w:t>alguna ocupación</w:t>
      </w:r>
      <w:r w:rsidRPr="0067366D">
        <w:rPr>
          <w:rFonts w:cs="Arial"/>
          <w:szCs w:val="24"/>
        </w:rPr>
        <w:t xml:space="preserve"> no permitida, </w:t>
      </w:r>
      <w:r w:rsidR="00693FBE">
        <w:rPr>
          <w:rFonts w:cs="Arial"/>
          <w:szCs w:val="24"/>
        </w:rPr>
        <w:t>2.0</w:t>
      </w:r>
      <w:r>
        <w:rPr>
          <w:rFonts w:cs="Arial"/>
          <w:szCs w:val="24"/>
        </w:rPr>
        <w:t xml:space="preserve"> millones (9</w:t>
      </w:r>
      <w:r w:rsidR="00693FBE">
        <w:rPr>
          <w:rFonts w:cs="Arial"/>
          <w:szCs w:val="24"/>
        </w:rPr>
        <w:t>2.5</w:t>
      </w:r>
      <w:r w:rsidR="00E41298">
        <w:rPr>
          <w:rFonts w:cs="Arial"/>
          <w:szCs w:val="24"/>
        </w:rPr>
        <w:t xml:space="preserve"> </w:t>
      </w:r>
      <w:r>
        <w:rPr>
          <w:rFonts w:cs="Arial"/>
          <w:szCs w:val="24"/>
        </w:rPr>
        <w:t>%) lo hace</w:t>
      </w:r>
      <w:r w:rsidR="00BD034B">
        <w:rPr>
          <w:rFonts w:cs="Arial"/>
          <w:szCs w:val="24"/>
        </w:rPr>
        <w:t>n</w:t>
      </w:r>
      <w:r>
        <w:rPr>
          <w:rFonts w:cs="Arial"/>
          <w:szCs w:val="24"/>
        </w:rPr>
        <w:t xml:space="preserve"> en actividades consideradas de carácter peligroso. De </w:t>
      </w:r>
      <w:r w:rsidR="008F2316">
        <w:rPr>
          <w:rFonts w:cs="Arial"/>
          <w:szCs w:val="24"/>
        </w:rPr>
        <w:t>este grupo</w:t>
      </w:r>
      <w:r>
        <w:rPr>
          <w:rFonts w:cs="Arial"/>
          <w:szCs w:val="24"/>
        </w:rPr>
        <w:t>, 1.</w:t>
      </w:r>
      <w:r w:rsidR="00693FBE">
        <w:rPr>
          <w:rFonts w:cs="Arial"/>
          <w:szCs w:val="24"/>
        </w:rPr>
        <w:t>5</w:t>
      </w:r>
      <w:r>
        <w:rPr>
          <w:rFonts w:cs="Arial"/>
          <w:szCs w:val="24"/>
        </w:rPr>
        <w:t xml:space="preserve"> millones (73.</w:t>
      </w:r>
      <w:r w:rsidR="00693FBE">
        <w:rPr>
          <w:rFonts w:cs="Arial"/>
          <w:szCs w:val="24"/>
        </w:rPr>
        <w:t>7</w:t>
      </w:r>
      <w:r>
        <w:rPr>
          <w:rFonts w:cs="Arial"/>
          <w:szCs w:val="24"/>
        </w:rPr>
        <w:t xml:space="preserve"> %) fueron niños y 0.5 millones (26.</w:t>
      </w:r>
      <w:r w:rsidR="00693FBE">
        <w:rPr>
          <w:rFonts w:cs="Arial"/>
          <w:szCs w:val="24"/>
        </w:rPr>
        <w:t>3</w:t>
      </w:r>
      <w:r>
        <w:rPr>
          <w:rFonts w:cs="Arial"/>
          <w:szCs w:val="24"/>
        </w:rPr>
        <w:t xml:space="preserve"> %)</w:t>
      </w:r>
      <w:r w:rsidR="0045476E">
        <w:rPr>
          <w:rFonts w:cs="Arial"/>
          <w:szCs w:val="24"/>
        </w:rPr>
        <w:t>,</w:t>
      </w:r>
      <w:r>
        <w:rPr>
          <w:rFonts w:cs="Arial"/>
          <w:szCs w:val="24"/>
        </w:rPr>
        <w:t xml:space="preserve"> niñas.</w:t>
      </w:r>
      <w:r w:rsidR="00454119">
        <w:rPr>
          <w:rFonts w:cs="Arial"/>
          <w:szCs w:val="24"/>
        </w:rPr>
        <w:t xml:space="preserve"> </w:t>
      </w:r>
    </w:p>
    <w:p w14:paraId="5F4BB597" w14:textId="77777777" w:rsidR="005906A3" w:rsidRDefault="005906A3" w:rsidP="004C2DE3">
      <w:pPr>
        <w:widowControl/>
        <w:autoSpaceDE w:val="0"/>
        <w:autoSpaceDN w:val="0"/>
        <w:adjustRightInd w:val="0"/>
        <w:rPr>
          <w:rFonts w:cs="Arial"/>
          <w:szCs w:val="24"/>
        </w:rPr>
      </w:pPr>
    </w:p>
    <w:p w14:paraId="29D3395D" w14:textId="64777605" w:rsidR="00B5643A" w:rsidRDefault="00693FBE" w:rsidP="004B1EF2">
      <w:pPr>
        <w:widowControl/>
        <w:autoSpaceDE w:val="0"/>
        <w:autoSpaceDN w:val="0"/>
        <w:adjustRightInd w:val="0"/>
        <w:ind w:right="51"/>
        <w:rPr>
          <w:rFonts w:cs="Arial"/>
          <w:szCs w:val="24"/>
        </w:rPr>
      </w:pPr>
      <w:r>
        <w:rPr>
          <w:rStyle w:val="ui-provider"/>
        </w:rPr>
        <w:lastRenderedPageBreak/>
        <w:t>De los 2 millones de personas en ocupación peligrosa, 1.1 millones (54 %) se encontraban en sectores económicos de actividad peligrosa, como agricultura, construcción, minería, industria química, entre otros. Por su parte, 1.1 millones (57.5 %) niñas, niños y adolescentes realizaron actividades que afectaron su salud y desarrollo como cargar cosas pesadas, o que les provocaron problemas físicos. Otros 437 mil (22.2 %) tuvieron horarios de trabajo prolongados y 846 mil (42.9 %) desarrollaron actividades con exposición a riesgos. Finalmente, 210 mil (10.6 %) laboraron jornadas no apropiadas como aquellas con horarios mixtos</w:t>
      </w:r>
      <w:r w:rsidR="004C2DE3">
        <w:rPr>
          <w:rFonts w:cs="Arial"/>
          <w:szCs w:val="24"/>
        </w:rPr>
        <w:t>, nocturnos o rolar</w:t>
      </w:r>
      <w:r w:rsidR="00147833">
        <w:rPr>
          <w:rFonts w:cs="Arial"/>
          <w:szCs w:val="24"/>
        </w:rPr>
        <w:t>on</w:t>
      </w:r>
      <w:r w:rsidR="004C2DE3">
        <w:rPr>
          <w:rFonts w:cs="Arial"/>
          <w:szCs w:val="24"/>
        </w:rPr>
        <w:t xml:space="preserve"> turnos</w:t>
      </w:r>
      <w:r w:rsidR="004B1EF2">
        <w:rPr>
          <w:rFonts w:cs="Arial"/>
          <w:szCs w:val="24"/>
        </w:rPr>
        <w:t>.</w:t>
      </w:r>
      <w:r w:rsidR="00670382">
        <w:rPr>
          <w:rStyle w:val="Refdenotaalpie"/>
          <w:szCs w:val="24"/>
        </w:rPr>
        <w:footnoteReference w:id="8"/>
      </w:r>
    </w:p>
    <w:p w14:paraId="37307D6A" w14:textId="77777777" w:rsidR="006F4870" w:rsidRDefault="006F4870" w:rsidP="004B1EF2">
      <w:pPr>
        <w:widowControl/>
        <w:autoSpaceDE w:val="0"/>
        <w:autoSpaceDN w:val="0"/>
        <w:adjustRightInd w:val="0"/>
        <w:ind w:right="51"/>
        <w:rPr>
          <w:rFonts w:cs="Arial"/>
          <w:szCs w:val="24"/>
        </w:rPr>
      </w:pPr>
    </w:p>
    <w:p w14:paraId="0479ABAB" w14:textId="1CFF5FE3" w:rsidR="004C2DE3" w:rsidRPr="006E7757" w:rsidRDefault="004C2DE3" w:rsidP="004B1EF2">
      <w:pPr>
        <w:pStyle w:val="Prrafodelista"/>
        <w:widowControl/>
        <w:numPr>
          <w:ilvl w:val="0"/>
          <w:numId w:val="13"/>
        </w:numPr>
        <w:autoSpaceDE w:val="0"/>
        <w:autoSpaceDN w:val="0"/>
        <w:adjustRightInd w:val="0"/>
        <w:ind w:right="51"/>
        <w:jc w:val="center"/>
        <w:rPr>
          <w:rFonts w:ascii="Arial Negrita" w:hAnsi="Arial Negrita" w:cs="Arial"/>
          <w:b/>
          <w:bCs/>
          <w:smallCaps/>
          <w:color w:val="000000"/>
          <w:szCs w:val="24"/>
        </w:rPr>
      </w:pPr>
      <w:r w:rsidRPr="006E7757">
        <w:rPr>
          <w:rFonts w:ascii="Arial Negrita" w:hAnsi="Arial Negrita" w:cs="Arial"/>
          <w:b/>
          <w:bCs/>
          <w:smallCaps/>
          <w:color w:val="000000"/>
          <w:szCs w:val="24"/>
        </w:rPr>
        <w:t>Quehaceres domésticos en condiciones no adecuadas</w:t>
      </w:r>
    </w:p>
    <w:p w14:paraId="4ABB6E07" w14:textId="77777777" w:rsidR="004C2DE3" w:rsidRPr="0037646C" w:rsidRDefault="004C2DE3" w:rsidP="004B1EF2">
      <w:pPr>
        <w:widowControl/>
        <w:autoSpaceDE w:val="0"/>
        <w:autoSpaceDN w:val="0"/>
        <w:adjustRightInd w:val="0"/>
        <w:ind w:right="51"/>
        <w:rPr>
          <w:rFonts w:cs="Arial"/>
          <w:color w:val="000000"/>
          <w:szCs w:val="24"/>
        </w:rPr>
      </w:pPr>
    </w:p>
    <w:p w14:paraId="1449E439" w14:textId="6D5AAFF4" w:rsidR="004C2DE3" w:rsidRDefault="004C2DE3" w:rsidP="004B1EF2">
      <w:pPr>
        <w:widowControl/>
        <w:autoSpaceDE w:val="0"/>
        <w:autoSpaceDN w:val="0"/>
        <w:adjustRightInd w:val="0"/>
        <w:ind w:right="51"/>
        <w:rPr>
          <w:rFonts w:cs="Arial"/>
          <w:szCs w:val="24"/>
        </w:rPr>
      </w:pPr>
      <w:r w:rsidRPr="0037646C">
        <w:rPr>
          <w:rFonts w:cs="Arial"/>
          <w:color w:val="000000"/>
          <w:szCs w:val="24"/>
        </w:rPr>
        <w:t xml:space="preserve">Los quehaceres domésticos en condiciones no adecuadas son actividades </w:t>
      </w:r>
      <w:r w:rsidR="007B49F6">
        <w:rPr>
          <w:rFonts w:cs="Arial"/>
          <w:color w:val="000000"/>
          <w:szCs w:val="24"/>
        </w:rPr>
        <w:t xml:space="preserve">dirigidas </w:t>
      </w:r>
      <w:r w:rsidRPr="0037646C">
        <w:rPr>
          <w:rFonts w:cs="Arial"/>
          <w:color w:val="000000"/>
          <w:szCs w:val="24"/>
        </w:rPr>
        <w:t>a la producción de bienes y servicios para el consumo de los miembros del hogar</w:t>
      </w:r>
      <w:r w:rsidR="00267320">
        <w:rPr>
          <w:rFonts w:cs="Arial"/>
          <w:color w:val="000000"/>
          <w:szCs w:val="24"/>
        </w:rPr>
        <w:t xml:space="preserve">. </w:t>
      </w:r>
      <w:r w:rsidR="004862A0">
        <w:rPr>
          <w:rFonts w:cs="Arial"/>
          <w:color w:val="000000"/>
          <w:szCs w:val="24"/>
        </w:rPr>
        <w:t>Estas actividades n</w:t>
      </w:r>
      <w:r w:rsidR="00267320">
        <w:rPr>
          <w:rFonts w:cs="Arial"/>
          <w:color w:val="000000"/>
          <w:szCs w:val="24"/>
        </w:rPr>
        <w:t xml:space="preserve">o </w:t>
      </w:r>
      <w:r w:rsidR="00103702">
        <w:rPr>
          <w:rFonts w:cs="Arial"/>
          <w:color w:val="000000"/>
          <w:szCs w:val="24"/>
        </w:rPr>
        <w:t>tienen una</w:t>
      </w:r>
      <w:r w:rsidR="00267320">
        <w:rPr>
          <w:rFonts w:cs="Arial"/>
          <w:color w:val="000000"/>
          <w:szCs w:val="24"/>
        </w:rPr>
        <w:t xml:space="preserve"> </w:t>
      </w:r>
      <w:r w:rsidRPr="0037646C">
        <w:rPr>
          <w:rFonts w:cs="Arial"/>
          <w:color w:val="000000"/>
          <w:szCs w:val="24"/>
        </w:rPr>
        <w:t xml:space="preserve">remuneración </w:t>
      </w:r>
      <w:r>
        <w:rPr>
          <w:rFonts w:cs="Arial"/>
          <w:color w:val="000000"/>
          <w:szCs w:val="24"/>
        </w:rPr>
        <w:t xml:space="preserve">y </w:t>
      </w:r>
      <w:r w:rsidRPr="0037646C">
        <w:rPr>
          <w:rFonts w:cs="Arial"/>
          <w:color w:val="000000"/>
          <w:szCs w:val="24"/>
        </w:rPr>
        <w:t>afectan la salud o integridad física de quienes l</w:t>
      </w:r>
      <w:r w:rsidR="004862A0">
        <w:rPr>
          <w:rFonts w:cs="Arial"/>
          <w:color w:val="000000"/>
          <w:szCs w:val="24"/>
        </w:rPr>
        <w:t>a</w:t>
      </w:r>
      <w:r w:rsidRPr="0037646C">
        <w:rPr>
          <w:rFonts w:cs="Arial"/>
          <w:color w:val="000000"/>
          <w:szCs w:val="24"/>
        </w:rPr>
        <w:t>s realizan</w:t>
      </w:r>
      <w:r w:rsidR="00267320">
        <w:rPr>
          <w:rFonts w:cs="Arial"/>
          <w:color w:val="000000"/>
          <w:szCs w:val="24"/>
        </w:rPr>
        <w:t xml:space="preserve">. </w:t>
      </w:r>
      <w:r>
        <w:rPr>
          <w:rFonts w:cs="Arial"/>
          <w:color w:val="000000"/>
          <w:szCs w:val="24"/>
        </w:rPr>
        <w:t>En</w:t>
      </w:r>
      <w:r w:rsidRPr="0037646C">
        <w:rPr>
          <w:rFonts w:cs="Arial"/>
          <w:color w:val="000000"/>
          <w:szCs w:val="24"/>
        </w:rPr>
        <w:t xml:space="preserve"> 2022, un total de 1.9 millones de </w:t>
      </w:r>
      <w:r>
        <w:rPr>
          <w:rFonts w:cs="Arial"/>
          <w:color w:val="000000"/>
          <w:szCs w:val="24"/>
        </w:rPr>
        <w:t>niñas</w:t>
      </w:r>
      <w:r w:rsidR="002A2263">
        <w:rPr>
          <w:rFonts w:cs="Arial"/>
          <w:color w:val="000000"/>
          <w:szCs w:val="24"/>
        </w:rPr>
        <w:t xml:space="preserve"> y </w:t>
      </w:r>
      <w:r>
        <w:rPr>
          <w:rFonts w:cs="Arial"/>
          <w:color w:val="000000"/>
          <w:szCs w:val="24"/>
        </w:rPr>
        <w:t>niños y</w:t>
      </w:r>
      <w:r w:rsidRPr="0037646C">
        <w:rPr>
          <w:rFonts w:cs="Arial"/>
          <w:color w:val="000000"/>
          <w:szCs w:val="24"/>
        </w:rPr>
        <w:t xml:space="preserve"> de 5 a 17 años </w:t>
      </w:r>
      <w:r>
        <w:rPr>
          <w:rFonts w:cs="Arial"/>
          <w:color w:val="000000"/>
          <w:szCs w:val="24"/>
        </w:rPr>
        <w:t>realizaron</w:t>
      </w:r>
      <w:r w:rsidR="00267320">
        <w:rPr>
          <w:rFonts w:cs="Arial"/>
          <w:color w:val="000000"/>
          <w:szCs w:val="24"/>
        </w:rPr>
        <w:t xml:space="preserve"> estas actividades </w:t>
      </w:r>
      <w:r w:rsidRPr="0037646C">
        <w:rPr>
          <w:rFonts w:cs="Arial"/>
          <w:color w:val="000000"/>
          <w:szCs w:val="24"/>
        </w:rPr>
        <w:t>en condiciones no adecuadas</w:t>
      </w:r>
      <w:r w:rsidR="00267320">
        <w:rPr>
          <w:rFonts w:cs="Arial"/>
          <w:color w:val="000000"/>
          <w:szCs w:val="24"/>
        </w:rPr>
        <w:t xml:space="preserve">. De </w:t>
      </w:r>
      <w:r w:rsidR="001D7DA2">
        <w:rPr>
          <w:rFonts w:cs="Arial"/>
          <w:color w:val="000000"/>
          <w:szCs w:val="24"/>
        </w:rPr>
        <w:t>esta cantidad</w:t>
      </w:r>
      <w:r>
        <w:rPr>
          <w:rFonts w:cs="Arial"/>
          <w:color w:val="000000"/>
          <w:szCs w:val="24"/>
        </w:rPr>
        <w:t xml:space="preserve">, </w:t>
      </w:r>
      <w:r w:rsidR="001D7DA2">
        <w:rPr>
          <w:rFonts w:cs="Arial"/>
          <w:szCs w:val="24"/>
        </w:rPr>
        <w:t>un</w:t>
      </w:r>
      <w:r>
        <w:rPr>
          <w:rFonts w:cs="Arial"/>
          <w:szCs w:val="24"/>
        </w:rPr>
        <w:t xml:space="preserve"> millón (51.8 %) eran niñas y 0.9 millones (48.2 %)</w:t>
      </w:r>
      <w:r w:rsidR="001D7DA2">
        <w:rPr>
          <w:rFonts w:cs="Arial"/>
          <w:szCs w:val="24"/>
        </w:rPr>
        <w:t>,</w:t>
      </w:r>
      <w:r>
        <w:rPr>
          <w:rFonts w:cs="Arial"/>
          <w:szCs w:val="24"/>
        </w:rPr>
        <w:t xml:space="preserve"> niños.</w:t>
      </w:r>
    </w:p>
    <w:p w14:paraId="71C51B19" w14:textId="77777777" w:rsidR="004C2DE3" w:rsidRDefault="004C2DE3" w:rsidP="004B1EF2">
      <w:pPr>
        <w:widowControl/>
        <w:ind w:right="51"/>
        <w:rPr>
          <w:rFonts w:cs="Arial"/>
          <w:szCs w:val="24"/>
        </w:rPr>
      </w:pPr>
    </w:p>
    <w:p w14:paraId="66C8BFD7" w14:textId="70D79B15" w:rsidR="004C2DE3" w:rsidRDefault="004C2DE3" w:rsidP="004B1EF2">
      <w:pPr>
        <w:widowControl/>
        <w:autoSpaceDE w:val="0"/>
        <w:autoSpaceDN w:val="0"/>
        <w:adjustRightInd w:val="0"/>
        <w:ind w:right="51"/>
        <w:rPr>
          <w:rFonts w:cs="Arial"/>
          <w:color w:val="000000"/>
          <w:szCs w:val="24"/>
        </w:rPr>
      </w:pPr>
      <w:r>
        <w:rPr>
          <w:rFonts w:cs="Arial"/>
          <w:color w:val="000000"/>
          <w:szCs w:val="24"/>
        </w:rPr>
        <w:t>En particular,</w:t>
      </w:r>
      <w:r w:rsidR="002E096B">
        <w:rPr>
          <w:rFonts w:cs="Arial"/>
          <w:color w:val="000000"/>
          <w:szCs w:val="24"/>
        </w:rPr>
        <w:t xml:space="preserve"> </w:t>
      </w:r>
      <w:r w:rsidR="004862A0">
        <w:rPr>
          <w:rFonts w:cs="Arial"/>
          <w:color w:val="000000"/>
          <w:szCs w:val="24"/>
        </w:rPr>
        <w:t>quienes</w:t>
      </w:r>
      <w:r w:rsidR="00096538">
        <w:rPr>
          <w:rFonts w:cs="Arial"/>
          <w:color w:val="000000"/>
          <w:szCs w:val="24"/>
        </w:rPr>
        <w:t xml:space="preserve"> </w:t>
      </w:r>
      <w:r>
        <w:rPr>
          <w:rFonts w:cs="Arial"/>
          <w:color w:val="000000"/>
          <w:szCs w:val="24"/>
        </w:rPr>
        <w:t>realiz</w:t>
      </w:r>
      <w:r w:rsidR="00096538">
        <w:rPr>
          <w:rFonts w:cs="Arial"/>
          <w:color w:val="000000"/>
          <w:szCs w:val="24"/>
        </w:rPr>
        <w:t xml:space="preserve">aron </w:t>
      </w:r>
      <w:r>
        <w:rPr>
          <w:rFonts w:cs="Arial"/>
          <w:color w:val="000000"/>
          <w:szCs w:val="24"/>
        </w:rPr>
        <w:t>quehaceres domésticos en condiciones no adecuadas</w:t>
      </w:r>
      <w:r w:rsidR="00096538">
        <w:rPr>
          <w:rFonts w:cs="Arial"/>
          <w:color w:val="000000"/>
          <w:szCs w:val="24"/>
        </w:rPr>
        <w:t xml:space="preserve"> de forma exclusiva</w:t>
      </w:r>
      <w:r>
        <w:rPr>
          <w:rFonts w:cs="Arial"/>
          <w:color w:val="000000"/>
          <w:szCs w:val="24"/>
        </w:rPr>
        <w:t xml:space="preserve"> </w:t>
      </w:r>
      <w:r w:rsidR="00096538">
        <w:rPr>
          <w:rFonts w:cs="Arial"/>
          <w:color w:val="000000"/>
          <w:szCs w:val="24"/>
        </w:rPr>
        <w:t>sumaron</w:t>
      </w:r>
      <w:r>
        <w:rPr>
          <w:rFonts w:cs="Arial"/>
          <w:color w:val="000000"/>
          <w:szCs w:val="24"/>
        </w:rPr>
        <w:t xml:space="preserve"> 1.6 millones (83.4 %) y </w:t>
      </w:r>
      <w:r w:rsidR="003A1BCC">
        <w:rPr>
          <w:rFonts w:cs="Arial"/>
          <w:color w:val="000000"/>
          <w:szCs w:val="24"/>
        </w:rPr>
        <w:t xml:space="preserve">quienes </w:t>
      </w:r>
      <w:r>
        <w:rPr>
          <w:rFonts w:cs="Arial"/>
          <w:color w:val="000000"/>
          <w:szCs w:val="24"/>
        </w:rPr>
        <w:t>combinaron los quehaceres domésticos en condiciones no adecuadas</w:t>
      </w:r>
      <w:r w:rsidR="004862A0">
        <w:rPr>
          <w:rFonts w:cs="Arial"/>
          <w:color w:val="000000"/>
          <w:szCs w:val="24"/>
        </w:rPr>
        <w:t xml:space="preserve"> con la ocupación no permitida fueron</w:t>
      </w:r>
      <w:r w:rsidR="002F125B">
        <w:rPr>
          <w:rFonts w:cs="Arial"/>
          <w:color w:val="000000"/>
          <w:szCs w:val="24"/>
        </w:rPr>
        <w:t xml:space="preserve"> </w:t>
      </w:r>
      <w:r>
        <w:rPr>
          <w:rFonts w:cs="Arial"/>
          <w:color w:val="000000"/>
          <w:szCs w:val="24"/>
        </w:rPr>
        <w:t xml:space="preserve">0.3 millones (16.6 %). </w:t>
      </w:r>
    </w:p>
    <w:p w14:paraId="3E747685" w14:textId="77777777" w:rsidR="004C2DE3" w:rsidRDefault="004C2DE3" w:rsidP="004C2DE3">
      <w:pPr>
        <w:widowControl/>
        <w:autoSpaceDE w:val="0"/>
        <w:autoSpaceDN w:val="0"/>
        <w:adjustRightInd w:val="0"/>
        <w:rPr>
          <w:rFonts w:cs="Arial"/>
          <w:color w:val="000000"/>
          <w:szCs w:val="24"/>
        </w:rPr>
      </w:pPr>
    </w:p>
    <w:p w14:paraId="5FEFB895" w14:textId="77777777" w:rsidR="004C2DE3" w:rsidRDefault="004C2DE3" w:rsidP="00ED45C1">
      <w:pPr>
        <w:widowControl/>
        <w:jc w:val="left"/>
        <w:rPr>
          <w:rFonts w:cs="Arial"/>
          <w:color w:val="000000"/>
          <w:szCs w:val="24"/>
        </w:rPr>
      </w:pPr>
    </w:p>
    <w:p w14:paraId="6DB4B85D" w14:textId="77777777" w:rsidR="004C2DE3" w:rsidRPr="00511745" w:rsidRDefault="004C2DE3" w:rsidP="004C2DE3">
      <w:pPr>
        <w:pStyle w:val="NormalWeb"/>
        <w:ind w:left="-426" w:right="-518"/>
        <w:contextualSpacing/>
        <w:jc w:val="center"/>
        <w:rPr>
          <w:sz w:val="24"/>
          <w:szCs w:val="24"/>
          <w:lang w:val="es-ES_tradnl"/>
        </w:rPr>
      </w:pPr>
      <w:r w:rsidRPr="00511745">
        <w:rPr>
          <w:sz w:val="24"/>
          <w:szCs w:val="24"/>
          <w:lang w:val="es-ES_tradnl"/>
        </w:rPr>
        <w:t xml:space="preserve">Para consultas de medios y periodistas, escribir a: </w:t>
      </w:r>
      <w:hyperlink r:id="rId15" w:history="1">
        <w:r w:rsidRPr="00511745">
          <w:rPr>
            <w:rStyle w:val="Hipervnculo"/>
            <w:rFonts w:eastAsiaTheme="majorEastAsia"/>
            <w:sz w:val="24"/>
            <w:szCs w:val="24"/>
          </w:rPr>
          <w:t>comunicacionsocial@inegi.org.mx</w:t>
        </w:r>
      </w:hyperlink>
      <w:r w:rsidRPr="00511745">
        <w:rPr>
          <w:sz w:val="24"/>
          <w:szCs w:val="24"/>
          <w:lang w:val="es-ES_tradnl"/>
        </w:rPr>
        <w:t xml:space="preserve">    </w:t>
      </w:r>
    </w:p>
    <w:p w14:paraId="4911ABE4" w14:textId="6B88FB8C" w:rsidR="004C2DE3" w:rsidRPr="00511745" w:rsidRDefault="004C2DE3" w:rsidP="004C2DE3">
      <w:pPr>
        <w:pStyle w:val="NormalWeb"/>
        <w:spacing w:before="0" w:beforeAutospacing="0" w:after="0" w:afterAutospacing="0"/>
        <w:ind w:left="-426" w:right="-518"/>
        <w:contextualSpacing/>
        <w:jc w:val="center"/>
        <w:rPr>
          <w:sz w:val="24"/>
          <w:szCs w:val="24"/>
          <w:lang w:val="es-ES_tradnl"/>
        </w:rPr>
      </w:pPr>
      <w:r w:rsidRPr="00511745">
        <w:rPr>
          <w:sz w:val="24"/>
          <w:szCs w:val="24"/>
          <w:lang w:val="es-ES_tradnl"/>
        </w:rPr>
        <w:t>o llamar al teléfono (55) 52-78-10-00, ext</w:t>
      </w:r>
      <w:r w:rsidR="009135F6">
        <w:rPr>
          <w:sz w:val="24"/>
          <w:szCs w:val="24"/>
          <w:lang w:val="es-ES_tradnl"/>
        </w:rPr>
        <w:t>ensiones</w:t>
      </w:r>
      <w:r w:rsidRPr="00511745">
        <w:rPr>
          <w:sz w:val="24"/>
          <w:szCs w:val="24"/>
          <w:lang w:val="es-ES_tradnl"/>
        </w:rPr>
        <w:t xml:space="preserve"> 321064, 321134 y 321241</w:t>
      </w:r>
    </w:p>
    <w:p w14:paraId="45FC1714" w14:textId="4F2F9F87" w:rsidR="004C2DE3" w:rsidRDefault="004C2DE3" w:rsidP="004C2DE3">
      <w:pPr>
        <w:pStyle w:val="NormalWeb"/>
        <w:spacing w:before="0" w:beforeAutospacing="0" w:after="0" w:afterAutospacing="0"/>
        <w:ind w:left="-426" w:right="-518"/>
        <w:contextualSpacing/>
        <w:jc w:val="center"/>
        <w:rPr>
          <w:sz w:val="24"/>
          <w:szCs w:val="24"/>
        </w:rPr>
      </w:pPr>
      <w:r w:rsidRPr="00511745">
        <w:rPr>
          <w:sz w:val="24"/>
          <w:szCs w:val="24"/>
        </w:rPr>
        <w:t>Dirección de Atención a Medios/ Dirección General Adjunta de Comunicación</w:t>
      </w:r>
    </w:p>
    <w:p w14:paraId="53917B7F" w14:textId="77777777" w:rsidR="004B1EF2" w:rsidRDefault="004B1EF2" w:rsidP="004C2DE3">
      <w:pPr>
        <w:pStyle w:val="NormalWeb"/>
        <w:spacing w:before="0" w:beforeAutospacing="0" w:after="0" w:afterAutospacing="0"/>
        <w:ind w:left="-426" w:right="-518"/>
        <w:contextualSpacing/>
        <w:jc w:val="center"/>
        <w:rPr>
          <w:sz w:val="24"/>
          <w:szCs w:val="24"/>
        </w:rPr>
      </w:pPr>
    </w:p>
    <w:p w14:paraId="369124C3" w14:textId="77777777" w:rsidR="004B1EF2" w:rsidRPr="00DA25C5" w:rsidRDefault="004B1EF2" w:rsidP="004B1EF2">
      <w:pPr>
        <w:pStyle w:val="Piedepgina"/>
        <w:jc w:val="center"/>
        <w:rPr>
          <w:rFonts w:cs="Arial"/>
          <w:b/>
          <w:color w:val="244061" w:themeColor="accent1" w:themeShade="80"/>
          <w:szCs w:val="24"/>
        </w:rPr>
      </w:pPr>
      <w:r w:rsidRPr="00DA25C5">
        <w:rPr>
          <w:noProof/>
          <w:szCs w:val="24"/>
          <w:lang w:eastAsia="es-MX"/>
        </w:rPr>
        <w:drawing>
          <wp:inline distT="0" distB="0" distL="0" distR="0" wp14:anchorId="793C245A" wp14:editId="0EF3EE69">
            <wp:extent cx="372725" cy="360438"/>
            <wp:effectExtent l="0" t="0" r="0" b="0"/>
            <wp:docPr id="9" name="Imagen 9" descr="Icono&#10;&#10;Descripción generada automáticament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Icono&#10;&#10;Descripción generada automáticamente">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t="1648" b="1648"/>
                    <a:stretch>
                      <a:fillRect/>
                    </a:stretch>
                  </pic:blipFill>
                  <pic:spPr bwMode="auto">
                    <a:xfrm>
                      <a:off x="0" y="0"/>
                      <a:ext cx="372725" cy="360438"/>
                    </a:xfrm>
                    <a:prstGeom prst="rect">
                      <a:avLst/>
                    </a:prstGeom>
                    <a:noFill/>
                    <a:ln>
                      <a:noFill/>
                    </a:ln>
                    <a:extLst>
                      <a:ext uri="{53640926-AAD7-44D8-BBD7-CCE9431645EC}">
                        <a14:shadowObscured xmlns:a14="http://schemas.microsoft.com/office/drawing/2010/main"/>
                      </a:ext>
                    </a:extLst>
                  </pic:spPr>
                </pic:pic>
              </a:graphicData>
            </a:graphic>
          </wp:inline>
        </w:drawing>
      </w:r>
      <w:r w:rsidRPr="00DA25C5">
        <w:rPr>
          <w:noProof/>
          <w:szCs w:val="24"/>
          <w:lang w:eastAsia="es-MX"/>
        </w:rPr>
        <w:t xml:space="preserve"> </w:t>
      </w:r>
      <w:r w:rsidRPr="00DA25C5">
        <w:rPr>
          <w:noProof/>
          <w:szCs w:val="24"/>
          <w:lang w:eastAsia="es-MX"/>
        </w:rPr>
        <w:drawing>
          <wp:inline distT="0" distB="0" distL="0" distR="0" wp14:anchorId="55E88EF4" wp14:editId="1CB96211">
            <wp:extent cx="365760" cy="365760"/>
            <wp:effectExtent l="0" t="0" r="2540" b="2540"/>
            <wp:docPr id="2" name="Imagen 2" descr="Icono&#10;&#10;Descripción generada automáticament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cono&#10;&#10;Descripción generada automáticamente">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365760" cy="365760"/>
                    </a:xfrm>
                    <a:prstGeom prst="rect">
                      <a:avLst/>
                    </a:prstGeom>
                    <a:noFill/>
                    <a:ln>
                      <a:noFill/>
                    </a:ln>
                  </pic:spPr>
                </pic:pic>
              </a:graphicData>
            </a:graphic>
          </wp:inline>
        </w:drawing>
      </w:r>
      <w:r w:rsidRPr="00DA25C5">
        <w:rPr>
          <w:noProof/>
          <w:szCs w:val="24"/>
          <w:lang w:eastAsia="es-MX"/>
        </w:rPr>
        <w:t xml:space="preserve"> </w:t>
      </w:r>
      <w:r w:rsidRPr="00DA25C5">
        <w:rPr>
          <w:noProof/>
          <w:szCs w:val="24"/>
          <w:lang w:eastAsia="es-MX"/>
        </w:rPr>
        <w:drawing>
          <wp:inline distT="0" distB="0" distL="0" distR="0" wp14:anchorId="6B8C3A34" wp14:editId="460DDBE3">
            <wp:extent cx="365760" cy="365760"/>
            <wp:effectExtent l="0" t="0" r="2540" b="2540"/>
            <wp:docPr id="4" name="Imagen 4" descr="Imagen que contiene objeto, reloj&#10;&#10;Descripción generada automáticamente">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objeto, reloj&#10;&#10;Descripción generada automáticamente">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365760" cy="365760"/>
                    </a:xfrm>
                    <a:prstGeom prst="rect">
                      <a:avLst/>
                    </a:prstGeom>
                    <a:noFill/>
                    <a:ln>
                      <a:noFill/>
                    </a:ln>
                  </pic:spPr>
                </pic:pic>
              </a:graphicData>
            </a:graphic>
          </wp:inline>
        </w:drawing>
      </w:r>
      <w:r w:rsidRPr="00DA25C5">
        <w:rPr>
          <w:noProof/>
          <w:szCs w:val="24"/>
          <w:lang w:eastAsia="es-MX"/>
        </w:rPr>
        <w:t xml:space="preserve"> </w:t>
      </w:r>
      <w:r w:rsidRPr="00DA25C5">
        <w:rPr>
          <w:noProof/>
          <w:szCs w:val="24"/>
          <w:lang w:eastAsia="es-MX"/>
        </w:rPr>
        <w:drawing>
          <wp:inline distT="0" distB="0" distL="0" distR="0" wp14:anchorId="41A3C1D2" wp14:editId="158FBB37">
            <wp:extent cx="365760" cy="365760"/>
            <wp:effectExtent l="0" t="0" r="2540" b="2540"/>
            <wp:docPr id="5" name="Imagen 5" descr="Logotipo&#10;&#10;Descripción generada automáticamente">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tipo&#10;&#10;Descripción generada automáticamente">
                      <a:hlinkClick r:id="rId22"/>
                    </pic:cNvPr>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365760" cy="365760"/>
                    </a:xfrm>
                    <a:prstGeom prst="rect">
                      <a:avLst/>
                    </a:prstGeom>
                    <a:noFill/>
                    <a:ln>
                      <a:noFill/>
                    </a:ln>
                  </pic:spPr>
                </pic:pic>
              </a:graphicData>
            </a:graphic>
          </wp:inline>
        </w:drawing>
      </w:r>
      <w:r w:rsidRPr="00DA25C5">
        <w:rPr>
          <w:noProof/>
          <w:szCs w:val="24"/>
          <w:lang w:eastAsia="es-MX"/>
        </w:rPr>
        <w:t xml:space="preserve">  </w:t>
      </w:r>
      <w:r w:rsidRPr="00DA25C5">
        <w:rPr>
          <w:noProof/>
          <w:szCs w:val="24"/>
          <w:lang w:eastAsia="es-MX"/>
        </w:rPr>
        <w:drawing>
          <wp:inline distT="0" distB="0" distL="0" distR="0" wp14:anchorId="79D7B425" wp14:editId="352CDFBA">
            <wp:extent cx="1436914" cy="152592"/>
            <wp:effectExtent l="0" t="0" r="0" b="0"/>
            <wp:docPr id="33" name="Imagen 33" descr="Icono&#10;&#10;Descripción generada automáticamente">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33" descr="Icono&#10;&#10;Descripción generada automáticamente">
                      <a:hlinkClick r:id="rId24"/>
                    </pic:cNvPr>
                    <pic:cNvPicPr>
                      <a:picLocks noChangeAspect="1" noChangeArrowheads="1"/>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1709956" cy="181587"/>
                    </a:xfrm>
                    <a:prstGeom prst="rect">
                      <a:avLst/>
                    </a:prstGeom>
                    <a:noFill/>
                    <a:ln>
                      <a:noFill/>
                    </a:ln>
                  </pic:spPr>
                </pic:pic>
              </a:graphicData>
            </a:graphic>
          </wp:inline>
        </w:drawing>
      </w:r>
    </w:p>
    <w:p w14:paraId="7C97340C" w14:textId="77777777" w:rsidR="004B1EF2" w:rsidRPr="00511745" w:rsidRDefault="004B1EF2" w:rsidP="004C2DE3">
      <w:pPr>
        <w:pStyle w:val="NormalWeb"/>
        <w:spacing w:before="0" w:beforeAutospacing="0" w:after="0" w:afterAutospacing="0"/>
        <w:ind w:left="-426" w:right="-518"/>
        <w:contextualSpacing/>
        <w:jc w:val="center"/>
        <w:rPr>
          <w:sz w:val="24"/>
          <w:szCs w:val="24"/>
        </w:rPr>
      </w:pPr>
    </w:p>
    <w:p w14:paraId="6E3B858C" w14:textId="77777777" w:rsidR="00B271F5" w:rsidRDefault="00B271F5" w:rsidP="009E43F3">
      <w:pPr>
        <w:widowControl/>
        <w:autoSpaceDE w:val="0"/>
        <w:autoSpaceDN w:val="0"/>
        <w:adjustRightInd w:val="0"/>
        <w:jc w:val="center"/>
        <w:rPr>
          <w:rFonts w:cs="Arial"/>
          <w:b/>
          <w:bCs/>
          <w:color w:val="000000"/>
          <w:szCs w:val="24"/>
        </w:rPr>
      </w:pPr>
    </w:p>
    <w:p w14:paraId="6912638A" w14:textId="77777777" w:rsidR="00B271F5" w:rsidRDefault="00B271F5" w:rsidP="009E43F3">
      <w:pPr>
        <w:widowControl/>
        <w:autoSpaceDE w:val="0"/>
        <w:autoSpaceDN w:val="0"/>
        <w:adjustRightInd w:val="0"/>
        <w:jc w:val="center"/>
        <w:rPr>
          <w:rFonts w:cs="Arial"/>
          <w:b/>
          <w:bCs/>
          <w:color w:val="000000"/>
          <w:szCs w:val="24"/>
        </w:rPr>
      </w:pPr>
    </w:p>
    <w:p w14:paraId="361B2B95" w14:textId="53F025F2" w:rsidR="00D94D89" w:rsidRDefault="00D94D89">
      <w:pPr>
        <w:widowControl/>
        <w:jc w:val="left"/>
        <w:rPr>
          <w:rFonts w:cs="Arial"/>
          <w:b/>
          <w:bCs/>
          <w:color w:val="000000"/>
          <w:szCs w:val="24"/>
        </w:rPr>
      </w:pPr>
      <w:r>
        <w:rPr>
          <w:rFonts w:cs="Arial"/>
          <w:b/>
          <w:bCs/>
          <w:color w:val="000000"/>
          <w:szCs w:val="24"/>
        </w:rPr>
        <w:br w:type="page"/>
      </w:r>
    </w:p>
    <w:p w14:paraId="59518CA1" w14:textId="71423653" w:rsidR="00121FAC" w:rsidRPr="00ED45C1" w:rsidRDefault="00121FAC" w:rsidP="00D0575B">
      <w:pPr>
        <w:widowControl/>
        <w:autoSpaceDE w:val="0"/>
        <w:autoSpaceDN w:val="0"/>
        <w:adjustRightInd w:val="0"/>
        <w:jc w:val="center"/>
        <w:rPr>
          <w:rFonts w:cs="Arial"/>
          <w:b/>
          <w:bCs/>
          <w:color w:val="000000"/>
          <w:szCs w:val="24"/>
        </w:rPr>
      </w:pPr>
      <w:r w:rsidRPr="00ED45C1">
        <w:rPr>
          <w:rFonts w:cs="Arial"/>
          <w:b/>
          <w:bCs/>
          <w:color w:val="000000"/>
          <w:szCs w:val="24"/>
        </w:rPr>
        <w:lastRenderedPageBreak/>
        <w:t>NOTA TÉCNICA</w:t>
      </w:r>
    </w:p>
    <w:p w14:paraId="1C159E44" w14:textId="77777777" w:rsidR="00121FAC" w:rsidRPr="00ED45C1" w:rsidRDefault="00121FAC" w:rsidP="00D0575B">
      <w:pPr>
        <w:widowControl/>
        <w:autoSpaceDE w:val="0"/>
        <w:autoSpaceDN w:val="0"/>
        <w:adjustRightInd w:val="0"/>
        <w:jc w:val="center"/>
        <w:rPr>
          <w:rFonts w:cs="Arial"/>
          <w:b/>
          <w:bCs/>
          <w:color w:val="000000"/>
          <w:szCs w:val="24"/>
        </w:rPr>
      </w:pPr>
    </w:p>
    <w:p w14:paraId="1F45E299" w14:textId="7D290B70" w:rsidR="00603B65" w:rsidRDefault="00791592" w:rsidP="004B1EF2">
      <w:pPr>
        <w:widowControl/>
        <w:autoSpaceDE w:val="0"/>
        <w:autoSpaceDN w:val="0"/>
        <w:ind w:right="51"/>
        <w:rPr>
          <w:rFonts w:cs="Arial"/>
          <w:color w:val="000000"/>
          <w:szCs w:val="24"/>
        </w:rPr>
      </w:pPr>
      <w:r w:rsidRPr="00ED45C1">
        <w:rPr>
          <w:rFonts w:cs="Arial"/>
          <w:color w:val="000000"/>
          <w:szCs w:val="24"/>
        </w:rPr>
        <w:t xml:space="preserve">La ENTI 2022 </w:t>
      </w:r>
      <w:r w:rsidR="00E136E9" w:rsidRPr="00ED45C1">
        <w:rPr>
          <w:rFonts w:cs="Arial"/>
          <w:color w:val="000000"/>
          <w:szCs w:val="24"/>
        </w:rPr>
        <w:t>es</w:t>
      </w:r>
      <w:r w:rsidRPr="00ED45C1">
        <w:rPr>
          <w:rFonts w:cs="Arial"/>
          <w:color w:val="000000"/>
          <w:szCs w:val="24"/>
        </w:rPr>
        <w:t xml:space="preserve"> el segundo levantamiento </w:t>
      </w:r>
      <w:r w:rsidR="008E4921" w:rsidRPr="00ED45C1">
        <w:rPr>
          <w:rFonts w:cs="Arial"/>
          <w:color w:val="000000"/>
          <w:szCs w:val="24"/>
        </w:rPr>
        <w:t xml:space="preserve">de una encuesta independiente que </w:t>
      </w:r>
      <w:r w:rsidRPr="00ED45C1">
        <w:rPr>
          <w:rFonts w:cs="Arial"/>
          <w:color w:val="000000"/>
          <w:szCs w:val="24"/>
        </w:rPr>
        <w:t>lleva</w:t>
      </w:r>
      <w:r w:rsidR="008E4921" w:rsidRPr="00ED45C1">
        <w:rPr>
          <w:rFonts w:cs="Arial"/>
          <w:color w:val="000000"/>
          <w:szCs w:val="24"/>
        </w:rPr>
        <w:t xml:space="preserve">n </w:t>
      </w:r>
      <w:r w:rsidRPr="00ED45C1">
        <w:rPr>
          <w:rFonts w:cs="Arial"/>
          <w:color w:val="000000"/>
          <w:szCs w:val="24"/>
        </w:rPr>
        <w:t xml:space="preserve">a cabo </w:t>
      </w:r>
      <w:r w:rsidR="00237FB9" w:rsidRPr="00ED45C1">
        <w:rPr>
          <w:rFonts w:cs="Arial"/>
          <w:color w:val="000000"/>
          <w:szCs w:val="24"/>
        </w:rPr>
        <w:t>el I</w:t>
      </w:r>
      <w:r w:rsidR="004E606B" w:rsidRPr="00ED45C1">
        <w:rPr>
          <w:rFonts w:cs="Arial"/>
          <w:color w:val="000000"/>
          <w:szCs w:val="24"/>
        </w:rPr>
        <w:t>nst</w:t>
      </w:r>
      <w:r w:rsidR="00267B51" w:rsidRPr="00ED45C1">
        <w:rPr>
          <w:rFonts w:cs="Arial"/>
          <w:color w:val="000000"/>
          <w:szCs w:val="24"/>
        </w:rPr>
        <w:t xml:space="preserve">ituto </w:t>
      </w:r>
      <w:r w:rsidR="00237FB9" w:rsidRPr="00ED45C1">
        <w:rPr>
          <w:rFonts w:cs="Arial"/>
          <w:color w:val="000000"/>
          <w:szCs w:val="24"/>
        </w:rPr>
        <w:t>N</w:t>
      </w:r>
      <w:r w:rsidR="00267B51" w:rsidRPr="00ED45C1">
        <w:rPr>
          <w:rFonts w:cs="Arial"/>
          <w:color w:val="000000"/>
          <w:szCs w:val="24"/>
        </w:rPr>
        <w:t xml:space="preserve">acional de </w:t>
      </w:r>
      <w:r w:rsidR="00237FB9" w:rsidRPr="00ED45C1">
        <w:rPr>
          <w:rFonts w:cs="Arial"/>
          <w:color w:val="000000"/>
          <w:szCs w:val="24"/>
        </w:rPr>
        <w:t>E</w:t>
      </w:r>
      <w:r w:rsidR="00267B51" w:rsidRPr="00ED45C1">
        <w:rPr>
          <w:rFonts w:cs="Arial"/>
          <w:color w:val="000000"/>
          <w:szCs w:val="24"/>
        </w:rPr>
        <w:t xml:space="preserve">stadística y </w:t>
      </w:r>
      <w:r w:rsidR="00237FB9" w:rsidRPr="00ED45C1">
        <w:rPr>
          <w:rFonts w:cs="Arial"/>
          <w:color w:val="000000"/>
          <w:szCs w:val="24"/>
        </w:rPr>
        <w:t>G</w:t>
      </w:r>
      <w:r w:rsidR="00267B51" w:rsidRPr="00ED45C1">
        <w:rPr>
          <w:rFonts w:cs="Arial"/>
          <w:color w:val="000000"/>
          <w:szCs w:val="24"/>
        </w:rPr>
        <w:t>eogra</w:t>
      </w:r>
      <w:r w:rsidR="004104F3">
        <w:rPr>
          <w:rFonts w:cs="Arial"/>
          <w:color w:val="000000"/>
          <w:szCs w:val="24"/>
        </w:rPr>
        <w:t>fía</w:t>
      </w:r>
      <w:r w:rsidR="00267B51" w:rsidRPr="00ED45C1">
        <w:rPr>
          <w:rFonts w:cs="Arial"/>
          <w:color w:val="000000"/>
          <w:szCs w:val="24"/>
        </w:rPr>
        <w:t xml:space="preserve"> (</w:t>
      </w:r>
      <w:r w:rsidR="00237FB9" w:rsidRPr="00ED45C1">
        <w:rPr>
          <w:rFonts w:cs="Arial"/>
          <w:color w:val="000000"/>
          <w:szCs w:val="24"/>
        </w:rPr>
        <w:t>I</w:t>
      </w:r>
      <w:r w:rsidR="00267B51" w:rsidRPr="00ED45C1">
        <w:rPr>
          <w:rFonts w:cs="Arial"/>
          <w:color w:val="000000"/>
          <w:szCs w:val="24"/>
        </w:rPr>
        <w:t>NEGI)</w:t>
      </w:r>
      <w:r w:rsidR="00237FB9" w:rsidRPr="00ED45C1">
        <w:rPr>
          <w:rFonts w:cs="Arial"/>
          <w:color w:val="000000"/>
          <w:szCs w:val="24"/>
        </w:rPr>
        <w:t xml:space="preserve">, la </w:t>
      </w:r>
      <w:r w:rsidR="00267B51" w:rsidRPr="00ED45C1">
        <w:rPr>
          <w:rFonts w:cs="Arial"/>
          <w:color w:val="000000"/>
          <w:szCs w:val="24"/>
        </w:rPr>
        <w:t>Organización Internacional del Trabajo (O</w:t>
      </w:r>
      <w:r w:rsidR="00237FB9" w:rsidRPr="00ED45C1">
        <w:rPr>
          <w:rFonts w:cs="Arial"/>
          <w:color w:val="000000"/>
          <w:szCs w:val="24"/>
        </w:rPr>
        <w:t>IT</w:t>
      </w:r>
      <w:r w:rsidR="00ED3A91" w:rsidRPr="00ED45C1">
        <w:rPr>
          <w:rFonts w:cs="Arial"/>
          <w:color w:val="000000"/>
          <w:szCs w:val="24"/>
        </w:rPr>
        <w:t>)</w:t>
      </w:r>
      <w:r w:rsidR="00237FB9" w:rsidRPr="00ED45C1">
        <w:rPr>
          <w:rFonts w:cs="Arial"/>
          <w:color w:val="000000"/>
          <w:szCs w:val="24"/>
        </w:rPr>
        <w:t xml:space="preserve"> y la</w:t>
      </w:r>
      <w:r w:rsidR="00ED3A91" w:rsidRPr="00ED45C1">
        <w:rPr>
          <w:rFonts w:cs="Arial"/>
          <w:color w:val="000000"/>
          <w:szCs w:val="24"/>
        </w:rPr>
        <w:t xml:space="preserve"> Secretaría de Trabajo y Previsión Social (</w:t>
      </w:r>
      <w:r w:rsidR="00237FB9" w:rsidRPr="00ED45C1">
        <w:rPr>
          <w:rFonts w:cs="Arial"/>
          <w:color w:val="000000"/>
          <w:szCs w:val="24"/>
        </w:rPr>
        <w:t>STPS</w:t>
      </w:r>
      <w:r w:rsidR="00ED3A91" w:rsidRPr="00ED45C1">
        <w:rPr>
          <w:rFonts w:cs="Arial"/>
          <w:color w:val="000000"/>
          <w:szCs w:val="24"/>
        </w:rPr>
        <w:t>)</w:t>
      </w:r>
      <w:r w:rsidR="008E4921" w:rsidRPr="00ED45C1">
        <w:rPr>
          <w:rFonts w:cs="Arial"/>
          <w:color w:val="000000"/>
          <w:szCs w:val="24"/>
        </w:rPr>
        <w:t xml:space="preserve">. Esta </w:t>
      </w:r>
      <w:r w:rsidR="00E74CC9" w:rsidRPr="00ED45C1">
        <w:rPr>
          <w:rFonts w:cs="Arial"/>
          <w:color w:val="000000"/>
          <w:szCs w:val="24"/>
        </w:rPr>
        <w:t>e</w:t>
      </w:r>
      <w:r w:rsidR="008E4921" w:rsidRPr="00ED45C1">
        <w:rPr>
          <w:rFonts w:cs="Arial"/>
          <w:color w:val="000000"/>
          <w:szCs w:val="24"/>
        </w:rPr>
        <w:t xml:space="preserve">ncuesta se </w:t>
      </w:r>
      <w:r w:rsidRPr="00ED45C1">
        <w:rPr>
          <w:rFonts w:cs="Arial"/>
          <w:color w:val="000000"/>
          <w:szCs w:val="24"/>
        </w:rPr>
        <w:t>aplic</w:t>
      </w:r>
      <w:r w:rsidR="008E4921" w:rsidRPr="00ED45C1">
        <w:rPr>
          <w:rFonts w:cs="Arial"/>
          <w:color w:val="000000"/>
          <w:szCs w:val="24"/>
        </w:rPr>
        <w:t>ó</w:t>
      </w:r>
      <w:r w:rsidRPr="00ED45C1">
        <w:rPr>
          <w:rFonts w:cs="Arial"/>
          <w:color w:val="000000"/>
          <w:szCs w:val="24"/>
        </w:rPr>
        <w:t xml:space="preserve"> </w:t>
      </w:r>
      <w:r w:rsidR="008E4921" w:rsidRPr="00ED45C1">
        <w:rPr>
          <w:rFonts w:cs="Arial"/>
          <w:szCs w:val="24"/>
        </w:rPr>
        <w:t xml:space="preserve">en el cuarto trimestre de 2022, </w:t>
      </w:r>
      <w:r w:rsidR="00E74CC9" w:rsidRPr="00ED45C1">
        <w:rPr>
          <w:rFonts w:cs="Arial"/>
          <w:szCs w:val="24"/>
        </w:rPr>
        <w:t>sobre</w:t>
      </w:r>
      <w:r w:rsidRPr="00ED45C1">
        <w:rPr>
          <w:rFonts w:cs="Arial"/>
          <w:color w:val="000000"/>
          <w:szCs w:val="24"/>
        </w:rPr>
        <w:t xml:space="preserve"> una muestra de viviendas</w:t>
      </w:r>
      <w:r w:rsidR="008E4921" w:rsidRPr="00ED45C1">
        <w:rPr>
          <w:rFonts w:cs="Arial"/>
          <w:color w:val="000000"/>
          <w:szCs w:val="24"/>
        </w:rPr>
        <w:t xml:space="preserve"> </w:t>
      </w:r>
      <w:r w:rsidR="008E4921" w:rsidRPr="00ED45C1">
        <w:rPr>
          <w:rFonts w:cs="Arial"/>
          <w:color w:val="000000" w:themeColor="text1"/>
          <w:szCs w:val="24"/>
        </w:rPr>
        <w:t xml:space="preserve">del Marco de Muestreo de Viviendas del INEGI </w:t>
      </w:r>
      <w:r w:rsidRPr="00ED45C1">
        <w:rPr>
          <w:rFonts w:cs="Arial"/>
          <w:color w:val="000000"/>
          <w:szCs w:val="24"/>
        </w:rPr>
        <w:t xml:space="preserve">con </w:t>
      </w:r>
      <w:r w:rsidR="00D92FDD" w:rsidRPr="00ED45C1">
        <w:rPr>
          <w:rFonts w:cs="Arial"/>
          <w:color w:val="000000"/>
          <w:szCs w:val="24"/>
        </w:rPr>
        <w:t xml:space="preserve">población </w:t>
      </w:r>
      <w:r w:rsidR="00905AF9" w:rsidRPr="00ED45C1">
        <w:rPr>
          <w:rFonts w:cs="Arial"/>
          <w:color w:val="000000"/>
          <w:szCs w:val="24"/>
        </w:rPr>
        <w:t>entre los</w:t>
      </w:r>
      <w:r w:rsidR="00D92FDD" w:rsidRPr="00ED45C1">
        <w:rPr>
          <w:rFonts w:cs="Arial"/>
          <w:color w:val="000000"/>
          <w:szCs w:val="24"/>
        </w:rPr>
        <w:t xml:space="preserve"> 5 </w:t>
      </w:r>
      <w:r w:rsidR="00905AF9" w:rsidRPr="00ED45C1">
        <w:rPr>
          <w:rFonts w:cs="Arial"/>
          <w:color w:val="000000"/>
          <w:szCs w:val="24"/>
        </w:rPr>
        <w:t>y los</w:t>
      </w:r>
      <w:r w:rsidR="00D92FDD" w:rsidRPr="00ED45C1">
        <w:rPr>
          <w:rFonts w:cs="Arial"/>
          <w:color w:val="000000"/>
          <w:szCs w:val="24"/>
        </w:rPr>
        <w:t xml:space="preserve"> 17 años</w:t>
      </w:r>
      <w:r w:rsidR="00905AF9" w:rsidRPr="00ED45C1">
        <w:rPr>
          <w:rFonts w:cs="Arial"/>
          <w:color w:val="000000"/>
          <w:szCs w:val="24"/>
        </w:rPr>
        <w:t xml:space="preserve"> de edad</w:t>
      </w:r>
      <w:r w:rsidR="00237FB9" w:rsidRPr="00ED45C1">
        <w:rPr>
          <w:rFonts w:cs="Arial"/>
          <w:color w:val="000000"/>
          <w:szCs w:val="24"/>
        </w:rPr>
        <w:t xml:space="preserve">. </w:t>
      </w:r>
      <w:r w:rsidR="00905AF9" w:rsidRPr="00ED45C1">
        <w:rPr>
          <w:rFonts w:cs="Arial"/>
          <w:color w:val="000000"/>
          <w:szCs w:val="24"/>
        </w:rPr>
        <w:t xml:space="preserve">Su objetivo es </w:t>
      </w:r>
      <w:r w:rsidR="002C3154" w:rsidRPr="00ED45C1">
        <w:rPr>
          <w:rFonts w:cs="Arial"/>
          <w:color w:val="000000"/>
          <w:szCs w:val="24"/>
        </w:rPr>
        <w:t>mostrar el panorama d</w:t>
      </w:r>
      <w:r w:rsidRPr="00ED45C1">
        <w:rPr>
          <w:rFonts w:cs="Arial"/>
          <w:color w:val="000000"/>
          <w:szCs w:val="24"/>
        </w:rPr>
        <w:t>el trabajo infantil</w:t>
      </w:r>
      <w:r w:rsidR="00185689" w:rsidRPr="00ED45C1">
        <w:rPr>
          <w:rFonts w:cs="Arial"/>
          <w:color w:val="000000"/>
          <w:szCs w:val="24"/>
        </w:rPr>
        <w:t>. Asimismo,</w:t>
      </w:r>
      <w:r w:rsidR="00ED45C1" w:rsidRPr="00ED45C1">
        <w:rPr>
          <w:rFonts w:cs="Arial"/>
          <w:color w:val="000000"/>
          <w:szCs w:val="24"/>
        </w:rPr>
        <w:t xml:space="preserve"> </w:t>
      </w:r>
      <w:r w:rsidR="00603B65" w:rsidRPr="00ED45C1">
        <w:rPr>
          <w:rFonts w:cs="Arial"/>
          <w:color w:val="000000"/>
          <w:szCs w:val="24"/>
        </w:rPr>
        <w:t xml:space="preserve">busca mantener la continuidad en la generación de </w:t>
      </w:r>
      <w:r w:rsidR="004862A0">
        <w:rPr>
          <w:rFonts w:cs="Arial"/>
          <w:color w:val="000000"/>
          <w:szCs w:val="24"/>
        </w:rPr>
        <w:t>información</w:t>
      </w:r>
      <w:r w:rsidR="00386984" w:rsidRPr="00ED45C1">
        <w:rPr>
          <w:rFonts w:cs="Arial"/>
          <w:color w:val="000000"/>
          <w:szCs w:val="24"/>
        </w:rPr>
        <w:t xml:space="preserve"> </w:t>
      </w:r>
      <w:r w:rsidR="00603B65" w:rsidRPr="00ED45C1">
        <w:rPr>
          <w:rFonts w:cs="Arial"/>
          <w:color w:val="000000"/>
          <w:szCs w:val="24"/>
        </w:rPr>
        <w:t>sobre el tema para que</w:t>
      </w:r>
      <w:r w:rsidR="00904F8C" w:rsidRPr="00ED45C1">
        <w:rPr>
          <w:rFonts w:cs="Arial"/>
          <w:color w:val="000000"/>
          <w:szCs w:val="24"/>
        </w:rPr>
        <w:t xml:space="preserve"> las y</w:t>
      </w:r>
      <w:r w:rsidR="00603B65" w:rsidRPr="00ED45C1">
        <w:rPr>
          <w:rFonts w:cs="Arial"/>
          <w:color w:val="000000"/>
          <w:szCs w:val="24"/>
        </w:rPr>
        <w:t xml:space="preserve"> los diseñadores de políticas públicas dispongan de</w:t>
      </w:r>
      <w:r w:rsidR="00904F8C" w:rsidRPr="00ED45C1">
        <w:rPr>
          <w:rFonts w:cs="Arial"/>
          <w:color w:val="000000"/>
          <w:szCs w:val="24"/>
        </w:rPr>
        <w:t xml:space="preserve"> información</w:t>
      </w:r>
      <w:r w:rsidR="00603B65" w:rsidRPr="00ED45C1">
        <w:rPr>
          <w:rFonts w:cs="Arial"/>
          <w:color w:val="000000"/>
          <w:szCs w:val="24"/>
        </w:rPr>
        <w:t xml:space="preserve"> para la toma de decisiones orientadas a errad</w:t>
      </w:r>
      <w:r w:rsidR="00904F8C" w:rsidRPr="00ED45C1">
        <w:rPr>
          <w:rFonts w:cs="Arial"/>
          <w:color w:val="000000"/>
          <w:szCs w:val="24"/>
        </w:rPr>
        <w:t>icarlo</w:t>
      </w:r>
      <w:r w:rsidR="00603B65" w:rsidRPr="00ED45C1">
        <w:rPr>
          <w:rFonts w:cs="Arial"/>
          <w:color w:val="000000"/>
          <w:szCs w:val="24"/>
        </w:rPr>
        <w:t>.</w:t>
      </w:r>
    </w:p>
    <w:p w14:paraId="2E2B9A63" w14:textId="77777777" w:rsidR="00603B65" w:rsidRDefault="00603B65" w:rsidP="004B1EF2">
      <w:pPr>
        <w:widowControl/>
        <w:autoSpaceDE w:val="0"/>
        <w:autoSpaceDN w:val="0"/>
        <w:ind w:right="51"/>
        <w:rPr>
          <w:rFonts w:cs="Arial"/>
          <w:color w:val="000000"/>
          <w:szCs w:val="24"/>
        </w:rPr>
      </w:pPr>
    </w:p>
    <w:p w14:paraId="00621C30" w14:textId="61521BC7" w:rsidR="00791592" w:rsidRDefault="00791592" w:rsidP="004B1EF2">
      <w:pPr>
        <w:widowControl/>
        <w:autoSpaceDE w:val="0"/>
        <w:autoSpaceDN w:val="0"/>
        <w:ind w:right="51"/>
        <w:rPr>
          <w:rFonts w:cs="Arial"/>
          <w:color w:val="000000"/>
          <w:szCs w:val="24"/>
        </w:rPr>
      </w:pPr>
      <w:r>
        <w:rPr>
          <w:rFonts w:cs="Arial"/>
          <w:color w:val="000000"/>
          <w:szCs w:val="24"/>
        </w:rPr>
        <w:t xml:space="preserve">Esta edición </w:t>
      </w:r>
      <w:r w:rsidR="004862A0">
        <w:rPr>
          <w:rFonts w:cs="Arial"/>
          <w:color w:val="000000"/>
          <w:szCs w:val="24"/>
        </w:rPr>
        <w:t>incluye</w:t>
      </w:r>
      <w:r w:rsidR="003131D2">
        <w:rPr>
          <w:rFonts w:cs="Arial"/>
          <w:color w:val="000000"/>
          <w:szCs w:val="24"/>
        </w:rPr>
        <w:t xml:space="preserve"> </w:t>
      </w:r>
      <w:r>
        <w:rPr>
          <w:rFonts w:cs="Arial"/>
          <w:color w:val="000000"/>
          <w:szCs w:val="24"/>
        </w:rPr>
        <w:t>nuevos temas</w:t>
      </w:r>
      <w:r w:rsidR="004862A0">
        <w:rPr>
          <w:rFonts w:cs="Arial"/>
          <w:color w:val="000000"/>
          <w:szCs w:val="24"/>
        </w:rPr>
        <w:t>;</w:t>
      </w:r>
      <w:r>
        <w:rPr>
          <w:rFonts w:cs="Arial"/>
          <w:color w:val="000000"/>
          <w:szCs w:val="24"/>
        </w:rPr>
        <w:t xml:space="preserve"> </w:t>
      </w:r>
      <w:r w:rsidR="00DC74E1">
        <w:rPr>
          <w:rFonts w:cs="Arial"/>
          <w:color w:val="000000"/>
          <w:szCs w:val="24"/>
        </w:rPr>
        <w:t xml:space="preserve">en particular, </w:t>
      </w:r>
      <w:r w:rsidR="007169DA">
        <w:rPr>
          <w:rFonts w:cs="Arial"/>
          <w:color w:val="000000"/>
          <w:szCs w:val="24"/>
        </w:rPr>
        <w:t>los que se relacionan con</w:t>
      </w:r>
      <w:r>
        <w:rPr>
          <w:rFonts w:cs="Arial"/>
          <w:color w:val="000000"/>
          <w:szCs w:val="24"/>
        </w:rPr>
        <w:t xml:space="preserve"> las características y servicios de las viviendas </w:t>
      </w:r>
      <w:r w:rsidR="004862A0">
        <w:rPr>
          <w:rFonts w:cs="Arial"/>
          <w:color w:val="000000"/>
          <w:szCs w:val="24"/>
        </w:rPr>
        <w:t xml:space="preserve">en las </w:t>
      </w:r>
      <w:r>
        <w:rPr>
          <w:rFonts w:cs="Arial"/>
          <w:color w:val="000000"/>
          <w:szCs w:val="24"/>
        </w:rPr>
        <w:t xml:space="preserve">que habita la </w:t>
      </w:r>
      <w:r w:rsidR="00D92FDD">
        <w:rPr>
          <w:rFonts w:cs="Arial"/>
          <w:color w:val="000000"/>
          <w:szCs w:val="24"/>
        </w:rPr>
        <w:t>población de 5 a 17 años</w:t>
      </w:r>
      <w:r w:rsidR="00EC0F4B">
        <w:rPr>
          <w:rFonts w:cs="Arial"/>
          <w:color w:val="000000"/>
          <w:szCs w:val="24"/>
        </w:rPr>
        <w:t>. Con lo anterior, también se indaga en torno a</w:t>
      </w:r>
      <w:r>
        <w:rPr>
          <w:rFonts w:cs="Arial"/>
          <w:color w:val="000000"/>
          <w:szCs w:val="24"/>
        </w:rPr>
        <w:t xml:space="preserve"> la disponibilidad de bienes y servicios de telecomunicaciones</w:t>
      </w:r>
      <w:r w:rsidR="00EC0F4B">
        <w:rPr>
          <w:rFonts w:cs="Arial"/>
          <w:color w:val="000000"/>
          <w:szCs w:val="24"/>
        </w:rPr>
        <w:t>,</w:t>
      </w:r>
      <w:r>
        <w:rPr>
          <w:rFonts w:cs="Arial"/>
          <w:color w:val="000000"/>
          <w:szCs w:val="24"/>
        </w:rPr>
        <w:t xml:space="preserve"> problemas que enfrentaron </w:t>
      </w:r>
      <w:r w:rsidR="00280621">
        <w:rPr>
          <w:rFonts w:cs="Arial"/>
          <w:color w:val="000000"/>
          <w:szCs w:val="24"/>
        </w:rPr>
        <w:t>los hogares en los últimos años</w:t>
      </w:r>
      <w:r>
        <w:rPr>
          <w:rFonts w:cs="Arial"/>
          <w:color w:val="000000"/>
          <w:szCs w:val="24"/>
        </w:rPr>
        <w:t>, entre otros.</w:t>
      </w:r>
    </w:p>
    <w:p w14:paraId="2C7E2189" w14:textId="77777777" w:rsidR="005866BF" w:rsidRDefault="005866BF" w:rsidP="004B1EF2">
      <w:pPr>
        <w:widowControl/>
        <w:autoSpaceDE w:val="0"/>
        <w:autoSpaceDN w:val="0"/>
        <w:ind w:right="51"/>
        <w:rPr>
          <w:rFonts w:cs="Arial"/>
          <w:color w:val="000000"/>
          <w:szCs w:val="24"/>
        </w:rPr>
      </w:pPr>
    </w:p>
    <w:p w14:paraId="641FDA90" w14:textId="172F2926" w:rsidR="005866BF" w:rsidRPr="0037646C" w:rsidRDefault="005866BF" w:rsidP="004B1EF2">
      <w:pPr>
        <w:widowControl/>
        <w:ind w:right="51"/>
        <w:rPr>
          <w:rFonts w:cs="Arial"/>
          <w:color w:val="000000"/>
          <w:szCs w:val="24"/>
        </w:rPr>
      </w:pPr>
      <w:r w:rsidRPr="0037646C">
        <w:rPr>
          <w:rFonts w:cs="Arial"/>
          <w:color w:val="000000"/>
          <w:szCs w:val="24"/>
        </w:rPr>
        <w:t xml:space="preserve">La </w:t>
      </w:r>
      <w:r>
        <w:rPr>
          <w:rFonts w:cs="Arial"/>
          <w:color w:val="000000"/>
          <w:szCs w:val="24"/>
        </w:rPr>
        <w:t xml:space="preserve">población de estudio </w:t>
      </w:r>
      <w:r w:rsidR="00EC0F4B">
        <w:rPr>
          <w:rFonts w:cs="Arial"/>
          <w:color w:val="000000"/>
          <w:szCs w:val="24"/>
        </w:rPr>
        <w:t xml:space="preserve">fue la que se encuentra en el rango de los </w:t>
      </w:r>
      <w:r w:rsidRPr="0037646C">
        <w:rPr>
          <w:rFonts w:cs="Arial"/>
          <w:color w:val="000000"/>
          <w:szCs w:val="24"/>
        </w:rPr>
        <w:t xml:space="preserve">5 a 17 años </w:t>
      </w:r>
      <w:r w:rsidR="00EC0F4B">
        <w:rPr>
          <w:rFonts w:cs="Arial"/>
          <w:color w:val="000000"/>
          <w:szCs w:val="24"/>
        </w:rPr>
        <w:t xml:space="preserve">de edad </w:t>
      </w:r>
      <w:r w:rsidRPr="0037646C">
        <w:rPr>
          <w:rFonts w:cs="Arial"/>
          <w:color w:val="000000"/>
          <w:szCs w:val="24"/>
        </w:rPr>
        <w:t>que</w:t>
      </w:r>
      <w:r>
        <w:rPr>
          <w:rFonts w:cs="Arial"/>
          <w:color w:val="000000"/>
          <w:szCs w:val="24"/>
        </w:rPr>
        <w:t>,</w:t>
      </w:r>
      <w:r w:rsidRPr="0037646C">
        <w:rPr>
          <w:rFonts w:cs="Arial"/>
          <w:color w:val="000000"/>
          <w:szCs w:val="24"/>
        </w:rPr>
        <w:t xml:space="preserve"> durante </w:t>
      </w:r>
      <w:r>
        <w:rPr>
          <w:rFonts w:cs="Arial"/>
          <w:color w:val="000000"/>
          <w:szCs w:val="24"/>
        </w:rPr>
        <w:t>el cuarto trimestre de 2022,</w:t>
      </w:r>
      <w:r w:rsidRPr="0037646C">
        <w:rPr>
          <w:rFonts w:cs="Arial"/>
          <w:color w:val="000000"/>
          <w:szCs w:val="24"/>
        </w:rPr>
        <w:t xml:space="preserve"> particip</w:t>
      </w:r>
      <w:r w:rsidR="00EC0F4B">
        <w:rPr>
          <w:rFonts w:cs="Arial"/>
          <w:color w:val="000000"/>
          <w:szCs w:val="24"/>
        </w:rPr>
        <w:t>ó</w:t>
      </w:r>
      <w:r w:rsidRPr="0037646C">
        <w:rPr>
          <w:rFonts w:cs="Arial"/>
          <w:color w:val="000000"/>
          <w:szCs w:val="24"/>
        </w:rPr>
        <w:t xml:space="preserve"> en una o más de las siguientes actividades:</w:t>
      </w:r>
    </w:p>
    <w:p w14:paraId="3510BECC" w14:textId="77777777" w:rsidR="005866BF" w:rsidRPr="0037646C" w:rsidRDefault="005866BF" w:rsidP="004B1EF2">
      <w:pPr>
        <w:widowControl/>
        <w:ind w:right="51"/>
        <w:rPr>
          <w:rFonts w:cs="Arial"/>
          <w:color w:val="000000"/>
          <w:szCs w:val="24"/>
        </w:rPr>
      </w:pPr>
    </w:p>
    <w:p w14:paraId="529096FA" w14:textId="3A8C94D4" w:rsidR="005866BF" w:rsidRDefault="005866BF" w:rsidP="004B1EF2">
      <w:pPr>
        <w:pStyle w:val="Prrafodelista"/>
        <w:widowControl/>
        <w:numPr>
          <w:ilvl w:val="0"/>
          <w:numId w:val="10"/>
        </w:numPr>
        <w:autoSpaceDE w:val="0"/>
        <w:autoSpaceDN w:val="0"/>
        <w:adjustRightInd w:val="0"/>
        <w:ind w:right="51" w:firstLine="0"/>
        <w:rPr>
          <w:rFonts w:cs="Arial"/>
          <w:color w:val="000000"/>
          <w:szCs w:val="24"/>
        </w:rPr>
      </w:pPr>
      <w:r w:rsidRPr="00ED45C1">
        <w:rPr>
          <w:rFonts w:cs="Arial"/>
          <w:color w:val="000000"/>
          <w:szCs w:val="24"/>
        </w:rPr>
        <w:t>Peores formas de trabajo infantil (trabajo peligroso y otras formas)</w:t>
      </w:r>
      <w:r w:rsidR="00B61B12">
        <w:rPr>
          <w:rFonts w:cs="Arial"/>
          <w:color w:val="000000"/>
          <w:szCs w:val="24"/>
        </w:rPr>
        <w:t>.</w:t>
      </w:r>
    </w:p>
    <w:p w14:paraId="488DE7E2" w14:textId="30DEAD27" w:rsidR="005866BF" w:rsidRDefault="005866BF" w:rsidP="004B1EF2">
      <w:pPr>
        <w:pStyle w:val="Prrafodelista"/>
        <w:widowControl/>
        <w:numPr>
          <w:ilvl w:val="0"/>
          <w:numId w:val="10"/>
        </w:numPr>
        <w:autoSpaceDE w:val="0"/>
        <w:autoSpaceDN w:val="0"/>
        <w:adjustRightInd w:val="0"/>
        <w:ind w:right="51" w:firstLine="0"/>
        <w:rPr>
          <w:rFonts w:cs="Arial"/>
          <w:color w:val="000000"/>
          <w:szCs w:val="24"/>
        </w:rPr>
      </w:pPr>
      <w:r>
        <w:rPr>
          <w:rFonts w:cs="Arial"/>
          <w:color w:val="000000"/>
          <w:szCs w:val="24"/>
        </w:rPr>
        <w:t>E</w:t>
      </w:r>
      <w:r w:rsidRPr="00ED45C1">
        <w:rPr>
          <w:rFonts w:cs="Arial"/>
          <w:color w:val="000000"/>
          <w:szCs w:val="24"/>
        </w:rPr>
        <w:t>mpleo por debajo de la edad mínima</w:t>
      </w:r>
      <w:r w:rsidR="00067F13">
        <w:rPr>
          <w:rFonts w:cs="Arial"/>
          <w:color w:val="000000"/>
          <w:szCs w:val="24"/>
        </w:rPr>
        <w:t>.</w:t>
      </w:r>
    </w:p>
    <w:p w14:paraId="75AFF74A" w14:textId="7CC56050" w:rsidR="005866BF" w:rsidRPr="00ED45C1" w:rsidRDefault="005866BF" w:rsidP="004B1EF2">
      <w:pPr>
        <w:pStyle w:val="Prrafodelista"/>
        <w:widowControl/>
        <w:numPr>
          <w:ilvl w:val="0"/>
          <w:numId w:val="10"/>
        </w:numPr>
        <w:autoSpaceDE w:val="0"/>
        <w:autoSpaceDN w:val="0"/>
        <w:adjustRightInd w:val="0"/>
        <w:ind w:right="51" w:firstLine="0"/>
        <w:rPr>
          <w:rFonts w:cs="Arial"/>
          <w:color w:val="000000"/>
          <w:szCs w:val="24"/>
        </w:rPr>
      </w:pPr>
      <w:r>
        <w:rPr>
          <w:rFonts w:cs="Arial"/>
          <w:color w:val="000000"/>
          <w:szCs w:val="24"/>
        </w:rPr>
        <w:t>S</w:t>
      </w:r>
      <w:r w:rsidRPr="00ED45C1">
        <w:rPr>
          <w:rFonts w:cs="Arial"/>
          <w:color w:val="000000"/>
          <w:szCs w:val="24"/>
        </w:rPr>
        <w:t>ervicios domésticos no remunerados de carácter peligroso</w:t>
      </w:r>
      <w:r w:rsidR="004104F3">
        <w:rPr>
          <w:rFonts w:cs="Arial"/>
          <w:color w:val="000000"/>
          <w:szCs w:val="24"/>
        </w:rPr>
        <w:t>.</w:t>
      </w:r>
      <w:r w:rsidRPr="00ED45C1">
        <w:rPr>
          <w:rFonts w:cs="Arial"/>
          <w:color w:val="000000"/>
          <w:szCs w:val="24"/>
        </w:rPr>
        <w:t xml:space="preserve"> </w:t>
      </w:r>
    </w:p>
    <w:p w14:paraId="7AAED574" w14:textId="77777777" w:rsidR="005866BF" w:rsidRDefault="005866BF" w:rsidP="004B1EF2">
      <w:pPr>
        <w:widowControl/>
        <w:autoSpaceDE w:val="0"/>
        <w:autoSpaceDN w:val="0"/>
        <w:adjustRightInd w:val="0"/>
        <w:ind w:right="51"/>
        <w:rPr>
          <w:rFonts w:cs="Arial"/>
          <w:color w:val="000000"/>
          <w:szCs w:val="24"/>
        </w:rPr>
      </w:pPr>
    </w:p>
    <w:p w14:paraId="7643CC3A" w14:textId="0AD6710A" w:rsidR="001E3935" w:rsidRDefault="004325F1" w:rsidP="004B1EF2">
      <w:pPr>
        <w:widowControl/>
        <w:ind w:right="51"/>
        <w:rPr>
          <w:rFonts w:cs="Arial"/>
          <w:color w:val="000000"/>
          <w:szCs w:val="24"/>
        </w:rPr>
      </w:pPr>
      <w:r>
        <w:rPr>
          <w:rFonts w:cs="Arial"/>
          <w:color w:val="000000"/>
          <w:szCs w:val="24"/>
        </w:rPr>
        <w:t>L</w:t>
      </w:r>
      <w:r w:rsidR="005866BF">
        <w:rPr>
          <w:rFonts w:cs="Arial"/>
          <w:color w:val="000000"/>
          <w:szCs w:val="24"/>
        </w:rPr>
        <w:t xml:space="preserve">a ENTI 2022 </w:t>
      </w:r>
      <w:r w:rsidR="00E91029">
        <w:rPr>
          <w:rFonts w:cs="Arial"/>
          <w:color w:val="000000"/>
          <w:szCs w:val="24"/>
        </w:rPr>
        <w:t>recaba</w:t>
      </w:r>
      <w:r w:rsidR="00E516DB">
        <w:rPr>
          <w:rFonts w:cs="Arial"/>
          <w:color w:val="000000"/>
          <w:szCs w:val="24"/>
        </w:rPr>
        <w:t xml:space="preserve"> datos</w:t>
      </w:r>
      <w:r w:rsidR="00E91029">
        <w:rPr>
          <w:rFonts w:cs="Arial"/>
          <w:color w:val="000000"/>
          <w:szCs w:val="24"/>
        </w:rPr>
        <w:t xml:space="preserve"> sobre </w:t>
      </w:r>
      <w:r w:rsidR="000A7556">
        <w:rPr>
          <w:rFonts w:cs="Arial"/>
          <w:color w:val="000000"/>
          <w:szCs w:val="24"/>
        </w:rPr>
        <w:t>la</w:t>
      </w:r>
      <w:r w:rsidR="004104F3">
        <w:rPr>
          <w:rFonts w:cs="Arial"/>
          <w:color w:val="000000"/>
          <w:szCs w:val="24"/>
        </w:rPr>
        <w:t xml:space="preserve">s personas de 5 a 17 años </w:t>
      </w:r>
      <w:r w:rsidR="000A7556">
        <w:rPr>
          <w:rFonts w:cs="Arial"/>
          <w:color w:val="000000"/>
          <w:szCs w:val="24"/>
        </w:rPr>
        <w:t>que trabaja</w:t>
      </w:r>
      <w:r w:rsidR="004104F3">
        <w:rPr>
          <w:rFonts w:cs="Arial"/>
          <w:color w:val="000000"/>
          <w:szCs w:val="24"/>
        </w:rPr>
        <w:t>n</w:t>
      </w:r>
      <w:r w:rsidR="00E0555F">
        <w:rPr>
          <w:rFonts w:cs="Arial"/>
          <w:color w:val="000000"/>
          <w:szCs w:val="24"/>
        </w:rPr>
        <w:t xml:space="preserve"> y, sobre todo, que está</w:t>
      </w:r>
      <w:r w:rsidR="004104F3">
        <w:rPr>
          <w:rFonts w:cs="Arial"/>
          <w:color w:val="000000"/>
          <w:szCs w:val="24"/>
        </w:rPr>
        <w:t>n</w:t>
      </w:r>
      <w:r w:rsidR="00E0555F">
        <w:rPr>
          <w:rFonts w:cs="Arial"/>
          <w:color w:val="000000"/>
          <w:szCs w:val="24"/>
        </w:rPr>
        <w:t xml:space="preserve"> inmersa</w:t>
      </w:r>
      <w:r w:rsidR="004104F3">
        <w:rPr>
          <w:rFonts w:cs="Arial"/>
          <w:color w:val="000000"/>
          <w:szCs w:val="24"/>
        </w:rPr>
        <w:t>s</w:t>
      </w:r>
      <w:r w:rsidR="00E0555F">
        <w:rPr>
          <w:rFonts w:cs="Arial"/>
          <w:color w:val="000000"/>
          <w:szCs w:val="24"/>
        </w:rPr>
        <w:t xml:space="preserve"> en </w:t>
      </w:r>
      <w:r w:rsidR="005304C6">
        <w:rPr>
          <w:rFonts w:cs="Arial"/>
          <w:color w:val="000000"/>
          <w:szCs w:val="24"/>
        </w:rPr>
        <w:t xml:space="preserve">el </w:t>
      </w:r>
      <w:r w:rsidR="005866BF">
        <w:rPr>
          <w:rFonts w:cs="Arial"/>
          <w:color w:val="000000"/>
          <w:szCs w:val="24"/>
        </w:rPr>
        <w:t>trabajo peligroso (ocupación peligrosa)</w:t>
      </w:r>
      <w:r w:rsidR="004862A0">
        <w:rPr>
          <w:rFonts w:cs="Arial"/>
          <w:color w:val="000000"/>
          <w:szCs w:val="24"/>
        </w:rPr>
        <w:t>, definido</w:t>
      </w:r>
      <w:r w:rsidR="005866BF">
        <w:rPr>
          <w:rFonts w:cs="Arial"/>
          <w:color w:val="000000"/>
          <w:szCs w:val="24"/>
        </w:rPr>
        <w:t xml:space="preserve"> a partir de la legislación nacional</w:t>
      </w:r>
      <w:r w:rsidR="004862A0">
        <w:rPr>
          <w:rStyle w:val="Refdenotaalpie"/>
          <w:color w:val="000000"/>
          <w:szCs w:val="24"/>
        </w:rPr>
        <w:footnoteReference w:id="9"/>
      </w:r>
      <w:r w:rsidR="00466E62">
        <w:rPr>
          <w:rFonts w:cs="Arial"/>
          <w:color w:val="000000"/>
          <w:szCs w:val="24"/>
        </w:rPr>
        <w:t>. En otras palabras</w:t>
      </w:r>
      <w:r w:rsidR="0077551F">
        <w:rPr>
          <w:rFonts w:cs="Arial"/>
          <w:color w:val="000000"/>
          <w:szCs w:val="24"/>
        </w:rPr>
        <w:t>,</w:t>
      </w:r>
      <w:r w:rsidR="00466E62">
        <w:rPr>
          <w:rFonts w:cs="Arial"/>
          <w:color w:val="000000"/>
          <w:szCs w:val="24"/>
        </w:rPr>
        <w:t xml:space="preserve"> se trata de </w:t>
      </w:r>
      <w:r w:rsidR="005866BF">
        <w:rPr>
          <w:rFonts w:cs="Arial"/>
          <w:color w:val="000000"/>
          <w:szCs w:val="24"/>
        </w:rPr>
        <w:t>niñas, niños y adolescentes ocupados en s</w:t>
      </w:r>
      <w:r w:rsidR="005866BF" w:rsidRPr="00C956B9">
        <w:rPr>
          <w:rFonts w:cs="Arial"/>
          <w:color w:val="000000"/>
          <w:szCs w:val="24"/>
        </w:rPr>
        <w:t xml:space="preserve">ectores de actividad </w:t>
      </w:r>
      <w:r w:rsidR="005866BF">
        <w:rPr>
          <w:rFonts w:cs="Arial"/>
          <w:color w:val="000000"/>
          <w:szCs w:val="24"/>
        </w:rPr>
        <w:t>y</w:t>
      </w:r>
      <w:r w:rsidR="005866BF" w:rsidRPr="00C956B9">
        <w:rPr>
          <w:rFonts w:cs="Arial"/>
          <w:color w:val="000000"/>
          <w:szCs w:val="24"/>
        </w:rPr>
        <w:t xml:space="preserve"> ocupaciones peligrosas, actividades en exposición a rie</w:t>
      </w:r>
      <w:r w:rsidR="005866BF">
        <w:rPr>
          <w:rFonts w:cs="Arial"/>
          <w:color w:val="000000"/>
          <w:szCs w:val="24"/>
        </w:rPr>
        <w:t>s</w:t>
      </w:r>
      <w:r w:rsidR="005866BF" w:rsidRPr="00C956B9">
        <w:rPr>
          <w:rFonts w:cs="Arial"/>
          <w:color w:val="000000"/>
          <w:szCs w:val="24"/>
        </w:rPr>
        <w:t xml:space="preserve">gos, lugares </w:t>
      </w:r>
      <w:r w:rsidR="005866BF">
        <w:rPr>
          <w:rFonts w:cs="Arial"/>
          <w:color w:val="000000"/>
          <w:szCs w:val="24"/>
        </w:rPr>
        <w:t xml:space="preserve">de trabajo </w:t>
      </w:r>
      <w:r w:rsidR="005866BF" w:rsidRPr="00C956B9">
        <w:rPr>
          <w:rFonts w:cs="Arial"/>
          <w:color w:val="000000"/>
          <w:szCs w:val="24"/>
        </w:rPr>
        <w:t xml:space="preserve">no apropiados, actividades que afectan </w:t>
      </w:r>
      <w:r w:rsidR="00E0555F">
        <w:rPr>
          <w:rFonts w:cs="Arial"/>
          <w:color w:val="000000"/>
          <w:szCs w:val="24"/>
        </w:rPr>
        <w:t>su</w:t>
      </w:r>
      <w:r w:rsidR="005866BF" w:rsidRPr="00C956B9">
        <w:rPr>
          <w:rFonts w:cs="Arial"/>
          <w:color w:val="000000"/>
          <w:szCs w:val="24"/>
        </w:rPr>
        <w:t xml:space="preserve"> salud, jornadas no apropiadas y horarios prolongados</w:t>
      </w:r>
      <w:r w:rsidR="00E0555F">
        <w:rPr>
          <w:rFonts w:cs="Arial"/>
          <w:color w:val="000000"/>
          <w:szCs w:val="24"/>
        </w:rPr>
        <w:t>.</w:t>
      </w:r>
      <w:r w:rsidR="0095496C">
        <w:rPr>
          <w:rFonts w:cs="Arial"/>
          <w:color w:val="000000"/>
          <w:szCs w:val="24"/>
        </w:rPr>
        <w:t xml:space="preserve"> L</w:t>
      </w:r>
      <w:r w:rsidR="00ED45C1">
        <w:rPr>
          <w:rFonts w:cs="Arial"/>
          <w:color w:val="000000"/>
          <w:szCs w:val="24"/>
        </w:rPr>
        <w:t>a</w:t>
      </w:r>
      <w:r w:rsidR="0095496C">
        <w:rPr>
          <w:rFonts w:cs="Arial"/>
          <w:color w:val="000000"/>
          <w:szCs w:val="24"/>
        </w:rPr>
        <w:t xml:space="preserve"> ENTI t</w:t>
      </w:r>
      <w:r w:rsidR="00E0555F">
        <w:rPr>
          <w:rFonts w:cs="Arial"/>
          <w:color w:val="000000"/>
          <w:szCs w:val="24"/>
        </w:rPr>
        <w:t xml:space="preserve">ambién </w:t>
      </w:r>
      <w:r w:rsidR="009826FE">
        <w:rPr>
          <w:rFonts w:cs="Arial"/>
          <w:color w:val="000000"/>
          <w:szCs w:val="24"/>
        </w:rPr>
        <w:t xml:space="preserve">recaba </w:t>
      </w:r>
      <w:r w:rsidR="00ED45C1">
        <w:rPr>
          <w:rFonts w:cs="Arial"/>
          <w:color w:val="000000"/>
          <w:szCs w:val="24"/>
        </w:rPr>
        <w:t xml:space="preserve">información </w:t>
      </w:r>
      <w:r w:rsidR="009826FE">
        <w:rPr>
          <w:rFonts w:cs="Arial"/>
          <w:color w:val="000000"/>
          <w:szCs w:val="24"/>
        </w:rPr>
        <w:t xml:space="preserve">sobre </w:t>
      </w:r>
      <w:r w:rsidR="00ED45C1">
        <w:rPr>
          <w:rFonts w:cs="Arial"/>
          <w:color w:val="000000"/>
          <w:szCs w:val="24"/>
        </w:rPr>
        <w:t xml:space="preserve">los ocupados </w:t>
      </w:r>
      <w:r w:rsidR="005866BF">
        <w:rPr>
          <w:rFonts w:cs="Arial"/>
          <w:color w:val="000000"/>
          <w:szCs w:val="24"/>
        </w:rPr>
        <w:t>por debajo de la edad mínima</w:t>
      </w:r>
      <w:r w:rsidR="00B10049">
        <w:rPr>
          <w:rFonts w:cs="Arial"/>
          <w:color w:val="000000"/>
          <w:szCs w:val="24"/>
        </w:rPr>
        <w:t xml:space="preserve"> que</w:t>
      </w:r>
      <w:r w:rsidR="00F53D3D">
        <w:rPr>
          <w:rFonts w:cs="Arial"/>
          <w:color w:val="000000"/>
          <w:szCs w:val="24"/>
        </w:rPr>
        <w:t>,</w:t>
      </w:r>
      <w:r w:rsidR="005866BF">
        <w:rPr>
          <w:rFonts w:cs="Arial"/>
          <w:color w:val="000000"/>
          <w:szCs w:val="24"/>
        </w:rPr>
        <w:t xml:space="preserve"> de acuerdo con la legislación nacional</w:t>
      </w:r>
      <w:r w:rsidR="009826FE">
        <w:rPr>
          <w:rFonts w:cs="Arial"/>
          <w:color w:val="000000"/>
          <w:szCs w:val="24"/>
        </w:rPr>
        <w:t xml:space="preserve">, es </w:t>
      </w:r>
      <w:r w:rsidR="005866BF">
        <w:rPr>
          <w:rFonts w:cs="Arial"/>
          <w:color w:val="000000"/>
          <w:szCs w:val="24"/>
        </w:rPr>
        <w:t>inferior a</w:t>
      </w:r>
      <w:r w:rsidR="001E6F64">
        <w:rPr>
          <w:rFonts w:cs="Arial"/>
          <w:color w:val="000000"/>
          <w:szCs w:val="24"/>
        </w:rPr>
        <w:t xml:space="preserve"> los</w:t>
      </w:r>
      <w:r w:rsidR="005866BF">
        <w:rPr>
          <w:rFonts w:cs="Arial"/>
          <w:color w:val="000000"/>
          <w:szCs w:val="24"/>
        </w:rPr>
        <w:t xml:space="preserve"> 15 años</w:t>
      </w:r>
      <w:r w:rsidR="00F53D3D">
        <w:rPr>
          <w:rFonts w:cs="Arial"/>
          <w:color w:val="000000"/>
          <w:szCs w:val="24"/>
        </w:rPr>
        <w:t>. En la medición del trabajo infantil se incluyen los servicios domésticos no remunerados de carácter peligroso.</w:t>
      </w:r>
      <w:r w:rsidR="001E3935">
        <w:rPr>
          <w:rFonts w:cs="Arial"/>
          <w:color w:val="000000"/>
          <w:szCs w:val="24"/>
        </w:rPr>
        <w:t xml:space="preserve"> En la figura 1 se detallan los componentes del trabajo infantil</w:t>
      </w:r>
      <w:r w:rsidR="001E3935" w:rsidRPr="0037646C">
        <w:rPr>
          <w:rFonts w:cs="Arial"/>
          <w:color w:val="000000"/>
          <w:szCs w:val="24"/>
        </w:rPr>
        <w:t>.</w:t>
      </w:r>
    </w:p>
    <w:p w14:paraId="78F00369" w14:textId="37B5B35D" w:rsidR="00F53D3D" w:rsidRDefault="00F53D3D" w:rsidP="004B1EF2">
      <w:pPr>
        <w:widowControl/>
        <w:autoSpaceDE w:val="0"/>
        <w:autoSpaceDN w:val="0"/>
        <w:adjustRightInd w:val="0"/>
        <w:ind w:right="51"/>
        <w:rPr>
          <w:rFonts w:cs="Arial"/>
          <w:color w:val="000000"/>
          <w:szCs w:val="24"/>
        </w:rPr>
      </w:pPr>
    </w:p>
    <w:p w14:paraId="203FC1D9" w14:textId="698AF2BD" w:rsidR="005866BF" w:rsidRDefault="00F53D3D" w:rsidP="00D0575B">
      <w:pPr>
        <w:widowControl/>
        <w:autoSpaceDE w:val="0"/>
        <w:autoSpaceDN w:val="0"/>
        <w:adjustRightInd w:val="0"/>
        <w:rPr>
          <w:rFonts w:cs="Arial"/>
          <w:color w:val="000000"/>
          <w:szCs w:val="24"/>
        </w:rPr>
      </w:pPr>
      <w:r>
        <w:rPr>
          <w:rFonts w:cs="Arial"/>
          <w:color w:val="000000"/>
          <w:szCs w:val="24"/>
        </w:rPr>
        <w:t xml:space="preserve"> </w:t>
      </w:r>
    </w:p>
    <w:p w14:paraId="7BA3BB94" w14:textId="77777777" w:rsidR="001A43FA" w:rsidRDefault="001A43FA" w:rsidP="00D0575B">
      <w:pPr>
        <w:widowControl/>
        <w:autoSpaceDE w:val="0"/>
        <w:autoSpaceDN w:val="0"/>
        <w:adjustRightInd w:val="0"/>
        <w:rPr>
          <w:rFonts w:cs="Arial"/>
          <w:color w:val="000000"/>
          <w:szCs w:val="24"/>
        </w:rPr>
      </w:pPr>
    </w:p>
    <w:p w14:paraId="0C615E2D" w14:textId="77777777" w:rsidR="001A43FA" w:rsidRDefault="001A43FA" w:rsidP="00D0575B">
      <w:pPr>
        <w:widowControl/>
        <w:autoSpaceDE w:val="0"/>
        <w:autoSpaceDN w:val="0"/>
        <w:adjustRightInd w:val="0"/>
        <w:rPr>
          <w:rFonts w:cs="Arial"/>
          <w:color w:val="000000"/>
          <w:szCs w:val="24"/>
        </w:rPr>
      </w:pPr>
    </w:p>
    <w:p w14:paraId="5ADBD23D" w14:textId="77777777" w:rsidR="001A43FA" w:rsidRDefault="001A43FA" w:rsidP="00D0575B">
      <w:pPr>
        <w:widowControl/>
        <w:autoSpaceDE w:val="0"/>
        <w:autoSpaceDN w:val="0"/>
        <w:adjustRightInd w:val="0"/>
        <w:rPr>
          <w:rFonts w:cs="Arial"/>
          <w:color w:val="000000"/>
          <w:szCs w:val="24"/>
        </w:rPr>
      </w:pPr>
    </w:p>
    <w:p w14:paraId="45CDA171" w14:textId="77777777" w:rsidR="001A43FA" w:rsidRDefault="001A43FA" w:rsidP="00D0575B">
      <w:pPr>
        <w:widowControl/>
        <w:autoSpaceDE w:val="0"/>
        <w:autoSpaceDN w:val="0"/>
        <w:adjustRightInd w:val="0"/>
        <w:rPr>
          <w:rFonts w:cs="Arial"/>
          <w:color w:val="000000"/>
          <w:szCs w:val="24"/>
        </w:rPr>
      </w:pPr>
    </w:p>
    <w:p w14:paraId="6BE6B52E" w14:textId="77777777" w:rsidR="001A43FA" w:rsidRDefault="001A43FA" w:rsidP="00D0575B">
      <w:pPr>
        <w:widowControl/>
        <w:autoSpaceDE w:val="0"/>
        <w:autoSpaceDN w:val="0"/>
        <w:adjustRightInd w:val="0"/>
        <w:rPr>
          <w:rFonts w:cs="Arial"/>
          <w:color w:val="000000"/>
          <w:szCs w:val="24"/>
        </w:rPr>
      </w:pPr>
    </w:p>
    <w:p w14:paraId="3C13AD47" w14:textId="77777777" w:rsidR="001A43FA" w:rsidRDefault="001A43FA" w:rsidP="00D0575B">
      <w:pPr>
        <w:widowControl/>
        <w:autoSpaceDE w:val="0"/>
        <w:autoSpaceDN w:val="0"/>
        <w:adjustRightInd w:val="0"/>
        <w:rPr>
          <w:rFonts w:cs="Arial"/>
          <w:color w:val="000000"/>
          <w:szCs w:val="24"/>
        </w:rPr>
      </w:pPr>
    </w:p>
    <w:p w14:paraId="43B50DE5" w14:textId="77777777" w:rsidR="001A43FA" w:rsidRDefault="001A43FA" w:rsidP="00D0575B">
      <w:pPr>
        <w:widowControl/>
        <w:autoSpaceDE w:val="0"/>
        <w:autoSpaceDN w:val="0"/>
        <w:adjustRightInd w:val="0"/>
        <w:rPr>
          <w:rFonts w:cs="Arial"/>
          <w:color w:val="000000"/>
          <w:szCs w:val="24"/>
        </w:rPr>
      </w:pPr>
    </w:p>
    <w:p w14:paraId="655B9D91" w14:textId="77777777" w:rsidR="001A43FA" w:rsidRDefault="001A43FA" w:rsidP="00D0575B">
      <w:pPr>
        <w:widowControl/>
        <w:autoSpaceDE w:val="0"/>
        <w:autoSpaceDN w:val="0"/>
        <w:adjustRightInd w:val="0"/>
        <w:rPr>
          <w:rFonts w:cs="Arial"/>
          <w:color w:val="000000"/>
          <w:szCs w:val="24"/>
        </w:rPr>
      </w:pPr>
    </w:p>
    <w:p w14:paraId="39442F68" w14:textId="77777777" w:rsidR="005866BF" w:rsidRDefault="005866BF" w:rsidP="005866BF">
      <w:pPr>
        <w:widowControl/>
        <w:autoSpaceDE w:val="0"/>
        <w:autoSpaceDN w:val="0"/>
        <w:adjustRightInd w:val="0"/>
        <w:rPr>
          <w:rFonts w:cs="Arial"/>
          <w:color w:val="000000"/>
          <w:szCs w:val="24"/>
        </w:rPr>
      </w:pPr>
    </w:p>
    <w:p w14:paraId="02D77E12" w14:textId="6DEC27A9" w:rsidR="005866BF" w:rsidRDefault="005866BF" w:rsidP="005866BF">
      <w:pPr>
        <w:widowControl/>
        <w:autoSpaceDE w:val="0"/>
        <w:autoSpaceDN w:val="0"/>
        <w:adjustRightInd w:val="0"/>
        <w:rPr>
          <w:rFonts w:cs="Arial"/>
          <w:color w:val="000000"/>
          <w:szCs w:val="24"/>
        </w:rPr>
      </w:pPr>
    </w:p>
    <w:p w14:paraId="0EE5C89F" w14:textId="77777777" w:rsidR="00ED45C1" w:rsidRDefault="00ED45C1" w:rsidP="00ED45C1">
      <w:pPr>
        <w:widowControl/>
        <w:jc w:val="center"/>
        <w:rPr>
          <w:rFonts w:cs="Arial"/>
          <w:color w:val="000000"/>
          <w:szCs w:val="24"/>
        </w:rPr>
      </w:pPr>
      <w:r>
        <w:rPr>
          <w:rFonts w:cs="Arial"/>
          <w:color w:val="000000"/>
          <w:szCs w:val="24"/>
        </w:rPr>
        <w:lastRenderedPageBreak/>
        <w:t>Figura 1</w:t>
      </w:r>
    </w:p>
    <w:p w14:paraId="204E3DDA" w14:textId="77777777" w:rsidR="00ED45C1" w:rsidRDefault="00ED45C1" w:rsidP="00ED45C1">
      <w:pPr>
        <w:widowControl/>
        <w:jc w:val="center"/>
        <w:rPr>
          <w:rFonts w:cs="Arial"/>
          <w:b/>
          <w:bCs/>
          <w:color w:val="000000"/>
          <w:szCs w:val="24"/>
        </w:rPr>
      </w:pPr>
      <w:r>
        <w:rPr>
          <w:rFonts w:cs="Arial"/>
          <w:b/>
          <w:bCs/>
          <w:color w:val="000000"/>
          <w:szCs w:val="24"/>
        </w:rPr>
        <w:t>Componentes de trabajo infantil</w:t>
      </w:r>
      <w:r w:rsidRPr="00334BF6" w:rsidDel="00334BF6">
        <w:rPr>
          <w:rFonts w:cs="Arial"/>
          <w:b/>
          <w:bCs/>
          <w:color w:val="000000"/>
          <w:szCs w:val="24"/>
        </w:rPr>
        <w:t xml:space="preserve"> </w:t>
      </w:r>
    </w:p>
    <w:p w14:paraId="74A78F9C" w14:textId="77777777" w:rsidR="00ED45C1" w:rsidRDefault="00ED45C1" w:rsidP="00ED45C1">
      <w:pPr>
        <w:widowControl/>
        <w:jc w:val="center"/>
        <w:rPr>
          <w:rFonts w:cs="Arial"/>
          <w:b/>
          <w:bCs/>
          <w:color w:val="000000"/>
          <w:szCs w:val="24"/>
        </w:rPr>
      </w:pPr>
      <w:r>
        <w:rPr>
          <w:rFonts w:cs="Arial"/>
          <w:b/>
          <w:bCs/>
          <w:noProof/>
          <w:color w:val="000000"/>
          <w:szCs w:val="24"/>
        </w:rPr>
        <w:drawing>
          <wp:inline distT="0" distB="0" distL="0" distR="0" wp14:anchorId="315E986B" wp14:editId="599D6F84">
            <wp:extent cx="6334125" cy="2686050"/>
            <wp:effectExtent l="0" t="0" r="9525" b="0"/>
            <wp:docPr id="345587683" name="Imagen 345587683"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587683" name="Imagen 345587683" descr="Diagrama&#10;&#10;Descripción generada automáticament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35668" cy="2686704"/>
                    </a:xfrm>
                    <a:prstGeom prst="rect">
                      <a:avLst/>
                    </a:prstGeom>
                    <a:noFill/>
                  </pic:spPr>
                </pic:pic>
              </a:graphicData>
            </a:graphic>
          </wp:inline>
        </w:drawing>
      </w:r>
    </w:p>
    <w:p w14:paraId="54F73823" w14:textId="77777777" w:rsidR="004B1EF2" w:rsidRDefault="00ED45C1" w:rsidP="00ED45C1">
      <w:pPr>
        <w:widowControl/>
        <w:ind w:left="142" w:hanging="142"/>
        <w:rPr>
          <w:rFonts w:cs="Arial"/>
          <w:color w:val="000000"/>
          <w:sz w:val="16"/>
          <w:szCs w:val="16"/>
        </w:rPr>
      </w:pPr>
      <w:r w:rsidRPr="009342B5">
        <w:rPr>
          <w:rFonts w:cs="Arial"/>
          <w:color w:val="000000"/>
          <w:sz w:val="16"/>
          <w:szCs w:val="16"/>
          <w:vertAlign w:val="superscript"/>
        </w:rPr>
        <w:t>1</w:t>
      </w:r>
      <w:r w:rsidRPr="009342B5">
        <w:rPr>
          <w:rFonts w:cs="Arial"/>
          <w:color w:val="000000"/>
          <w:sz w:val="16"/>
          <w:szCs w:val="16"/>
        </w:rPr>
        <w:t xml:space="preserve"> </w:t>
      </w:r>
      <w:r w:rsidR="004B1EF2">
        <w:rPr>
          <w:rFonts w:cs="Arial"/>
          <w:color w:val="000000"/>
          <w:sz w:val="16"/>
          <w:szCs w:val="16"/>
        </w:rPr>
        <w:t xml:space="preserve">           </w:t>
      </w:r>
      <w:proofErr w:type="gramStart"/>
      <w:r w:rsidRPr="009342B5">
        <w:rPr>
          <w:rFonts w:cs="Arial"/>
          <w:color w:val="000000"/>
          <w:sz w:val="16"/>
          <w:szCs w:val="16"/>
        </w:rPr>
        <w:t>Ocupados</w:t>
      </w:r>
      <w:proofErr w:type="gramEnd"/>
      <w:r w:rsidRPr="009342B5">
        <w:rPr>
          <w:rFonts w:cs="Arial"/>
          <w:color w:val="000000"/>
          <w:sz w:val="16"/>
          <w:szCs w:val="16"/>
        </w:rPr>
        <w:t xml:space="preserve"> en trabajos prohibidos debajo de la edad mínima (5 a 14 años) u ocupados de 15 a 17 años en trabajos peligrosos según </w:t>
      </w:r>
    </w:p>
    <w:p w14:paraId="5B3D5572" w14:textId="61C4D12E" w:rsidR="00ED45C1" w:rsidRPr="009342B5" w:rsidRDefault="004B1EF2" w:rsidP="00ED45C1">
      <w:pPr>
        <w:widowControl/>
        <w:ind w:left="142" w:hanging="142"/>
        <w:rPr>
          <w:rFonts w:cs="Arial"/>
          <w:color w:val="000000"/>
          <w:sz w:val="16"/>
          <w:szCs w:val="16"/>
        </w:rPr>
      </w:pPr>
      <w:r>
        <w:rPr>
          <w:rFonts w:cs="Arial"/>
          <w:color w:val="000000"/>
          <w:sz w:val="16"/>
          <w:szCs w:val="16"/>
        </w:rPr>
        <w:t xml:space="preserve">             </w:t>
      </w:r>
      <w:r w:rsidR="00ED45C1" w:rsidRPr="009342B5">
        <w:rPr>
          <w:rFonts w:cs="Arial"/>
          <w:color w:val="000000"/>
          <w:sz w:val="16"/>
          <w:szCs w:val="16"/>
        </w:rPr>
        <w:t>la Ley Federal de Trabajo.</w:t>
      </w:r>
    </w:p>
    <w:p w14:paraId="51183ABD" w14:textId="0237EC7A" w:rsidR="004B1EF2" w:rsidRDefault="00ED45C1" w:rsidP="00ED45C1">
      <w:pPr>
        <w:widowControl/>
        <w:ind w:left="142" w:hanging="142"/>
        <w:rPr>
          <w:rFonts w:cs="Arial"/>
          <w:color w:val="000000"/>
          <w:sz w:val="16"/>
          <w:szCs w:val="16"/>
        </w:rPr>
      </w:pPr>
      <w:r w:rsidRPr="009342B5">
        <w:rPr>
          <w:rFonts w:cs="Arial"/>
          <w:color w:val="000000"/>
          <w:sz w:val="16"/>
          <w:szCs w:val="16"/>
          <w:vertAlign w:val="superscript"/>
        </w:rPr>
        <w:t>2</w:t>
      </w:r>
      <w:r w:rsidRPr="009342B5">
        <w:rPr>
          <w:rFonts w:cs="Arial"/>
          <w:color w:val="000000"/>
          <w:sz w:val="16"/>
          <w:szCs w:val="16"/>
        </w:rPr>
        <w:t xml:space="preserve"> </w:t>
      </w:r>
      <w:r w:rsidR="004B1EF2">
        <w:rPr>
          <w:rFonts w:cs="Arial"/>
          <w:color w:val="000000"/>
          <w:sz w:val="16"/>
          <w:szCs w:val="16"/>
        </w:rPr>
        <w:t xml:space="preserve">           </w:t>
      </w:r>
      <w:proofErr w:type="gramStart"/>
      <w:r w:rsidRPr="009342B5">
        <w:rPr>
          <w:rFonts w:cs="Arial"/>
          <w:color w:val="000000"/>
          <w:sz w:val="16"/>
          <w:szCs w:val="16"/>
        </w:rPr>
        <w:t>Ocupados</w:t>
      </w:r>
      <w:proofErr w:type="gramEnd"/>
      <w:r w:rsidRPr="009342B5">
        <w:rPr>
          <w:rFonts w:cs="Arial"/>
          <w:color w:val="000000"/>
          <w:sz w:val="16"/>
          <w:szCs w:val="16"/>
        </w:rPr>
        <w:t xml:space="preserve"> en trabajos peligrosos según la Ley Federal de Trabajo: construcción, minas, sector agropecuario, bares, cantinas, entre </w:t>
      </w:r>
    </w:p>
    <w:p w14:paraId="5B03E754" w14:textId="2A185314" w:rsidR="00ED45C1" w:rsidRPr="009342B5" w:rsidRDefault="004B1EF2" w:rsidP="00ED45C1">
      <w:pPr>
        <w:widowControl/>
        <w:ind w:left="142" w:hanging="142"/>
        <w:rPr>
          <w:rFonts w:cs="Arial"/>
          <w:color w:val="000000"/>
          <w:sz w:val="16"/>
          <w:szCs w:val="16"/>
        </w:rPr>
      </w:pPr>
      <w:r>
        <w:rPr>
          <w:rFonts w:cs="Arial"/>
          <w:color w:val="000000"/>
          <w:sz w:val="16"/>
          <w:szCs w:val="16"/>
        </w:rPr>
        <w:t xml:space="preserve">             </w:t>
      </w:r>
      <w:r w:rsidR="00ED45C1" w:rsidRPr="009342B5">
        <w:rPr>
          <w:rFonts w:cs="Arial"/>
          <w:color w:val="000000"/>
          <w:sz w:val="16"/>
          <w:szCs w:val="16"/>
        </w:rPr>
        <w:t>otros.</w:t>
      </w:r>
    </w:p>
    <w:p w14:paraId="3FCE7774" w14:textId="2BAC916F" w:rsidR="00ED45C1" w:rsidRPr="009342B5" w:rsidRDefault="00ED45C1" w:rsidP="00ED45C1">
      <w:pPr>
        <w:widowControl/>
        <w:ind w:left="142" w:hanging="142"/>
        <w:rPr>
          <w:rFonts w:cs="Arial"/>
          <w:color w:val="000000"/>
          <w:sz w:val="16"/>
          <w:szCs w:val="16"/>
        </w:rPr>
      </w:pPr>
      <w:r w:rsidRPr="009342B5">
        <w:rPr>
          <w:rFonts w:cs="Arial"/>
          <w:color w:val="000000"/>
          <w:sz w:val="16"/>
          <w:szCs w:val="16"/>
          <w:vertAlign w:val="superscript"/>
        </w:rPr>
        <w:t>3</w:t>
      </w:r>
      <w:r w:rsidRPr="009342B5">
        <w:rPr>
          <w:rFonts w:cs="Arial"/>
          <w:color w:val="000000"/>
          <w:sz w:val="16"/>
          <w:szCs w:val="16"/>
        </w:rPr>
        <w:t xml:space="preserve"> </w:t>
      </w:r>
      <w:r w:rsidR="004B1EF2">
        <w:rPr>
          <w:rFonts w:cs="Arial"/>
          <w:color w:val="000000"/>
          <w:sz w:val="16"/>
          <w:szCs w:val="16"/>
        </w:rPr>
        <w:t xml:space="preserve">           </w:t>
      </w:r>
      <w:proofErr w:type="gramStart"/>
      <w:r w:rsidRPr="009342B5">
        <w:rPr>
          <w:rFonts w:cs="Arial"/>
          <w:color w:val="000000"/>
          <w:sz w:val="16"/>
          <w:szCs w:val="16"/>
        </w:rPr>
        <w:t>En</w:t>
      </w:r>
      <w:proofErr w:type="gramEnd"/>
      <w:r w:rsidRPr="009342B5">
        <w:rPr>
          <w:rFonts w:cs="Arial"/>
          <w:color w:val="000000"/>
          <w:sz w:val="16"/>
          <w:szCs w:val="16"/>
        </w:rPr>
        <w:t xml:space="preserve"> actividades domésticas sin remuneración en su propio hogar en horarios prolongados o exposición a riesgos.</w:t>
      </w:r>
    </w:p>
    <w:p w14:paraId="6EC9733B" w14:textId="77777777" w:rsidR="00ED45C1" w:rsidRPr="009342B5" w:rsidRDefault="00ED45C1" w:rsidP="00ED45C1">
      <w:pPr>
        <w:widowControl/>
        <w:ind w:left="142" w:hanging="142"/>
        <w:rPr>
          <w:rFonts w:cs="Arial"/>
          <w:color w:val="000000"/>
          <w:sz w:val="16"/>
          <w:szCs w:val="16"/>
        </w:rPr>
      </w:pPr>
      <w:r w:rsidRPr="009342B5">
        <w:rPr>
          <w:rFonts w:cs="Arial"/>
          <w:color w:val="000000"/>
          <w:sz w:val="16"/>
          <w:szCs w:val="16"/>
        </w:rPr>
        <w:t>Fuente: Elaboración con base en la resolución sobre estadísticas del trabajo de la OIT y la legislación nacional.</w:t>
      </w:r>
    </w:p>
    <w:p w14:paraId="5AC46337" w14:textId="77777777" w:rsidR="005866BF" w:rsidRPr="0037646C" w:rsidRDefault="005866BF" w:rsidP="00D0575B">
      <w:pPr>
        <w:widowControl/>
        <w:autoSpaceDE w:val="0"/>
        <w:autoSpaceDN w:val="0"/>
        <w:rPr>
          <w:rFonts w:cs="Arial"/>
          <w:color w:val="000000"/>
          <w:szCs w:val="24"/>
        </w:rPr>
      </w:pPr>
    </w:p>
    <w:p w14:paraId="4975F134" w14:textId="4CBADAC8" w:rsidR="00791592" w:rsidRDefault="00791592" w:rsidP="004B1EF2">
      <w:pPr>
        <w:widowControl/>
        <w:autoSpaceDE w:val="0"/>
        <w:autoSpaceDN w:val="0"/>
        <w:ind w:right="51"/>
        <w:rPr>
          <w:rFonts w:cs="Arial"/>
          <w:color w:val="000000"/>
          <w:szCs w:val="24"/>
        </w:rPr>
      </w:pPr>
      <w:r w:rsidRPr="0037646C">
        <w:rPr>
          <w:rFonts w:cs="Arial"/>
          <w:color w:val="000000"/>
          <w:szCs w:val="24"/>
        </w:rPr>
        <w:t xml:space="preserve">A continuación, se presentan los resultados </w:t>
      </w:r>
      <w:r w:rsidR="00280621">
        <w:rPr>
          <w:rFonts w:cs="Arial"/>
          <w:color w:val="000000"/>
          <w:szCs w:val="24"/>
        </w:rPr>
        <w:t>de</w:t>
      </w:r>
      <w:r>
        <w:rPr>
          <w:rFonts w:cs="Arial"/>
          <w:color w:val="000000"/>
          <w:szCs w:val="24"/>
        </w:rPr>
        <w:t xml:space="preserve"> la situación del trabajo infantil en 2022 </w:t>
      </w:r>
      <w:r w:rsidR="004500F7">
        <w:rPr>
          <w:rFonts w:cs="Arial"/>
          <w:color w:val="000000"/>
          <w:szCs w:val="24"/>
        </w:rPr>
        <w:t xml:space="preserve">que reporta </w:t>
      </w:r>
      <w:r>
        <w:rPr>
          <w:rFonts w:cs="Arial"/>
          <w:color w:val="000000"/>
          <w:szCs w:val="24"/>
        </w:rPr>
        <w:t xml:space="preserve">la </w:t>
      </w:r>
      <w:r w:rsidRPr="0037646C">
        <w:rPr>
          <w:rFonts w:cs="Arial"/>
          <w:color w:val="000000"/>
          <w:szCs w:val="24"/>
        </w:rPr>
        <w:t>ENTI</w:t>
      </w:r>
      <w:r w:rsidR="004500F7">
        <w:rPr>
          <w:rFonts w:cs="Arial"/>
          <w:color w:val="000000"/>
          <w:szCs w:val="24"/>
        </w:rPr>
        <w:t xml:space="preserve">. También se incluye una </w:t>
      </w:r>
      <w:r>
        <w:rPr>
          <w:rFonts w:cs="Arial"/>
          <w:color w:val="000000"/>
          <w:szCs w:val="24"/>
        </w:rPr>
        <w:t xml:space="preserve">sección de indicadores comparativos </w:t>
      </w:r>
      <w:r w:rsidR="00280621">
        <w:rPr>
          <w:rFonts w:cs="Arial"/>
          <w:color w:val="000000"/>
          <w:szCs w:val="24"/>
        </w:rPr>
        <w:t>sobre</w:t>
      </w:r>
      <w:r>
        <w:rPr>
          <w:rFonts w:cs="Arial"/>
          <w:color w:val="000000"/>
          <w:szCs w:val="24"/>
        </w:rPr>
        <w:t xml:space="preserve"> </w:t>
      </w:r>
      <w:r w:rsidR="00280621">
        <w:rPr>
          <w:rFonts w:cs="Arial"/>
          <w:color w:val="000000"/>
          <w:szCs w:val="24"/>
        </w:rPr>
        <w:t>la evolución de</w:t>
      </w:r>
      <w:r w:rsidR="004500F7">
        <w:rPr>
          <w:rFonts w:cs="Arial"/>
          <w:color w:val="000000"/>
          <w:szCs w:val="24"/>
        </w:rPr>
        <w:t xml:space="preserve"> este</w:t>
      </w:r>
      <w:r w:rsidR="00B10049">
        <w:rPr>
          <w:rFonts w:cs="Arial"/>
          <w:color w:val="000000"/>
          <w:szCs w:val="24"/>
        </w:rPr>
        <w:t xml:space="preserve"> tipo de trabajo</w:t>
      </w:r>
      <w:r w:rsidR="00280621">
        <w:rPr>
          <w:rFonts w:cs="Arial"/>
          <w:color w:val="000000"/>
          <w:szCs w:val="24"/>
        </w:rPr>
        <w:t>.</w:t>
      </w:r>
    </w:p>
    <w:p w14:paraId="13921400" w14:textId="77777777" w:rsidR="00280621" w:rsidRPr="0037646C" w:rsidRDefault="00280621" w:rsidP="004B1EF2">
      <w:pPr>
        <w:widowControl/>
        <w:autoSpaceDE w:val="0"/>
        <w:autoSpaceDN w:val="0"/>
        <w:ind w:right="51"/>
        <w:rPr>
          <w:rFonts w:cs="Arial"/>
          <w:color w:val="000000"/>
          <w:szCs w:val="24"/>
        </w:rPr>
      </w:pPr>
    </w:p>
    <w:p w14:paraId="4CB3231E" w14:textId="7A587879" w:rsidR="00791592" w:rsidRPr="00D0575B" w:rsidRDefault="000C2D89" w:rsidP="004B1EF2">
      <w:pPr>
        <w:pStyle w:val="Prrafodelista"/>
        <w:widowControl/>
        <w:numPr>
          <w:ilvl w:val="0"/>
          <w:numId w:val="11"/>
        </w:numPr>
        <w:autoSpaceDE w:val="0"/>
        <w:autoSpaceDN w:val="0"/>
        <w:adjustRightInd w:val="0"/>
        <w:ind w:left="426" w:right="51"/>
        <w:jc w:val="center"/>
        <w:rPr>
          <w:rFonts w:ascii="Arial Negrita" w:hAnsi="Arial Negrita" w:cs="Arial"/>
          <w:b/>
          <w:bCs/>
          <w:smallCaps/>
          <w:color w:val="000000"/>
          <w:szCs w:val="24"/>
        </w:rPr>
      </w:pPr>
      <w:r>
        <w:rPr>
          <w:rFonts w:ascii="Arial Negrita" w:hAnsi="Arial Negrita" w:cs="Arial"/>
          <w:b/>
          <w:bCs/>
          <w:smallCaps/>
          <w:color w:val="000000"/>
          <w:szCs w:val="24"/>
        </w:rPr>
        <w:t>T</w:t>
      </w:r>
      <w:r w:rsidRPr="00D0575B">
        <w:rPr>
          <w:rFonts w:ascii="Arial Negrita" w:hAnsi="Arial Negrita" w:cs="Arial"/>
          <w:b/>
          <w:bCs/>
          <w:smallCaps/>
          <w:color w:val="000000"/>
          <w:szCs w:val="24"/>
        </w:rPr>
        <w:t>rabajo infantil</w:t>
      </w:r>
    </w:p>
    <w:p w14:paraId="0F571DD4" w14:textId="77777777" w:rsidR="00791592" w:rsidRPr="0037646C" w:rsidRDefault="00791592" w:rsidP="004B1EF2">
      <w:pPr>
        <w:widowControl/>
        <w:autoSpaceDE w:val="0"/>
        <w:autoSpaceDN w:val="0"/>
        <w:adjustRightInd w:val="0"/>
        <w:ind w:right="51"/>
        <w:rPr>
          <w:rFonts w:cs="Arial"/>
          <w:color w:val="000000"/>
          <w:szCs w:val="24"/>
        </w:rPr>
      </w:pPr>
    </w:p>
    <w:p w14:paraId="58570170" w14:textId="7B94010C" w:rsidR="0093490E" w:rsidRDefault="00791592" w:rsidP="004B1EF2">
      <w:pPr>
        <w:widowControl/>
        <w:ind w:right="51"/>
        <w:rPr>
          <w:rFonts w:cs="Arial"/>
          <w:color w:val="000000"/>
          <w:szCs w:val="24"/>
        </w:rPr>
      </w:pPr>
      <w:r w:rsidRPr="00D94D89">
        <w:rPr>
          <w:rFonts w:cs="Arial"/>
          <w:color w:val="000000"/>
          <w:szCs w:val="24"/>
        </w:rPr>
        <w:t>El trabajo infantil</w:t>
      </w:r>
      <w:r w:rsidR="0093490E">
        <w:rPr>
          <w:rFonts w:cs="Arial"/>
          <w:color w:val="000000"/>
          <w:szCs w:val="24"/>
        </w:rPr>
        <w:t xml:space="preserve"> desde una perspectiva amplia, </w:t>
      </w:r>
      <w:r w:rsidRPr="00D94D89">
        <w:rPr>
          <w:rFonts w:cs="Arial"/>
          <w:color w:val="000000"/>
          <w:szCs w:val="24"/>
        </w:rPr>
        <w:t>se refiere a la participación de niñas y niños en formas de trabajo prohibidas y/o perjudiciales para su desarrollo</w:t>
      </w:r>
      <w:r w:rsidR="00B10049">
        <w:rPr>
          <w:rFonts w:cs="Arial"/>
          <w:color w:val="000000"/>
          <w:szCs w:val="24"/>
        </w:rPr>
        <w:t>, identificadas</w:t>
      </w:r>
      <w:r w:rsidRPr="00D94D89">
        <w:rPr>
          <w:rFonts w:cs="Arial"/>
          <w:color w:val="000000"/>
          <w:szCs w:val="24"/>
        </w:rPr>
        <w:t xml:space="preserve"> a partir de la legislación nacional, </w:t>
      </w:r>
      <w:r w:rsidR="00B10049">
        <w:rPr>
          <w:rFonts w:cs="Arial"/>
          <w:color w:val="000000"/>
          <w:szCs w:val="24"/>
        </w:rPr>
        <w:t xml:space="preserve">así como </w:t>
      </w:r>
      <w:r w:rsidRPr="00D94D89">
        <w:rPr>
          <w:rFonts w:cs="Arial"/>
          <w:color w:val="000000"/>
          <w:szCs w:val="24"/>
        </w:rPr>
        <w:t>los convenios y recomendaciones internacionales.</w:t>
      </w:r>
      <w:r w:rsidR="0093490E">
        <w:rPr>
          <w:rFonts w:cs="Arial"/>
          <w:color w:val="000000"/>
          <w:szCs w:val="24"/>
        </w:rPr>
        <w:t xml:space="preserve"> </w:t>
      </w:r>
    </w:p>
    <w:p w14:paraId="24AE4EC0" w14:textId="77777777" w:rsidR="00791592" w:rsidRPr="00D76999" w:rsidRDefault="00791592" w:rsidP="004B1EF2">
      <w:pPr>
        <w:widowControl/>
        <w:ind w:right="51"/>
        <w:rPr>
          <w:rFonts w:cs="Arial"/>
          <w:color w:val="000000"/>
          <w:szCs w:val="24"/>
        </w:rPr>
      </w:pPr>
    </w:p>
    <w:p w14:paraId="3BA2D366" w14:textId="50955D28" w:rsidR="00791592" w:rsidRDefault="00ED77BD" w:rsidP="004B1EF2">
      <w:pPr>
        <w:widowControl/>
        <w:ind w:right="51"/>
        <w:rPr>
          <w:rFonts w:cs="Arial"/>
          <w:color w:val="000000"/>
          <w:szCs w:val="24"/>
        </w:rPr>
      </w:pPr>
      <w:r>
        <w:rPr>
          <w:rFonts w:cs="Arial"/>
          <w:color w:val="000000"/>
          <w:szCs w:val="24"/>
        </w:rPr>
        <w:t>E</w:t>
      </w:r>
      <w:r w:rsidR="003802ED">
        <w:rPr>
          <w:rFonts w:cs="Arial"/>
          <w:color w:val="000000"/>
          <w:szCs w:val="24"/>
        </w:rPr>
        <w:t xml:space="preserve">n </w:t>
      </w:r>
      <w:r w:rsidR="00791592">
        <w:rPr>
          <w:rFonts w:cs="Arial"/>
          <w:color w:val="000000"/>
          <w:szCs w:val="24"/>
        </w:rPr>
        <w:t>2022,</w:t>
      </w:r>
      <w:r w:rsidR="00907D2B">
        <w:rPr>
          <w:rFonts w:cs="Arial"/>
          <w:color w:val="000000"/>
          <w:szCs w:val="24"/>
        </w:rPr>
        <w:t xml:space="preserve"> </w:t>
      </w:r>
      <w:r w:rsidR="00791592" w:rsidRPr="00D76999">
        <w:rPr>
          <w:rFonts w:cs="Arial"/>
          <w:color w:val="000000"/>
          <w:szCs w:val="24"/>
        </w:rPr>
        <w:t xml:space="preserve">3.7 millones de niñas y niños </w:t>
      </w:r>
      <w:r w:rsidR="003802ED">
        <w:rPr>
          <w:rFonts w:cs="Arial"/>
          <w:color w:val="000000"/>
          <w:szCs w:val="24"/>
        </w:rPr>
        <w:t xml:space="preserve">se involucraron </w:t>
      </w:r>
      <w:r w:rsidR="00791592">
        <w:rPr>
          <w:rFonts w:cs="Arial"/>
          <w:color w:val="000000"/>
          <w:szCs w:val="24"/>
        </w:rPr>
        <w:t>en el trabajo infantil</w:t>
      </w:r>
      <w:r w:rsidR="003802ED">
        <w:rPr>
          <w:rFonts w:cs="Arial"/>
          <w:color w:val="000000"/>
          <w:szCs w:val="24"/>
        </w:rPr>
        <w:t xml:space="preserve">. Lo anterior se traduce en </w:t>
      </w:r>
      <w:r w:rsidR="00791592" w:rsidRPr="0037646C">
        <w:rPr>
          <w:rFonts w:cs="Arial"/>
          <w:color w:val="000000"/>
          <w:szCs w:val="24"/>
        </w:rPr>
        <w:t>13.1 % de la población de 5 a 17 años</w:t>
      </w:r>
      <w:r w:rsidR="00D0575B">
        <w:rPr>
          <w:rFonts w:cs="Arial"/>
          <w:color w:val="000000"/>
          <w:szCs w:val="24"/>
        </w:rPr>
        <w:t>.</w:t>
      </w:r>
      <w:r>
        <w:rPr>
          <w:rFonts w:cs="Arial"/>
          <w:color w:val="000000"/>
          <w:szCs w:val="24"/>
        </w:rPr>
        <w:t xml:space="preserve"> </w:t>
      </w:r>
      <w:r w:rsidR="007C1FF9">
        <w:rPr>
          <w:rFonts w:cs="Arial"/>
          <w:color w:val="000000"/>
          <w:szCs w:val="24"/>
        </w:rPr>
        <w:t xml:space="preserve">La población infantil en </w:t>
      </w:r>
      <w:r w:rsidR="00027DB5">
        <w:rPr>
          <w:rFonts w:cs="Arial"/>
          <w:color w:val="000000"/>
          <w:szCs w:val="24"/>
        </w:rPr>
        <w:t xml:space="preserve">situación de </w:t>
      </w:r>
      <w:r w:rsidR="00791592">
        <w:rPr>
          <w:rFonts w:cs="Arial"/>
          <w:color w:val="000000"/>
          <w:szCs w:val="24"/>
        </w:rPr>
        <w:t xml:space="preserve">trabajo </w:t>
      </w:r>
      <w:r w:rsidR="007C1FF9">
        <w:rPr>
          <w:rFonts w:cs="Arial"/>
          <w:color w:val="000000"/>
          <w:szCs w:val="24"/>
        </w:rPr>
        <w:t xml:space="preserve">se divide de la siguiente manera: </w:t>
      </w:r>
      <w:r w:rsidR="00791592" w:rsidRPr="0037646C">
        <w:rPr>
          <w:rFonts w:cs="Arial"/>
          <w:color w:val="000000"/>
          <w:szCs w:val="24"/>
        </w:rPr>
        <w:t>1.8 millones</w:t>
      </w:r>
      <w:r w:rsidR="007C1FF9">
        <w:rPr>
          <w:rFonts w:cs="Arial"/>
          <w:color w:val="000000"/>
          <w:szCs w:val="24"/>
        </w:rPr>
        <w:t xml:space="preserve"> </w:t>
      </w:r>
      <w:r w:rsidR="00791592">
        <w:rPr>
          <w:rFonts w:cs="Arial"/>
          <w:color w:val="000000"/>
          <w:szCs w:val="24"/>
        </w:rPr>
        <w:t>(6.4 %)</w:t>
      </w:r>
      <w:r w:rsidR="00791592" w:rsidRPr="0037646C">
        <w:rPr>
          <w:rFonts w:cs="Arial"/>
          <w:color w:val="000000"/>
          <w:szCs w:val="24"/>
        </w:rPr>
        <w:t xml:space="preserve"> </w:t>
      </w:r>
      <w:r w:rsidR="00DE0E7C">
        <w:rPr>
          <w:rFonts w:cs="Arial"/>
          <w:color w:val="000000"/>
          <w:szCs w:val="24"/>
        </w:rPr>
        <w:t xml:space="preserve">de </w:t>
      </w:r>
      <w:r w:rsidR="00D653D4">
        <w:rPr>
          <w:rFonts w:cs="Arial"/>
          <w:color w:val="000000"/>
          <w:szCs w:val="24"/>
        </w:rPr>
        <w:t xml:space="preserve">niñas, niños y adolescentes </w:t>
      </w:r>
      <w:r w:rsidR="007C1FF9">
        <w:rPr>
          <w:rFonts w:cs="Arial"/>
          <w:color w:val="000000"/>
          <w:szCs w:val="24"/>
        </w:rPr>
        <w:t>realizan alguna</w:t>
      </w:r>
      <w:r w:rsidR="0095496C">
        <w:rPr>
          <w:rFonts w:cs="Arial"/>
          <w:color w:val="000000"/>
          <w:szCs w:val="24"/>
        </w:rPr>
        <w:t xml:space="preserve"> </w:t>
      </w:r>
      <w:r w:rsidR="00E15265" w:rsidRPr="00ED77BD">
        <w:rPr>
          <w:rFonts w:cs="Arial"/>
          <w:color w:val="000000"/>
          <w:szCs w:val="24"/>
        </w:rPr>
        <w:t>ocupación no permitida</w:t>
      </w:r>
      <w:r w:rsidR="007C1FF9">
        <w:rPr>
          <w:rFonts w:cs="Arial"/>
          <w:color w:val="000000"/>
          <w:szCs w:val="24"/>
        </w:rPr>
        <w:t>,</w:t>
      </w:r>
      <w:r w:rsidR="00791592" w:rsidRPr="0037646C">
        <w:rPr>
          <w:rFonts w:cs="Arial"/>
          <w:color w:val="000000"/>
          <w:szCs w:val="24"/>
        </w:rPr>
        <w:t xml:space="preserve"> 318 mil</w:t>
      </w:r>
      <w:r w:rsidR="00DE0E7C">
        <w:rPr>
          <w:rFonts w:cs="Arial"/>
          <w:color w:val="000000"/>
          <w:szCs w:val="24"/>
        </w:rPr>
        <w:t xml:space="preserve"> combinan la</w:t>
      </w:r>
      <w:r w:rsidR="00E15265">
        <w:rPr>
          <w:rFonts w:cs="Arial"/>
          <w:color w:val="000000"/>
          <w:szCs w:val="24"/>
        </w:rPr>
        <w:t xml:space="preserve"> </w:t>
      </w:r>
      <w:r w:rsidR="00E15265" w:rsidRPr="00ED77BD">
        <w:rPr>
          <w:rFonts w:cs="Arial"/>
          <w:color w:val="000000"/>
          <w:szCs w:val="24"/>
        </w:rPr>
        <w:t>ocupación no permitida y los quehaceres domésticos en condiciones no adecuadas</w:t>
      </w:r>
      <w:r w:rsidR="00791592" w:rsidRPr="0037646C">
        <w:rPr>
          <w:rFonts w:cs="Arial"/>
          <w:color w:val="000000"/>
          <w:szCs w:val="24"/>
        </w:rPr>
        <w:t xml:space="preserve"> </w:t>
      </w:r>
      <w:r w:rsidR="00791592">
        <w:rPr>
          <w:rFonts w:cs="Arial"/>
          <w:color w:val="000000"/>
          <w:szCs w:val="24"/>
        </w:rPr>
        <w:t xml:space="preserve">y </w:t>
      </w:r>
      <w:r w:rsidR="00791592" w:rsidRPr="0037646C">
        <w:rPr>
          <w:rFonts w:cs="Arial"/>
          <w:color w:val="000000"/>
          <w:szCs w:val="24"/>
        </w:rPr>
        <w:t>1.6 millones</w:t>
      </w:r>
      <w:r w:rsidR="00791592">
        <w:rPr>
          <w:rFonts w:cs="Arial"/>
          <w:color w:val="000000"/>
          <w:szCs w:val="24"/>
        </w:rPr>
        <w:t xml:space="preserve"> (5.6 %)</w:t>
      </w:r>
      <w:r w:rsidR="00791592" w:rsidRPr="0037646C">
        <w:rPr>
          <w:rFonts w:cs="Arial"/>
          <w:color w:val="000000"/>
          <w:szCs w:val="24"/>
        </w:rPr>
        <w:t xml:space="preserve"> </w:t>
      </w:r>
      <w:r w:rsidR="00D653D4">
        <w:rPr>
          <w:rFonts w:cs="Arial"/>
          <w:color w:val="000000"/>
          <w:szCs w:val="24"/>
        </w:rPr>
        <w:t>realizan</w:t>
      </w:r>
      <w:r w:rsidR="007C1FF9">
        <w:rPr>
          <w:rFonts w:cs="Arial"/>
          <w:color w:val="000000"/>
          <w:szCs w:val="24"/>
        </w:rPr>
        <w:t xml:space="preserve"> solo</w:t>
      </w:r>
      <w:r w:rsidR="00D653D4">
        <w:rPr>
          <w:rFonts w:cs="Arial"/>
          <w:color w:val="000000"/>
          <w:szCs w:val="24"/>
        </w:rPr>
        <w:t xml:space="preserve"> </w:t>
      </w:r>
      <w:r w:rsidR="00E15265" w:rsidRPr="00ED77BD">
        <w:rPr>
          <w:rFonts w:cs="Arial"/>
          <w:color w:val="000000"/>
          <w:szCs w:val="24"/>
        </w:rPr>
        <w:t>quehaceres domésticos en condiciones no adecuadas</w:t>
      </w:r>
      <w:r w:rsidR="004C2DE3">
        <w:rPr>
          <w:rFonts w:cs="Arial"/>
          <w:color w:val="000000"/>
          <w:szCs w:val="24"/>
        </w:rPr>
        <w:t xml:space="preserve"> (</w:t>
      </w:r>
      <w:r w:rsidR="00E15265">
        <w:rPr>
          <w:rFonts w:cs="Arial"/>
          <w:color w:val="000000"/>
          <w:szCs w:val="24"/>
        </w:rPr>
        <w:t>v</w:t>
      </w:r>
      <w:r w:rsidR="004C2DE3">
        <w:rPr>
          <w:rFonts w:cs="Arial"/>
          <w:color w:val="000000"/>
          <w:szCs w:val="24"/>
        </w:rPr>
        <w:t>er gráfica 1)</w:t>
      </w:r>
      <w:r w:rsidR="007C1FF9">
        <w:rPr>
          <w:rFonts w:cs="Arial"/>
          <w:color w:val="000000"/>
          <w:szCs w:val="24"/>
        </w:rPr>
        <w:t>.</w:t>
      </w:r>
    </w:p>
    <w:p w14:paraId="1F51CDB4" w14:textId="3F439CDC" w:rsidR="00D94D89" w:rsidRDefault="00D94D89">
      <w:pPr>
        <w:widowControl/>
        <w:jc w:val="left"/>
        <w:rPr>
          <w:rFonts w:cs="Arial"/>
          <w:color w:val="000000"/>
          <w:szCs w:val="24"/>
        </w:rPr>
      </w:pPr>
      <w:r>
        <w:rPr>
          <w:rFonts w:cs="Arial"/>
          <w:color w:val="000000"/>
          <w:szCs w:val="24"/>
        </w:rPr>
        <w:br w:type="page"/>
      </w:r>
    </w:p>
    <w:p w14:paraId="2C56AFC1" w14:textId="77777777" w:rsidR="00EC25C1" w:rsidRPr="004B1EF2" w:rsidRDefault="00EC25C1" w:rsidP="00EC25C1">
      <w:pPr>
        <w:widowControl/>
        <w:jc w:val="center"/>
        <w:rPr>
          <w:rFonts w:cs="Arial"/>
          <w:color w:val="000000"/>
          <w:sz w:val="20"/>
        </w:rPr>
      </w:pPr>
      <w:r w:rsidRPr="004B1EF2">
        <w:rPr>
          <w:rFonts w:cs="Arial"/>
          <w:color w:val="000000"/>
          <w:sz w:val="20"/>
        </w:rPr>
        <w:lastRenderedPageBreak/>
        <w:t>Gráfica 1</w:t>
      </w:r>
    </w:p>
    <w:p w14:paraId="14A155CF" w14:textId="77777777" w:rsidR="00EC25C1" w:rsidRPr="004B1EF2" w:rsidRDefault="00EC25C1" w:rsidP="004B1EF2">
      <w:pPr>
        <w:widowControl/>
        <w:autoSpaceDE w:val="0"/>
        <w:autoSpaceDN w:val="0"/>
        <w:adjustRightInd w:val="0"/>
        <w:ind w:right="51"/>
        <w:jc w:val="center"/>
        <w:rPr>
          <w:rFonts w:cs="Arial"/>
          <w:b/>
          <w:smallCaps/>
          <w:sz w:val="22"/>
          <w:szCs w:val="22"/>
        </w:rPr>
      </w:pPr>
      <w:r w:rsidRPr="004B1EF2">
        <w:rPr>
          <w:rFonts w:cs="Arial"/>
          <w:b/>
          <w:smallCaps/>
          <w:sz w:val="22"/>
          <w:szCs w:val="22"/>
        </w:rPr>
        <w:t>Personas de 5 a 17 años por condición de trabajo infantil y forma de trabajo</w:t>
      </w:r>
    </w:p>
    <w:p w14:paraId="0C659FBF" w14:textId="77777777" w:rsidR="00EC25C1" w:rsidRPr="005E25D0" w:rsidRDefault="00EC25C1" w:rsidP="004B1EF2">
      <w:pPr>
        <w:widowControl/>
        <w:autoSpaceDE w:val="0"/>
        <w:autoSpaceDN w:val="0"/>
        <w:adjustRightInd w:val="0"/>
        <w:ind w:right="51"/>
        <w:jc w:val="center"/>
        <w:rPr>
          <w:rFonts w:cs="Arial"/>
          <w:bCs/>
          <w:sz w:val="18"/>
          <w:szCs w:val="18"/>
        </w:rPr>
      </w:pPr>
      <w:r w:rsidRPr="005E25D0">
        <w:rPr>
          <w:rFonts w:cs="Arial"/>
          <w:bCs/>
          <w:sz w:val="18"/>
          <w:szCs w:val="18"/>
        </w:rPr>
        <w:t>(distribución porcentual)</w:t>
      </w:r>
    </w:p>
    <w:p w14:paraId="765A6D25" w14:textId="68A6422B" w:rsidR="00791592" w:rsidRPr="0037646C" w:rsidRDefault="00F7211E" w:rsidP="00D0575B">
      <w:pPr>
        <w:widowControl/>
        <w:autoSpaceDE w:val="0"/>
        <w:autoSpaceDN w:val="0"/>
        <w:adjustRightInd w:val="0"/>
        <w:ind w:left="567" w:right="1183"/>
        <w:jc w:val="center"/>
        <w:rPr>
          <w:rFonts w:cs="Arial"/>
          <w:b/>
          <w:szCs w:val="24"/>
        </w:rPr>
      </w:pPr>
      <w:r w:rsidRPr="00CF5DBF">
        <w:rPr>
          <w:rFonts w:cs="Arial"/>
          <w:bCs/>
          <w:noProof/>
          <w:sz w:val="18"/>
          <w:szCs w:val="18"/>
        </w:rPr>
        <w:drawing>
          <wp:inline distT="0" distB="0" distL="0" distR="0" wp14:anchorId="7087DF70" wp14:editId="4D454995">
            <wp:extent cx="5316014" cy="3028950"/>
            <wp:effectExtent l="0" t="0" r="0" b="0"/>
            <wp:docPr id="3" name="Imagen 3">
              <a:extLst xmlns:a="http://schemas.openxmlformats.org/drawingml/2006/main">
                <a:ext uri="{FF2B5EF4-FFF2-40B4-BE49-F238E27FC236}">
                  <a16:creationId xmlns:a16="http://schemas.microsoft.com/office/drawing/2014/main" id="{BD04E9EF-2CFA-4C3E-95F0-43C4F4777A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BD04E9EF-2CFA-4C3E-95F0-43C4F4777AE1}"/>
                        </a:ext>
                      </a:extLst>
                    </pic:cNvPr>
                    <pic:cNvPicPr>
                      <a:picLocks noChangeAspect="1"/>
                    </pic:cNvPicPr>
                  </pic:nvPicPr>
                  <pic:blipFill rotWithShape="1">
                    <a:blip r:embed="rId12"/>
                    <a:srcRect l="9976"/>
                    <a:stretch/>
                  </pic:blipFill>
                  <pic:spPr bwMode="auto">
                    <a:xfrm>
                      <a:off x="0" y="0"/>
                      <a:ext cx="5322591" cy="3032697"/>
                    </a:xfrm>
                    <a:prstGeom prst="rect">
                      <a:avLst/>
                    </a:prstGeom>
                    <a:ln>
                      <a:noFill/>
                    </a:ln>
                    <a:extLst>
                      <a:ext uri="{53640926-AAD7-44D8-BBD7-CCE9431645EC}">
                        <a14:shadowObscured xmlns:a14="http://schemas.microsoft.com/office/drawing/2010/main"/>
                      </a:ext>
                    </a:extLst>
                  </pic:spPr>
                </pic:pic>
              </a:graphicData>
            </a:graphic>
          </wp:inline>
        </w:drawing>
      </w:r>
    </w:p>
    <w:p w14:paraId="654D37A0" w14:textId="49CE6DC8" w:rsidR="00EC25C1" w:rsidRPr="009C7C6B" w:rsidRDefault="00EC25C1" w:rsidP="00EC25C1">
      <w:pPr>
        <w:widowControl/>
        <w:autoSpaceDE w:val="0"/>
        <w:autoSpaceDN w:val="0"/>
        <w:adjustRightInd w:val="0"/>
        <w:ind w:left="567" w:right="1183"/>
        <w:jc w:val="left"/>
        <w:rPr>
          <w:rFonts w:cs="Arial"/>
          <w:color w:val="000000"/>
          <w:sz w:val="18"/>
          <w:szCs w:val="18"/>
        </w:rPr>
      </w:pPr>
      <w:r w:rsidRPr="00CD6FE9">
        <w:rPr>
          <w:rFonts w:cs="Arial"/>
          <w:color w:val="000000" w:themeColor="text1"/>
          <w:sz w:val="16"/>
          <w:szCs w:val="16"/>
        </w:rPr>
        <w:t>Fuente</w:t>
      </w:r>
      <w:r w:rsidR="00D94D89">
        <w:rPr>
          <w:rFonts w:cs="Arial"/>
          <w:color w:val="000000" w:themeColor="text1"/>
          <w:sz w:val="16"/>
          <w:szCs w:val="16"/>
        </w:rPr>
        <w:t xml:space="preserve">: </w:t>
      </w:r>
      <w:r w:rsidRPr="00CD6FE9">
        <w:rPr>
          <w:rFonts w:cs="Arial"/>
          <w:color w:val="000000" w:themeColor="text1"/>
          <w:sz w:val="16"/>
          <w:szCs w:val="16"/>
        </w:rPr>
        <w:t>INEGI, ENTI. 2022.</w:t>
      </w:r>
    </w:p>
    <w:p w14:paraId="308D0743" w14:textId="77777777" w:rsidR="00791592" w:rsidRDefault="00791592" w:rsidP="00D0575B">
      <w:pPr>
        <w:widowControl/>
        <w:autoSpaceDE w:val="0"/>
        <w:autoSpaceDN w:val="0"/>
        <w:adjustRightInd w:val="0"/>
        <w:rPr>
          <w:rFonts w:cs="Arial"/>
          <w:szCs w:val="24"/>
        </w:rPr>
      </w:pPr>
    </w:p>
    <w:p w14:paraId="2D5C70C1" w14:textId="5BCCB601" w:rsidR="00791592" w:rsidRDefault="00DB15FD" w:rsidP="004B1EF2">
      <w:pPr>
        <w:widowControl/>
        <w:ind w:right="51"/>
        <w:rPr>
          <w:rFonts w:cs="Arial"/>
          <w:szCs w:val="24"/>
        </w:rPr>
      </w:pPr>
      <w:r>
        <w:rPr>
          <w:rFonts w:cs="Arial"/>
          <w:szCs w:val="24"/>
        </w:rPr>
        <w:t xml:space="preserve">De los 3.7 millones de personas </w:t>
      </w:r>
      <w:r w:rsidR="002A2263">
        <w:rPr>
          <w:rFonts w:cs="Arial"/>
          <w:szCs w:val="24"/>
        </w:rPr>
        <w:t xml:space="preserve">de 5 a 17 años </w:t>
      </w:r>
      <w:r>
        <w:rPr>
          <w:rFonts w:cs="Arial"/>
          <w:szCs w:val="24"/>
        </w:rPr>
        <w:t>que realizaron trabajo infantil, 2.2 millones fue</w:t>
      </w:r>
      <w:r w:rsidR="00B10049">
        <w:rPr>
          <w:rFonts w:cs="Arial"/>
          <w:szCs w:val="24"/>
        </w:rPr>
        <w:t>ron</w:t>
      </w:r>
      <w:r>
        <w:rPr>
          <w:rFonts w:cs="Arial"/>
          <w:szCs w:val="24"/>
        </w:rPr>
        <w:t xml:space="preserve"> niños (59.5 %) y 1.5 millones niñas (40.5 %). </w:t>
      </w:r>
      <w:r w:rsidRPr="0037646C">
        <w:rPr>
          <w:rFonts w:cs="Arial"/>
          <w:szCs w:val="24"/>
        </w:rPr>
        <w:t xml:space="preserve">La situación de las </w:t>
      </w:r>
      <w:r>
        <w:rPr>
          <w:rFonts w:cs="Arial"/>
          <w:szCs w:val="24"/>
        </w:rPr>
        <w:t xml:space="preserve">y los </w:t>
      </w:r>
      <w:r w:rsidRPr="0037646C">
        <w:rPr>
          <w:rFonts w:cs="Arial"/>
          <w:szCs w:val="24"/>
        </w:rPr>
        <w:t xml:space="preserve">niños en trabajo infantil </w:t>
      </w:r>
      <w:r>
        <w:rPr>
          <w:rFonts w:cs="Arial"/>
          <w:szCs w:val="24"/>
        </w:rPr>
        <w:t>mostró</w:t>
      </w:r>
      <w:r w:rsidRPr="0037646C">
        <w:rPr>
          <w:rFonts w:cs="Arial"/>
          <w:szCs w:val="24"/>
        </w:rPr>
        <w:t xml:space="preserve"> la tradicional división sexual del trabajo</w:t>
      </w:r>
      <w:r>
        <w:rPr>
          <w:rFonts w:cs="Arial"/>
          <w:szCs w:val="24"/>
        </w:rPr>
        <w:t xml:space="preserve">. La presencia de niños en </w:t>
      </w:r>
      <w:r w:rsidRPr="0037646C">
        <w:rPr>
          <w:rFonts w:cs="Arial"/>
          <w:szCs w:val="24"/>
        </w:rPr>
        <w:t>ocupaci</w:t>
      </w:r>
      <w:r>
        <w:rPr>
          <w:rFonts w:cs="Arial"/>
          <w:szCs w:val="24"/>
        </w:rPr>
        <w:t>ones</w:t>
      </w:r>
      <w:r w:rsidRPr="0037646C">
        <w:rPr>
          <w:rFonts w:cs="Arial"/>
          <w:szCs w:val="24"/>
        </w:rPr>
        <w:t xml:space="preserve"> no permitida</w:t>
      </w:r>
      <w:r>
        <w:rPr>
          <w:rFonts w:cs="Arial"/>
          <w:szCs w:val="24"/>
        </w:rPr>
        <w:t>s fue mayor que la de las niñas</w:t>
      </w:r>
      <w:r w:rsidR="00A73ED5">
        <w:rPr>
          <w:rFonts w:cs="Arial"/>
          <w:szCs w:val="24"/>
        </w:rPr>
        <w:t>,</w:t>
      </w:r>
      <w:r>
        <w:rPr>
          <w:rFonts w:cs="Arial"/>
          <w:szCs w:val="24"/>
        </w:rPr>
        <w:t xml:space="preserve"> con 1.3 millones de niños (72.2 %) y 0.5 millones de niñas (27.8 %). Sin embargo, </w:t>
      </w:r>
      <w:r w:rsidRPr="0037646C">
        <w:rPr>
          <w:rFonts w:cs="Arial"/>
          <w:szCs w:val="24"/>
        </w:rPr>
        <w:t xml:space="preserve">en </w:t>
      </w:r>
      <w:r>
        <w:rPr>
          <w:rFonts w:cs="Arial"/>
          <w:szCs w:val="24"/>
        </w:rPr>
        <w:t xml:space="preserve">los </w:t>
      </w:r>
      <w:r w:rsidRPr="0037646C">
        <w:rPr>
          <w:rFonts w:cs="Arial"/>
          <w:szCs w:val="24"/>
        </w:rPr>
        <w:t>quehaceres domésticos en condiciones no adecuadas</w:t>
      </w:r>
      <w:r>
        <w:rPr>
          <w:rFonts w:cs="Arial"/>
          <w:szCs w:val="24"/>
        </w:rPr>
        <w:t>,</w:t>
      </w:r>
      <w:r w:rsidRPr="0037646C">
        <w:rPr>
          <w:rFonts w:cs="Arial"/>
          <w:szCs w:val="24"/>
        </w:rPr>
        <w:t xml:space="preserve"> la</w:t>
      </w:r>
      <w:r>
        <w:rPr>
          <w:rFonts w:cs="Arial"/>
          <w:szCs w:val="24"/>
        </w:rPr>
        <w:t xml:space="preserve"> participación de las n</w:t>
      </w:r>
      <w:r w:rsidRPr="0037646C">
        <w:rPr>
          <w:rFonts w:cs="Arial"/>
          <w:szCs w:val="24"/>
        </w:rPr>
        <w:t xml:space="preserve">iñas </w:t>
      </w:r>
      <w:r>
        <w:rPr>
          <w:rFonts w:cs="Arial"/>
          <w:szCs w:val="24"/>
        </w:rPr>
        <w:t xml:space="preserve">fue </w:t>
      </w:r>
      <w:r w:rsidRPr="0037646C">
        <w:rPr>
          <w:rFonts w:cs="Arial"/>
          <w:szCs w:val="24"/>
        </w:rPr>
        <w:t>mayor</w:t>
      </w:r>
      <w:r w:rsidR="00A73ED5">
        <w:rPr>
          <w:rFonts w:cs="Arial"/>
          <w:szCs w:val="24"/>
        </w:rPr>
        <w:t>,</w:t>
      </w:r>
      <w:r>
        <w:rPr>
          <w:rFonts w:cs="Arial"/>
          <w:szCs w:val="24"/>
        </w:rPr>
        <w:t xml:space="preserve"> con 0.9 millones de niñas (56.2 %) y 0.7 millones de niños (43.8 %)</w:t>
      </w:r>
      <w:r w:rsidR="006278A7">
        <w:rPr>
          <w:rFonts w:cs="Arial"/>
          <w:szCs w:val="24"/>
        </w:rPr>
        <w:t xml:space="preserve">, lo que se puede </w:t>
      </w:r>
      <w:r w:rsidR="00B72054">
        <w:rPr>
          <w:rFonts w:cs="Arial"/>
          <w:szCs w:val="24"/>
        </w:rPr>
        <w:t>v</w:t>
      </w:r>
      <w:r w:rsidR="004C2DE3">
        <w:rPr>
          <w:rFonts w:cs="Arial"/>
          <w:szCs w:val="24"/>
        </w:rPr>
        <w:t>er</w:t>
      </w:r>
      <w:r w:rsidR="006278A7">
        <w:rPr>
          <w:rFonts w:cs="Arial"/>
          <w:szCs w:val="24"/>
        </w:rPr>
        <w:t xml:space="preserve"> el </w:t>
      </w:r>
      <w:r w:rsidR="004C2DE3">
        <w:rPr>
          <w:rFonts w:cs="Arial"/>
          <w:szCs w:val="24"/>
        </w:rPr>
        <w:t>cuadro 1</w:t>
      </w:r>
      <w:r w:rsidR="00875F23">
        <w:rPr>
          <w:rFonts w:cs="Arial"/>
          <w:szCs w:val="24"/>
        </w:rPr>
        <w:t>.</w:t>
      </w:r>
    </w:p>
    <w:p w14:paraId="4E5E66AB" w14:textId="77777777" w:rsidR="00791592" w:rsidRDefault="00791592" w:rsidP="00D0575B">
      <w:pPr>
        <w:widowControl/>
        <w:rPr>
          <w:rFonts w:cs="Arial"/>
          <w:szCs w:val="24"/>
        </w:rPr>
      </w:pPr>
    </w:p>
    <w:p w14:paraId="0E871206" w14:textId="77777777" w:rsidR="00EC25C1" w:rsidRPr="004B1EF2" w:rsidRDefault="00EC25C1" w:rsidP="004B1EF2">
      <w:pPr>
        <w:widowControl/>
        <w:jc w:val="center"/>
        <w:rPr>
          <w:rFonts w:cs="Arial"/>
          <w:sz w:val="20"/>
        </w:rPr>
      </w:pPr>
      <w:r w:rsidRPr="004B1EF2">
        <w:rPr>
          <w:rFonts w:cs="Arial"/>
          <w:sz w:val="20"/>
        </w:rPr>
        <w:t>Cuadro 1</w:t>
      </w:r>
    </w:p>
    <w:p w14:paraId="6ECB1677" w14:textId="4603C32B" w:rsidR="00EC25C1" w:rsidRPr="004B1EF2" w:rsidRDefault="006278A7" w:rsidP="004B1EF2">
      <w:pPr>
        <w:widowControl/>
        <w:autoSpaceDE w:val="0"/>
        <w:autoSpaceDN w:val="0"/>
        <w:adjustRightInd w:val="0"/>
        <w:ind w:right="51"/>
        <w:jc w:val="center"/>
        <w:rPr>
          <w:rFonts w:cs="Arial"/>
          <w:b/>
          <w:smallCaps/>
          <w:sz w:val="22"/>
          <w:szCs w:val="22"/>
        </w:rPr>
      </w:pPr>
      <w:r w:rsidRPr="004B1EF2">
        <w:rPr>
          <w:rFonts w:cs="Arial"/>
          <w:b/>
          <w:smallCaps/>
          <w:sz w:val="22"/>
          <w:szCs w:val="22"/>
        </w:rPr>
        <w:t xml:space="preserve">Personas </w:t>
      </w:r>
      <w:r w:rsidR="00B10049" w:rsidRPr="004B1EF2">
        <w:rPr>
          <w:rFonts w:cs="Arial"/>
          <w:b/>
          <w:smallCaps/>
          <w:sz w:val="22"/>
          <w:szCs w:val="22"/>
        </w:rPr>
        <w:t xml:space="preserve">de 5 a 17 años </w:t>
      </w:r>
      <w:r w:rsidR="005E1F51" w:rsidRPr="004B1EF2">
        <w:rPr>
          <w:rFonts w:cs="Arial"/>
          <w:b/>
          <w:smallCaps/>
          <w:sz w:val="22"/>
          <w:szCs w:val="22"/>
        </w:rPr>
        <w:t>en t</w:t>
      </w:r>
      <w:r w:rsidR="00EC25C1" w:rsidRPr="004B1EF2">
        <w:rPr>
          <w:rFonts w:cs="Arial"/>
          <w:b/>
          <w:smallCaps/>
          <w:sz w:val="22"/>
          <w:szCs w:val="22"/>
        </w:rPr>
        <w:t>rabajo infantil por forma de trabajo</w:t>
      </w:r>
      <w:r w:rsidR="005E1F51" w:rsidRPr="004B1EF2">
        <w:rPr>
          <w:rFonts w:cs="Arial"/>
          <w:b/>
          <w:smallCaps/>
          <w:sz w:val="22"/>
          <w:szCs w:val="22"/>
        </w:rPr>
        <w:t xml:space="preserve"> y </w:t>
      </w:r>
      <w:r w:rsidR="00EC25C1" w:rsidRPr="004B1EF2">
        <w:rPr>
          <w:rFonts w:cs="Arial"/>
          <w:b/>
          <w:smallCaps/>
          <w:sz w:val="22"/>
          <w:szCs w:val="22"/>
        </w:rPr>
        <w:t>sexo</w:t>
      </w:r>
    </w:p>
    <w:p w14:paraId="5B446A42" w14:textId="15F440E5" w:rsidR="009A22A8" w:rsidRDefault="009A22A8" w:rsidP="004B1EF2">
      <w:pPr>
        <w:widowControl/>
        <w:autoSpaceDE w:val="0"/>
        <w:autoSpaceDN w:val="0"/>
        <w:adjustRightInd w:val="0"/>
        <w:ind w:right="51"/>
        <w:jc w:val="center"/>
        <w:rPr>
          <w:rFonts w:cs="Arial"/>
          <w:bCs/>
          <w:sz w:val="18"/>
          <w:szCs w:val="18"/>
        </w:rPr>
      </w:pPr>
      <w:r>
        <w:rPr>
          <w:rFonts w:cs="Arial"/>
          <w:bCs/>
          <w:sz w:val="18"/>
          <w:szCs w:val="18"/>
        </w:rPr>
        <w:t>(</w:t>
      </w:r>
      <w:r w:rsidRPr="0003346F">
        <w:rPr>
          <w:rFonts w:cs="Arial"/>
          <w:bCs/>
          <w:sz w:val="18"/>
          <w:szCs w:val="18"/>
        </w:rPr>
        <w:t>millones de personas)</w:t>
      </w:r>
    </w:p>
    <w:tbl>
      <w:tblPr>
        <w:tblW w:w="8170" w:type="dxa"/>
        <w:jc w:val="center"/>
        <w:tblCellMar>
          <w:left w:w="70" w:type="dxa"/>
          <w:right w:w="70" w:type="dxa"/>
        </w:tblCellMar>
        <w:tblLook w:val="04A0" w:firstRow="1" w:lastRow="0" w:firstColumn="1" w:lastColumn="0" w:noHBand="0" w:noVBand="1"/>
      </w:tblPr>
      <w:tblGrid>
        <w:gridCol w:w="320"/>
        <w:gridCol w:w="4507"/>
        <w:gridCol w:w="1102"/>
        <w:gridCol w:w="1121"/>
        <w:gridCol w:w="1120"/>
      </w:tblGrid>
      <w:tr w:rsidR="00BB56BE" w:rsidRPr="0079532F" w14:paraId="704B1FBC" w14:textId="77777777" w:rsidTr="007841FA">
        <w:trPr>
          <w:trHeight w:val="377"/>
          <w:jc w:val="center"/>
        </w:trPr>
        <w:tc>
          <w:tcPr>
            <w:tcW w:w="4827" w:type="dxa"/>
            <w:gridSpan w:val="2"/>
            <w:tcBorders>
              <w:top w:val="nil"/>
              <w:left w:val="nil"/>
              <w:bottom w:val="nil"/>
              <w:right w:val="nil"/>
            </w:tcBorders>
            <w:shd w:val="clear" w:color="auto" w:fill="338B99"/>
            <w:vAlign w:val="center"/>
            <w:hideMark/>
          </w:tcPr>
          <w:p w14:paraId="75B09B8D" w14:textId="35CE1DD7" w:rsidR="00BB56BE" w:rsidRPr="0079532F" w:rsidRDefault="0044611C" w:rsidP="009825E2">
            <w:pPr>
              <w:widowControl/>
              <w:jc w:val="left"/>
              <w:rPr>
                <w:rFonts w:cs="Arial"/>
                <w:b/>
                <w:bCs/>
                <w:color w:val="FFFFFF"/>
                <w:sz w:val="20"/>
                <w:lang w:eastAsia="es-MX"/>
              </w:rPr>
            </w:pPr>
            <w:r>
              <w:rPr>
                <w:rFonts w:cs="Arial"/>
                <w:b/>
                <w:bCs/>
                <w:color w:val="FFFFFF"/>
                <w:sz w:val="20"/>
                <w:lang w:eastAsia="es-MX"/>
              </w:rPr>
              <w:t>Forma de trabajo</w:t>
            </w:r>
          </w:p>
        </w:tc>
        <w:tc>
          <w:tcPr>
            <w:tcW w:w="1102" w:type="dxa"/>
            <w:tcBorders>
              <w:top w:val="nil"/>
              <w:left w:val="nil"/>
              <w:bottom w:val="nil"/>
              <w:right w:val="nil"/>
            </w:tcBorders>
            <w:shd w:val="clear" w:color="auto" w:fill="338B99"/>
            <w:vAlign w:val="center"/>
            <w:hideMark/>
          </w:tcPr>
          <w:p w14:paraId="134C5634" w14:textId="77777777" w:rsidR="00BB56BE" w:rsidRPr="0079532F" w:rsidRDefault="00BB56BE" w:rsidP="009825E2">
            <w:pPr>
              <w:widowControl/>
              <w:jc w:val="center"/>
              <w:rPr>
                <w:rFonts w:cs="Arial"/>
                <w:b/>
                <w:bCs/>
                <w:color w:val="FFFFFF"/>
                <w:sz w:val="20"/>
                <w:lang w:eastAsia="es-MX"/>
              </w:rPr>
            </w:pPr>
            <w:r w:rsidRPr="0079532F">
              <w:rPr>
                <w:rFonts w:cs="Arial"/>
                <w:b/>
                <w:bCs/>
                <w:color w:val="FFFFFF"/>
                <w:sz w:val="20"/>
                <w:lang w:eastAsia="es-MX"/>
              </w:rPr>
              <w:t>Total</w:t>
            </w:r>
          </w:p>
        </w:tc>
        <w:tc>
          <w:tcPr>
            <w:tcW w:w="1121" w:type="dxa"/>
            <w:tcBorders>
              <w:top w:val="nil"/>
              <w:left w:val="nil"/>
              <w:bottom w:val="nil"/>
              <w:right w:val="nil"/>
            </w:tcBorders>
            <w:shd w:val="clear" w:color="auto" w:fill="338B99"/>
            <w:vAlign w:val="center"/>
            <w:hideMark/>
          </w:tcPr>
          <w:p w14:paraId="7293C49B" w14:textId="77777777" w:rsidR="00BB56BE" w:rsidRPr="0079532F" w:rsidRDefault="00BB56BE" w:rsidP="009825E2">
            <w:pPr>
              <w:widowControl/>
              <w:jc w:val="center"/>
              <w:rPr>
                <w:rFonts w:cs="Arial"/>
                <w:b/>
                <w:bCs/>
                <w:color w:val="FFFFFF"/>
                <w:sz w:val="20"/>
                <w:lang w:eastAsia="es-MX"/>
              </w:rPr>
            </w:pPr>
            <w:r w:rsidRPr="0079532F">
              <w:rPr>
                <w:rFonts w:cs="Arial"/>
                <w:b/>
                <w:bCs/>
                <w:color w:val="FFFFFF"/>
                <w:sz w:val="20"/>
                <w:lang w:eastAsia="es-MX"/>
              </w:rPr>
              <w:t>Niños</w:t>
            </w:r>
          </w:p>
        </w:tc>
        <w:tc>
          <w:tcPr>
            <w:tcW w:w="1120" w:type="dxa"/>
            <w:tcBorders>
              <w:top w:val="nil"/>
              <w:left w:val="nil"/>
              <w:bottom w:val="nil"/>
              <w:right w:val="nil"/>
            </w:tcBorders>
            <w:shd w:val="clear" w:color="auto" w:fill="338B99"/>
            <w:vAlign w:val="center"/>
            <w:hideMark/>
          </w:tcPr>
          <w:p w14:paraId="29EA6599" w14:textId="77777777" w:rsidR="00BB56BE" w:rsidRPr="0079532F" w:rsidRDefault="00BB56BE" w:rsidP="009825E2">
            <w:pPr>
              <w:widowControl/>
              <w:jc w:val="center"/>
              <w:rPr>
                <w:rFonts w:cs="Arial"/>
                <w:b/>
                <w:bCs/>
                <w:color w:val="FFFFFF"/>
                <w:sz w:val="20"/>
                <w:lang w:eastAsia="es-MX"/>
              </w:rPr>
            </w:pPr>
            <w:r w:rsidRPr="0079532F">
              <w:rPr>
                <w:rFonts w:cs="Arial"/>
                <w:b/>
                <w:bCs/>
                <w:color w:val="FFFFFF"/>
                <w:sz w:val="20"/>
                <w:lang w:eastAsia="es-MX"/>
              </w:rPr>
              <w:t>Niñas</w:t>
            </w:r>
          </w:p>
        </w:tc>
      </w:tr>
      <w:tr w:rsidR="00BB56BE" w:rsidRPr="0079532F" w14:paraId="0964F257" w14:textId="77777777" w:rsidTr="007841FA">
        <w:trPr>
          <w:trHeight w:val="377"/>
          <w:jc w:val="center"/>
        </w:trPr>
        <w:tc>
          <w:tcPr>
            <w:tcW w:w="4827" w:type="dxa"/>
            <w:gridSpan w:val="2"/>
            <w:tcBorders>
              <w:top w:val="nil"/>
              <w:left w:val="nil"/>
              <w:bottom w:val="nil"/>
              <w:right w:val="nil"/>
            </w:tcBorders>
            <w:shd w:val="clear" w:color="auto" w:fill="99C5CC"/>
            <w:vAlign w:val="center"/>
            <w:hideMark/>
          </w:tcPr>
          <w:p w14:paraId="4D987868" w14:textId="77777777" w:rsidR="00BB56BE" w:rsidRPr="0079532F" w:rsidRDefault="00BB56BE" w:rsidP="009825E2">
            <w:pPr>
              <w:widowControl/>
              <w:rPr>
                <w:rFonts w:cs="Arial"/>
                <w:b/>
                <w:bCs/>
                <w:color w:val="000000"/>
                <w:sz w:val="20"/>
                <w:lang w:eastAsia="es-MX"/>
              </w:rPr>
            </w:pPr>
            <w:r w:rsidRPr="0079532F">
              <w:rPr>
                <w:rFonts w:cs="Arial"/>
                <w:b/>
                <w:bCs/>
                <w:color w:val="000000"/>
                <w:sz w:val="20"/>
                <w:lang w:eastAsia="es-MX"/>
              </w:rPr>
              <w:t>Trabajo infantil</w:t>
            </w:r>
          </w:p>
        </w:tc>
        <w:tc>
          <w:tcPr>
            <w:tcW w:w="1102" w:type="dxa"/>
            <w:tcBorders>
              <w:top w:val="nil"/>
              <w:left w:val="nil"/>
              <w:bottom w:val="nil"/>
              <w:right w:val="nil"/>
            </w:tcBorders>
            <w:shd w:val="clear" w:color="auto" w:fill="99C5CC"/>
            <w:vAlign w:val="center"/>
            <w:hideMark/>
          </w:tcPr>
          <w:p w14:paraId="6D4FFA0E" w14:textId="77777777" w:rsidR="00BB56BE" w:rsidRPr="0079532F" w:rsidRDefault="00BB56BE" w:rsidP="009825E2">
            <w:pPr>
              <w:widowControl/>
              <w:jc w:val="center"/>
              <w:rPr>
                <w:rFonts w:cs="Arial"/>
                <w:b/>
                <w:bCs/>
                <w:color w:val="000000"/>
                <w:sz w:val="20"/>
                <w:lang w:eastAsia="es-MX"/>
              </w:rPr>
            </w:pPr>
            <w:r w:rsidRPr="0079532F">
              <w:rPr>
                <w:rFonts w:cs="Arial"/>
                <w:b/>
                <w:bCs/>
                <w:color w:val="000000"/>
                <w:sz w:val="20"/>
                <w:lang w:eastAsia="es-MX"/>
              </w:rPr>
              <w:t>3.7</w:t>
            </w:r>
          </w:p>
        </w:tc>
        <w:tc>
          <w:tcPr>
            <w:tcW w:w="1121" w:type="dxa"/>
            <w:tcBorders>
              <w:top w:val="nil"/>
              <w:left w:val="nil"/>
              <w:bottom w:val="nil"/>
              <w:right w:val="nil"/>
            </w:tcBorders>
            <w:shd w:val="clear" w:color="auto" w:fill="99C5CC"/>
            <w:vAlign w:val="center"/>
            <w:hideMark/>
          </w:tcPr>
          <w:p w14:paraId="3038E7D8" w14:textId="77777777" w:rsidR="00BB56BE" w:rsidRPr="0079532F" w:rsidRDefault="00BB56BE" w:rsidP="009825E2">
            <w:pPr>
              <w:widowControl/>
              <w:jc w:val="center"/>
              <w:rPr>
                <w:rFonts w:cs="Arial"/>
                <w:b/>
                <w:bCs/>
                <w:color w:val="000000"/>
                <w:sz w:val="20"/>
                <w:lang w:eastAsia="es-MX"/>
              </w:rPr>
            </w:pPr>
            <w:r w:rsidRPr="0079532F">
              <w:rPr>
                <w:rFonts w:cs="Arial"/>
                <w:b/>
                <w:bCs/>
                <w:color w:val="000000"/>
                <w:sz w:val="20"/>
                <w:lang w:eastAsia="es-MX"/>
              </w:rPr>
              <w:t>2.2</w:t>
            </w:r>
          </w:p>
        </w:tc>
        <w:tc>
          <w:tcPr>
            <w:tcW w:w="1120" w:type="dxa"/>
            <w:tcBorders>
              <w:top w:val="nil"/>
              <w:left w:val="nil"/>
              <w:bottom w:val="nil"/>
              <w:right w:val="nil"/>
            </w:tcBorders>
            <w:shd w:val="clear" w:color="auto" w:fill="99C5CC"/>
            <w:vAlign w:val="center"/>
            <w:hideMark/>
          </w:tcPr>
          <w:p w14:paraId="12230D95" w14:textId="77777777" w:rsidR="00BB56BE" w:rsidRPr="0079532F" w:rsidRDefault="00BB56BE" w:rsidP="009825E2">
            <w:pPr>
              <w:widowControl/>
              <w:jc w:val="center"/>
              <w:rPr>
                <w:rFonts w:cs="Arial"/>
                <w:b/>
                <w:bCs/>
                <w:color w:val="000000"/>
                <w:sz w:val="20"/>
                <w:lang w:eastAsia="es-MX"/>
              </w:rPr>
            </w:pPr>
            <w:r w:rsidRPr="0079532F">
              <w:rPr>
                <w:rFonts w:cs="Arial"/>
                <w:b/>
                <w:bCs/>
                <w:color w:val="000000"/>
                <w:sz w:val="20"/>
                <w:lang w:eastAsia="es-MX"/>
              </w:rPr>
              <w:t>1.5</w:t>
            </w:r>
          </w:p>
        </w:tc>
      </w:tr>
      <w:tr w:rsidR="00BB56BE" w:rsidRPr="0079532F" w14:paraId="01CDC391" w14:textId="77777777" w:rsidTr="007841FA">
        <w:trPr>
          <w:trHeight w:val="377"/>
          <w:jc w:val="center"/>
        </w:trPr>
        <w:tc>
          <w:tcPr>
            <w:tcW w:w="320" w:type="dxa"/>
            <w:tcBorders>
              <w:top w:val="nil"/>
              <w:left w:val="nil"/>
              <w:bottom w:val="nil"/>
              <w:right w:val="nil"/>
            </w:tcBorders>
            <w:shd w:val="clear" w:color="auto" w:fill="CCE2E6"/>
            <w:noWrap/>
            <w:vAlign w:val="bottom"/>
            <w:hideMark/>
          </w:tcPr>
          <w:p w14:paraId="00B19E05" w14:textId="77777777" w:rsidR="00BB56BE" w:rsidRPr="0079532F" w:rsidRDefault="00BB56BE" w:rsidP="009825E2">
            <w:pPr>
              <w:widowControl/>
              <w:jc w:val="left"/>
              <w:rPr>
                <w:rFonts w:ascii="Times New Roman" w:hAnsi="Times New Roman"/>
                <w:color w:val="000000"/>
                <w:sz w:val="20"/>
                <w:lang w:eastAsia="es-MX"/>
              </w:rPr>
            </w:pPr>
            <w:r w:rsidRPr="0079532F">
              <w:rPr>
                <w:rFonts w:ascii="Times New Roman" w:hAnsi="Times New Roman"/>
                <w:color w:val="000000"/>
                <w:sz w:val="20"/>
                <w:lang w:eastAsia="es-MX"/>
              </w:rPr>
              <w:t> </w:t>
            </w:r>
          </w:p>
        </w:tc>
        <w:tc>
          <w:tcPr>
            <w:tcW w:w="4507" w:type="dxa"/>
            <w:tcBorders>
              <w:top w:val="nil"/>
              <w:left w:val="nil"/>
              <w:bottom w:val="nil"/>
              <w:right w:val="nil"/>
            </w:tcBorders>
            <w:shd w:val="clear" w:color="auto" w:fill="CCE2E6"/>
            <w:vAlign w:val="center"/>
            <w:hideMark/>
          </w:tcPr>
          <w:p w14:paraId="3907D1F3" w14:textId="77777777" w:rsidR="00BB56BE" w:rsidRPr="0079532F" w:rsidRDefault="00BB56BE" w:rsidP="009825E2">
            <w:pPr>
              <w:widowControl/>
              <w:jc w:val="left"/>
              <w:rPr>
                <w:rFonts w:cs="Arial"/>
                <w:color w:val="000000"/>
                <w:sz w:val="20"/>
                <w:lang w:eastAsia="es-MX"/>
              </w:rPr>
            </w:pPr>
            <w:r w:rsidRPr="0079532F">
              <w:rPr>
                <w:rFonts w:cs="Arial"/>
                <w:color w:val="000000"/>
                <w:sz w:val="20"/>
                <w:lang w:eastAsia="es-MX"/>
              </w:rPr>
              <w:t>Solo ocupación no permitida</w:t>
            </w:r>
          </w:p>
        </w:tc>
        <w:tc>
          <w:tcPr>
            <w:tcW w:w="1102" w:type="dxa"/>
            <w:tcBorders>
              <w:top w:val="nil"/>
              <w:left w:val="nil"/>
              <w:bottom w:val="nil"/>
              <w:right w:val="nil"/>
            </w:tcBorders>
            <w:shd w:val="clear" w:color="auto" w:fill="CCE2E6"/>
            <w:vAlign w:val="center"/>
            <w:hideMark/>
          </w:tcPr>
          <w:p w14:paraId="7C0E3097" w14:textId="77777777" w:rsidR="00BB56BE" w:rsidRPr="0079532F" w:rsidRDefault="00BB56BE" w:rsidP="009825E2">
            <w:pPr>
              <w:widowControl/>
              <w:jc w:val="center"/>
              <w:rPr>
                <w:rFonts w:cs="Arial"/>
                <w:color w:val="000000"/>
                <w:sz w:val="20"/>
                <w:lang w:eastAsia="es-MX"/>
              </w:rPr>
            </w:pPr>
            <w:r w:rsidRPr="0079532F">
              <w:rPr>
                <w:rFonts w:cs="Arial"/>
                <w:color w:val="000000"/>
                <w:sz w:val="20"/>
                <w:lang w:eastAsia="es-MX"/>
              </w:rPr>
              <w:t>1.8</w:t>
            </w:r>
          </w:p>
        </w:tc>
        <w:tc>
          <w:tcPr>
            <w:tcW w:w="1121" w:type="dxa"/>
            <w:tcBorders>
              <w:top w:val="nil"/>
              <w:left w:val="nil"/>
              <w:bottom w:val="nil"/>
              <w:right w:val="nil"/>
            </w:tcBorders>
            <w:shd w:val="clear" w:color="auto" w:fill="CCE2E6"/>
            <w:vAlign w:val="center"/>
            <w:hideMark/>
          </w:tcPr>
          <w:p w14:paraId="476B09F1" w14:textId="77777777" w:rsidR="00BB56BE" w:rsidRPr="0079532F" w:rsidRDefault="00BB56BE" w:rsidP="009825E2">
            <w:pPr>
              <w:widowControl/>
              <w:jc w:val="center"/>
              <w:rPr>
                <w:rFonts w:cs="Arial"/>
                <w:color w:val="000000"/>
                <w:sz w:val="20"/>
                <w:lang w:eastAsia="es-MX"/>
              </w:rPr>
            </w:pPr>
            <w:r w:rsidRPr="0079532F">
              <w:rPr>
                <w:rFonts w:cs="Arial"/>
                <w:color w:val="000000"/>
                <w:sz w:val="20"/>
                <w:lang w:eastAsia="es-MX"/>
              </w:rPr>
              <w:t>1.3</w:t>
            </w:r>
          </w:p>
        </w:tc>
        <w:tc>
          <w:tcPr>
            <w:tcW w:w="1120" w:type="dxa"/>
            <w:tcBorders>
              <w:top w:val="nil"/>
              <w:left w:val="nil"/>
              <w:bottom w:val="nil"/>
              <w:right w:val="nil"/>
            </w:tcBorders>
            <w:shd w:val="clear" w:color="auto" w:fill="CCE2E6"/>
            <w:vAlign w:val="center"/>
            <w:hideMark/>
          </w:tcPr>
          <w:p w14:paraId="70692A68" w14:textId="77777777" w:rsidR="00BB56BE" w:rsidRPr="0079532F" w:rsidRDefault="00BB56BE" w:rsidP="009825E2">
            <w:pPr>
              <w:widowControl/>
              <w:jc w:val="center"/>
              <w:rPr>
                <w:rFonts w:cs="Arial"/>
                <w:color w:val="000000"/>
                <w:sz w:val="20"/>
                <w:lang w:eastAsia="es-MX"/>
              </w:rPr>
            </w:pPr>
            <w:r w:rsidRPr="0079532F">
              <w:rPr>
                <w:rFonts w:cs="Arial"/>
                <w:color w:val="000000"/>
                <w:sz w:val="20"/>
                <w:lang w:eastAsia="es-MX"/>
              </w:rPr>
              <w:t>0.5</w:t>
            </w:r>
          </w:p>
        </w:tc>
      </w:tr>
      <w:tr w:rsidR="00BB56BE" w:rsidRPr="0079532F" w14:paraId="7BF54062" w14:textId="77777777" w:rsidTr="007841FA">
        <w:trPr>
          <w:trHeight w:val="908"/>
          <w:jc w:val="center"/>
        </w:trPr>
        <w:tc>
          <w:tcPr>
            <w:tcW w:w="320" w:type="dxa"/>
            <w:tcBorders>
              <w:top w:val="nil"/>
              <w:left w:val="nil"/>
              <w:bottom w:val="nil"/>
              <w:right w:val="nil"/>
            </w:tcBorders>
            <w:shd w:val="clear" w:color="auto" w:fill="CCE2E6"/>
            <w:vAlign w:val="center"/>
            <w:hideMark/>
          </w:tcPr>
          <w:p w14:paraId="4DD43471" w14:textId="77777777" w:rsidR="00BB56BE" w:rsidRPr="0079532F" w:rsidRDefault="00BB56BE" w:rsidP="009825E2">
            <w:pPr>
              <w:widowControl/>
              <w:jc w:val="left"/>
              <w:rPr>
                <w:rFonts w:ascii="Times New Roman" w:hAnsi="Times New Roman"/>
                <w:color w:val="000000"/>
                <w:sz w:val="20"/>
                <w:lang w:eastAsia="es-MX"/>
              </w:rPr>
            </w:pPr>
            <w:r w:rsidRPr="0079532F">
              <w:rPr>
                <w:rFonts w:ascii="Times New Roman" w:hAnsi="Times New Roman"/>
                <w:color w:val="000000"/>
                <w:sz w:val="20"/>
                <w:lang w:eastAsia="es-MX"/>
              </w:rPr>
              <w:t> </w:t>
            </w:r>
          </w:p>
        </w:tc>
        <w:tc>
          <w:tcPr>
            <w:tcW w:w="4507" w:type="dxa"/>
            <w:tcBorders>
              <w:top w:val="nil"/>
              <w:left w:val="nil"/>
              <w:bottom w:val="nil"/>
              <w:right w:val="nil"/>
            </w:tcBorders>
            <w:shd w:val="clear" w:color="auto" w:fill="CCE2E6"/>
            <w:vAlign w:val="center"/>
            <w:hideMark/>
          </w:tcPr>
          <w:p w14:paraId="60ECB7AE" w14:textId="77777777" w:rsidR="00BB56BE" w:rsidRPr="0079532F" w:rsidRDefault="00BB56BE" w:rsidP="009825E2">
            <w:pPr>
              <w:widowControl/>
              <w:jc w:val="left"/>
              <w:rPr>
                <w:rFonts w:cs="Arial"/>
                <w:color w:val="000000"/>
                <w:sz w:val="20"/>
                <w:lang w:eastAsia="es-MX"/>
              </w:rPr>
            </w:pPr>
            <w:r w:rsidRPr="0079532F">
              <w:rPr>
                <w:rFonts w:cs="Arial"/>
                <w:color w:val="000000"/>
                <w:sz w:val="20"/>
                <w:lang w:eastAsia="es-MX"/>
              </w:rPr>
              <w:t>Ocupación no permitida y quehaceres domésticos en condiciones no adecuadas</w:t>
            </w:r>
          </w:p>
        </w:tc>
        <w:tc>
          <w:tcPr>
            <w:tcW w:w="1102" w:type="dxa"/>
            <w:tcBorders>
              <w:top w:val="nil"/>
              <w:left w:val="nil"/>
              <w:bottom w:val="nil"/>
              <w:right w:val="nil"/>
            </w:tcBorders>
            <w:shd w:val="clear" w:color="auto" w:fill="CCE2E6"/>
            <w:vAlign w:val="center"/>
            <w:hideMark/>
          </w:tcPr>
          <w:p w14:paraId="744F7CE1" w14:textId="77777777" w:rsidR="00BB56BE" w:rsidRPr="0079532F" w:rsidRDefault="00BB56BE" w:rsidP="009825E2">
            <w:pPr>
              <w:widowControl/>
              <w:jc w:val="center"/>
              <w:rPr>
                <w:rFonts w:cs="Arial"/>
                <w:color w:val="000000"/>
                <w:sz w:val="20"/>
                <w:lang w:eastAsia="es-MX"/>
              </w:rPr>
            </w:pPr>
            <w:r w:rsidRPr="0079532F">
              <w:rPr>
                <w:rFonts w:cs="Arial"/>
                <w:color w:val="000000"/>
                <w:sz w:val="20"/>
                <w:lang w:eastAsia="es-MX"/>
              </w:rPr>
              <w:t>0.3</w:t>
            </w:r>
          </w:p>
        </w:tc>
        <w:tc>
          <w:tcPr>
            <w:tcW w:w="1121" w:type="dxa"/>
            <w:tcBorders>
              <w:top w:val="nil"/>
              <w:left w:val="nil"/>
              <w:bottom w:val="nil"/>
              <w:right w:val="nil"/>
            </w:tcBorders>
            <w:shd w:val="clear" w:color="auto" w:fill="CCE2E6"/>
            <w:vAlign w:val="center"/>
            <w:hideMark/>
          </w:tcPr>
          <w:p w14:paraId="2876A872" w14:textId="77777777" w:rsidR="00BB56BE" w:rsidRPr="0079532F" w:rsidRDefault="00BB56BE" w:rsidP="009825E2">
            <w:pPr>
              <w:widowControl/>
              <w:jc w:val="center"/>
              <w:rPr>
                <w:rFonts w:cs="Arial"/>
                <w:color w:val="000000"/>
                <w:sz w:val="20"/>
                <w:lang w:eastAsia="es-MX"/>
              </w:rPr>
            </w:pPr>
            <w:r w:rsidRPr="0079532F">
              <w:rPr>
                <w:rFonts w:cs="Arial"/>
                <w:color w:val="000000"/>
                <w:sz w:val="20"/>
                <w:lang w:eastAsia="es-MX"/>
              </w:rPr>
              <w:t>0.2</w:t>
            </w:r>
          </w:p>
        </w:tc>
        <w:tc>
          <w:tcPr>
            <w:tcW w:w="1120" w:type="dxa"/>
            <w:tcBorders>
              <w:top w:val="nil"/>
              <w:left w:val="nil"/>
              <w:bottom w:val="nil"/>
              <w:right w:val="nil"/>
            </w:tcBorders>
            <w:shd w:val="clear" w:color="auto" w:fill="CCE2E6"/>
            <w:vAlign w:val="center"/>
            <w:hideMark/>
          </w:tcPr>
          <w:p w14:paraId="6B28D5AF" w14:textId="77777777" w:rsidR="00BB56BE" w:rsidRPr="0079532F" w:rsidRDefault="00BB56BE" w:rsidP="009825E2">
            <w:pPr>
              <w:widowControl/>
              <w:jc w:val="center"/>
              <w:rPr>
                <w:rFonts w:cs="Arial"/>
                <w:color w:val="000000"/>
                <w:sz w:val="20"/>
                <w:lang w:eastAsia="es-MX"/>
              </w:rPr>
            </w:pPr>
            <w:r w:rsidRPr="0079532F">
              <w:rPr>
                <w:rFonts w:cs="Arial"/>
                <w:color w:val="000000"/>
                <w:sz w:val="20"/>
                <w:lang w:eastAsia="es-MX"/>
              </w:rPr>
              <w:t>0.1</w:t>
            </w:r>
          </w:p>
        </w:tc>
      </w:tr>
      <w:tr w:rsidR="00BB56BE" w:rsidRPr="0079532F" w14:paraId="5E3B9CE2" w14:textId="77777777" w:rsidTr="007841FA">
        <w:trPr>
          <w:trHeight w:val="642"/>
          <w:jc w:val="center"/>
        </w:trPr>
        <w:tc>
          <w:tcPr>
            <w:tcW w:w="320" w:type="dxa"/>
            <w:tcBorders>
              <w:top w:val="nil"/>
              <w:left w:val="nil"/>
              <w:bottom w:val="nil"/>
              <w:right w:val="nil"/>
            </w:tcBorders>
            <w:shd w:val="clear" w:color="auto" w:fill="CCE2E6"/>
            <w:vAlign w:val="center"/>
            <w:hideMark/>
          </w:tcPr>
          <w:p w14:paraId="0AB3E23F" w14:textId="77777777" w:rsidR="00BB56BE" w:rsidRPr="0079532F" w:rsidRDefault="00BB56BE" w:rsidP="009825E2">
            <w:pPr>
              <w:widowControl/>
              <w:jc w:val="left"/>
              <w:rPr>
                <w:rFonts w:cs="Arial"/>
                <w:color w:val="000000"/>
                <w:sz w:val="20"/>
                <w:lang w:eastAsia="es-MX"/>
              </w:rPr>
            </w:pPr>
            <w:r w:rsidRPr="0079532F">
              <w:rPr>
                <w:rFonts w:cs="Arial"/>
                <w:color w:val="000000"/>
                <w:sz w:val="20"/>
                <w:lang w:eastAsia="es-MX"/>
              </w:rPr>
              <w:t> </w:t>
            </w:r>
          </w:p>
        </w:tc>
        <w:tc>
          <w:tcPr>
            <w:tcW w:w="4507" w:type="dxa"/>
            <w:tcBorders>
              <w:top w:val="nil"/>
              <w:left w:val="nil"/>
              <w:bottom w:val="nil"/>
              <w:right w:val="nil"/>
            </w:tcBorders>
            <w:shd w:val="clear" w:color="auto" w:fill="CCE2E6"/>
            <w:vAlign w:val="center"/>
            <w:hideMark/>
          </w:tcPr>
          <w:p w14:paraId="31FB494E" w14:textId="77777777" w:rsidR="00BB56BE" w:rsidRPr="0079532F" w:rsidRDefault="00BB56BE" w:rsidP="009825E2">
            <w:pPr>
              <w:widowControl/>
              <w:jc w:val="left"/>
              <w:rPr>
                <w:rFonts w:cs="Arial"/>
                <w:color w:val="000000"/>
                <w:sz w:val="20"/>
                <w:lang w:eastAsia="es-MX"/>
              </w:rPr>
            </w:pPr>
            <w:r w:rsidRPr="0079532F">
              <w:rPr>
                <w:rFonts w:cs="Arial"/>
                <w:color w:val="000000"/>
                <w:sz w:val="20"/>
                <w:lang w:eastAsia="es-MX"/>
              </w:rPr>
              <w:t>Solo quehaceres domésticos en condiciones no adecuadas</w:t>
            </w:r>
          </w:p>
        </w:tc>
        <w:tc>
          <w:tcPr>
            <w:tcW w:w="1102" w:type="dxa"/>
            <w:tcBorders>
              <w:top w:val="nil"/>
              <w:left w:val="nil"/>
              <w:bottom w:val="nil"/>
              <w:right w:val="nil"/>
            </w:tcBorders>
            <w:shd w:val="clear" w:color="auto" w:fill="CCE2E6"/>
            <w:vAlign w:val="center"/>
            <w:hideMark/>
          </w:tcPr>
          <w:p w14:paraId="1037F494" w14:textId="77777777" w:rsidR="00BB56BE" w:rsidRPr="0079532F" w:rsidRDefault="00BB56BE" w:rsidP="009825E2">
            <w:pPr>
              <w:widowControl/>
              <w:jc w:val="center"/>
              <w:rPr>
                <w:rFonts w:cs="Arial"/>
                <w:color w:val="000000"/>
                <w:sz w:val="20"/>
                <w:lang w:eastAsia="es-MX"/>
              </w:rPr>
            </w:pPr>
            <w:r w:rsidRPr="0079532F">
              <w:rPr>
                <w:rFonts w:cs="Arial"/>
                <w:color w:val="000000"/>
                <w:sz w:val="20"/>
                <w:lang w:eastAsia="es-MX"/>
              </w:rPr>
              <w:t>1.6</w:t>
            </w:r>
          </w:p>
        </w:tc>
        <w:tc>
          <w:tcPr>
            <w:tcW w:w="1121" w:type="dxa"/>
            <w:tcBorders>
              <w:top w:val="nil"/>
              <w:left w:val="nil"/>
              <w:bottom w:val="nil"/>
              <w:right w:val="nil"/>
            </w:tcBorders>
            <w:shd w:val="clear" w:color="auto" w:fill="CCE2E6"/>
            <w:vAlign w:val="center"/>
            <w:hideMark/>
          </w:tcPr>
          <w:p w14:paraId="4DAE90EE" w14:textId="77777777" w:rsidR="00BB56BE" w:rsidRPr="0079532F" w:rsidRDefault="00BB56BE" w:rsidP="009825E2">
            <w:pPr>
              <w:widowControl/>
              <w:jc w:val="center"/>
              <w:rPr>
                <w:rFonts w:cs="Arial"/>
                <w:color w:val="000000"/>
                <w:sz w:val="20"/>
                <w:lang w:eastAsia="es-MX"/>
              </w:rPr>
            </w:pPr>
            <w:r w:rsidRPr="0079532F">
              <w:rPr>
                <w:rFonts w:cs="Arial"/>
                <w:color w:val="000000"/>
                <w:sz w:val="20"/>
                <w:lang w:eastAsia="es-MX"/>
              </w:rPr>
              <w:t>0.7</w:t>
            </w:r>
          </w:p>
        </w:tc>
        <w:tc>
          <w:tcPr>
            <w:tcW w:w="1120" w:type="dxa"/>
            <w:tcBorders>
              <w:top w:val="nil"/>
              <w:left w:val="nil"/>
              <w:bottom w:val="nil"/>
              <w:right w:val="nil"/>
            </w:tcBorders>
            <w:shd w:val="clear" w:color="auto" w:fill="CCE2E6"/>
            <w:vAlign w:val="center"/>
            <w:hideMark/>
          </w:tcPr>
          <w:p w14:paraId="3CFAD905" w14:textId="77777777" w:rsidR="00BB56BE" w:rsidRPr="0079532F" w:rsidRDefault="00BB56BE" w:rsidP="009825E2">
            <w:pPr>
              <w:widowControl/>
              <w:jc w:val="center"/>
              <w:rPr>
                <w:rFonts w:cs="Arial"/>
                <w:color w:val="000000"/>
                <w:sz w:val="20"/>
                <w:lang w:eastAsia="es-MX"/>
              </w:rPr>
            </w:pPr>
            <w:r w:rsidRPr="0079532F">
              <w:rPr>
                <w:rFonts w:cs="Arial"/>
                <w:color w:val="000000"/>
                <w:sz w:val="20"/>
                <w:lang w:eastAsia="es-MX"/>
              </w:rPr>
              <w:t>0.9</w:t>
            </w:r>
          </w:p>
        </w:tc>
      </w:tr>
    </w:tbl>
    <w:p w14:paraId="6C6F67A1" w14:textId="71803E88" w:rsidR="00EC25C1" w:rsidRPr="00CD6FE9" w:rsidRDefault="00EC25C1" w:rsidP="007841FA">
      <w:pPr>
        <w:widowControl/>
        <w:autoSpaceDE w:val="0"/>
        <w:autoSpaceDN w:val="0"/>
        <w:adjustRightInd w:val="0"/>
        <w:spacing w:line="276" w:lineRule="auto"/>
        <w:ind w:right="333" w:firstLine="993"/>
        <w:rPr>
          <w:rFonts w:cs="Arial"/>
          <w:color w:val="000000"/>
          <w:sz w:val="16"/>
          <w:szCs w:val="16"/>
        </w:rPr>
      </w:pPr>
      <w:r w:rsidRPr="00CD6FE9">
        <w:rPr>
          <w:rFonts w:cs="Arial"/>
          <w:color w:val="000000" w:themeColor="text1"/>
          <w:sz w:val="16"/>
          <w:szCs w:val="16"/>
        </w:rPr>
        <w:t>Fuente: INEGI, ENTI. 2022.</w:t>
      </w:r>
    </w:p>
    <w:p w14:paraId="719CC447" w14:textId="53239B7C" w:rsidR="00BB56BE" w:rsidRDefault="00BB56BE" w:rsidP="00D94D89">
      <w:pPr>
        <w:widowControl/>
        <w:rPr>
          <w:rFonts w:cs="Arial"/>
          <w:szCs w:val="24"/>
        </w:rPr>
      </w:pPr>
    </w:p>
    <w:p w14:paraId="67FE82B9" w14:textId="77777777" w:rsidR="007841FA" w:rsidRDefault="007841FA" w:rsidP="00D94D89">
      <w:pPr>
        <w:widowControl/>
        <w:rPr>
          <w:rFonts w:cs="Arial"/>
          <w:szCs w:val="24"/>
        </w:rPr>
      </w:pPr>
    </w:p>
    <w:p w14:paraId="0B911E55" w14:textId="77777777" w:rsidR="007841FA" w:rsidRDefault="007841FA" w:rsidP="00D94D89">
      <w:pPr>
        <w:widowControl/>
        <w:rPr>
          <w:rFonts w:cs="Arial"/>
          <w:szCs w:val="24"/>
        </w:rPr>
      </w:pPr>
    </w:p>
    <w:p w14:paraId="58E28228" w14:textId="3C19DE85" w:rsidR="00791592" w:rsidRDefault="00A73ED5" w:rsidP="007841FA">
      <w:pPr>
        <w:widowControl/>
        <w:ind w:right="51"/>
        <w:rPr>
          <w:rFonts w:cs="Arial"/>
          <w:szCs w:val="24"/>
        </w:rPr>
      </w:pPr>
      <w:r>
        <w:rPr>
          <w:rFonts w:cs="Arial"/>
          <w:szCs w:val="24"/>
        </w:rPr>
        <w:lastRenderedPageBreak/>
        <w:t>Del mismo cuadro 1</w:t>
      </w:r>
      <w:r w:rsidR="001D2E84">
        <w:rPr>
          <w:rFonts w:cs="Arial"/>
          <w:szCs w:val="24"/>
        </w:rPr>
        <w:t>,</w:t>
      </w:r>
      <w:r>
        <w:rPr>
          <w:rFonts w:cs="Arial"/>
          <w:szCs w:val="24"/>
        </w:rPr>
        <w:t xml:space="preserve"> se puede observar que si se incluyen los 0.3 millones de niñas, niños y adolescente</w:t>
      </w:r>
      <w:r w:rsidR="0093490E">
        <w:rPr>
          <w:rFonts w:cs="Arial"/>
          <w:szCs w:val="24"/>
        </w:rPr>
        <w:t>s</w:t>
      </w:r>
      <w:r>
        <w:rPr>
          <w:rFonts w:cs="Arial"/>
          <w:szCs w:val="24"/>
        </w:rPr>
        <w:t xml:space="preserve"> que realizan</w:t>
      </w:r>
      <w:r w:rsidR="0093490E">
        <w:rPr>
          <w:rFonts w:cs="Arial"/>
          <w:szCs w:val="24"/>
        </w:rPr>
        <w:t xml:space="preserve"> tanto</w:t>
      </w:r>
      <w:r>
        <w:rPr>
          <w:rFonts w:cs="Arial"/>
          <w:szCs w:val="24"/>
        </w:rPr>
        <w:t xml:space="preserve"> ocupación no permitida </w:t>
      </w:r>
      <w:r w:rsidR="0093490E">
        <w:rPr>
          <w:rFonts w:cs="Arial"/>
          <w:szCs w:val="24"/>
        </w:rPr>
        <w:t xml:space="preserve">como </w:t>
      </w:r>
      <w:r>
        <w:rPr>
          <w:rFonts w:cs="Arial"/>
          <w:szCs w:val="24"/>
        </w:rPr>
        <w:t>quehaceres domésticos no adecuados a cada grupo</w:t>
      </w:r>
      <w:r w:rsidR="0093490E">
        <w:rPr>
          <w:rFonts w:cs="Arial"/>
          <w:szCs w:val="24"/>
        </w:rPr>
        <w:t>,</w:t>
      </w:r>
      <w:r>
        <w:rPr>
          <w:rFonts w:cs="Arial"/>
          <w:szCs w:val="24"/>
        </w:rPr>
        <w:t xml:space="preserve"> se tiene</w:t>
      </w:r>
      <w:r w:rsidR="0093490E">
        <w:rPr>
          <w:rFonts w:cs="Arial"/>
          <w:szCs w:val="24"/>
        </w:rPr>
        <w:t xml:space="preserve">n </w:t>
      </w:r>
      <w:r>
        <w:rPr>
          <w:rFonts w:cs="Arial"/>
          <w:szCs w:val="24"/>
        </w:rPr>
        <w:t>2.1 millones</w:t>
      </w:r>
      <w:r w:rsidR="0093490E">
        <w:rPr>
          <w:rFonts w:cs="Arial"/>
          <w:szCs w:val="24"/>
        </w:rPr>
        <w:t xml:space="preserve"> de personas (7.5 %) en ocupación no permitida y </w:t>
      </w:r>
      <w:r>
        <w:rPr>
          <w:rFonts w:cs="Arial"/>
          <w:szCs w:val="24"/>
        </w:rPr>
        <w:t>1</w:t>
      </w:r>
      <w:r w:rsidR="00DE0E7C" w:rsidRPr="0037646C">
        <w:rPr>
          <w:rFonts w:cs="Arial"/>
          <w:szCs w:val="24"/>
        </w:rPr>
        <w:t>.9 millones</w:t>
      </w:r>
      <w:r w:rsidR="0093490E">
        <w:rPr>
          <w:rFonts w:cs="Arial"/>
          <w:szCs w:val="24"/>
        </w:rPr>
        <w:t xml:space="preserve"> personas </w:t>
      </w:r>
      <w:r w:rsidR="00F6798E">
        <w:rPr>
          <w:rFonts w:cs="Arial"/>
          <w:szCs w:val="24"/>
        </w:rPr>
        <w:t>(</w:t>
      </w:r>
      <w:r w:rsidR="00F6798E" w:rsidRPr="0037646C">
        <w:rPr>
          <w:rFonts w:cs="Arial"/>
          <w:szCs w:val="24"/>
        </w:rPr>
        <w:t>6.7</w:t>
      </w:r>
      <w:r w:rsidR="00BC4C27">
        <w:rPr>
          <w:rFonts w:cs="Arial"/>
          <w:szCs w:val="24"/>
        </w:rPr>
        <w:t xml:space="preserve"> </w:t>
      </w:r>
      <w:r w:rsidR="00F6798E" w:rsidRPr="0037646C">
        <w:rPr>
          <w:rFonts w:cs="Arial"/>
          <w:szCs w:val="24"/>
        </w:rPr>
        <w:t>%</w:t>
      </w:r>
      <w:r w:rsidR="00F6798E">
        <w:rPr>
          <w:rFonts w:cs="Arial"/>
          <w:szCs w:val="24"/>
        </w:rPr>
        <w:t xml:space="preserve">) </w:t>
      </w:r>
      <w:r w:rsidR="0093490E">
        <w:rPr>
          <w:rFonts w:cs="Arial"/>
          <w:szCs w:val="24"/>
        </w:rPr>
        <w:t xml:space="preserve">en </w:t>
      </w:r>
      <w:r w:rsidR="00DE0E7C" w:rsidRPr="0037646C">
        <w:rPr>
          <w:rFonts w:cs="Arial"/>
          <w:szCs w:val="24"/>
        </w:rPr>
        <w:t>quehaceres domésticos no adecuad</w:t>
      </w:r>
      <w:r w:rsidR="0093490E">
        <w:rPr>
          <w:rFonts w:cs="Arial"/>
          <w:szCs w:val="24"/>
        </w:rPr>
        <w:t>o</w:t>
      </w:r>
      <w:r w:rsidR="00DE0E7C" w:rsidRPr="0037646C">
        <w:rPr>
          <w:rFonts w:cs="Arial"/>
          <w:szCs w:val="24"/>
        </w:rPr>
        <w:t>s</w:t>
      </w:r>
      <w:r w:rsidR="00647526">
        <w:rPr>
          <w:rFonts w:cs="Arial"/>
          <w:szCs w:val="24"/>
        </w:rPr>
        <w:t>.</w:t>
      </w:r>
    </w:p>
    <w:p w14:paraId="61AEC6E1" w14:textId="77777777" w:rsidR="00DB15FD" w:rsidRDefault="00DB15FD" w:rsidP="007841FA">
      <w:pPr>
        <w:widowControl/>
        <w:autoSpaceDE w:val="0"/>
        <w:autoSpaceDN w:val="0"/>
        <w:adjustRightInd w:val="0"/>
        <w:ind w:right="51"/>
        <w:rPr>
          <w:rFonts w:cs="Arial"/>
          <w:szCs w:val="24"/>
        </w:rPr>
      </w:pPr>
    </w:p>
    <w:p w14:paraId="677F5A88" w14:textId="615C5EFC" w:rsidR="00DB15FD" w:rsidRDefault="0093490E" w:rsidP="007841FA">
      <w:pPr>
        <w:widowControl/>
        <w:autoSpaceDE w:val="0"/>
        <w:autoSpaceDN w:val="0"/>
        <w:adjustRightInd w:val="0"/>
        <w:ind w:right="51"/>
        <w:rPr>
          <w:rFonts w:cs="Arial"/>
          <w:szCs w:val="24"/>
        </w:rPr>
      </w:pPr>
      <w:r>
        <w:rPr>
          <w:rFonts w:cs="Arial"/>
          <w:szCs w:val="24"/>
        </w:rPr>
        <w:t xml:space="preserve">En </w:t>
      </w:r>
      <w:r w:rsidR="00B10049">
        <w:rPr>
          <w:rFonts w:cs="Arial"/>
          <w:szCs w:val="24"/>
        </w:rPr>
        <w:t>la</w:t>
      </w:r>
      <w:r>
        <w:rPr>
          <w:rFonts w:cs="Arial"/>
          <w:szCs w:val="24"/>
        </w:rPr>
        <w:t xml:space="preserve"> gráfic</w:t>
      </w:r>
      <w:r w:rsidR="00B10049">
        <w:rPr>
          <w:rFonts w:cs="Arial"/>
          <w:szCs w:val="24"/>
        </w:rPr>
        <w:t>a</w:t>
      </w:r>
      <w:r>
        <w:rPr>
          <w:rFonts w:cs="Arial"/>
          <w:szCs w:val="24"/>
        </w:rPr>
        <w:t xml:space="preserve"> 2 se puede ver la evolución del trabajo infantil en México entre 2015 y 2022. En </w:t>
      </w:r>
      <w:r w:rsidR="00DB15FD">
        <w:rPr>
          <w:rFonts w:cs="Arial"/>
          <w:szCs w:val="24"/>
        </w:rPr>
        <w:t xml:space="preserve">2015 se reportaron 3.6 millones de </w:t>
      </w:r>
      <w:r w:rsidR="00DB15FD" w:rsidRPr="009958D9">
        <w:rPr>
          <w:rFonts w:cs="Arial"/>
          <w:szCs w:val="24"/>
        </w:rPr>
        <w:t>niñas y niños</w:t>
      </w:r>
      <w:r w:rsidR="00DB15FD">
        <w:rPr>
          <w:rFonts w:cs="Arial"/>
          <w:szCs w:val="24"/>
        </w:rPr>
        <w:t xml:space="preserve"> en trabajo infantil, monto que disminuyó a 3.2 millones en 2017 y a 3.3 en 2019. En 2022 se llegó a una cantidad de 3.7 millones de menores en esta situación. El comportamiento de las </w:t>
      </w:r>
      <w:r w:rsidR="00DB15FD" w:rsidRPr="00D10A0F">
        <w:rPr>
          <w:rFonts w:cs="Arial"/>
          <w:szCs w:val="24"/>
        </w:rPr>
        <w:t>niñas</w:t>
      </w:r>
      <w:r w:rsidR="00DB15FD" w:rsidRPr="00D10A0F">
        <w:rPr>
          <w:rFonts w:cs="Arial"/>
          <w:i/>
          <w:iCs/>
          <w:szCs w:val="24"/>
        </w:rPr>
        <w:t xml:space="preserve"> </w:t>
      </w:r>
      <w:r w:rsidR="00DB15FD" w:rsidRPr="00DF3D0D">
        <w:rPr>
          <w:rFonts w:cs="Arial"/>
          <w:szCs w:val="24"/>
        </w:rPr>
        <w:t>y los</w:t>
      </w:r>
      <w:r w:rsidR="00DB15FD" w:rsidRPr="00D10A0F">
        <w:rPr>
          <w:rFonts w:cs="Arial"/>
          <w:i/>
          <w:iCs/>
          <w:szCs w:val="24"/>
        </w:rPr>
        <w:t xml:space="preserve"> </w:t>
      </w:r>
      <w:r w:rsidR="00DB15FD" w:rsidRPr="00EC25C1">
        <w:rPr>
          <w:rFonts w:cs="Arial"/>
          <w:szCs w:val="24"/>
        </w:rPr>
        <w:t>niños</w:t>
      </w:r>
      <w:r w:rsidR="00DB15FD">
        <w:rPr>
          <w:rFonts w:cs="Arial"/>
          <w:szCs w:val="24"/>
        </w:rPr>
        <w:t xml:space="preserve"> en el trabajo infantil durante este periodo fue similar; sin embargo, los </w:t>
      </w:r>
      <w:r w:rsidR="00DB15FD" w:rsidRPr="00E5073C">
        <w:rPr>
          <w:rFonts w:cs="Arial"/>
          <w:szCs w:val="24"/>
        </w:rPr>
        <w:t>niños</w:t>
      </w:r>
      <w:r w:rsidR="00DB15FD">
        <w:rPr>
          <w:rFonts w:cs="Arial"/>
          <w:szCs w:val="24"/>
        </w:rPr>
        <w:t xml:space="preserve"> se mantuvieron en 2.2 millones en 2015 y 2022, mientras que las </w:t>
      </w:r>
      <w:r w:rsidR="00DB15FD" w:rsidRPr="00E5073C">
        <w:rPr>
          <w:rFonts w:cs="Arial"/>
          <w:szCs w:val="24"/>
        </w:rPr>
        <w:t>niñas</w:t>
      </w:r>
      <w:r w:rsidR="00DB15FD">
        <w:rPr>
          <w:rFonts w:cs="Arial"/>
          <w:szCs w:val="24"/>
        </w:rPr>
        <w:t xml:space="preserve"> pasaron de 1.4 a 1.5 millones.</w:t>
      </w:r>
    </w:p>
    <w:p w14:paraId="1BC0FEB5" w14:textId="77777777" w:rsidR="00DB15FD" w:rsidRDefault="00DB15FD" w:rsidP="00DB15FD">
      <w:pPr>
        <w:widowControl/>
        <w:autoSpaceDE w:val="0"/>
        <w:autoSpaceDN w:val="0"/>
        <w:adjustRightInd w:val="0"/>
        <w:rPr>
          <w:rFonts w:cs="Arial"/>
          <w:szCs w:val="24"/>
        </w:rPr>
      </w:pPr>
    </w:p>
    <w:p w14:paraId="55F81D6D" w14:textId="33A068F1" w:rsidR="00DB15FD" w:rsidRPr="007841FA" w:rsidRDefault="00DB15FD" w:rsidP="00DB15FD">
      <w:pPr>
        <w:widowControl/>
        <w:autoSpaceDE w:val="0"/>
        <w:autoSpaceDN w:val="0"/>
        <w:adjustRightInd w:val="0"/>
        <w:jc w:val="center"/>
        <w:rPr>
          <w:rFonts w:cs="Arial"/>
          <w:color w:val="000000"/>
          <w:sz w:val="20"/>
        </w:rPr>
      </w:pPr>
      <w:r w:rsidRPr="007841FA">
        <w:rPr>
          <w:rFonts w:cs="Arial"/>
          <w:color w:val="000000"/>
          <w:sz w:val="20"/>
        </w:rPr>
        <w:t xml:space="preserve">Gráfica </w:t>
      </w:r>
      <w:r w:rsidR="0093490E" w:rsidRPr="007841FA">
        <w:rPr>
          <w:rFonts w:cs="Arial"/>
          <w:color w:val="000000"/>
          <w:sz w:val="20"/>
        </w:rPr>
        <w:t>2</w:t>
      </w:r>
    </w:p>
    <w:p w14:paraId="2A8DB6DD" w14:textId="4A1B35D8" w:rsidR="00DB15FD" w:rsidRPr="007841FA" w:rsidRDefault="00DB15FD" w:rsidP="00DB15FD">
      <w:pPr>
        <w:widowControl/>
        <w:autoSpaceDE w:val="0"/>
        <w:autoSpaceDN w:val="0"/>
        <w:adjustRightInd w:val="0"/>
        <w:ind w:right="51"/>
        <w:jc w:val="center"/>
        <w:rPr>
          <w:rFonts w:cs="Arial"/>
          <w:b/>
          <w:smallCaps/>
          <w:szCs w:val="24"/>
        </w:rPr>
      </w:pPr>
      <w:r w:rsidRPr="007841FA">
        <w:rPr>
          <w:rFonts w:cs="Arial"/>
          <w:b/>
          <w:smallCaps/>
          <w:szCs w:val="24"/>
        </w:rPr>
        <w:t>Trabajo infantil</w:t>
      </w:r>
      <w:r w:rsidR="0094617A" w:rsidRPr="007841FA">
        <w:rPr>
          <w:rFonts w:cs="Arial"/>
          <w:b/>
          <w:smallCaps/>
          <w:szCs w:val="24"/>
        </w:rPr>
        <w:t>,</w:t>
      </w:r>
      <w:r w:rsidRPr="007841FA">
        <w:rPr>
          <w:rFonts w:cs="Arial"/>
          <w:b/>
          <w:smallCaps/>
          <w:szCs w:val="24"/>
        </w:rPr>
        <w:t xml:space="preserve"> según sexo 2015-2022</w:t>
      </w:r>
    </w:p>
    <w:p w14:paraId="19AD1514" w14:textId="77777777" w:rsidR="00DB15FD" w:rsidRPr="0003346F" w:rsidRDefault="00DB15FD" w:rsidP="00DB15FD">
      <w:pPr>
        <w:widowControl/>
        <w:autoSpaceDE w:val="0"/>
        <w:autoSpaceDN w:val="0"/>
        <w:adjustRightInd w:val="0"/>
        <w:ind w:right="51"/>
        <w:jc w:val="center"/>
        <w:rPr>
          <w:rFonts w:cs="Arial"/>
          <w:bCs/>
          <w:sz w:val="18"/>
          <w:szCs w:val="18"/>
        </w:rPr>
      </w:pPr>
      <w:r w:rsidRPr="0003346F">
        <w:rPr>
          <w:rFonts w:cs="Arial"/>
          <w:bCs/>
          <w:sz w:val="18"/>
          <w:szCs w:val="18"/>
        </w:rPr>
        <w:t>(millones de personas)</w:t>
      </w:r>
    </w:p>
    <w:p w14:paraId="200E5D1C" w14:textId="31BAC7AF" w:rsidR="00DB15FD" w:rsidRDefault="007C31FF" w:rsidP="00DB15FD">
      <w:pPr>
        <w:widowControl/>
        <w:autoSpaceDE w:val="0"/>
        <w:autoSpaceDN w:val="0"/>
        <w:adjustRightInd w:val="0"/>
        <w:jc w:val="center"/>
        <w:rPr>
          <w:rFonts w:cs="Arial"/>
          <w:szCs w:val="24"/>
        </w:rPr>
      </w:pPr>
      <w:r>
        <w:rPr>
          <w:noProof/>
        </w:rPr>
        <w:drawing>
          <wp:inline distT="0" distB="0" distL="0" distR="0" wp14:anchorId="658B4C47" wp14:editId="03DC15D5">
            <wp:extent cx="6333490" cy="2935605"/>
            <wp:effectExtent l="0" t="0" r="0" b="0"/>
            <wp:docPr id="1287412229" name="Gráfico 1">
              <a:extLst xmlns:a="http://schemas.openxmlformats.org/drawingml/2006/main">
                <a:ext uri="{FF2B5EF4-FFF2-40B4-BE49-F238E27FC236}">
                  <a16:creationId xmlns:a16="http://schemas.microsoft.com/office/drawing/2014/main" id="{23F8E6D2-0E00-2524-E82D-BBED7F4C35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216C187" w14:textId="692C509C" w:rsidR="00DB15FD" w:rsidRPr="00CD6FE9" w:rsidRDefault="006F4870" w:rsidP="00DB15FD">
      <w:pPr>
        <w:widowControl/>
        <w:autoSpaceDE w:val="0"/>
        <w:autoSpaceDN w:val="0"/>
        <w:adjustRightInd w:val="0"/>
        <w:spacing w:line="276" w:lineRule="auto"/>
        <w:ind w:left="709" w:hanging="709"/>
        <w:jc w:val="left"/>
        <w:rPr>
          <w:rFonts w:cs="Arial"/>
          <w:color w:val="000000"/>
          <w:sz w:val="16"/>
          <w:szCs w:val="16"/>
        </w:rPr>
      </w:pPr>
      <w:r>
        <w:rPr>
          <w:rFonts w:cs="Arial"/>
          <w:color w:val="000000" w:themeColor="text1"/>
          <w:sz w:val="16"/>
          <w:szCs w:val="16"/>
        </w:rPr>
        <w:t xml:space="preserve">  </w:t>
      </w:r>
      <w:r w:rsidR="00DB15FD" w:rsidRPr="00CD6FE9">
        <w:rPr>
          <w:rFonts w:cs="Arial"/>
          <w:color w:val="000000" w:themeColor="text1"/>
          <w:sz w:val="16"/>
          <w:szCs w:val="16"/>
        </w:rPr>
        <w:t>Fuente:</w:t>
      </w:r>
      <w:r w:rsidR="00DB15FD" w:rsidRPr="00CD6FE9">
        <w:rPr>
          <w:rFonts w:cs="Arial"/>
          <w:color w:val="000000" w:themeColor="text1"/>
          <w:sz w:val="16"/>
          <w:szCs w:val="16"/>
        </w:rPr>
        <w:tab/>
        <w:t>INEGI, MTI. 2</w:t>
      </w:r>
      <w:r w:rsidR="00DB15FD">
        <w:rPr>
          <w:rFonts w:cs="Arial"/>
          <w:color w:val="000000" w:themeColor="text1"/>
          <w:sz w:val="16"/>
          <w:szCs w:val="16"/>
        </w:rPr>
        <w:t>015 y 2017</w:t>
      </w:r>
      <w:r w:rsidR="00DB15FD" w:rsidRPr="00CD6FE9">
        <w:rPr>
          <w:rFonts w:cs="Arial"/>
          <w:color w:val="000000" w:themeColor="text1"/>
          <w:sz w:val="16"/>
          <w:szCs w:val="16"/>
        </w:rPr>
        <w:t>. ENTI</w:t>
      </w:r>
      <w:r w:rsidR="00BF51BB">
        <w:rPr>
          <w:rFonts w:cs="Arial"/>
          <w:color w:val="000000" w:themeColor="text1"/>
          <w:sz w:val="16"/>
          <w:szCs w:val="16"/>
        </w:rPr>
        <w:t>.</w:t>
      </w:r>
      <w:r w:rsidR="00DB15FD" w:rsidRPr="00CD6FE9">
        <w:rPr>
          <w:rFonts w:cs="Arial"/>
          <w:color w:val="000000" w:themeColor="text1"/>
          <w:sz w:val="16"/>
          <w:szCs w:val="16"/>
        </w:rPr>
        <w:t xml:space="preserve"> 2019 y 2022.</w:t>
      </w:r>
    </w:p>
    <w:p w14:paraId="1E0B4764" w14:textId="77777777" w:rsidR="00DB15FD" w:rsidRDefault="00DB15FD" w:rsidP="00DB15FD">
      <w:pPr>
        <w:widowControl/>
        <w:autoSpaceDE w:val="0"/>
        <w:autoSpaceDN w:val="0"/>
        <w:adjustRightInd w:val="0"/>
        <w:rPr>
          <w:rFonts w:cs="Arial"/>
          <w:szCs w:val="24"/>
        </w:rPr>
      </w:pPr>
    </w:p>
    <w:p w14:paraId="31BE77A8" w14:textId="0F2924D5" w:rsidR="00DB15FD" w:rsidRDefault="00DB15FD" w:rsidP="007841FA">
      <w:pPr>
        <w:widowControl/>
        <w:autoSpaceDE w:val="0"/>
        <w:autoSpaceDN w:val="0"/>
        <w:adjustRightInd w:val="0"/>
        <w:ind w:right="51"/>
        <w:rPr>
          <w:rFonts w:cs="Arial"/>
          <w:szCs w:val="24"/>
        </w:rPr>
      </w:pPr>
      <w:r>
        <w:rPr>
          <w:rFonts w:cs="Arial"/>
          <w:szCs w:val="24"/>
        </w:rPr>
        <w:t xml:space="preserve">El crecimiento del trabajo infantil durante 2015 y 2022 se </w:t>
      </w:r>
      <w:r w:rsidR="00B10049">
        <w:rPr>
          <w:rFonts w:cs="Arial"/>
          <w:szCs w:val="24"/>
        </w:rPr>
        <w:t>observa</w:t>
      </w:r>
      <w:r>
        <w:rPr>
          <w:rFonts w:cs="Arial"/>
          <w:szCs w:val="24"/>
        </w:rPr>
        <w:t xml:space="preserve"> principalmente </w:t>
      </w:r>
      <w:r w:rsidR="00B10049">
        <w:rPr>
          <w:rFonts w:cs="Arial"/>
          <w:szCs w:val="24"/>
        </w:rPr>
        <w:t>en</w:t>
      </w:r>
      <w:r>
        <w:rPr>
          <w:rFonts w:cs="Arial"/>
          <w:szCs w:val="24"/>
        </w:rPr>
        <w:t xml:space="preserve"> la mayor </w:t>
      </w:r>
      <w:r w:rsidR="00B10049">
        <w:rPr>
          <w:rFonts w:cs="Arial"/>
          <w:szCs w:val="24"/>
        </w:rPr>
        <w:t>participación</w:t>
      </w:r>
      <w:r>
        <w:rPr>
          <w:rFonts w:cs="Arial"/>
          <w:szCs w:val="24"/>
        </w:rPr>
        <w:t xml:space="preserve"> de niñas y niños en «</w:t>
      </w:r>
      <w:r w:rsidRPr="00EC25C1">
        <w:rPr>
          <w:rFonts w:cs="Arial"/>
          <w:szCs w:val="24"/>
        </w:rPr>
        <w:t>quehaceres domésticos en condiciones no adecuadas</w:t>
      </w:r>
      <w:r>
        <w:rPr>
          <w:rFonts w:cs="Arial"/>
          <w:szCs w:val="24"/>
        </w:rPr>
        <w:t xml:space="preserve">». </w:t>
      </w:r>
      <w:r w:rsidR="00B10049">
        <w:rPr>
          <w:rFonts w:cs="Arial"/>
          <w:szCs w:val="24"/>
        </w:rPr>
        <w:t>En estas actividades, la población</w:t>
      </w:r>
      <w:r>
        <w:rPr>
          <w:rFonts w:cs="Arial"/>
          <w:szCs w:val="24"/>
        </w:rPr>
        <w:t xml:space="preserve"> pasó de 1.7 millones, en 2015, a 1.9 millones, en 2022. Mientras que</w:t>
      </w:r>
      <w:r w:rsidR="00B10049">
        <w:rPr>
          <w:rFonts w:cs="Arial"/>
          <w:szCs w:val="24"/>
        </w:rPr>
        <w:t>,</w:t>
      </w:r>
      <w:r>
        <w:rPr>
          <w:rFonts w:cs="Arial"/>
          <w:szCs w:val="24"/>
        </w:rPr>
        <w:t xml:space="preserve"> para la ocupación no permitida, pasó de 2.2 millones, en 2015, a 2.1 millones en 2022 (ver gráfica </w:t>
      </w:r>
      <w:r w:rsidR="0093490E">
        <w:rPr>
          <w:rFonts w:cs="Arial"/>
          <w:szCs w:val="24"/>
        </w:rPr>
        <w:t>3</w:t>
      </w:r>
      <w:r>
        <w:rPr>
          <w:rFonts w:cs="Arial"/>
          <w:szCs w:val="24"/>
        </w:rPr>
        <w:t>).</w:t>
      </w:r>
    </w:p>
    <w:p w14:paraId="730147F0" w14:textId="77777777" w:rsidR="00DB15FD" w:rsidRDefault="00DB15FD" w:rsidP="00DB15FD">
      <w:pPr>
        <w:widowControl/>
        <w:autoSpaceDE w:val="0"/>
        <w:autoSpaceDN w:val="0"/>
        <w:adjustRightInd w:val="0"/>
        <w:rPr>
          <w:rFonts w:cs="Arial"/>
          <w:szCs w:val="24"/>
        </w:rPr>
      </w:pPr>
    </w:p>
    <w:p w14:paraId="1331AF36" w14:textId="77777777" w:rsidR="00DB15FD" w:rsidRDefault="00DB15FD" w:rsidP="00DB15FD">
      <w:pPr>
        <w:widowControl/>
        <w:jc w:val="left"/>
        <w:rPr>
          <w:rFonts w:cs="Arial"/>
          <w:szCs w:val="24"/>
        </w:rPr>
      </w:pPr>
      <w:r>
        <w:rPr>
          <w:rFonts w:cs="Arial"/>
          <w:szCs w:val="24"/>
        </w:rPr>
        <w:br w:type="page"/>
      </w:r>
    </w:p>
    <w:p w14:paraId="741B692E" w14:textId="15B3A955" w:rsidR="00DB15FD" w:rsidRPr="007841FA" w:rsidRDefault="00DB15FD" w:rsidP="00DB15FD">
      <w:pPr>
        <w:widowControl/>
        <w:autoSpaceDE w:val="0"/>
        <w:autoSpaceDN w:val="0"/>
        <w:adjustRightInd w:val="0"/>
        <w:jc w:val="center"/>
        <w:rPr>
          <w:rFonts w:cs="Arial"/>
          <w:sz w:val="20"/>
        </w:rPr>
      </w:pPr>
      <w:r w:rsidRPr="007841FA">
        <w:rPr>
          <w:rFonts w:cs="Arial"/>
          <w:sz w:val="20"/>
        </w:rPr>
        <w:lastRenderedPageBreak/>
        <w:t xml:space="preserve">Gráfica </w:t>
      </w:r>
      <w:r w:rsidR="001D2E84" w:rsidRPr="007841FA">
        <w:rPr>
          <w:rFonts w:cs="Arial"/>
          <w:sz w:val="20"/>
        </w:rPr>
        <w:t>3</w:t>
      </w:r>
    </w:p>
    <w:p w14:paraId="5A9EFD40" w14:textId="77777777" w:rsidR="00DB15FD" w:rsidRPr="007841FA" w:rsidRDefault="00DB15FD" w:rsidP="00DB15FD">
      <w:pPr>
        <w:widowControl/>
        <w:autoSpaceDE w:val="0"/>
        <w:autoSpaceDN w:val="0"/>
        <w:adjustRightInd w:val="0"/>
        <w:jc w:val="center"/>
        <w:rPr>
          <w:rFonts w:cs="Arial"/>
          <w:b/>
          <w:bCs/>
          <w:smallCaps/>
          <w:color w:val="000000"/>
          <w:szCs w:val="24"/>
        </w:rPr>
      </w:pPr>
      <w:r w:rsidRPr="007841FA">
        <w:rPr>
          <w:rFonts w:cs="Arial"/>
          <w:b/>
          <w:bCs/>
          <w:smallCaps/>
          <w:color w:val="000000"/>
          <w:szCs w:val="24"/>
        </w:rPr>
        <w:t>Trabajo infantil por forma de trabajo, 2015-2022</w:t>
      </w:r>
    </w:p>
    <w:p w14:paraId="20665DB0" w14:textId="77777777" w:rsidR="00DB15FD" w:rsidRPr="0003346F" w:rsidRDefault="00DB15FD" w:rsidP="00DB15FD">
      <w:pPr>
        <w:widowControl/>
        <w:autoSpaceDE w:val="0"/>
        <w:autoSpaceDN w:val="0"/>
        <w:adjustRightInd w:val="0"/>
        <w:ind w:right="51"/>
        <w:jc w:val="center"/>
        <w:rPr>
          <w:rFonts w:cs="Arial"/>
          <w:bCs/>
          <w:sz w:val="18"/>
          <w:szCs w:val="18"/>
        </w:rPr>
      </w:pPr>
      <w:r w:rsidRPr="0003346F">
        <w:rPr>
          <w:rFonts w:cs="Arial"/>
          <w:bCs/>
          <w:sz w:val="18"/>
          <w:szCs w:val="18"/>
        </w:rPr>
        <w:t>(millones de personas)</w:t>
      </w:r>
    </w:p>
    <w:p w14:paraId="1224EFD3" w14:textId="41F79D1F" w:rsidR="00DB15FD" w:rsidRDefault="007C31FF" w:rsidP="00DB15FD">
      <w:pPr>
        <w:widowControl/>
        <w:autoSpaceDE w:val="0"/>
        <w:autoSpaceDN w:val="0"/>
        <w:adjustRightInd w:val="0"/>
        <w:jc w:val="center"/>
        <w:rPr>
          <w:rFonts w:cs="Arial"/>
          <w:color w:val="000000"/>
        </w:rPr>
      </w:pPr>
      <w:r>
        <w:rPr>
          <w:noProof/>
        </w:rPr>
        <w:drawing>
          <wp:inline distT="0" distB="0" distL="0" distR="0" wp14:anchorId="53539177" wp14:editId="30EC1993">
            <wp:extent cx="6333490" cy="2664000"/>
            <wp:effectExtent l="0" t="0" r="0" b="0"/>
            <wp:docPr id="611319198" name="Gráfico 1">
              <a:extLst xmlns:a="http://schemas.openxmlformats.org/drawingml/2006/main">
                <a:ext uri="{FF2B5EF4-FFF2-40B4-BE49-F238E27FC236}">
                  <a16:creationId xmlns:a16="http://schemas.microsoft.com/office/drawing/2014/main" id="{ACDBD537-F9B6-4668-8643-0BA1E40221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E111EB0" w14:textId="55C2B29A" w:rsidR="00DB15FD" w:rsidRPr="00560388" w:rsidRDefault="006F4870" w:rsidP="00DB15FD">
      <w:pPr>
        <w:widowControl/>
        <w:autoSpaceDE w:val="0"/>
        <w:autoSpaceDN w:val="0"/>
        <w:adjustRightInd w:val="0"/>
        <w:ind w:left="709" w:hanging="709"/>
        <w:rPr>
          <w:rFonts w:cs="Arial"/>
          <w:sz w:val="16"/>
          <w:szCs w:val="16"/>
        </w:rPr>
      </w:pPr>
      <w:r>
        <w:rPr>
          <w:rFonts w:cs="Arial"/>
          <w:sz w:val="16"/>
          <w:szCs w:val="16"/>
        </w:rPr>
        <w:t xml:space="preserve">  </w:t>
      </w:r>
      <w:r w:rsidR="00DB15FD" w:rsidRPr="00560388">
        <w:rPr>
          <w:rFonts w:cs="Arial"/>
          <w:sz w:val="16"/>
          <w:szCs w:val="16"/>
        </w:rPr>
        <w:t xml:space="preserve">Nota. </w:t>
      </w:r>
      <w:r w:rsidR="005C4459">
        <w:rPr>
          <w:rFonts w:cs="Arial"/>
          <w:sz w:val="16"/>
          <w:szCs w:val="16"/>
        </w:rPr>
        <w:t xml:space="preserve">    </w:t>
      </w:r>
      <w:r w:rsidR="00DB15FD" w:rsidRPr="00560388">
        <w:rPr>
          <w:rFonts w:cs="Arial"/>
          <w:sz w:val="16"/>
          <w:szCs w:val="16"/>
        </w:rPr>
        <w:t>Los parciales no suman el total de trabajo infantil debido a las niñas y niños que combinan ambas formas de trabajo.</w:t>
      </w:r>
    </w:p>
    <w:p w14:paraId="61D2FFC8" w14:textId="2ED2FE80" w:rsidR="00DB15FD" w:rsidRPr="00CD6FE9" w:rsidRDefault="006F4870" w:rsidP="00DB15FD">
      <w:pPr>
        <w:widowControl/>
        <w:autoSpaceDE w:val="0"/>
        <w:autoSpaceDN w:val="0"/>
        <w:adjustRightInd w:val="0"/>
        <w:spacing w:line="276" w:lineRule="auto"/>
        <w:ind w:left="709" w:hanging="709"/>
        <w:jc w:val="left"/>
        <w:rPr>
          <w:rFonts w:cs="Arial"/>
          <w:color w:val="000000"/>
          <w:sz w:val="16"/>
          <w:szCs w:val="16"/>
        </w:rPr>
      </w:pPr>
      <w:r>
        <w:rPr>
          <w:rFonts w:cs="Arial"/>
          <w:color w:val="000000" w:themeColor="text1"/>
          <w:sz w:val="16"/>
          <w:szCs w:val="16"/>
        </w:rPr>
        <w:t xml:space="preserve">  </w:t>
      </w:r>
      <w:r w:rsidR="00DB15FD" w:rsidRPr="00CD6FE9">
        <w:rPr>
          <w:rFonts w:cs="Arial"/>
          <w:color w:val="000000" w:themeColor="text1"/>
          <w:sz w:val="16"/>
          <w:szCs w:val="16"/>
        </w:rPr>
        <w:t>Fuente:</w:t>
      </w:r>
      <w:r w:rsidR="005C4459">
        <w:rPr>
          <w:rFonts w:cs="Arial"/>
          <w:color w:val="000000" w:themeColor="text1"/>
          <w:sz w:val="16"/>
          <w:szCs w:val="16"/>
        </w:rPr>
        <w:t xml:space="preserve"> </w:t>
      </w:r>
      <w:r w:rsidR="00DB15FD" w:rsidRPr="00CD6FE9">
        <w:rPr>
          <w:rFonts w:cs="Arial"/>
          <w:color w:val="000000" w:themeColor="text1"/>
          <w:sz w:val="16"/>
          <w:szCs w:val="16"/>
        </w:rPr>
        <w:t>INEGI, MTI. 2</w:t>
      </w:r>
      <w:r w:rsidR="00DB15FD">
        <w:rPr>
          <w:rFonts w:cs="Arial"/>
          <w:color w:val="000000" w:themeColor="text1"/>
          <w:sz w:val="16"/>
          <w:szCs w:val="16"/>
        </w:rPr>
        <w:t>015 y 2017</w:t>
      </w:r>
      <w:r w:rsidR="00DB15FD" w:rsidRPr="00CD6FE9">
        <w:rPr>
          <w:rFonts w:cs="Arial"/>
          <w:color w:val="000000" w:themeColor="text1"/>
          <w:sz w:val="16"/>
          <w:szCs w:val="16"/>
        </w:rPr>
        <w:t>. ENTI</w:t>
      </w:r>
      <w:r w:rsidR="00BF51BB">
        <w:rPr>
          <w:rFonts w:cs="Arial"/>
          <w:color w:val="000000" w:themeColor="text1"/>
          <w:sz w:val="16"/>
          <w:szCs w:val="16"/>
        </w:rPr>
        <w:t>.</w:t>
      </w:r>
      <w:r w:rsidR="00DB15FD" w:rsidRPr="00CD6FE9">
        <w:rPr>
          <w:rFonts w:cs="Arial"/>
          <w:color w:val="000000" w:themeColor="text1"/>
          <w:sz w:val="16"/>
          <w:szCs w:val="16"/>
        </w:rPr>
        <w:t xml:space="preserve"> 2019 y 2022.</w:t>
      </w:r>
    </w:p>
    <w:p w14:paraId="76AB7E2F" w14:textId="77777777" w:rsidR="00DB15FD" w:rsidRDefault="00DB15FD" w:rsidP="00DB15FD">
      <w:pPr>
        <w:widowControl/>
        <w:autoSpaceDE w:val="0"/>
        <w:autoSpaceDN w:val="0"/>
        <w:adjustRightInd w:val="0"/>
        <w:rPr>
          <w:rFonts w:cs="Arial"/>
          <w:szCs w:val="24"/>
        </w:rPr>
      </w:pPr>
    </w:p>
    <w:p w14:paraId="3363BEF8" w14:textId="6BA60F07" w:rsidR="00DB15FD" w:rsidRPr="00E92E3D" w:rsidRDefault="00DB15FD" w:rsidP="007841FA">
      <w:pPr>
        <w:widowControl/>
        <w:autoSpaceDE w:val="0"/>
        <w:autoSpaceDN w:val="0"/>
        <w:adjustRightInd w:val="0"/>
        <w:ind w:right="51"/>
        <w:rPr>
          <w:rFonts w:cs="Arial"/>
          <w:szCs w:val="24"/>
        </w:rPr>
      </w:pPr>
      <w:r w:rsidRPr="00E92E3D">
        <w:rPr>
          <w:rFonts w:cs="Arial"/>
          <w:szCs w:val="24"/>
        </w:rPr>
        <w:t>La tasa de trabajo infantil en 2015 se ubicó en 12.3 %, para 2017 disminuyó a 11.0 % y aument</w:t>
      </w:r>
      <w:r w:rsidR="00B10049" w:rsidRPr="00E92E3D">
        <w:rPr>
          <w:rFonts w:cs="Arial"/>
          <w:szCs w:val="24"/>
        </w:rPr>
        <w:t>ó</w:t>
      </w:r>
      <w:r w:rsidRPr="00E92E3D">
        <w:rPr>
          <w:rFonts w:cs="Arial"/>
          <w:szCs w:val="24"/>
        </w:rPr>
        <w:t xml:space="preserve"> en los siguientes años hasta alcanzar 13.1 % en 2022. En 2015, la tasa de trabajo infantil en los niños fue de 15 %, descendió a 13.6 % en 2017, se mantuvo en el mismo porcentaje en 2019 e incrementó a 15.5 % en 2022. Por su parte, la tasa de trabajo infantil en las niñas fue menor que la de los niños. Esta se ubicó en 9.6 % en 2015, descendió a 8.4 % en 2017 e inició un aumento en 2019 hasta alcanzar 10.7 % en 2022 (ver gráfica </w:t>
      </w:r>
      <w:r w:rsidR="001D2E84" w:rsidRPr="00E92E3D">
        <w:rPr>
          <w:rFonts w:cs="Arial"/>
          <w:szCs w:val="24"/>
        </w:rPr>
        <w:t>4</w:t>
      </w:r>
      <w:r w:rsidRPr="00E92E3D">
        <w:rPr>
          <w:rFonts w:cs="Arial"/>
          <w:szCs w:val="24"/>
        </w:rPr>
        <w:t>).</w:t>
      </w:r>
    </w:p>
    <w:p w14:paraId="14A1F122" w14:textId="77777777" w:rsidR="00DB15FD" w:rsidRDefault="00DB15FD" w:rsidP="00DB15FD">
      <w:pPr>
        <w:widowControl/>
        <w:autoSpaceDE w:val="0"/>
        <w:autoSpaceDN w:val="0"/>
        <w:adjustRightInd w:val="0"/>
        <w:rPr>
          <w:rFonts w:cs="Arial"/>
          <w:szCs w:val="24"/>
        </w:rPr>
      </w:pPr>
    </w:p>
    <w:p w14:paraId="29A9E2B8" w14:textId="01733737" w:rsidR="00DB15FD" w:rsidRPr="007841FA" w:rsidRDefault="00DB15FD" w:rsidP="00DB15FD">
      <w:pPr>
        <w:widowControl/>
        <w:autoSpaceDE w:val="0"/>
        <w:autoSpaceDN w:val="0"/>
        <w:adjustRightInd w:val="0"/>
        <w:jc w:val="center"/>
        <w:rPr>
          <w:rFonts w:cs="Arial"/>
          <w:sz w:val="20"/>
        </w:rPr>
      </w:pPr>
      <w:r w:rsidRPr="007841FA">
        <w:rPr>
          <w:rFonts w:cs="Arial"/>
          <w:sz w:val="20"/>
        </w:rPr>
        <w:t xml:space="preserve">Gráfica </w:t>
      </w:r>
      <w:r w:rsidR="001D2E84" w:rsidRPr="007841FA">
        <w:rPr>
          <w:rFonts w:cs="Arial"/>
          <w:sz w:val="20"/>
        </w:rPr>
        <w:t>4</w:t>
      </w:r>
    </w:p>
    <w:p w14:paraId="756B7226" w14:textId="34938B5B" w:rsidR="00DB15FD" w:rsidRPr="007841FA" w:rsidRDefault="00DB15FD" w:rsidP="00DB15FD">
      <w:pPr>
        <w:widowControl/>
        <w:autoSpaceDE w:val="0"/>
        <w:autoSpaceDN w:val="0"/>
        <w:adjustRightInd w:val="0"/>
        <w:ind w:right="51"/>
        <w:jc w:val="center"/>
        <w:rPr>
          <w:rFonts w:cs="Arial"/>
          <w:b/>
          <w:smallCaps/>
          <w:sz w:val="22"/>
          <w:szCs w:val="22"/>
        </w:rPr>
      </w:pPr>
      <w:r w:rsidRPr="007841FA">
        <w:rPr>
          <w:rFonts w:cs="Arial"/>
          <w:b/>
          <w:smallCaps/>
          <w:sz w:val="22"/>
          <w:szCs w:val="22"/>
        </w:rPr>
        <w:t>Tasa de trabajo infantil</w:t>
      </w:r>
      <w:r w:rsidR="0094617A" w:rsidRPr="007841FA">
        <w:rPr>
          <w:rFonts w:cs="Arial"/>
          <w:b/>
          <w:smallCaps/>
          <w:sz w:val="22"/>
          <w:szCs w:val="22"/>
        </w:rPr>
        <w:t>,</w:t>
      </w:r>
      <w:r w:rsidRPr="007841FA">
        <w:rPr>
          <w:rFonts w:cs="Arial"/>
          <w:b/>
          <w:smallCaps/>
          <w:sz w:val="22"/>
          <w:szCs w:val="22"/>
        </w:rPr>
        <w:t xml:space="preserve"> según sexo 2015-2022</w:t>
      </w:r>
    </w:p>
    <w:p w14:paraId="36071CAF" w14:textId="11383E5A" w:rsidR="00DB15FD" w:rsidRPr="0003346F" w:rsidRDefault="00DB15FD" w:rsidP="00DB15FD">
      <w:pPr>
        <w:widowControl/>
        <w:autoSpaceDE w:val="0"/>
        <w:autoSpaceDN w:val="0"/>
        <w:adjustRightInd w:val="0"/>
        <w:ind w:right="51"/>
        <w:jc w:val="center"/>
        <w:rPr>
          <w:rFonts w:cs="Arial"/>
          <w:bCs/>
          <w:sz w:val="18"/>
          <w:szCs w:val="18"/>
        </w:rPr>
      </w:pPr>
      <w:r w:rsidRPr="0003346F">
        <w:rPr>
          <w:rFonts w:cs="Arial"/>
          <w:bCs/>
          <w:sz w:val="18"/>
          <w:szCs w:val="18"/>
        </w:rPr>
        <w:t>(</w:t>
      </w:r>
      <w:r w:rsidR="00FD3AF6">
        <w:rPr>
          <w:rFonts w:cs="Arial"/>
          <w:bCs/>
          <w:sz w:val="18"/>
          <w:szCs w:val="18"/>
        </w:rPr>
        <w:t>p</w:t>
      </w:r>
      <w:r w:rsidRPr="0003346F">
        <w:rPr>
          <w:rFonts w:cs="Arial"/>
          <w:bCs/>
          <w:sz w:val="18"/>
          <w:szCs w:val="18"/>
        </w:rPr>
        <w:t>orcentaje respecto a la población de 5 a 17 años)</w:t>
      </w:r>
    </w:p>
    <w:p w14:paraId="49E4293C" w14:textId="0703AA10" w:rsidR="00DB15FD" w:rsidRPr="00CA5DD7" w:rsidRDefault="007C31FF" w:rsidP="00DB15FD">
      <w:pPr>
        <w:widowControl/>
        <w:autoSpaceDE w:val="0"/>
        <w:autoSpaceDN w:val="0"/>
        <w:adjustRightInd w:val="0"/>
        <w:jc w:val="center"/>
        <w:rPr>
          <w:rFonts w:cs="Arial"/>
          <w:sz w:val="20"/>
        </w:rPr>
      </w:pPr>
      <w:r>
        <w:rPr>
          <w:noProof/>
        </w:rPr>
        <w:drawing>
          <wp:inline distT="0" distB="0" distL="0" distR="0" wp14:anchorId="329FDDE9" wp14:editId="77628480">
            <wp:extent cx="6333490" cy="2700000"/>
            <wp:effectExtent l="0" t="0" r="0" b="0"/>
            <wp:docPr id="344359238" name="Gráfico 1">
              <a:extLst xmlns:a="http://schemas.openxmlformats.org/drawingml/2006/main">
                <a:ext uri="{FF2B5EF4-FFF2-40B4-BE49-F238E27FC236}">
                  <a16:creationId xmlns:a16="http://schemas.microsoft.com/office/drawing/2014/main" id="{6D9850DE-CEC4-57B1-326D-E76416F849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510EBD76" w14:textId="7CF5E527" w:rsidR="00DB15FD" w:rsidRPr="00CD6FE9" w:rsidRDefault="006F4870" w:rsidP="00DB15FD">
      <w:pPr>
        <w:widowControl/>
        <w:autoSpaceDE w:val="0"/>
        <w:autoSpaceDN w:val="0"/>
        <w:adjustRightInd w:val="0"/>
        <w:spacing w:line="276" w:lineRule="auto"/>
        <w:ind w:left="709" w:hanging="709"/>
        <w:jc w:val="left"/>
        <w:rPr>
          <w:rFonts w:cs="Arial"/>
          <w:color w:val="000000"/>
          <w:sz w:val="16"/>
          <w:szCs w:val="16"/>
        </w:rPr>
      </w:pPr>
      <w:r>
        <w:rPr>
          <w:rFonts w:cs="Arial"/>
          <w:color w:val="000000" w:themeColor="text1"/>
          <w:sz w:val="16"/>
          <w:szCs w:val="16"/>
        </w:rPr>
        <w:t xml:space="preserve"> </w:t>
      </w:r>
      <w:r w:rsidR="00DB15FD" w:rsidRPr="00CD6FE9">
        <w:rPr>
          <w:rFonts w:cs="Arial"/>
          <w:color w:val="000000" w:themeColor="text1"/>
          <w:sz w:val="16"/>
          <w:szCs w:val="16"/>
        </w:rPr>
        <w:t>Fuente:</w:t>
      </w:r>
      <w:r w:rsidR="00DB15FD" w:rsidRPr="00CD6FE9">
        <w:rPr>
          <w:rFonts w:cs="Arial"/>
          <w:color w:val="000000" w:themeColor="text1"/>
          <w:sz w:val="16"/>
          <w:szCs w:val="16"/>
        </w:rPr>
        <w:tab/>
        <w:t>INEGI, MTI. 2</w:t>
      </w:r>
      <w:r w:rsidR="00DB15FD">
        <w:rPr>
          <w:rFonts w:cs="Arial"/>
          <w:color w:val="000000" w:themeColor="text1"/>
          <w:sz w:val="16"/>
          <w:szCs w:val="16"/>
        </w:rPr>
        <w:t>015 y 2017</w:t>
      </w:r>
      <w:r w:rsidR="00DB15FD" w:rsidRPr="00CD6FE9">
        <w:rPr>
          <w:rFonts w:cs="Arial"/>
          <w:color w:val="000000" w:themeColor="text1"/>
          <w:sz w:val="16"/>
          <w:szCs w:val="16"/>
        </w:rPr>
        <w:t>. ENTI</w:t>
      </w:r>
      <w:r w:rsidR="00BF51BB">
        <w:rPr>
          <w:rFonts w:cs="Arial"/>
          <w:color w:val="000000" w:themeColor="text1"/>
          <w:sz w:val="16"/>
          <w:szCs w:val="16"/>
        </w:rPr>
        <w:t>.</w:t>
      </w:r>
      <w:r w:rsidR="00DB15FD" w:rsidRPr="00CD6FE9">
        <w:rPr>
          <w:rFonts w:cs="Arial"/>
          <w:color w:val="000000" w:themeColor="text1"/>
          <w:sz w:val="16"/>
          <w:szCs w:val="16"/>
        </w:rPr>
        <w:t xml:space="preserve"> 2019 y 2022.</w:t>
      </w:r>
    </w:p>
    <w:p w14:paraId="054E8CA8" w14:textId="4DFFD6E8" w:rsidR="00DB15FD" w:rsidRPr="00E92E3D" w:rsidRDefault="00DB15FD" w:rsidP="007841FA">
      <w:pPr>
        <w:widowControl/>
        <w:autoSpaceDE w:val="0"/>
        <w:autoSpaceDN w:val="0"/>
        <w:adjustRightInd w:val="0"/>
        <w:ind w:right="51"/>
        <w:rPr>
          <w:rFonts w:cs="Arial"/>
          <w:szCs w:val="24"/>
        </w:rPr>
      </w:pPr>
      <w:r w:rsidRPr="00E92E3D">
        <w:rPr>
          <w:rFonts w:cs="Arial"/>
          <w:szCs w:val="24"/>
        </w:rPr>
        <w:lastRenderedPageBreak/>
        <w:t xml:space="preserve">Las tasas de trabajo infantil por forma de trabajo durante 2015 y 2022 registraron tendencias similares. La tasa de «ocupación no permitida» disminuyó de 7.5 a 7.0 % entre 2015 y 2017, aumentó a partir de 2019 hasta alcanzar 7.5 % en 2022 (el mismo nivel observado al inicio del periodo analizado). A pesar de esto, la tasa de quehaceres domésticos en condiciones no adecuadas registró un crecimiento sostenido: 4.7 %, en 2017, 5.3 %, en 2019, y 6.7 %, en 2022 (ver gráfica </w:t>
      </w:r>
      <w:r w:rsidR="001D2E84" w:rsidRPr="00E92E3D">
        <w:rPr>
          <w:rFonts w:cs="Arial"/>
          <w:szCs w:val="24"/>
        </w:rPr>
        <w:t>5</w:t>
      </w:r>
      <w:r w:rsidRPr="00E92E3D">
        <w:rPr>
          <w:rFonts w:cs="Arial"/>
          <w:szCs w:val="24"/>
        </w:rPr>
        <w:t>).</w:t>
      </w:r>
    </w:p>
    <w:p w14:paraId="320B25D5" w14:textId="77777777" w:rsidR="00DB15FD" w:rsidRPr="005A5538" w:rsidRDefault="00DB15FD" w:rsidP="007841FA">
      <w:pPr>
        <w:widowControl/>
        <w:jc w:val="left"/>
        <w:rPr>
          <w:rFonts w:cs="Arial"/>
          <w:b/>
          <w:bCs/>
          <w:color w:val="000000"/>
          <w:szCs w:val="24"/>
        </w:rPr>
      </w:pPr>
    </w:p>
    <w:p w14:paraId="70B72BE0" w14:textId="7B45E6DC" w:rsidR="00DB15FD" w:rsidRPr="007841FA" w:rsidRDefault="00DB15FD" w:rsidP="007841FA">
      <w:pPr>
        <w:widowControl/>
        <w:autoSpaceDE w:val="0"/>
        <w:autoSpaceDN w:val="0"/>
        <w:adjustRightInd w:val="0"/>
        <w:jc w:val="center"/>
        <w:rPr>
          <w:rFonts w:cs="Arial"/>
          <w:color w:val="000000"/>
          <w:sz w:val="20"/>
        </w:rPr>
      </w:pPr>
      <w:r w:rsidRPr="007841FA">
        <w:rPr>
          <w:rFonts w:cs="Arial"/>
          <w:color w:val="000000"/>
          <w:sz w:val="20"/>
        </w:rPr>
        <w:t xml:space="preserve">Gráfica </w:t>
      </w:r>
      <w:r w:rsidR="001D2E84" w:rsidRPr="007841FA">
        <w:rPr>
          <w:rFonts w:cs="Arial"/>
          <w:color w:val="000000"/>
          <w:sz w:val="20"/>
        </w:rPr>
        <w:t>5</w:t>
      </w:r>
    </w:p>
    <w:p w14:paraId="3E1B25DD" w14:textId="77777777" w:rsidR="00DB15FD" w:rsidRPr="007841FA" w:rsidRDefault="00DB15FD" w:rsidP="007841FA">
      <w:pPr>
        <w:widowControl/>
        <w:autoSpaceDE w:val="0"/>
        <w:autoSpaceDN w:val="0"/>
        <w:adjustRightInd w:val="0"/>
        <w:jc w:val="center"/>
        <w:rPr>
          <w:rFonts w:cs="Arial"/>
          <w:b/>
          <w:bCs/>
          <w:smallCaps/>
          <w:color w:val="000000"/>
          <w:sz w:val="22"/>
          <w:szCs w:val="22"/>
        </w:rPr>
      </w:pPr>
      <w:r w:rsidRPr="007841FA">
        <w:rPr>
          <w:rFonts w:cs="Arial"/>
          <w:b/>
          <w:bCs/>
          <w:smallCaps/>
          <w:color w:val="000000"/>
          <w:sz w:val="22"/>
          <w:szCs w:val="22"/>
        </w:rPr>
        <w:t>Tasa de trabajo infantil por forma de trabajo, 2015-2022</w:t>
      </w:r>
    </w:p>
    <w:p w14:paraId="328861EF" w14:textId="77CB1B9F" w:rsidR="00DB15FD" w:rsidRPr="0003346F" w:rsidRDefault="00DB15FD" w:rsidP="007841FA">
      <w:pPr>
        <w:widowControl/>
        <w:autoSpaceDE w:val="0"/>
        <w:autoSpaceDN w:val="0"/>
        <w:adjustRightInd w:val="0"/>
        <w:jc w:val="center"/>
        <w:rPr>
          <w:rFonts w:cs="Arial"/>
          <w:color w:val="000000"/>
          <w:sz w:val="18"/>
          <w:szCs w:val="18"/>
        </w:rPr>
      </w:pPr>
      <w:r w:rsidRPr="0003346F">
        <w:rPr>
          <w:rFonts w:cs="Arial"/>
          <w:color w:val="000000"/>
          <w:sz w:val="18"/>
          <w:szCs w:val="18"/>
        </w:rPr>
        <w:t>(</w:t>
      </w:r>
      <w:r w:rsidR="00FD3AF6">
        <w:rPr>
          <w:rFonts w:cs="Arial"/>
          <w:color w:val="000000"/>
          <w:sz w:val="18"/>
          <w:szCs w:val="18"/>
        </w:rPr>
        <w:t>p</w:t>
      </w:r>
      <w:r w:rsidRPr="0003346F">
        <w:rPr>
          <w:rFonts w:cs="Arial"/>
          <w:color w:val="000000"/>
          <w:sz w:val="18"/>
          <w:szCs w:val="18"/>
        </w:rPr>
        <w:t>orcentaje respecto a la población de 5 a 17 años)</w:t>
      </w:r>
    </w:p>
    <w:p w14:paraId="3521CEB7" w14:textId="5AE6AC29" w:rsidR="00DB15FD" w:rsidRPr="00CA5DD7" w:rsidRDefault="007C31FF" w:rsidP="00DB15FD">
      <w:pPr>
        <w:widowControl/>
        <w:autoSpaceDE w:val="0"/>
        <w:autoSpaceDN w:val="0"/>
        <w:adjustRightInd w:val="0"/>
        <w:spacing w:line="276" w:lineRule="auto"/>
        <w:jc w:val="center"/>
        <w:rPr>
          <w:rFonts w:cs="Arial"/>
          <w:color w:val="000000"/>
          <w:sz w:val="22"/>
          <w:szCs w:val="18"/>
        </w:rPr>
      </w:pPr>
      <w:r>
        <w:rPr>
          <w:noProof/>
        </w:rPr>
        <w:drawing>
          <wp:inline distT="0" distB="0" distL="0" distR="0" wp14:anchorId="5E6786B8" wp14:editId="36C467E5">
            <wp:extent cx="6333490" cy="2700000"/>
            <wp:effectExtent l="0" t="0" r="0" b="0"/>
            <wp:docPr id="344503856" name="Gráfico 1">
              <a:extLst xmlns:a="http://schemas.openxmlformats.org/drawingml/2006/main">
                <a:ext uri="{FF2B5EF4-FFF2-40B4-BE49-F238E27FC236}">
                  <a16:creationId xmlns:a16="http://schemas.microsoft.com/office/drawing/2014/main" id="{D1E98A7E-E4FE-4422-A9C9-3ED8C72D7C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D04017E" w14:textId="6B447E48" w:rsidR="00DB15FD" w:rsidRPr="00CD6FE9" w:rsidRDefault="006F4870" w:rsidP="00DB15FD">
      <w:pPr>
        <w:widowControl/>
        <w:autoSpaceDE w:val="0"/>
        <w:autoSpaceDN w:val="0"/>
        <w:adjustRightInd w:val="0"/>
        <w:spacing w:line="276" w:lineRule="auto"/>
        <w:ind w:left="709" w:hanging="709"/>
        <w:jc w:val="left"/>
        <w:rPr>
          <w:rFonts w:cs="Arial"/>
          <w:color w:val="000000"/>
          <w:sz w:val="16"/>
          <w:szCs w:val="16"/>
        </w:rPr>
      </w:pPr>
      <w:r>
        <w:rPr>
          <w:rFonts w:cs="Arial"/>
          <w:color w:val="000000" w:themeColor="text1"/>
          <w:sz w:val="16"/>
          <w:szCs w:val="16"/>
        </w:rPr>
        <w:t xml:space="preserve">  </w:t>
      </w:r>
      <w:r w:rsidR="00DB15FD" w:rsidRPr="00CD6FE9">
        <w:rPr>
          <w:rFonts w:cs="Arial"/>
          <w:color w:val="000000" w:themeColor="text1"/>
          <w:sz w:val="16"/>
          <w:szCs w:val="16"/>
        </w:rPr>
        <w:t>Fuente:</w:t>
      </w:r>
      <w:r w:rsidR="00DB15FD" w:rsidRPr="00CD6FE9">
        <w:rPr>
          <w:rFonts w:cs="Arial"/>
          <w:color w:val="000000" w:themeColor="text1"/>
          <w:sz w:val="16"/>
          <w:szCs w:val="16"/>
        </w:rPr>
        <w:tab/>
        <w:t>INEGI, MTI. 2</w:t>
      </w:r>
      <w:r w:rsidR="00DB15FD">
        <w:rPr>
          <w:rFonts w:cs="Arial"/>
          <w:color w:val="000000" w:themeColor="text1"/>
          <w:sz w:val="16"/>
          <w:szCs w:val="16"/>
        </w:rPr>
        <w:t>015 y 2017</w:t>
      </w:r>
      <w:r w:rsidR="00DB15FD" w:rsidRPr="00CD6FE9">
        <w:rPr>
          <w:rFonts w:cs="Arial"/>
          <w:color w:val="000000" w:themeColor="text1"/>
          <w:sz w:val="16"/>
          <w:szCs w:val="16"/>
        </w:rPr>
        <w:t>. ENTI</w:t>
      </w:r>
      <w:r w:rsidR="00BF51BB">
        <w:rPr>
          <w:rFonts w:cs="Arial"/>
          <w:color w:val="000000" w:themeColor="text1"/>
          <w:sz w:val="16"/>
          <w:szCs w:val="16"/>
        </w:rPr>
        <w:t>.</w:t>
      </w:r>
      <w:r w:rsidR="00DB15FD" w:rsidRPr="00CD6FE9">
        <w:rPr>
          <w:rFonts w:cs="Arial"/>
          <w:color w:val="000000" w:themeColor="text1"/>
          <w:sz w:val="16"/>
          <w:szCs w:val="16"/>
        </w:rPr>
        <w:t xml:space="preserve"> 2019 y 2022.</w:t>
      </w:r>
    </w:p>
    <w:p w14:paraId="5CBFDAA8" w14:textId="77777777" w:rsidR="00784C15" w:rsidRDefault="00784C15" w:rsidP="00BF5B41">
      <w:pPr>
        <w:widowControl/>
        <w:autoSpaceDE w:val="0"/>
        <w:autoSpaceDN w:val="0"/>
        <w:adjustRightInd w:val="0"/>
        <w:rPr>
          <w:rFonts w:cs="Arial"/>
          <w:szCs w:val="24"/>
        </w:rPr>
      </w:pPr>
    </w:p>
    <w:p w14:paraId="65A9D379" w14:textId="5821CD44" w:rsidR="001D2E84" w:rsidRDefault="00B10049" w:rsidP="007841FA">
      <w:pPr>
        <w:widowControl/>
        <w:autoSpaceDE w:val="0"/>
        <w:autoSpaceDN w:val="0"/>
        <w:adjustRightInd w:val="0"/>
        <w:ind w:right="51"/>
        <w:rPr>
          <w:rFonts w:cs="Arial"/>
          <w:szCs w:val="24"/>
        </w:rPr>
      </w:pPr>
      <w:r>
        <w:rPr>
          <w:rFonts w:cs="Arial"/>
          <w:szCs w:val="24"/>
        </w:rPr>
        <w:t>Del total de niñas, niños y adolescentes en trabajo infantil, 1.9 millones (51.1</w:t>
      </w:r>
      <w:r w:rsidR="007841FA">
        <w:rPr>
          <w:rFonts w:cs="Arial"/>
          <w:szCs w:val="24"/>
        </w:rPr>
        <w:t xml:space="preserve"> </w:t>
      </w:r>
      <w:r>
        <w:rPr>
          <w:rFonts w:cs="Arial"/>
          <w:szCs w:val="24"/>
        </w:rPr>
        <w:t>%) se encontraba en</w:t>
      </w:r>
      <w:r w:rsidR="00791592">
        <w:rPr>
          <w:rFonts w:cs="Arial"/>
          <w:szCs w:val="24"/>
        </w:rPr>
        <w:t xml:space="preserve"> </w:t>
      </w:r>
      <w:r w:rsidR="00F83372">
        <w:rPr>
          <w:rFonts w:cs="Arial"/>
          <w:szCs w:val="24"/>
        </w:rPr>
        <w:t>el rango</w:t>
      </w:r>
      <w:r w:rsidR="00791592">
        <w:rPr>
          <w:rFonts w:cs="Arial"/>
          <w:szCs w:val="24"/>
        </w:rPr>
        <w:t xml:space="preserve"> de 5 a 14 años, </w:t>
      </w:r>
      <w:r w:rsidR="00EC24A6">
        <w:rPr>
          <w:rFonts w:cs="Arial"/>
          <w:szCs w:val="24"/>
        </w:rPr>
        <w:t xml:space="preserve">mientras que </w:t>
      </w:r>
      <w:r w:rsidR="00791592">
        <w:rPr>
          <w:rFonts w:cs="Arial"/>
          <w:szCs w:val="24"/>
        </w:rPr>
        <w:t>1.8 millones (48.9 %)</w:t>
      </w:r>
      <w:r w:rsidR="00FD3AF6">
        <w:rPr>
          <w:rFonts w:cs="Arial"/>
          <w:szCs w:val="24"/>
        </w:rPr>
        <w:t>, se encontraron en el rango de 15 a 17 años</w:t>
      </w:r>
      <w:r w:rsidR="00F11E00">
        <w:rPr>
          <w:rFonts w:cs="Arial"/>
          <w:szCs w:val="24"/>
        </w:rPr>
        <w:t xml:space="preserve">. </w:t>
      </w:r>
      <w:r w:rsidR="004B6195">
        <w:rPr>
          <w:rFonts w:cs="Arial"/>
          <w:szCs w:val="24"/>
        </w:rPr>
        <w:t xml:space="preserve">De la cantidad de personas menores de edad en trabajo infantil, </w:t>
      </w:r>
      <w:r w:rsidR="00791592">
        <w:rPr>
          <w:rFonts w:cs="Arial"/>
          <w:szCs w:val="24"/>
        </w:rPr>
        <w:t xml:space="preserve">2.6 millones </w:t>
      </w:r>
      <w:r w:rsidR="00E92E3D">
        <w:rPr>
          <w:rFonts w:cs="Arial"/>
          <w:szCs w:val="24"/>
        </w:rPr>
        <w:t xml:space="preserve">   </w:t>
      </w:r>
      <w:r w:rsidR="00791592">
        <w:rPr>
          <w:rFonts w:cs="Arial"/>
          <w:szCs w:val="24"/>
        </w:rPr>
        <w:t>(70 %)</w:t>
      </w:r>
      <w:r w:rsidR="00303059" w:rsidRPr="00303059">
        <w:rPr>
          <w:rFonts w:cs="Arial"/>
          <w:szCs w:val="24"/>
        </w:rPr>
        <w:t xml:space="preserve"> </w:t>
      </w:r>
      <w:r w:rsidR="00303059" w:rsidRPr="00E74A6C">
        <w:rPr>
          <w:rFonts w:cs="Arial"/>
          <w:szCs w:val="24"/>
        </w:rPr>
        <w:t>asistieron a la escuela</w:t>
      </w:r>
      <w:r w:rsidR="00791592">
        <w:rPr>
          <w:rFonts w:cs="Arial"/>
          <w:szCs w:val="24"/>
        </w:rPr>
        <w:t xml:space="preserve"> y 1.1 millones (30 %) </w:t>
      </w:r>
      <w:r w:rsidR="00303059" w:rsidRPr="00EC25C1">
        <w:rPr>
          <w:rFonts w:cs="Arial"/>
          <w:szCs w:val="24"/>
        </w:rPr>
        <w:t>no asistieron</w:t>
      </w:r>
      <w:r w:rsidR="001D2E84">
        <w:rPr>
          <w:rFonts w:cs="Arial"/>
          <w:szCs w:val="24"/>
        </w:rPr>
        <w:t xml:space="preserve"> (ver cuadro 2)</w:t>
      </w:r>
      <w:r w:rsidR="00BF5B41">
        <w:rPr>
          <w:rFonts w:cs="Arial"/>
          <w:szCs w:val="24"/>
        </w:rPr>
        <w:t xml:space="preserve">. </w:t>
      </w:r>
    </w:p>
    <w:p w14:paraId="3133621B" w14:textId="77777777" w:rsidR="001D2E84" w:rsidRDefault="001D2E84" w:rsidP="00BF5B41">
      <w:pPr>
        <w:widowControl/>
        <w:autoSpaceDE w:val="0"/>
        <w:autoSpaceDN w:val="0"/>
        <w:adjustRightInd w:val="0"/>
        <w:rPr>
          <w:rFonts w:cs="Arial"/>
          <w:szCs w:val="24"/>
        </w:rPr>
      </w:pPr>
    </w:p>
    <w:p w14:paraId="31D89231" w14:textId="77777777" w:rsidR="00B84AFA" w:rsidRPr="007841FA" w:rsidRDefault="00B84AFA" w:rsidP="00B84AFA">
      <w:pPr>
        <w:widowControl/>
        <w:autoSpaceDE w:val="0"/>
        <w:autoSpaceDN w:val="0"/>
        <w:adjustRightInd w:val="0"/>
        <w:jc w:val="center"/>
        <w:rPr>
          <w:rFonts w:cs="Arial"/>
          <w:sz w:val="20"/>
        </w:rPr>
      </w:pPr>
      <w:r w:rsidRPr="007841FA">
        <w:rPr>
          <w:rFonts w:cs="Arial"/>
          <w:sz w:val="20"/>
        </w:rPr>
        <w:t>Cuadro 2</w:t>
      </w:r>
    </w:p>
    <w:p w14:paraId="5C6D37F8" w14:textId="77777777" w:rsidR="00B84AFA" w:rsidRPr="007841FA" w:rsidRDefault="00B84AFA" w:rsidP="00B84AFA">
      <w:pPr>
        <w:widowControl/>
        <w:autoSpaceDE w:val="0"/>
        <w:autoSpaceDN w:val="0"/>
        <w:adjustRightInd w:val="0"/>
        <w:spacing w:after="120"/>
        <w:ind w:right="51"/>
        <w:jc w:val="center"/>
        <w:rPr>
          <w:rFonts w:cs="Arial"/>
          <w:b/>
          <w:smallCaps/>
          <w:sz w:val="22"/>
          <w:szCs w:val="22"/>
        </w:rPr>
      </w:pPr>
      <w:r w:rsidRPr="007841FA">
        <w:rPr>
          <w:rFonts w:cs="Arial"/>
          <w:b/>
          <w:smallCaps/>
          <w:sz w:val="22"/>
          <w:szCs w:val="22"/>
        </w:rPr>
        <w:t>Trabajo infantil por grupos de edad y asistencia escolar según sexo</w:t>
      </w:r>
    </w:p>
    <w:tbl>
      <w:tblPr>
        <w:tblW w:w="9923" w:type="dxa"/>
        <w:tblCellMar>
          <w:left w:w="70" w:type="dxa"/>
          <w:right w:w="70" w:type="dxa"/>
        </w:tblCellMar>
        <w:tblLook w:val="04A0" w:firstRow="1" w:lastRow="0" w:firstColumn="1" w:lastColumn="0" w:noHBand="0" w:noVBand="1"/>
      </w:tblPr>
      <w:tblGrid>
        <w:gridCol w:w="220"/>
        <w:gridCol w:w="2580"/>
        <w:gridCol w:w="1169"/>
        <w:gridCol w:w="993"/>
        <w:gridCol w:w="1275"/>
        <w:gridCol w:w="1134"/>
        <w:gridCol w:w="1134"/>
        <w:gridCol w:w="1418"/>
      </w:tblGrid>
      <w:tr w:rsidR="00B84AFA" w:rsidRPr="00411722" w14:paraId="6A37C281" w14:textId="77777777" w:rsidTr="00562DA7">
        <w:trPr>
          <w:trHeight w:val="510"/>
        </w:trPr>
        <w:tc>
          <w:tcPr>
            <w:tcW w:w="2800" w:type="dxa"/>
            <w:gridSpan w:val="2"/>
            <w:vMerge w:val="restart"/>
            <w:tcBorders>
              <w:top w:val="nil"/>
              <w:left w:val="nil"/>
              <w:bottom w:val="nil"/>
              <w:right w:val="nil"/>
            </w:tcBorders>
            <w:shd w:val="clear" w:color="auto" w:fill="338B99"/>
            <w:vAlign w:val="center"/>
            <w:hideMark/>
          </w:tcPr>
          <w:p w14:paraId="6508FA96" w14:textId="1A524E6A" w:rsidR="00B84AFA" w:rsidRPr="00411722" w:rsidRDefault="00B84AFA" w:rsidP="00B84AFA">
            <w:pPr>
              <w:widowControl/>
              <w:jc w:val="left"/>
              <w:rPr>
                <w:rFonts w:cs="Arial"/>
                <w:b/>
                <w:bCs/>
                <w:color w:val="FFFFFF"/>
                <w:sz w:val="20"/>
                <w:lang w:eastAsia="es-MX"/>
              </w:rPr>
            </w:pPr>
            <w:r w:rsidRPr="00411722">
              <w:rPr>
                <w:rFonts w:cs="Arial"/>
                <w:b/>
                <w:bCs/>
                <w:color w:val="FFFFFF"/>
                <w:sz w:val="20"/>
                <w:lang w:eastAsia="es-MX"/>
              </w:rPr>
              <w:t>Grupos de edad</w:t>
            </w:r>
            <w:r w:rsidRPr="00411722">
              <w:rPr>
                <w:rFonts w:cs="Arial"/>
                <w:b/>
                <w:bCs/>
                <w:color w:val="FFFFFF"/>
                <w:sz w:val="20"/>
                <w:lang w:eastAsia="es-MX"/>
              </w:rPr>
              <w:br/>
              <w:t>y asistencia escolar</w:t>
            </w:r>
            <w:r w:rsidRPr="00411722">
              <w:rPr>
                <w:rFonts w:cs="Arial"/>
                <w:color w:val="000000"/>
                <w:sz w:val="20"/>
                <w:lang w:eastAsia="es-MX"/>
              </w:rPr>
              <w:t> </w:t>
            </w:r>
          </w:p>
        </w:tc>
        <w:tc>
          <w:tcPr>
            <w:tcW w:w="3437" w:type="dxa"/>
            <w:gridSpan w:val="3"/>
            <w:tcBorders>
              <w:top w:val="nil"/>
              <w:left w:val="nil"/>
              <w:bottom w:val="single" w:sz="4" w:space="0" w:color="FFFFFF"/>
              <w:right w:val="nil"/>
            </w:tcBorders>
            <w:shd w:val="clear" w:color="auto" w:fill="338B99"/>
            <w:vAlign w:val="center"/>
            <w:hideMark/>
          </w:tcPr>
          <w:p w14:paraId="24823000" w14:textId="54F31CAE" w:rsidR="00B84AFA" w:rsidRPr="00411722" w:rsidRDefault="00B84AFA" w:rsidP="00B84AFA">
            <w:pPr>
              <w:widowControl/>
              <w:jc w:val="center"/>
              <w:rPr>
                <w:rFonts w:cs="Arial"/>
                <w:b/>
                <w:bCs/>
                <w:color w:val="FFFFFF"/>
                <w:sz w:val="20"/>
                <w:lang w:eastAsia="es-MX"/>
              </w:rPr>
            </w:pPr>
            <w:r>
              <w:rPr>
                <w:rFonts w:cs="Arial"/>
                <w:b/>
                <w:bCs/>
                <w:color w:val="FFFFFF"/>
                <w:sz w:val="20"/>
                <w:lang w:eastAsia="es-MX"/>
              </w:rPr>
              <w:t>M</w:t>
            </w:r>
            <w:r w:rsidRPr="00411722">
              <w:rPr>
                <w:rFonts w:cs="Arial"/>
                <w:b/>
                <w:bCs/>
                <w:color w:val="FFFFFF"/>
                <w:sz w:val="20"/>
                <w:lang w:eastAsia="es-MX"/>
              </w:rPr>
              <w:t>illones</w:t>
            </w:r>
            <w:r>
              <w:rPr>
                <w:rFonts w:cs="Arial"/>
                <w:b/>
                <w:bCs/>
                <w:color w:val="FFFFFF"/>
                <w:sz w:val="20"/>
                <w:lang w:eastAsia="es-MX"/>
              </w:rPr>
              <w:t xml:space="preserve"> de personas</w:t>
            </w:r>
            <w:r w:rsidRPr="00411722">
              <w:rPr>
                <w:rFonts w:cs="Arial"/>
                <w:b/>
                <w:bCs/>
                <w:color w:val="FFFFFF"/>
                <w:sz w:val="20"/>
                <w:lang w:eastAsia="es-MX"/>
              </w:rPr>
              <w:t xml:space="preserve"> </w:t>
            </w:r>
          </w:p>
        </w:tc>
        <w:tc>
          <w:tcPr>
            <w:tcW w:w="3686" w:type="dxa"/>
            <w:gridSpan w:val="3"/>
            <w:tcBorders>
              <w:top w:val="nil"/>
              <w:left w:val="nil"/>
              <w:bottom w:val="single" w:sz="4" w:space="0" w:color="FFFFFF"/>
              <w:right w:val="nil"/>
            </w:tcBorders>
            <w:shd w:val="clear" w:color="auto" w:fill="338B99"/>
            <w:vAlign w:val="center"/>
            <w:hideMark/>
          </w:tcPr>
          <w:p w14:paraId="31782BDE" w14:textId="3C408FB1" w:rsidR="00B84AFA" w:rsidRPr="00411722" w:rsidRDefault="00B84AFA" w:rsidP="00B84AFA">
            <w:pPr>
              <w:widowControl/>
              <w:jc w:val="center"/>
              <w:rPr>
                <w:rFonts w:cs="Arial"/>
                <w:b/>
                <w:bCs/>
                <w:color w:val="FFFFFF"/>
                <w:sz w:val="20"/>
                <w:lang w:eastAsia="es-MX"/>
              </w:rPr>
            </w:pPr>
            <w:r w:rsidRPr="00411722">
              <w:rPr>
                <w:rFonts w:cs="Arial"/>
                <w:b/>
                <w:bCs/>
                <w:color w:val="FFFFFF"/>
                <w:sz w:val="20"/>
                <w:lang w:eastAsia="es-MX"/>
              </w:rPr>
              <w:t>Distribución</w:t>
            </w:r>
            <w:r>
              <w:rPr>
                <w:rFonts w:cs="Arial"/>
                <w:b/>
                <w:bCs/>
                <w:color w:val="FFFFFF"/>
                <w:sz w:val="20"/>
                <w:lang w:eastAsia="es-MX"/>
              </w:rPr>
              <w:t xml:space="preserve"> porcentual</w:t>
            </w:r>
          </w:p>
        </w:tc>
      </w:tr>
      <w:tr w:rsidR="00B84AFA" w:rsidRPr="00411722" w14:paraId="26BF8C7E" w14:textId="77777777" w:rsidTr="00562DA7">
        <w:trPr>
          <w:trHeight w:val="300"/>
        </w:trPr>
        <w:tc>
          <w:tcPr>
            <w:tcW w:w="2800" w:type="dxa"/>
            <w:gridSpan w:val="2"/>
            <w:vMerge/>
            <w:tcBorders>
              <w:top w:val="nil"/>
              <w:left w:val="nil"/>
              <w:bottom w:val="nil"/>
              <w:right w:val="nil"/>
            </w:tcBorders>
            <w:shd w:val="clear" w:color="auto" w:fill="338B99"/>
            <w:vAlign w:val="center"/>
            <w:hideMark/>
          </w:tcPr>
          <w:p w14:paraId="782DCD6A" w14:textId="77777777" w:rsidR="00B84AFA" w:rsidRPr="00411722" w:rsidRDefault="00B84AFA" w:rsidP="00B84AFA">
            <w:pPr>
              <w:widowControl/>
              <w:jc w:val="left"/>
              <w:rPr>
                <w:rFonts w:cs="Arial"/>
                <w:b/>
                <w:bCs/>
                <w:color w:val="FFFFFF"/>
                <w:sz w:val="20"/>
                <w:lang w:eastAsia="es-MX"/>
              </w:rPr>
            </w:pPr>
          </w:p>
        </w:tc>
        <w:tc>
          <w:tcPr>
            <w:tcW w:w="1169" w:type="dxa"/>
            <w:tcBorders>
              <w:top w:val="nil"/>
              <w:left w:val="nil"/>
              <w:bottom w:val="nil"/>
              <w:right w:val="nil"/>
            </w:tcBorders>
            <w:shd w:val="clear" w:color="auto" w:fill="338B99"/>
            <w:vAlign w:val="center"/>
            <w:hideMark/>
          </w:tcPr>
          <w:p w14:paraId="102E53B2" w14:textId="525D0E46" w:rsidR="00B84AFA" w:rsidRPr="00411722" w:rsidRDefault="00B84AFA" w:rsidP="00B84AFA">
            <w:pPr>
              <w:widowControl/>
              <w:jc w:val="center"/>
              <w:rPr>
                <w:rFonts w:cs="Arial"/>
                <w:b/>
                <w:bCs/>
                <w:color w:val="FFFFFF"/>
                <w:sz w:val="20"/>
                <w:lang w:eastAsia="es-MX"/>
              </w:rPr>
            </w:pPr>
            <w:r w:rsidRPr="00411722">
              <w:rPr>
                <w:rFonts w:cs="Arial"/>
                <w:b/>
                <w:bCs/>
                <w:color w:val="FFFFFF"/>
                <w:sz w:val="20"/>
                <w:lang w:eastAsia="es-MX"/>
              </w:rPr>
              <w:t>Total</w:t>
            </w:r>
          </w:p>
        </w:tc>
        <w:tc>
          <w:tcPr>
            <w:tcW w:w="993" w:type="dxa"/>
            <w:tcBorders>
              <w:top w:val="nil"/>
              <w:left w:val="nil"/>
              <w:bottom w:val="nil"/>
              <w:right w:val="nil"/>
            </w:tcBorders>
            <w:shd w:val="clear" w:color="auto" w:fill="338B99"/>
            <w:vAlign w:val="center"/>
            <w:hideMark/>
          </w:tcPr>
          <w:p w14:paraId="5C4D94A0" w14:textId="3A493D15" w:rsidR="00B84AFA" w:rsidRPr="00411722" w:rsidRDefault="00B84AFA" w:rsidP="00B84AFA">
            <w:pPr>
              <w:widowControl/>
              <w:jc w:val="center"/>
              <w:rPr>
                <w:rFonts w:cs="Arial"/>
                <w:b/>
                <w:bCs/>
                <w:color w:val="FFFFFF"/>
                <w:sz w:val="20"/>
                <w:lang w:eastAsia="es-MX"/>
              </w:rPr>
            </w:pPr>
            <w:r w:rsidRPr="00411722">
              <w:rPr>
                <w:rFonts w:cs="Arial"/>
                <w:b/>
                <w:bCs/>
                <w:color w:val="FFFFFF"/>
                <w:sz w:val="20"/>
                <w:lang w:eastAsia="es-MX"/>
              </w:rPr>
              <w:t>Niños</w:t>
            </w:r>
          </w:p>
        </w:tc>
        <w:tc>
          <w:tcPr>
            <w:tcW w:w="1275" w:type="dxa"/>
            <w:tcBorders>
              <w:top w:val="nil"/>
              <w:left w:val="nil"/>
              <w:bottom w:val="nil"/>
              <w:right w:val="nil"/>
            </w:tcBorders>
            <w:shd w:val="clear" w:color="auto" w:fill="338B99"/>
            <w:vAlign w:val="center"/>
            <w:hideMark/>
          </w:tcPr>
          <w:p w14:paraId="274BAA79" w14:textId="77777777" w:rsidR="00B84AFA" w:rsidRPr="00411722" w:rsidRDefault="00B84AFA" w:rsidP="00B84AFA">
            <w:pPr>
              <w:widowControl/>
              <w:jc w:val="center"/>
              <w:rPr>
                <w:rFonts w:cs="Arial"/>
                <w:b/>
                <w:bCs/>
                <w:color w:val="FFFFFF"/>
                <w:sz w:val="20"/>
                <w:lang w:eastAsia="es-MX"/>
              </w:rPr>
            </w:pPr>
            <w:r w:rsidRPr="00411722">
              <w:rPr>
                <w:rFonts w:cs="Arial"/>
                <w:b/>
                <w:bCs/>
                <w:color w:val="FFFFFF"/>
                <w:sz w:val="20"/>
                <w:lang w:eastAsia="es-MX"/>
              </w:rPr>
              <w:t>Niñas</w:t>
            </w:r>
          </w:p>
        </w:tc>
        <w:tc>
          <w:tcPr>
            <w:tcW w:w="1134" w:type="dxa"/>
            <w:tcBorders>
              <w:top w:val="nil"/>
              <w:left w:val="nil"/>
              <w:bottom w:val="nil"/>
              <w:right w:val="nil"/>
            </w:tcBorders>
            <w:shd w:val="clear" w:color="auto" w:fill="338B99"/>
            <w:vAlign w:val="center"/>
            <w:hideMark/>
          </w:tcPr>
          <w:p w14:paraId="1CD7B076" w14:textId="29048D40" w:rsidR="00B84AFA" w:rsidRPr="00411722" w:rsidRDefault="00B84AFA" w:rsidP="00B84AFA">
            <w:pPr>
              <w:widowControl/>
              <w:jc w:val="center"/>
              <w:rPr>
                <w:rFonts w:cs="Arial"/>
                <w:b/>
                <w:bCs/>
                <w:color w:val="FFFFFF"/>
                <w:sz w:val="20"/>
                <w:lang w:eastAsia="es-MX"/>
              </w:rPr>
            </w:pPr>
            <w:r w:rsidRPr="00411722">
              <w:rPr>
                <w:rFonts w:cs="Arial"/>
                <w:b/>
                <w:bCs/>
                <w:color w:val="FFFFFF"/>
                <w:sz w:val="20"/>
                <w:lang w:eastAsia="es-MX"/>
              </w:rPr>
              <w:t>Total</w:t>
            </w:r>
          </w:p>
        </w:tc>
        <w:tc>
          <w:tcPr>
            <w:tcW w:w="1134" w:type="dxa"/>
            <w:tcBorders>
              <w:top w:val="nil"/>
              <w:left w:val="nil"/>
              <w:bottom w:val="nil"/>
              <w:right w:val="nil"/>
            </w:tcBorders>
            <w:shd w:val="clear" w:color="auto" w:fill="338B99"/>
            <w:vAlign w:val="center"/>
            <w:hideMark/>
          </w:tcPr>
          <w:p w14:paraId="199963CE" w14:textId="06CC3285" w:rsidR="00B84AFA" w:rsidRPr="00411722" w:rsidRDefault="00B84AFA" w:rsidP="00B84AFA">
            <w:pPr>
              <w:widowControl/>
              <w:jc w:val="center"/>
              <w:rPr>
                <w:rFonts w:cs="Arial"/>
                <w:b/>
                <w:bCs/>
                <w:color w:val="FFFFFF"/>
                <w:sz w:val="20"/>
                <w:lang w:eastAsia="es-MX"/>
              </w:rPr>
            </w:pPr>
            <w:r w:rsidRPr="00411722">
              <w:rPr>
                <w:rFonts w:cs="Arial"/>
                <w:b/>
                <w:bCs/>
                <w:color w:val="FFFFFF"/>
                <w:sz w:val="20"/>
                <w:lang w:eastAsia="es-MX"/>
              </w:rPr>
              <w:t>Niños</w:t>
            </w:r>
          </w:p>
        </w:tc>
        <w:tc>
          <w:tcPr>
            <w:tcW w:w="1418" w:type="dxa"/>
            <w:tcBorders>
              <w:top w:val="nil"/>
              <w:left w:val="nil"/>
              <w:bottom w:val="nil"/>
              <w:right w:val="nil"/>
            </w:tcBorders>
            <w:shd w:val="clear" w:color="auto" w:fill="338B99"/>
            <w:vAlign w:val="center"/>
            <w:hideMark/>
          </w:tcPr>
          <w:p w14:paraId="2C968D82" w14:textId="77777777" w:rsidR="00B84AFA" w:rsidRPr="00411722" w:rsidRDefault="00B84AFA" w:rsidP="00B84AFA">
            <w:pPr>
              <w:widowControl/>
              <w:jc w:val="center"/>
              <w:rPr>
                <w:rFonts w:cs="Arial"/>
                <w:b/>
                <w:bCs/>
                <w:color w:val="FFFFFF"/>
                <w:sz w:val="20"/>
                <w:lang w:eastAsia="es-MX"/>
              </w:rPr>
            </w:pPr>
            <w:r w:rsidRPr="00411722">
              <w:rPr>
                <w:rFonts w:cs="Arial"/>
                <w:b/>
                <w:bCs/>
                <w:color w:val="FFFFFF"/>
                <w:sz w:val="20"/>
                <w:lang w:eastAsia="es-MX"/>
              </w:rPr>
              <w:t>Niñas</w:t>
            </w:r>
          </w:p>
        </w:tc>
      </w:tr>
      <w:tr w:rsidR="00B84AFA" w:rsidRPr="00411722" w14:paraId="664C72BA" w14:textId="77777777" w:rsidTr="00562DA7">
        <w:trPr>
          <w:trHeight w:val="300"/>
        </w:trPr>
        <w:tc>
          <w:tcPr>
            <w:tcW w:w="2800" w:type="dxa"/>
            <w:gridSpan w:val="2"/>
            <w:tcBorders>
              <w:top w:val="nil"/>
              <w:left w:val="nil"/>
              <w:bottom w:val="nil"/>
              <w:right w:val="nil"/>
            </w:tcBorders>
            <w:shd w:val="clear" w:color="auto" w:fill="99C5CC"/>
            <w:vAlign w:val="center"/>
            <w:hideMark/>
          </w:tcPr>
          <w:p w14:paraId="1D7D9691" w14:textId="77777777" w:rsidR="00B84AFA" w:rsidRPr="00411722" w:rsidRDefault="00B84AFA" w:rsidP="00562DA7">
            <w:pPr>
              <w:widowControl/>
              <w:jc w:val="left"/>
              <w:rPr>
                <w:rFonts w:cs="Arial"/>
                <w:b/>
                <w:bCs/>
                <w:color w:val="000000"/>
                <w:sz w:val="20"/>
                <w:lang w:eastAsia="es-MX"/>
              </w:rPr>
            </w:pPr>
            <w:r w:rsidRPr="00411722">
              <w:rPr>
                <w:rFonts w:cs="Arial"/>
                <w:b/>
                <w:bCs/>
                <w:color w:val="000000"/>
                <w:sz w:val="20"/>
                <w:lang w:eastAsia="es-MX"/>
              </w:rPr>
              <w:t>Grupos de edad</w:t>
            </w:r>
          </w:p>
        </w:tc>
        <w:tc>
          <w:tcPr>
            <w:tcW w:w="1169" w:type="dxa"/>
            <w:tcBorders>
              <w:top w:val="nil"/>
              <w:left w:val="nil"/>
              <w:bottom w:val="nil"/>
              <w:right w:val="nil"/>
            </w:tcBorders>
            <w:shd w:val="clear" w:color="auto" w:fill="99C5CC"/>
            <w:vAlign w:val="center"/>
            <w:hideMark/>
          </w:tcPr>
          <w:p w14:paraId="7605F584" w14:textId="77777777" w:rsidR="00B84AFA" w:rsidRPr="00411722" w:rsidRDefault="00B84AFA" w:rsidP="00562DA7">
            <w:pPr>
              <w:widowControl/>
              <w:jc w:val="center"/>
              <w:rPr>
                <w:rFonts w:cs="Arial"/>
                <w:b/>
                <w:bCs/>
                <w:color w:val="000000"/>
                <w:sz w:val="20"/>
                <w:lang w:eastAsia="es-MX"/>
              </w:rPr>
            </w:pPr>
            <w:r w:rsidRPr="00411722">
              <w:rPr>
                <w:rFonts w:cs="Arial"/>
                <w:b/>
                <w:bCs/>
                <w:color w:val="000000"/>
                <w:sz w:val="20"/>
                <w:lang w:eastAsia="es-MX"/>
              </w:rPr>
              <w:t>3.7</w:t>
            </w:r>
          </w:p>
        </w:tc>
        <w:tc>
          <w:tcPr>
            <w:tcW w:w="993" w:type="dxa"/>
            <w:tcBorders>
              <w:top w:val="nil"/>
              <w:left w:val="nil"/>
              <w:bottom w:val="nil"/>
              <w:right w:val="nil"/>
            </w:tcBorders>
            <w:shd w:val="clear" w:color="auto" w:fill="99C5CC"/>
            <w:vAlign w:val="center"/>
            <w:hideMark/>
          </w:tcPr>
          <w:p w14:paraId="5DA8B5AC" w14:textId="77777777" w:rsidR="00B84AFA" w:rsidRPr="00411722" w:rsidRDefault="00B84AFA" w:rsidP="00562DA7">
            <w:pPr>
              <w:widowControl/>
              <w:jc w:val="center"/>
              <w:rPr>
                <w:rFonts w:cs="Arial"/>
                <w:b/>
                <w:bCs/>
                <w:color w:val="000000"/>
                <w:sz w:val="20"/>
                <w:lang w:eastAsia="es-MX"/>
              </w:rPr>
            </w:pPr>
            <w:r w:rsidRPr="00411722">
              <w:rPr>
                <w:rFonts w:cs="Arial"/>
                <w:b/>
                <w:bCs/>
                <w:color w:val="000000"/>
                <w:sz w:val="20"/>
                <w:lang w:eastAsia="es-MX"/>
              </w:rPr>
              <w:t>2.2</w:t>
            </w:r>
          </w:p>
        </w:tc>
        <w:tc>
          <w:tcPr>
            <w:tcW w:w="1275" w:type="dxa"/>
            <w:tcBorders>
              <w:top w:val="nil"/>
              <w:left w:val="nil"/>
              <w:bottom w:val="nil"/>
              <w:right w:val="nil"/>
            </w:tcBorders>
            <w:shd w:val="clear" w:color="auto" w:fill="99C5CC"/>
            <w:vAlign w:val="center"/>
            <w:hideMark/>
          </w:tcPr>
          <w:p w14:paraId="2C4E76E7" w14:textId="77777777" w:rsidR="00B84AFA" w:rsidRPr="00411722" w:rsidRDefault="00B84AFA" w:rsidP="00562DA7">
            <w:pPr>
              <w:widowControl/>
              <w:jc w:val="center"/>
              <w:rPr>
                <w:rFonts w:cs="Arial"/>
                <w:b/>
                <w:bCs/>
                <w:color w:val="000000"/>
                <w:sz w:val="20"/>
                <w:lang w:eastAsia="es-MX"/>
              </w:rPr>
            </w:pPr>
            <w:r w:rsidRPr="00411722">
              <w:rPr>
                <w:rFonts w:cs="Arial"/>
                <w:b/>
                <w:bCs/>
                <w:color w:val="000000"/>
                <w:sz w:val="20"/>
                <w:lang w:eastAsia="es-MX"/>
              </w:rPr>
              <w:t>1.5</w:t>
            </w:r>
          </w:p>
        </w:tc>
        <w:tc>
          <w:tcPr>
            <w:tcW w:w="1134" w:type="dxa"/>
            <w:tcBorders>
              <w:top w:val="nil"/>
              <w:left w:val="nil"/>
              <w:bottom w:val="nil"/>
              <w:right w:val="nil"/>
            </w:tcBorders>
            <w:shd w:val="clear" w:color="auto" w:fill="99C5CC"/>
            <w:vAlign w:val="center"/>
            <w:hideMark/>
          </w:tcPr>
          <w:p w14:paraId="59345994" w14:textId="77777777" w:rsidR="00B84AFA" w:rsidRPr="00411722" w:rsidRDefault="00B84AFA" w:rsidP="00562DA7">
            <w:pPr>
              <w:widowControl/>
              <w:jc w:val="center"/>
              <w:rPr>
                <w:rFonts w:cs="Arial"/>
                <w:b/>
                <w:bCs/>
                <w:color w:val="000000"/>
                <w:sz w:val="20"/>
                <w:lang w:eastAsia="es-MX"/>
              </w:rPr>
            </w:pPr>
            <w:r w:rsidRPr="00411722">
              <w:rPr>
                <w:rFonts w:cs="Arial"/>
                <w:b/>
                <w:bCs/>
                <w:color w:val="000000"/>
                <w:sz w:val="20"/>
                <w:lang w:eastAsia="es-MX"/>
              </w:rPr>
              <w:t>100.0</w:t>
            </w:r>
          </w:p>
        </w:tc>
        <w:tc>
          <w:tcPr>
            <w:tcW w:w="1134" w:type="dxa"/>
            <w:tcBorders>
              <w:top w:val="nil"/>
              <w:left w:val="nil"/>
              <w:bottom w:val="nil"/>
              <w:right w:val="nil"/>
            </w:tcBorders>
            <w:shd w:val="clear" w:color="auto" w:fill="99C5CC"/>
            <w:vAlign w:val="center"/>
            <w:hideMark/>
          </w:tcPr>
          <w:p w14:paraId="485D5E8D" w14:textId="77777777" w:rsidR="00B84AFA" w:rsidRPr="00411722" w:rsidRDefault="00B84AFA" w:rsidP="00562DA7">
            <w:pPr>
              <w:widowControl/>
              <w:jc w:val="center"/>
              <w:rPr>
                <w:rFonts w:cs="Arial"/>
                <w:b/>
                <w:bCs/>
                <w:color w:val="000000"/>
                <w:sz w:val="20"/>
                <w:lang w:eastAsia="es-MX"/>
              </w:rPr>
            </w:pPr>
            <w:r w:rsidRPr="00411722">
              <w:rPr>
                <w:rFonts w:cs="Arial"/>
                <w:b/>
                <w:bCs/>
                <w:color w:val="000000"/>
                <w:sz w:val="20"/>
                <w:lang w:eastAsia="es-MX"/>
              </w:rPr>
              <w:t>100.0</w:t>
            </w:r>
          </w:p>
        </w:tc>
        <w:tc>
          <w:tcPr>
            <w:tcW w:w="1418" w:type="dxa"/>
            <w:tcBorders>
              <w:top w:val="nil"/>
              <w:left w:val="nil"/>
              <w:bottom w:val="nil"/>
              <w:right w:val="nil"/>
            </w:tcBorders>
            <w:shd w:val="clear" w:color="auto" w:fill="99C5CC"/>
            <w:vAlign w:val="center"/>
            <w:hideMark/>
          </w:tcPr>
          <w:p w14:paraId="4101349E" w14:textId="77777777" w:rsidR="00B84AFA" w:rsidRPr="00411722" w:rsidRDefault="00B84AFA" w:rsidP="00562DA7">
            <w:pPr>
              <w:widowControl/>
              <w:jc w:val="center"/>
              <w:rPr>
                <w:rFonts w:cs="Arial"/>
                <w:b/>
                <w:bCs/>
                <w:color w:val="000000"/>
                <w:sz w:val="20"/>
                <w:lang w:eastAsia="es-MX"/>
              </w:rPr>
            </w:pPr>
            <w:r w:rsidRPr="00411722">
              <w:rPr>
                <w:rFonts w:cs="Arial"/>
                <w:b/>
                <w:bCs/>
                <w:color w:val="000000"/>
                <w:sz w:val="20"/>
                <w:lang w:eastAsia="es-MX"/>
              </w:rPr>
              <w:t>100.0</w:t>
            </w:r>
          </w:p>
        </w:tc>
      </w:tr>
      <w:tr w:rsidR="00B84AFA" w:rsidRPr="00411722" w14:paraId="2155C901" w14:textId="77777777" w:rsidTr="00562DA7">
        <w:trPr>
          <w:trHeight w:val="300"/>
        </w:trPr>
        <w:tc>
          <w:tcPr>
            <w:tcW w:w="220" w:type="dxa"/>
            <w:tcBorders>
              <w:top w:val="nil"/>
              <w:left w:val="nil"/>
              <w:bottom w:val="nil"/>
              <w:right w:val="nil"/>
            </w:tcBorders>
            <w:shd w:val="clear" w:color="auto" w:fill="CCE2E6"/>
            <w:noWrap/>
            <w:vAlign w:val="bottom"/>
            <w:hideMark/>
          </w:tcPr>
          <w:p w14:paraId="1DDA47E7" w14:textId="77777777" w:rsidR="00B84AFA" w:rsidRPr="00411722" w:rsidRDefault="00B84AFA" w:rsidP="00562DA7">
            <w:pPr>
              <w:widowControl/>
              <w:jc w:val="left"/>
              <w:rPr>
                <w:rFonts w:ascii="Times New Roman" w:hAnsi="Times New Roman"/>
                <w:color w:val="000000"/>
                <w:sz w:val="20"/>
                <w:lang w:eastAsia="es-MX"/>
              </w:rPr>
            </w:pPr>
            <w:r w:rsidRPr="00411722">
              <w:rPr>
                <w:rFonts w:ascii="Times New Roman" w:hAnsi="Times New Roman"/>
                <w:color w:val="000000"/>
                <w:sz w:val="20"/>
                <w:lang w:eastAsia="es-MX"/>
              </w:rPr>
              <w:t> </w:t>
            </w:r>
          </w:p>
        </w:tc>
        <w:tc>
          <w:tcPr>
            <w:tcW w:w="2580" w:type="dxa"/>
            <w:tcBorders>
              <w:top w:val="nil"/>
              <w:left w:val="nil"/>
              <w:bottom w:val="nil"/>
              <w:right w:val="nil"/>
            </w:tcBorders>
            <w:shd w:val="clear" w:color="auto" w:fill="CCE2E6"/>
            <w:vAlign w:val="center"/>
            <w:hideMark/>
          </w:tcPr>
          <w:p w14:paraId="5A0525D5" w14:textId="77777777" w:rsidR="00B84AFA" w:rsidRPr="00411722" w:rsidRDefault="00B84AFA" w:rsidP="00562DA7">
            <w:pPr>
              <w:widowControl/>
              <w:jc w:val="left"/>
              <w:rPr>
                <w:rFonts w:cs="Arial"/>
                <w:color w:val="000000"/>
                <w:sz w:val="20"/>
                <w:lang w:eastAsia="es-MX"/>
              </w:rPr>
            </w:pPr>
            <w:r w:rsidRPr="00411722">
              <w:rPr>
                <w:rFonts w:cs="Arial"/>
                <w:color w:val="000000"/>
                <w:sz w:val="20"/>
                <w:lang w:eastAsia="es-MX"/>
              </w:rPr>
              <w:t>5 a 14 años</w:t>
            </w:r>
          </w:p>
        </w:tc>
        <w:tc>
          <w:tcPr>
            <w:tcW w:w="1169" w:type="dxa"/>
            <w:tcBorders>
              <w:top w:val="nil"/>
              <w:left w:val="nil"/>
              <w:bottom w:val="nil"/>
              <w:right w:val="nil"/>
            </w:tcBorders>
            <w:shd w:val="clear" w:color="auto" w:fill="CCE2E6"/>
            <w:vAlign w:val="center"/>
            <w:hideMark/>
          </w:tcPr>
          <w:p w14:paraId="12895012" w14:textId="77777777" w:rsidR="00B84AFA" w:rsidRPr="00411722" w:rsidRDefault="00B84AFA" w:rsidP="00562DA7">
            <w:pPr>
              <w:widowControl/>
              <w:jc w:val="center"/>
              <w:rPr>
                <w:rFonts w:cs="Arial"/>
                <w:color w:val="000000"/>
                <w:sz w:val="20"/>
                <w:lang w:eastAsia="es-MX"/>
              </w:rPr>
            </w:pPr>
            <w:r w:rsidRPr="00411722">
              <w:rPr>
                <w:rFonts w:cs="Arial"/>
                <w:color w:val="000000"/>
                <w:sz w:val="20"/>
                <w:lang w:eastAsia="es-MX"/>
              </w:rPr>
              <w:t>1.9</w:t>
            </w:r>
          </w:p>
        </w:tc>
        <w:tc>
          <w:tcPr>
            <w:tcW w:w="993" w:type="dxa"/>
            <w:tcBorders>
              <w:top w:val="nil"/>
              <w:left w:val="nil"/>
              <w:bottom w:val="nil"/>
              <w:right w:val="nil"/>
            </w:tcBorders>
            <w:shd w:val="clear" w:color="auto" w:fill="CCE2E6"/>
            <w:vAlign w:val="center"/>
            <w:hideMark/>
          </w:tcPr>
          <w:p w14:paraId="38D18766" w14:textId="77777777" w:rsidR="00B84AFA" w:rsidRPr="00411722" w:rsidRDefault="00B84AFA" w:rsidP="00562DA7">
            <w:pPr>
              <w:widowControl/>
              <w:jc w:val="center"/>
              <w:rPr>
                <w:rFonts w:cs="Arial"/>
                <w:color w:val="000000"/>
                <w:sz w:val="20"/>
                <w:lang w:eastAsia="es-MX"/>
              </w:rPr>
            </w:pPr>
            <w:r w:rsidRPr="00411722">
              <w:rPr>
                <w:rFonts w:cs="Arial"/>
                <w:color w:val="000000"/>
                <w:sz w:val="20"/>
                <w:lang w:eastAsia="es-MX"/>
              </w:rPr>
              <w:t>1.1</w:t>
            </w:r>
          </w:p>
        </w:tc>
        <w:tc>
          <w:tcPr>
            <w:tcW w:w="1275" w:type="dxa"/>
            <w:tcBorders>
              <w:top w:val="nil"/>
              <w:left w:val="nil"/>
              <w:bottom w:val="nil"/>
              <w:right w:val="nil"/>
            </w:tcBorders>
            <w:shd w:val="clear" w:color="auto" w:fill="CCE2E6"/>
            <w:vAlign w:val="center"/>
            <w:hideMark/>
          </w:tcPr>
          <w:p w14:paraId="59442B1F" w14:textId="77777777" w:rsidR="00B84AFA" w:rsidRPr="00411722" w:rsidRDefault="00B84AFA" w:rsidP="00562DA7">
            <w:pPr>
              <w:widowControl/>
              <w:jc w:val="center"/>
              <w:rPr>
                <w:rFonts w:cs="Arial"/>
                <w:color w:val="000000"/>
                <w:sz w:val="20"/>
                <w:lang w:eastAsia="es-MX"/>
              </w:rPr>
            </w:pPr>
            <w:r w:rsidRPr="00411722">
              <w:rPr>
                <w:rFonts w:cs="Arial"/>
                <w:color w:val="000000"/>
                <w:sz w:val="20"/>
                <w:lang w:eastAsia="es-MX"/>
              </w:rPr>
              <w:t>0.8</w:t>
            </w:r>
          </w:p>
        </w:tc>
        <w:tc>
          <w:tcPr>
            <w:tcW w:w="1134" w:type="dxa"/>
            <w:tcBorders>
              <w:top w:val="nil"/>
              <w:left w:val="nil"/>
              <w:bottom w:val="nil"/>
              <w:right w:val="nil"/>
            </w:tcBorders>
            <w:shd w:val="clear" w:color="auto" w:fill="CCE2E6"/>
            <w:vAlign w:val="center"/>
            <w:hideMark/>
          </w:tcPr>
          <w:p w14:paraId="273720A6" w14:textId="77777777" w:rsidR="00B84AFA" w:rsidRPr="00411722" w:rsidRDefault="00B84AFA" w:rsidP="00562DA7">
            <w:pPr>
              <w:widowControl/>
              <w:jc w:val="center"/>
              <w:rPr>
                <w:rFonts w:cs="Arial"/>
                <w:color w:val="000000"/>
                <w:sz w:val="20"/>
                <w:lang w:eastAsia="es-MX"/>
              </w:rPr>
            </w:pPr>
            <w:r w:rsidRPr="00411722">
              <w:rPr>
                <w:rFonts w:cs="Arial"/>
                <w:color w:val="000000"/>
                <w:sz w:val="20"/>
                <w:lang w:eastAsia="es-MX"/>
              </w:rPr>
              <w:t>51.1</w:t>
            </w:r>
          </w:p>
        </w:tc>
        <w:tc>
          <w:tcPr>
            <w:tcW w:w="1134" w:type="dxa"/>
            <w:tcBorders>
              <w:top w:val="nil"/>
              <w:left w:val="nil"/>
              <w:bottom w:val="nil"/>
              <w:right w:val="nil"/>
            </w:tcBorders>
            <w:shd w:val="clear" w:color="auto" w:fill="CCE2E6"/>
            <w:vAlign w:val="center"/>
            <w:hideMark/>
          </w:tcPr>
          <w:p w14:paraId="08EC58B9" w14:textId="77777777" w:rsidR="00B84AFA" w:rsidRPr="00411722" w:rsidRDefault="00B84AFA" w:rsidP="00562DA7">
            <w:pPr>
              <w:widowControl/>
              <w:jc w:val="center"/>
              <w:rPr>
                <w:rFonts w:cs="Arial"/>
                <w:color w:val="000000"/>
                <w:sz w:val="20"/>
                <w:lang w:eastAsia="es-MX"/>
              </w:rPr>
            </w:pPr>
            <w:r w:rsidRPr="00411722">
              <w:rPr>
                <w:rFonts w:cs="Arial"/>
                <w:color w:val="000000"/>
                <w:sz w:val="20"/>
                <w:lang w:eastAsia="es-MX"/>
              </w:rPr>
              <w:t>49.0</w:t>
            </w:r>
          </w:p>
        </w:tc>
        <w:tc>
          <w:tcPr>
            <w:tcW w:w="1418" w:type="dxa"/>
            <w:tcBorders>
              <w:top w:val="nil"/>
              <w:left w:val="nil"/>
              <w:bottom w:val="nil"/>
              <w:right w:val="nil"/>
            </w:tcBorders>
            <w:shd w:val="clear" w:color="auto" w:fill="CCE2E6"/>
            <w:vAlign w:val="center"/>
            <w:hideMark/>
          </w:tcPr>
          <w:p w14:paraId="6E147191" w14:textId="77777777" w:rsidR="00B84AFA" w:rsidRPr="00411722" w:rsidRDefault="00B84AFA" w:rsidP="00562DA7">
            <w:pPr>
              <w:widowControl/>
              <w:jc w:val="center"/>
              <w:rPr>
                <w:rFonts w:cs="Arial"/>
                <w:color w:val="000000"/>
                <w:sz w:val="20"/>
                <w:lang w:eastAsia="es-MX"/>
              </w:rPr>
            </w:pPr>
            <w:r w:rsidRPr="00411722">
              <w:rPr>
                <w:rFonts w:cs="Arial"/>
                <w:color w:val="000000"/>
                <w:sz w:val="20"/>
                <w:lang w:eastAsia="es-MX"/>
              </w:rPr>
              <w:t>54.5</w:t>
            </w:r>
          </w:p>
        </w:tc>
      </w:tr>
      <w:tr w:rsidR="00B84AFA" w:rsidRPr="00411722" w14:paraId="3CDDCCBA" w14:textId="77777777" w:rsidTr="00562DA7">
        <w:trPr>
          <w:trHeight w:val="300"/>
        </w:trPr>
        <w:tc>
          <w:tcPr>
            <w:tcW w:w="220" w:type="dxa"/>
            <w:tcBorders>
              <w:top w:val="nil"/>
              <w:left w:val="nil"/>
              <w:bottom w:val="nil"/>
              <w:right w:val="nil"/>
            </w:tcBorders>
            <w:shd w:val="clear" w:color="auto" w:fill="CCE2E6"/>
            <w:noWrap/>
            <w:vAlign w:val="bottom"/>
            <w:hideMark/>
          </w:tcPr>
          <w:p w14:paraId="730CF29E" w14:textId="77777777" w:rsidR="00B84AFA" w:rsidRPr="00411722" w:rsidRDefault="00B84AFA" w:rsidP="00562DA7">
            <w:pPr>
              <w:widowControl/>
              <w:jc w:val="left"/>
              <w:rPr>
                <w:rFonts w:ascii="Times New Roman" w:hAnsi="Times New Roman"/>
                <w:color w:val="000000"/>
                <w:sz w:val="20"/>
                <w:lang w:eastAsia="es-MX"/>
              </w:rPr>
            </w:pPr>
            <w:r w:rsidRPr="00411722">
              <w:rPr>
                <w:rFonts w:ascii="Times New Roman" w:hAnsi="Times New Roman"/>
                <w:color w:val="000000"/>
                <w:sz w:val="20"/>
                <w:lang w:eastAsia="es-MX"/>
              </w:rPr>
              <w:t> </w:t>
            </w:r>
          </w:p>
        </w:tc>
        <w:tc>
          <w:tcPr>
            <w:tcW w:w="2580" w:type="dxa"/>
            <w:tcBorders>
              <w:top w:val="nil"/>
              <w:left w:val="nil"/>
              <w:bottom w:val="nil"/>
              <w:right w:val="nil"/>
            </w:tcBorders>
            <w:shd w:val="clear" w:color="auto" w:fill="CCE2E6"/>
            <w:vAlign w:val="center"/>
            <w:hideMark/>
          </w:tcPr>
          <w:p w14:paraId="52C48DA2" w14:textId="77777777" w:rsidR="00B84AFA" w:rsidRPr="00411722" w:rsidRDefault="00B84AFA" w:rsidP="00562DA7">
            <w:pPr>
              <w:widowControl/>
              <w:jc w:val="left"/>
              <w:rPr>
                <w:rFonts w:cs="Arial"/>
                <w:color w:val="000000"/>
                <w:sz w:val="20"/>
                <w:lang w:eastAsia="es-MX"/>
              </w:rPr>
            </w:pPr>
            <w:r w:rsidRPr="00411722">
              <w:rPr>
                <w:rFonts w:cs="Arial"/>
                <w:color w:val="000000"/>
                <w:sz w:val="20"/>
                <w:lang w:eastAsia="es-MX"/>
              </w:rPr>
              <w:t>15 a 17 años</w:t>
            </w:r>
          </w:p>
        </w:tc>
        <w:tc>
          <w:tcPr>
            <w:tcW w:w="1169" w:type="dxa"/>
            <w:tcBorders>
              <w:top w:val="nil"/>
              <w:left w:val="nil"/>
              <w:bottom w:val="nil"/>
              <w:right w:val="nil"/>
            </w:tcBorders>
            <w:shd w:val="clear" w:color="auto" w:fill="CCE2E6"/>
            <w:vAlign w:val="center"/>
            <w:hideMark/>
          </w:tcPr>
          <w:p w14:paraId="597A71F7" w14:textId="77777777" w:rsidR="00B84AFA" w:rsidRPr="00411722" w:rsidRDefault="00B84AFA" w:rsidP="00562DA7">
            <w:pPr>
              <w:widowControl/>
              <w:jc w:val="center"/>
              <w:rPr>
                <w:rFonts w:cs="Arial"/>
                <w:color w:val="000000"/>
                <w:sz w:val="20"/>
                <w:lang w:eastAsia="es-MX"/>
              </w:rPr>
            </w:pPr>
            <w:r w:rsidRPr="00411722">
              <w:rPr>
                <w:rFonts w:cs="Arial"/>
                <w:color w:val="000000"/>
                <w:sz w:val="20"/>
                <w:lang w:eastAsia="es-MX"/>
              </w:rPr>
              <w:t>1.8</w:t>
            </w:r>
          </w:p>
        </w:tc>
        <w:tc>
          <w:tcPr>
            <w:tcW w:w="993" w:type="dxa"/>
            <w:tcBorders>
              <w:top w:val="nil"/>
              <w:left w:val="nil"/>
              <w:bottom w:val="nil"/>
              <w:right w:val="nil"/>
            </w:tcBorders>
            <w:shd w:val="clear" w:color="auto" w:fill="CCE2E6"/>
            <w:vAlign w:val="center"/>
            <w:hideMark/>
          </w:tcPr>
          <w:p w14:paraId="49730312" w14:textId="77777777" w:rsidR="00B84AFA" w:rsidRPr="00411722" w:rsidRDefault="00B84AFA" w:rsidP="00562DA7">
            <w:pPr>
              <w:widowControl/>
              <w:jc w:val="center"/>
              <w:rPr>
                <w:rFonts w:cs="Arial"/>
                <w:color w:val="000000"/>
                <w:sz w:val="20"/>
                <w:lang w:eastAsia="es-MX"/>
              </w:rPr>
            </w:pPr>
            <w:r w:rsidRPr="00411722">
              <w:rPr>
                <w:rFonts w:cs="Arial"/>
                <w:color w:val="000000"/>
                <w:sz w:val="20"/>
                <w:lang w:eastAsia="es-MX"/>
              </w:rPr>
              <w:t>1.1</w:t>
            </w:r>
          </w:p>
        </w:tc>
        <w:tc>
          <w:tcPr>
            <w:tcW w:w="1275" w:type="dxa"/>
            <w:tcBorders>
              <w:top w:val="nil"/>
              <w:left w:val="nil"/>
              <w:bottom w:val="nil"/>
              <w:right w:val="nil"/>
            </w:tcBorders>
            <w:shd w:val="clear" w:color="auto" w:fill="CCE2E6"/>
            <w:vAlign w:val="center"/>
            <w:hideMark/>
          </w:tcPr>
          <w:p w14:paraId="5C49AA6C" w14:textId="77777777" w:rsidR="00B84AFA" w:rsidRPr="00411722" w:rsidRDefault="00B84AFA" w:rsidP="00562DA7">
            <w:pPr>
              <w:widowControl/>
              <w:jc w:val="center"/>
              <w:rPr>
                <w:rFonts w:cs="Arial"/>
                <w:color w:val="000000"/>
                <w:sz w:val="20"/>
                <w:lang w:eastAsia="es-MX"/>
              </w:rPr>
            </w:pPr>
            <w:r w:rsidRPr="00411722">
              <w:rPr>
                <w:rFonts w:cs="Arial"/>
                <w:color w:val="000000"/>
                <w:sz w:val="20"/>
                <w:lang w:eastAsia="es-MX"/>
              </w:rPr>
              <w:t>0.7</w:t>
            </w:r>
          </w:p>
        </w:tc>
        <w:tc>
          <w:tcPr>
            <w:tcW w:w="1134" w:type="dxa"/>
            <w:tcBorders>
              <w:top w:val="nil"/>
              <w:left w:val="nil"/>
              <w:bottom w:val="nil"/>
              <w:right w:val="nil"/>
            </w:tcBorders>
            <w:shd w:val="clear" w:color="auto" w:fill="CCE2E6"/>
            <w:vAlign w:val="center"/>
            <w:hideMark/>
          </w:tcPr>
          <w:p w14:paraId="111BC5C2" w14:textId="77777777" w:rsidR="00B84AFA" w:rsidRPr="00411722" w:rsidRDefault="00B84AFA" w:rsidP="00562DA7">
            <w:pPr>
              <w:widowControl/>
              <w:jc w:val="center"/>
              <w:rPr>
                <w:rFonts w:cs="Arial"/>
                <w:color w:val="000000"/>
                <w:sz w:val="20"/>
                <w:lang w:eastAsia="es-MX"/>
              </w:rPr>
            </w:pPr>
            <w:r w:rsidRPr="00411722">
              <w:rPr>
                <w:rFonts w:cs="Arial"/>
                <w:color w:val="000000"/>
                <w:sz w:val="20"/>
                <w:lang w:eastAsia="es-MX"/>
              </w:rPr>
              <w:t>48.9</w:t>
            </w:r>
          </w:p>
        </w:tc>
        <w:tc>
          <w:tcPr>
            <w:tcW w:w="1134" w:type="dxa"/>
            <w:tcBorders>
              <w:top w:val="nil"/>
              <w:left w:val="nil"/>
              <w:bottom w:val="nil"/>
              <w:right w:val="nil"/>
            </w:tcBorders>
            <w:shd w:val="clear" w:color="auto" w:fill="CCE2E6"/>
            <w:vAlign w:val="center"/>
            <w:hideMark/>
          </w:tcPr>
          <w:p w14:paraId="717E52C1" w14:textId="77777777" w:rsidR="00B84AFA" w:rsidRPr="00411722" w:rsidRDefault="00B84AFA" w:rsidP="00562DA7">
            <w:pPr>
              <w:widowControl/>
              <w:jc w:val="center"/>
              <w:rPr>
                <w:rFonts w:cs="Arial"/>
                <w:color w:val="000000"/>
                <w:sz w:val="20"/>
                <w:lang w:eastAsia="es-MX"/>
              </w:rPr>
            </w:pPr>
            <w:r w:rsidRPr="00411722">
              <w:rPr>
                <w:rFonts w:cs="Arial"/>
                <w:color w:val="000000"/>
                <w:sz w:val="20"/>
                <w:lang w:eastAsia="es-MX"/>
              </w:rPr>
              <w:t>51.0</w:t>
            </w:r>
          </w:p>
        </w:tc>
        <w:tc>
          <w:tcPr>
            <w:tcW w:w="1418" w:type="dxa"/>
            <w:tcBorders>
              <w:top w:val="nil"/>
              <w:left w:val="nil"/>
              <w:bottom w:val="nil"/>
              <w:right w:val="nil"/>
            </w:tcBorders>
            <w:shd w:val="clear" w:color="auto" w:fill="CCE2E6"/>
            <w:vAlign w:val="center"/>
            <w:hideMark/>
          </w:tcPr>
          <w:p w14:paraId="1639A78F" w14:textId="77777777" w:rsidR="00B84AFA" w:rsidRPr="00411722" w:rsidRDefault="00B84AFA" w:rsidP="00562DA7">
            <w:pPr>
              <w:widowControl/>
              <w:jc w:val="center"/>
              <w:rPr>
                <w:rFonts w:cs="Arial"/>
                <w:color w:val="000000"/>
                <w:sz w:val="20"/>
                <w:lang w:eastAsia="es-MX"/>
              </w:rPr>
            </w:pPr>
            <w:r w:rsidRPr="00411722">
              <w:rPr>
                <w:rFonts w:cs="Arial"/>
                <w:color w:val="000000"/>
                <w:sz w:val="20"/>
                <w:lang w:eastAsia="es-MX"/>
              </w:rPr>
              <w:t>45.5</w:t>
            </w:r>
          </w:p>
        </w:tc>
      </w:tr>
      <w:tr w:rsidR="00B84AFA" w:rsidRPr="00411722" w14:paraId="03A93460" w14:textId="77777777" w:rsidTr="00562DA7">
        <w:trPr>
          <w:trHeight w:val="300"/>
        </w:trPr>
        <w:tc>
          <w:tcPr>
            <w:tcW w:w="2800" w:type="dxa"/>
            <w:gridSpan w:val="2"/>
            <w:tcBorders>
              <w:top w:val="nil"/>
              <w:left w:val="nil"/>
              <w:bottom w:val="nil"/>
              <w:right w:val="nil"/>
            </w:tcBorders>
            <w:shd w:val="clear" w:color="auto" w:fill="99C5CC"/>
            <w:vAlign w:val="center"/>
            <w:hideMark/>
          </w:tcPr>
          <w:p w14:paraId="2403C2C1" w14:textId="77777777" w:rsidR="00B84AFA" w:rsidRPr="00411722" w:rsidRDefault="00B84AFA" w:rsidP="00562DA7">
            <w:pPr>
              <w:widowControl/>
              <w:jc w:val="left"/>
              <w:rPr>
                <w:rFonts w:cs="Arial"/>
                <w:b/>
                <w:bCs/>
                <w:color w:val="000000"/>
                <w:sz w:val="20"/>
                <w:lang w:eastAsia="es-MX"/>
              </w:rPr>
            </w:pPr>
            <w:r w:rsidRPr="00411722">
              <w:rPr>
                <w:rFonts w:cs="Arial"/>
                <w:b/>
                <w:bCs/>
                <w:color w:val="000000"/>
                <w:sz w:val="20"/>
                <w:lang w:eastAsia="es-MX"/>
              </w:rPr>
              <w:t>Asistencia escolar</w:t>
            </w:r>
          </w:p>
        </w:tc>
        <w:tc>
          <w:tcPr>
            <w:tcW w:w="1169" w:type="dxa"/>
            <w:tcBorders>
              <w:top w:val="nil"/>
              <w:left w:val="nil"/>
              <w:bottom w:val="nil"/>
              <w:right w:val="nil"/>
            </w:tcBorders>
            <w:shd w:val="clear" w:color="auto" w:fill="99C5CC"/>
            <w:vAlign w:val="center"/>
            <w:hideMark/>
          </w:tcPr>
          <w:p w14:paraId="3F532F05" w14:textId="77777777" w:rsidR="00B84AFA" w:rsidRPr="00411722" w:rsidRDefault="00B84AFA" w:rsidP="00562DA7">
            <w:pPr>
              <w:widowControl/>
              <w:jc w:val="center"/>
              <w:rPr>
                <w:rFonts w:cs="Arial"/>
                <w:b/>
                <w:bCs/>
                <w:color w:val="000000"/>
                <w:sz w:val="20"/>
                <w:lang w:eastAsia="es-MX"/>
              </w:rPr>
            </w:pPr>
            <w:r w:rsidRPr="00411722">
              <w:rPr>
                <w:rFonts w:cs="Arial"/>
                <w:b/>
                <w:bCs/>
                <w:color w:val="000000"/>
                <w:sz w:val="20"/>
                <w:lang w:eastAsia="es-MX"/>
              </w:rPr>
              <w:t>3.7</w:t>
            </w:r>
          </w:p>
        </w:tc>
        <w:tc>
          <w:tcPr>
            <w:tcW w:w="993" w:type="dxa"/>
            <w:tcBorders>
              <w:top w:val="nil"/>
              <w:left w:val="nil"/>
              <w:bottom w:val="nil"/>
              <w:right w:val="nil"/>
            </w:tcBorders>
            <w:shd w:val="clear" w:color="auto" w:fill="99C5CC"/>
            <w:vAlign w:val="center"/>
            <w:hideMark/>
          </w:tcPr>
          <w:p w14:paraId="753FA28A" w14:textId="77777777" w:rsidR="00B84AFA" w:rsidRPr="00411722" w:rsidRDefault="00B84AFA" w:rsidP="00562DA7">
            <w:pPr>
              <w:widowControl/>
              <w:jc w:val="center"/>
              <w:rPr>
                <w:rFonts w:cs="Arial"/>
                <w:b/>
                <w:bCs/>
                <w:color w:val="000000"/>
                <w:sz w:val="20"/>
                <w:lang w:eastAsia="es-MX"/>
              </w:rPr>
            </w:pPr>
            <w:r w:rsidRPr="00411722">
              <w:rPr>
                <w:rFonts w:cs="Arial"/>
                <w:b/>
                <w:bCs/>
                <w:color w:val="000000"/>
                <w:sz w:val="20"/>
                <w:lang w:eastAsia="es-MX"/>
              </w:rPr>
              <w:t>2.2</w:t>
            </w:r>
          </w:p>
        </w:tc>
        <w:tc>
          <w:tcPr>
            <w:tcW w:w="1275" w:type="dxa"/>
            <w:tcBorders>
              <w:top w:val="nil"/>
              <w:left w:val="nil"/>
              <w:bottom w:val="nil"/>
              <w:right w:val="nil"/>
            </w:tcBorders>
            <w:shd w:val="clear" w:color="auto" w:fill="99C5CC"/>
            <w:vAlign w:val="center"/>
            <w:hideMark/>
          </w:tcPr>
          <w:p w14:paraId="254B6C2A" w14:textId="77777777" w:rsidR="00B84AFA" w:rsidRPr="00411722" w:rsidRDefault="00B84AFA" w:rsidP="00562DA7">
            <w:pPr>
              <w:widowControl/>
              <w:jc w:val="center"/>
              <w:rPr>
                <w:rFonts w:cs="Arial"/>
                <w:b/>
                <w:bCs/>
                <w:color w:val="000000"/>
                <w:sz w:val="20"/>
                <w:lang w:eastAsia="es-MX"/>
              </w:rPr>
            </w:pPr>
            <w:r w:rsidRPr="00411722">
              <w:rPr>
                <w:rFonts w:cs="Arial"/>
                <w:b/>
                <w:bCs/>
                <w:color w:val="000000"/>
                <w:sz w:val="20"/>
                <w:lang w:eastAsia="es-MX"/>
              </w:rPr>
              <w:t>1.5</w:t>
            </w:r>
          </w:p>
        </w:tc>
        <w:tc>
          <w:tcPr>
            <w:tcW w:w="1134" w:type="dxa"/>
            <w:tcBorders>
              <w:top w:val="nil"/>
              <w:left w:val="nil"/>
              <w:bottom w:val="nil"/>
              <w:right w:val="nil"/>
            </w:tcBorders>
            <w:shd w:val="clear" w:color="auto" w:fill="99C5CC"/>
            <w:vAlign w:val="center"/>
            <w:hideMark/>
          </w:tcPr>
          <w:p w14:paraId="59814D9D" w14:textId="77777777" w:rsidR="00B84AFA" w:rsidRPr="00411722" w:rsidRDefault="00B84AFA" w:rsidP="00562DA7">
            <w:pPr>
              <w:widowControl/>
              <w:jc w:val="center"/>
              <w:rPr>
                <w:rFonts w:cs="Arial"/>
                <w:b/>
                <w:bCs/>
                <w:color w:val="000000"/>
                <w:sz w:val="20"/>
                <w:lang w:eastAsia="es-MX"/>
              </w:rPr>
            </w:pPr>
            <w:r w:rsidRPr="00411722">
              <w:rPr>
                <w:rFonts w:cs="Arial"/>
                <w:b/>
                <w:bCs/>
                <w:color w:val="000000"/>
                <w:sz w:val="20"/>
                <w:lang w:eastAsia="es-MX"/>
              </w:rPr>
              <w:t>100.0</w:t>
            </w:r>
          </w:p>
        </w:tc>
        <w:tc>
          <w:tcPr>
            <w:tcW w:w="1134" w:type="dxa"/>
            <w:tcBorders>
              <w:top w:val="nil"/>
              <w:left w:val="nil"/>
              <w:bottom w:val="nil"/>
              <w:right w:val="nil"/>
            </w:tcBorders>
            <w:shd w:val="clear" w:color="auto" w:fill="99C5CC"/>
            <w:vAlign w:val="center"/>
            <w:hideMark/>
          </w:tcPr>
          <w:p w14:paraId="508B6F61" w14:textId="77777777" w:rsidR="00B84AFA" w:rsidRPr="00411722" w:rsidRDefault="00B84AFA" w:rsidP="00562DA7">
            <w:pPr>
              <w:widowControl/>
              <w:jc w:val="center"/>
              <w:rPr>
                <w:rFonts w:cs="Arial"/>
                <w:b/>
                <w:bCs/>
                <w:color w:val="000000"/>
                <w:sz w:val="20"/>
                <w:lang w:eastAsia="es-MX"/>
              </w:rPr>
            </w:pPr>
            <w:r w:rsidRPr="00411722">
              <w:rPr>
                <w:rFonts w:cs="Arial"/>
                <w:b/>
                <w:bCs/>
                <w:color w:val="000000"/>
                <w:sz w:val="20"/>
                <w:lang w:eastAsia="es-MX"/>
              </w:rPr>
              <w:t>100.0</w:t>
            </w:r>
          </w:p>
        </w:tc>
        <w:tc>
          <w:tcPr>
            <w:tcW w:w="1418" w:type="dxa"/>
            <w:tcBorders>
              <w:top w:val="nil"/>
              <w:left w:val="nil"/>
              <w:bottom w:val="nil"/>
              <w:right w:val="nil"/>
            </w:tcBorders>
            <w:shd w:val="clear" w:color="auto" w:fill="99C5CC"/>
            <w:vAlign w:val="center"/>
            <w:hideMark/>
          </w:tcPr>
          <w:p w14:paraId="103CB2EF" w14:textId="77777777" w:rsidR="00B84AFA" w:rsidRPr="00411722" w:rsidRDefault="00B84AFA" w:rsidP="00562DA7">
            <w:pPr>
              <w:widowControl/>
              <w:jc w:val="center"/>
              <w:rPr>
                <w:rFonts w:cs="Arial"/>
                <w:b/>
                <w:bCs/>
                <w:color w:val="000000"/>
                <w:sz w:val="20"/>
                <w:lang w:eastAsia="es-MX"/>
              </w:rPr>
            </w:pPr>
            <w:r w:rsidRPr="00411722">
              <w:rPr>
                <w:rFonts w:cs="Arial"/>
                <w:b/>
                <w:bCs/>
                <w:color w:val="000000"/>
                <w:sz w:val="20"/>
                <w:lang w:eastAsia="es-MX"/>
              </w:rPr>
              <w:t>100.0</w:t>
            </w:r>
          </w:p>
        </w:tc>
      </w:tr>
      <w:tr w:rsidR="00B84AFA" w:rsidRPr="00411722" w14:paraId="116514E1" w14:textId="77777777" w:rsidTr="00562DA7">
        <w:trPr>
          <w:trHeight w:val="300"/>
        </w:trPr>
        <w:tc>
          <w:tcPr>
            <w:tcW w:w="220" w:type="dxa"/>
            <w:tcBorders>
              <w:top w:val="nil"/>
              <w:left w:val="nil"/>
              <w:right w:val="nil"/>
            </w:tcBorders>
            <w:shd w:val="clear" w:color="auto" w:fill="CCE2E6"/>
            <w:noWrap/>
            <w:vAlign w:val="bottom"/>
            <w:hideMark/>
          </w:tcPr>
          <w:p w14:paraId="0D4AE72C" w14:textId="77777777" w:rsidR="00B84AFA" w:rsidRPr="00411722" w:rsidRDefault="00B84AFA" w:rsidP="00562DA7">
            <w:pPr>
              <w:widowControl/>
              <w:jc w:val="left"/>
              <w:rPr>
                <w:rFonts w:ascii="Times New Roman" w:hAnsi="Times New Roman"/>
                <w:color w:val="000000"/>
                <w:sz w:val="20"/>
                <w:lang w:eastAsia="es-MX"/>
              </w:rPr>
            </w:pPr>
            <w:r w:rsidRPr="00411722">
              <w:rPr>
                <w:rFonts w:ascii="Times New Roman" w:hAnsi="Times New Roman"/>
                <w:color w:val="000000"/>
                <w:sz w:val="20"/>
                <w:lang w:eastAsia="es-MX"/>
              </w:rPr>
              <w:t> </w:t>
            </w:r>
          </w:p>
        </w:tc>
        <w:tc>
          <w:tcPr>
            <w:tcW w:w="2580" w:type="dxa"/>
            <w:tcBorders>
              <w:top w:val="nil"/>
              <w:left w:val="nil"/>
              <w:right w:val="nil"/>
            </w:tcBorders>
            <w:shd w:val="clear" w:color="auto" w:fill="CCE2E6"/>
            <w:vAlign w:val="center"/>
            <w:hideMark/>
          </w:tcPr>
          <w:p w14:paraId="0D93417A" w14:textId="77777777" w:rsidR="00B84AFA" w:rsidRPr="00411722" w:rsidRDefault="00B84AFA" w:rsidP="00562DA7">
            <w:pPr>
              <w:widowControl/>
              <w:jc w:val="left"/>
              <w:rPr>
                <w:rFonts w:cs="Arial"/>
                <w:color w:val="000000"/>
                <w:sz w:val="20"/>
                <w:lang w:eastAsia="es-MX"/>
              </w:rPr>
            </w:pPr>
            <w:r w:rsidRPr="00411722">
              <w:rPr>
                <w:rFonts w:cs="Arial"/>
                <w:color w:val="000000"/>
                <w:sz w:val="20"/>
                <w:lang w:eastAsia="es-MX"/>
              </w:rPr>
              <w:t>Asiste</w:t>
            </w:r>
          </w:p>
        </w:tc>
        <w:tc>
          <w:tcPr>
            <w:tcW w:w="1169" w:type="dxa"/>
            <w:tcBorders>
              <w:top w:val="nil"/>
              <w:left w:val="nil"/>
              <w:right w:val="nil"/>
            </w:tcBorders>
            <w:shd w:val="clear" w:color="auto" w:fill="CCE2E6"/>
            <w:vAlign w:val="center"/>
            <w:hideMark/>
          </w:tcPr>
          <w:p w14:paraId="6543AB87" w14:textId="77777777" w:rsidR="00B84AFA" w:rsidRPr="00411722" w:rsidRDefault="00B84AFA" w:rsidP="00562DA7">
            <w:pPr>
              <w:widowControl/>
              <w:jc w:val="center"/>
              <w:rPr>
                <w:rFonts w:cs="Arial"/>
                <w:color w:val="000000"/>
                <w:sz w:val="20"/>
                <w:lang w:eastAsia="es-MX"/>
              </w:rPr>
            </w:pPr>
            <w:r w:rsidRPr="00411722">
              <w:rPr>
                <w:rFonts w:cs="Arial"/>
                <w:color w:val="000000"/>
                <w:sz w:val="20"/>
                <w:lang w:eastAsia="es-MX"/>
              </w:rPr>
              <w:t>2.6</w:t>
            </w:r>
          </w:p>
        </w:tc>
        <w:tc>
          <w:tcPr>
            <w:tcW w:w="993" w:type="dxa"/>
            <w:tcBorders>
              <w:top w:val="nil"/>
              <w:left w:val="nil"/>
              <w:right w:val="nil"/>
            </w:tcBorders>
            <w:shd w:val="clear" w:color="auto" w:fill="CCE2E6"/>
            <w:vAlign w:val="center"/>
            <w:hideMark/>
          </w:tcPr>
          <w:p w14:paraId="70183B72" w14:textId="77777777" w:rsidR="00B84AFA" w:rsidRPr="00411722" w:rsidRDefault="00B84AFA" w:rsidP="00562DA7">
            <w:pPr>
              <w:widowControl/>
              <w:jc w:val="center"/>
              <w:rPr>
                <w:rFonts w:cs="Arial"/>
                <w:color w:val="000000"/>
                <w:sz w:val="20"/>
                <w:lang w:eastAsia="es-MX"/>
              </w:rPr>
            </w:pPr>
            <w:r w:rsidRPr="00411722">
              <w:rPr>
                <w:rFonts w:cs="Arial"/>
                <w:color w:val="000000"/>
                <w:sz w:val="20"/>
                <w:lang w:eastAsia="es-MX"/>
              </w:rPr>
              <w:t>1.5</w:t>
            </w:r>
          </w:p>
        </w:tc>
        <w:tc>
          <w:tcPr>
            <w:tcW w:w="1275" w:type="dxa"/>
            <w:tcBorders>
              <w:top w:val="nil"/>
              <w:left w:val="nil"/>
              <w:right w:val="nil"/>
            </w:tcBorders>
            <w:shd w:val="clear" w:color="auto" w:fill="CCE2E6"/>
            <w:vAlign w:val="center"/>
            <w:hideMark/>
          </w:tcPr>
          <w:p w14:paraId="6CAD89B6" w14:textId="77777777" w:rsidR="00B84AFA" w:rsidRPr="00411722" w:rsidRDefault="00B84AFA" w:rsidP="00562DA7">
            <w:pPr>
              <w:widowControl/>
              <w:jc w:val="center"/>
              <w:rPr>
                <w:rFonts w:cs="Arial"/>
                <w:color w:val="000000"/>
                <w:sz w:val="20"/>
                <w:lang w:eastAsia="es-MX"/>
              </w:rPr>
            </w:pPr>
            <w:r w:rsidRPr="00411722">
              <w:rPr>
                <w:rFonts w:cs="Arial"/>
                <w:color w:val="000000"/>
                <w:sz w:val="20"/>
                <w:lang w:eastAsia="es-MX"/>
              </w:rPr>
              <w:t>1.1</w:t>
            </w:r>
          </w:p>
        </w:tc>
        <w:tc>
          <w:tcPr>
            <w:tcW w:w="1134" w:type="dxa"/>
            <w:tcBorders>
              <w:top w:val="nil"/>
              <w:left w:val="nil"/>
              <w:right w:val="nil"/>
            </w:tcBorders>
            <w:shd w:val="clear" w:color="auto" w:fill="CCE2E6"/>
            <w:vAlign w:val="center"/>
            <w:hideMark/>
          </w:tcPr>
          <w:p w14:paraId="5888EA5A" w14:textId="77777777" w:rsidR="00B84AFA" w:rsidRPr="00411722" w:rsidRDefault="00B84AFA" w:rsidP="00562DA7">
            <w:pPr>
              <w:widowControl/>
              <w:jc w:val="center"/>
              <w:rPr>
                <w:rFonts w:cs="Arial"/>
                <w:color w:val="000000"/>
                <w:sz w:val="20"/>
                <w:lang w:eastAsia="es-MX"/>
              </w:rPr>
            </w:pPr>
            <w:r w:rsidRPr="00411722">
              <w:rPr>
                <w:rFonts w:cs="Arial"/>
                <w:color w:val="000000"/>
                <w:sz w:val="20"/>
                <w:lang w:eastAsia="es-MX"/>
              </w:rPr>
              <w:t>70.0</w:t>
            </w:r>
          </w:p>
        </w:tc>
        <w:tc>
          <w:tcPr>
            <w:tcW w:w="1134" w:type="dxa"/>
            <w:tcBorders>
              <w:top w:val="nil"/>
              <w:left w:val="nil"/>
              <w:right w:val="nil"/>
            </w:tcBorders>
            <w:shd w:val="clear" w:color="auto" w:fill="CCE2E6"/>
            <w:vAlign w:val="center"/>
            <w:hideMark/>
          </w:tcPr>
          <w:p w14:paraId="17935371" w14:textId="77777777" w:rsidR="00B84AFA" w:rsidRPr="00411722" w:rsidRDefault="00B84AFA" w:rsidP="00562DA7">
            <w:pPr>
              <w:widowControl/>
              <w:jc w:val="center"/>
              <w:rPr>
                <w:rFonts w:cs="Arial"/>
                <w:color w:val="000000"/>
                <w:sz w:val="20"/>
                <w:lang w:eastAsia="es-MX"/>
              </w:rPr>
            </w:pPr>
            <w:r w:rsidRPr="00411722">
              <w:rPr>
                <w:rFonts w:cs="Arial"/>
                <w:color w:val="000000"/>
                <w:sz w:val="20"/>
                <w:lang w:eastAsia="es-MX"/>
              </w:rPr>
              <w:t>68.0</w:t>
            </w:r>
          </w:p>
        </w:tc>
        <w:tc>
          <w:tcPr>
            <w:tcW w:w="1418" w:type="dxa"/>
            <w:tcBorders>
              <w:top w:val="nil"/>
              <w:left w:val="nil"/>
              <w:right w:val="nil"/>
            </w:tcBorders>
            <w:shd w:val="clear" w:color="auto" w:fill="CCE2E6"/>
            <w:vAlign w:val="center"/>
            <w:hideMark/>
          </w:tcPr>
          <w:p w14:paraId="09F4DA3D" w14:textId="77777777" w:rsidR="00B84AFA" w:rsidRPr="00411722" w:rsidRDefault="00B84AFA" w:rsidP="00562DA7">
            <w:pPr>
              <w:widowControl/>
              <w:jc w:val="center"/>
              <w:rPr>
                <w:rFonts w:cs="Arial"/>
                <w:color w:val="000000"/>
                <w:sz w:val="20"/>
                <w:lang w:eastAsia="es-MX"/>
              </w:rPr>
            </w:pPr>
            <w:r w:rsidRPr="00411722">
              <w:rPr>
                <w:rFonts w:cs="Arial"/>
                <w:color w:val="000000"/>
                <w:sz w:val="20"/>
                <w:lang w:eastAsia="es-MX"/>
              </w:rPr>
              <w:t>73.0</w:t>
            </w:r>
          </w:p>
        </w:tc>
      </w:tr>
      <w:tr w:rsidR="00B84AFA" w:rsidRPr="00411722" w14:paraId="174F409B" w14:textId="77777777" w:rsidTr="00562DA7">
        <w:trPr>
          <w:trHeight w:val="300"/>
        </w:trPr>
        <w:tc>
          <w:tcPr>
            <w:tcW w:w="220" w:type="dxa"/>
            <w:tcBorders>
              <w:top w:val="nil"/>
              <w:left w:val="nil"/>
              <w:right w:val="nil"/>
            </w:tcBorders>
            <w:shd w:val="clear" w:color="auto" w:fill="CCE2E6"/>
            <w:vAlign w:val="center"/>
            <w:hideMark/>
          </w:tcPr>
          <w:p w14:paraId="6DDEB07C" w14:textId="77777777" w:rsidR="00B84AFA" w:rsidRPr="00411722" w:rsidRDefault="00B84AFA" w:rsidP="00562DA7">
            <w:pPr>
              <w:widowControl/>
              <w:jc w:val="left"/>
              <w:rPr>
                <w:rFonts w:ascii="Times New Roman" w:hAnsi="Times New Roman"/>
                <w:color w:val="000000"/>
                <w:sz w:val="20"/>
                <w:lang w:eastAsia="es-MX"/>
              </w:rPr>
            </w:pPr>
            <w:r w:rsidRPr="00411722">
              <w:rPr>
                <w:rFonts w:ascii="Times New Roman" w:hAnsi="Times New Roman"/>
                <w:color w:val="000000"/>
                <w:sz w:val="20"/>
                <w:lang w:eastAsia="es-MX"/>
              </w:rPr>
              <w:t> </w:t>
            </w:r>
          </w:p>
        </w:tc>
        <w:tc>
          <w:tcPr>
            <w:tcW w:w="2580" w:type="dxa"/>
            <w:tcBorders>
              <w:top w:val="nil"/>
              <w:left w:val="nil"/>
              <w:right w:val="nil"/>
            </w:tcBorders>
            <w:shd w:val="clear" w:color="auto" w:fill="CCE2E6"/>
            <w:vAlign w:val="center"/>
            <w:hideMark/>
          </w:tcPr>
          <w:p w14:paraId="13258075" w14:textId="77777777" w:rsidR="00B84AFA" w:rsidRPr="00411722" w:rsidRDefault="00B84AFA" w:rsidP="00562DA7">
            <w:pPr>
              <w:widowControl/>
              <w:jc w:val="left"/>
              <w:rPr>
                <w:rFonts w:cs="Arial"/>
                <w:color w:val="000000"/>
                <w:sz w:val="20"/>
                <w:lang w:eastAsia="es-MX"/>
              </w:rPr>
            </w:pPr>
            <w:r w:rsidRPr="00411722">
              <w:rPr>
                <w:rFonts w:cs="Arial"/>
                <w:color w:val="000000"/>
                <w:sz w:val="20"/>
                <w:lang w:eastAsia="es-MX"/>
              </w:rPr>
              <w:t>No asiste</w:t>
            </w:r>
          </w:p>
        </w:tc>
        <w:tc>
          <w:tcPr>
            <w:tcW w:w="1169" w:type="dxa"/>
            <w:tcBorders>
              <w:top w:val="nil"/>
              <w:left w:val="nil"/>
              <w:right w:val="nil"/>
            </w:tcBorders>
            <w:shd w:val="clear" w:color="auto" w:fill="CCE2E6"/>
            <w:vAlign w:val="center"/>
            <w:hideMark/>
          </w:tcPr>
          <w:p w14:paraId="20BDC247" w14:textId="77777777" w:rsidR="00B84AFA" w:rsidRPr="00411722" w:rsidRDefault="00B84AFA" w:rsidP="00562DA7">
            <w:pPr>
              <w:widowControl/>
              <w:jc w:val="center"/>
              <w:rPr>
                <w:rFonts w:cs="Arial"/>
                <w:color w:val="000000"/>
                <w:sz w:val="20"/>
                <w:lang w:eastAsia="es-MX"/>
              </w:rPr>
            </w:pPr>
            <w:r w:rsidRPr="00411722">
              <w:rPr>
                <w:rFonts w:cs="Arial"/>
                <w:color w:val="000000"/>
                <w:sz w:val="20"/>
                <w:lang w:eastAsia="es-MX"/>
              </w:rPr>
              <w:t>1.1</w:t>
            </w:r>
          </w:p>
        </w:tc>
        <w:tc>
          <w:tcPr>
            <w:tcW w:w="993" w:type="dxa"/>
            <w:tcBorders>
              <w:top w:val="nil"/>
              <w:left w:val="nil"/>
              <w:right w:val="nil"/>
            </w:tcBorders>
            <w:shd w:val="clear" w:color="auto" w:fill="CCE2E6"/>
            <w:vAlign w:val="center"/>
            <w:hideMark/>
          </w:tcPr>
          <w:p w14:paraId="2AD2D2FE" w14:textId="77777777" w:rsidR="00B84AFA" w:rsidRPr="00411722" w:rsidRDefault="00B84AFA" w:rsidP="00562DA7">
            <w:pPr>
              <w:widowControl/>
              <w:jc w:val="center"/>
              <w:rPr>
                <w:rFonts w:cs="Arial"/>
                <w:color w:val="000000"/>
                <w:sz w:val="20"/>
                <w:lang w:eastAsia="es-MX"/>
              </w:rPr>
            </w:pPr>
            <w:r w:rsidRPr="00411722">
              <w:rPr>
                <w:rFonts w:cs="Arial"/>
                <w:color w:val="000000"/>
                <w:sz w:val="20"/>
                <w:lang w:eastAsia="es-MX"/>
              </w:rPr>
              <w:t>0.7</w:t>
            </w:r>
          </w:p>
        </w:tc>
        <w:tc>
          <w:tcPr>
            <w:tcW w:w="1275" w:type="dxa"/>
            <w:tcBorders>
              <w:top w:val="nil"/>
              <w:left w:val="nil"/>
              <w:right w:val="nil"/>
            </w:tcBorders>
            <w:shd w:val="clear" w:color="auto" w:fill="CCE2E6"/>
            <w:vAlign w:val="center"/>
            <w:hideMark/>
          </w:tcPr>
          <w:p w14:paraId="74F532C3" w14:textId="77777777" w:rsidR="00B84AFA" w:rsidRPr="00411722" w:rsidRDefault="00B84AFA" w:rsidP="00562DA7">
            <w:pPr>
              <w:widowControl/>
              <w:jc w:val="center"/>
              <w:rPr>
                <w:rFonts w:cs="Arial"/>
                <w:color w:val="000000"/>
                <w:sz w:val="20"/>
                <w:lang w:eastAsia="es-MX"/>
              </w:rPr>
            </w:pPr>
            <w:r w:rsidRPr="00411722">
              <w:rPr>
                <w:rFonts w:cs="Arial"/>
                <w:color w:val="000000"/>
                <w:sz w:val="20"/>
                <w:lang w:eastAsia="es-MX"/>
              </w:rPr>
              <w:t>0.4</w:t>
            </w:r>
          </w:p>
        </w:tc>
        <w:tc>
          <w:tcPr>
            <w:tcW w:w="1134" w:type="dxa"/>
            <w:tcBorders>
              <w:top w:val="nil"/>
              <w:left w:val="nil"/>
              <w:right w:val="nil"/>
            </w:tcBorders>
            <w:shd w:val="clear" w:color="auto" w:fill="CCE2E6"/>
            <w:vAlign w:val="center"/>
            <w:hideMark/>
          </w:tcPr>
          <w:p w14:paraId="7DA95088" w14:textId="77777777" w:rsidR="00B84AFA" w:rsidRPr="00411722" w:rsidRDefault="00B84AFA" w:rsidP="00562DA7">
            <w:pPr>
              <w:widowControl/>
              <w:jc w:val="center"/>
              <w:rPr>
                <w:rFonts w:cs="Arial"/>
                <w:color w:val="000000"/>
                <w:sz w:val="20"/>
                <w:lang w:eastAsia="es-MX"/>
              </w:rPr>
            </w:pPr>
            <w:r w:rsidRPr="00411722">
              <w:rPr>
                <w:rFonts w:cs="Arial"/>
                <w:color w:val="000000"/>
                <w:sz w:val="20"/>
                <w:lang w:eastAsia="es-MX"/>
              </w:rPr>
              <w:t>30.0</w:t>
            </w:r>
          </w:p>
        </w:tc>
        <w:tc>
          <w:tcPr>
            <w:tcW w:w="1134" w:type="dxa"/>
            <w:tcBorders>
              <w:top w:val="nil"/>
              <w:left w:val="nil"/>
              <w:right w:val="nil"/>
            </w:tcBorders>
            <w:shd w:val="clear" w:color="auto" w:fill="CCE2E6"/>
            <w:vAlign w:val="center"/>
            <w:hideMark/>
          </w:tcPr>
          <w:p w14:paraId="63836E9C" w14:textId="77777777" w:rsidR="00B84AFA" w:rsidRPr="00411722" w:rsidRDefault="00B84AFA" w:rsidP="00562DA7">
            <w:pPr>
              <w:widowControl/>
              <w:jc w:val="center"/>
              <w:rPr>
                <w:rFonts w:cs="Arial"/>
                <w:color w:val="000000"/>
                <w:sz w:val="20"/>
                <w:lang w:eastAsia="es-MX"/>
              </w:rPr>
            </w:pPr>
            <w:r w:rsidRPr="00411722">
              <w:rPr>
                <w:rFonts w:cs="Arial"/>
                <w:color w:val="000000"/>
                <w:sz w:val="20"/>
                <w:lang w:eastAsia="es-MX"/>
              </w:rPr>
              <w:t>32.0</w:t>
            </w:r>
          </w:p>
        </w:tc>
        <w:tc>
          <w:tcPr>
            <w:tcW w:w="1418" w:type="dxa"/>
            <w:tcBorders>
              <w:top w:val="nil"/>
              <w:left w:val="nil"/>
              <w:right w:val="nil"/>
            </w:tcBorders>
            <w:shd w:val="clear" w:color="auto" w:fill="CCE2E6"/>
            <w:vAlign w:val="center"/>
            <w:hideMark/>
          </w:tcPr>
          <w:p w14:paraId="44374497" w14:textId="77777777" w:rsidR="00B84AFA" w:rsidRPr="00411722" w:rsidRDefault="00B84AFA" w:rsidP="00562DA7">
            <w:pPr>
              <w:widowControl/>
              <w:jc w:val="center"/>
              <w:rPr>
                <w:rFonts w:cs="Arial"/>
                <w:color w:val="000000"/>
                <w:sz w:val="20"/>
                <w:lang w:eastAsia="es-MX"/>
              </w:rPr>
            </w:pPr>
            <w:r w:rsidRPr="00411722">
              <w:rPr>
                <w:rFonts w:cs="Arial"/>
                <w:color w:val="000000"/>
                <w:sz w:val="20"/>
                <w:lang w:eastAsia="es-MX"/>
              </w:rPr>
              <w:t>27.0</w:t>
            </w:r>
          </w:p>
        </w:tc>
      </w:tr>
    </w:tbl>
    <w:p w14:paraId="566E356D" w14:textId="0135832C" w:rsidR="00B84AFA" w:rsidRPr="00CD6FE9" w:rsidRDefault="00B84AFA" w:rsidP="00B84AFA">
      <w:pPr>
        <w:widowControl/>
        <w:autoSpaceDE w:val="0"/>
        <w:autoSpaceDN w:val="0"/>
        <w:adjustRightInd w:val="0"/>
        <w:rPr>
          <w:rFonts w:cs="Arial"/>
          <w:sz w:val="22"/>
          <w:szCs w:val="22"/>
        </w:rPr>
      </w:pPr>
      <w:r w:rsidRPr="00CD6FE9">
        <w:rPr>
          <w:rFonts w:cs="Arial"/>
          <w:color w:val="000000" w:themeColor="text1"/>
          <w:sz w:val="16"/>
          <w:szCs w:val="16"/>
        </w:rPr>
        <w:t>Fuente: INEGI, ENTI. 2022.</w:t>
      </w:r>
    </w:p>
    <w:p w14:paraId="41AE64B3" w14:textId="77777777" w:rsidR="00B84AFA" w:rsidRDefault="00B84AFA" w:rsidP="00BF5B41">
      <w:pPr>
        <w:widowControl/>
        <w:autoSpaceDE w:val="0"/>
        <w:autoSpaceDN w:val="0"/>
        <w:adjustRightInd w:val="0"/>
        <w:rPr>
          <w:rFonts w:cs="Arial"/>
          <w:szCs w:val="24"/>
        </w:rPr>
      </w:pPr>
    </w:p>
    <w:p w14:paraId="03015100" w14:textId="77777777" w:rsidR="00DF1DE1" w:rsidRDefault="00DF1DE1" w:rsidP="00BF5B41">
      <w:pPr>
        <w:widowControl/>
        <w:autoSpaceDE w:val="0"/>
        <w:autoSpaceDN w:val="0"/>
        <w:adjustRightInd w:val="0"/>
        <w:rPr>
          <w:rFonts w:cs="Arial"/>
          <w:szCs w:val="24"/>
        </w:rPr>
      </w:pPr>
    </w:p>
    <w:p w14:paraId="00D21193" w14:textId="702C1B71" w:rsidR="00791592" w:rsidRDefault="00FD3AF6" w:rsidP="007841FA">
      <w:pPr>
        <w:widowControl/>
        <w:autoSpaceDE w:val="0"/>
        <w:autoSpaceDN w:val="0"/>
        <w:adjustRightInd w:val="0"/>
        <w:ind w:right="51"/>
        <w:rPr>
          <w:rFonts w:cs="Arial"/>
          <w:szCs w:val="24"/>
        </w:rPr>
      </w:pPr>
      <w:r>
        <w:rPr>
          <w:rFonts w:cs="Arial"/>
          <w:szCs w:val="24"/>
        </w:rPr>
        <w:lastRenderedPageBreak/>
        <w:t>En</w:t>
      </w:r>
      <w:r w:rsidR="00D653D4">
        <w:rPr>
          <w:rFonts w:cs="Arial"/>
          <w:szCs w:val="24"/>
        </w:rPr>
        <w:t xml:space="preserve"> </w:t>
      </w:r>
      <w:r w:rsidR="00C82617">
        <w:rPr>
          <w:rFonts w:cs="Arial"/>
          <w:szCs w:val="24"/>
        </w:rPr>
        <w:t>el rango</w:t>
      </w:r>
      <w:r w:rsidR="00D653D4">
        <w:rPr>
          <w:rFonts w:cs="Arial"/>
          <w:szCs w:val="24"/>
        </w:rPr>
        <w:t xml:space="preserve"> </w:t>
      </w:r>
      <w:r w:rsidR="00791592">
        <w:rPr>
          <w:rFonts w:cs="Arial"/>
          <w:szCs w:val="24"/>
        </w:rPr>
        <w:t>de 5 a 14 años</w:t>
      </w:r>
      <w:r w:rsidR="004E1CBA">
        <w:rPr>
          <w:rFonts w:cs="Arial"/>
          <w:szCs w:val="24"/>
        </w:rPr>
        <w:t>, la «</w:t>
      </w:r>
      <w:r w:rsidR="004E1CBA" w:rsidRPr="00FF3BBC">
        <w:rPr>
          <w:rFonts w:cs="Arial"/>
          <w:szCs w:val="24"/>
        </w:rPr>
        <w:t>tasa de participación en el trabajo infantil</w:t>
      </w:r>
      <w:r w:rsidR="004E1CBA">
        <w:rPr>
          <w:rFonts w:cs="Arial"/>
          <w:szCs w:val="24"/>
        </w:rPr>
        <w:t xml:space="preserve">» </w:t>
      </w:r>
      <w:r w:rsidR="00791592">
        <w:rPr>
          <w:rFonts w:cs="Arial"/>
          <w:szCs w:val="24"/>
        </w:rPr>
        <w:t>fue de 8.9 %</w:t>
      </w:r>
      <w:r w:rsidR="004E1CBA">
        <w:rPr>
          <w:rFonts w:cs="Arial"/>
          <w:szCs w:val="24"/>
        </w:rPr>
        <w:t>:</w:t>
      </w:r>
      <w:r w:rsidR="00791592">
        <w:rPr>
          <w:rFonts w:cs="Arial"/>
          <w:szCs w:val="24"/>
        </w:rPr>
        <w:t xml:space="preserve"> </w:t>
      </w:r>
      <w:r w:rsidR="00BC4C27" w:rsidRPr="0037646C">
        <w:rPr>
          <w:rFonts w:cs="Arial"/>
          <w:szCs w:val="24"/>
        </w:rPr>
        <w:t>en las niñas</w:t>
      </w:r>
      <w:r w:rsidR="00BC4C27">
        <w:rPr>
          <w:rFonts w:cs="Arial"/>
          <w:szCs w:val="24"/>
        </w:rPr>
        <w:t xml:space="preserve"> fue</w:t>
      </w:r>
      <w:r w:rsidR="00BC4C27" w:rsidRPr="0037646C">
        <w:rPr>
          <w:rFonts w:cs="Arial"/>
          <w:szCs w:val="24"/>
        </w:rPr>
        <w:t xml:space="preserve"> de </w:t>
      </w:r>
      <w:r w:rsidR="00BC4C27">
        <w:rPr>
          <w:rFonts w:cs="Arial"/>
          <w:szCs w:val="24"/>
        </w:rPr>
        <w:t>7.8</w:t>
      </w:r>
      <w:r w:rsidR="00493A8C">
        <w:rPr>
          <w:rFonts w:cs="Arial"/>
          <w:szCs w:val="24"/>
        </w:rPr>
        <w:t xml:space="preserve"> </w:t>
      </w:r>
      <w:r w:rsidR="00BC4C27">
        <w:rPr>
          <w:rFonts w:cs="Arial"/>
          <w:szCs w:val="24"/>
        </w:rPr>
        <w:t xml:space="preserve">% y </w:t>
      </w:r>
      <w:r w:rsidR="00791592">
        <w:rPr>
          <w:rFonts w:cs="Arial"/>
          <w:szCs w:val="24"/>
        </w:rPr>
        <w:t>en los niños</w:t>
      </w:r>
      <w:r w:rsidR="00BC4C27">
        <w:rPr>
          <w:rFonts w:cs="Arial"/>
          <w:szCs w:val="24"/>
        </w:rPr>
        <w:t>,</w:t>
      </w:r>
      <w:r w:rsidR="00791592">
        <w:rPr>
          <w:rFonts w:cs="Arial"/>
          <w:szCs w:val="24"/>
        </w:rPr>
        <w:t xml:space="preserve"> de 10</w:t>
      </w:r>
      <w:r w:rsidR="00BF5B41">
        <w:rPr>
          <w:rFonts w:cs="Arial"/>
          <w:szCs w:val="24"/>
        </w:rPr>
        <w:t>.0</w:t>
      </w:r>
      <w:r w:rsidR="00BC4C27">
        <w:rPr>
          <w:rFonts w:cs="Arial"/>
          <w:szCs w:val="24"/>
        </w:rPr>
        <w:t xml:space="preserve"> </w:t>
      </w:r>
      <w:r w:rsidR="00626C6F">
        <w:rPr>
          <w:rFonts w:cs="Arial"/>
          <w:szCs w:val="24"/>
        </w:rPr>
        <w:t>por ciento. Ahora bien,</w:t>
      </w:r>
      <w:r w:rsidR="008A3664">
        <w:rPr>
          <w:rFonts w:cs="Arial"/>
          <w:szCs w:val="24"/>
        </w:rPr>
        <w:t xml:space="preserve"> </w:t>
      </w:r>
      <w:r w:rsidR="00D653D4">
        <w:rPr>
          <w:rFonts w:cs="Arial"/>
          <w:szCs w:val="24"/>
        </w:rPr>
        <w:t xml:space="preserve">para </w:t>
      </w:r>
      <w:r w:rsidR="00626C6F">
        <w:rPr>
          <w:rFonts w:cs="Arial"/>
          <w:szCs w:val="24"/>
        </w:rPr>
        <w:t>la población entre</w:t>
      </w:r>
      <w:r w:rsidR="00D653D4">
        <w:rPr>
          <w:rFonts w:cs="Arial"/>
          <w:szCs w:val="24"/>
        </w:rPr>
        <w:t xml:space="preserve"> </w:t>
      </w:r>
      <w:r w:rsidR="00791592">
        <w:rPr>
          <w:rFonts w:cs="Arial"/>
          <w:szCs w:val="24"/>
        </w:rPr>
        <w:t xml:space="preserve">15 </w:t>
      </w:r>
      <w:r w:rsidR="00626C6F">
        <w:rPr>
          <w:rFonts w:cs="Arial"/>
          <w:szCs w:val="24"/>
        </w:rPr>
        <w:t>y</w:t>
      </w:r>
      <w:r w:rsidR="00791592">
        <w:rPr>
          <w:rFonts w:cs="Arial"/>
          <w:szCs w:val="24"/>
        </w:rPr>
        <w:t xml:space="preserve"> 17 años</w:t>
      </w:r>
      <w:r w:rsidR="009026D0">
        <w:rPr>
          <w:rFonts w:cs="Arial"/>
          <w:szCs w:val="24"/>
        </w:rPr>
        <w:t>,</w:t>
      </w:r>
      <w:r w:rsidR="00791592">
        <w:rPr>
          <w:rFonts w:cs="Arial"/>
          <w:szCs w:val="24"/>
        </w:rPr>
        <w:t xml:space="preserve"> </w:t>
      </w:r>
      <w:r w:rsidR="004E1CBA">
        <w:rPr>
          <w:rFonts w:cs="Arial"/>
          <w:szCs w:val="24"/>
        </w:rPr>
        <w:t xml:space="preserve">la tasa </w:t>
      </w:r>
      <w:r w:rsidR="00791592">
        <w:rPr>
          <w:rFonts w:cs="Arial"/>
          <w:szCs w:val="24"/>
        </w:rPr>
        <w:t>fue de 26</w:t>
      </w:r>
      <w:r w:rsidR="00BF5B41">
        <w:rPr>
          <w:rFonts w:cs="Arial"/>
          <w:szCs w:val="24"/>
        </w:rPr>
        <w:t>.0</w:t>
      </w:r>
      <w:r w:rsidR="00791592">
        <w:rPr>
          <w:rFonts w:cs="Arial"/>
          <w:szCs w:val="24"/>
        </w:rPr>
        <w:t xml:space="preserve"> %</w:t>
      </w:r>
      <w:r w:rsidR="00626C6F">
        <w:rPr>
          <w:rFonts w:cs="Arial"/>
          <w:szCs w:val="24"/>
        </w:rPr>
        <w:t>:</w:t>
      </w:r>
      <w:r w:rsidR="00BC4C27">
        <w:rPr>
          <w:rFonts w:cs="Arial"/>
          <w:szCs w:val="24"/>
        </w:rPr>
        <w:t xml:space="preserve"> </w:t>
      </w:r>
      <w:r w:rsidR="00BC4C27" w:rsidRPr="0037646C">
        <w:rPr>
          <w:rFonts w:cs="Arial"/>
          <w:szCs w:val="24"/>
        </w:rPr>
        <w:t>en las niñas</w:t>
      </w:r>
      <w:r w:rsidR="00BC4C27">
        <w:rPr>
          <w:rFonts w:cs="Arial"/>
          <w:szCs w:val="24"/>
        </w:rPr>
        <w:t xml:space="preserve"> fue</w:t>
      </w:r>
      <w:r w:rsidR="00BC4C27" w:rsidRPr="0037646C">
        <w:rPr>
          <w:rFonts w:cs="Arial"/>
          <w:szCs w:val="24"/>
        </w:rPr>
        <w:t xml:space="preserve"> de </w:t>
      </w:r>
      <w:r w:rsidR="00BC4C27">
        <w:rPr>
          <w:rFonts w:cs="Arial"/>
          <w:szCs w:val="24"/>
        </w:rPr>
        <w:t>19.3</w:t>
      </w:r>
      <w:r w:rsidR="00791592">
        <w:rPr>
          <w:rFonts w:cs="Arial"/>
          <w:szCs w:val="24"/>
        </w:rPr>
        <w:t xml:space="preserve"> </w:t>
      </w:r>
      <w:r w:rsidR="00BC4C27">
        <w:rPr>
          <w:rFonts w:cs="Arial"/>
          <w:szCs w:val="24"/>
        </w:rPr>
        <w:t xml:space="preserve">% y </w:t>
      </w:r>
      <w:r w:rsidR="00791592">
        <w:rPr>
          <w:rFonts w:cs="Arial"/>
          <w:szCs w:val="24"/>
        </w:rPr>
        <w:t>en los niños</w:t>
      </w:r>
      <w:r w:rsidR="00BC4C27">
        <w:rPr>
          <w:rFonts w:cs="Arial"/>
          <w:szCs w:val="24"/>
        </w:rPr>
        <w:t>,</w:t>
      </w:r>
      <w:r w:rsidR="00BF5B41">
        <w:rPr>
          <w:rFonts w:cs="Arial"/>
          <w:szCs w:val="24"/>
        </w:rPr>
        <w:t xml:space="preserve"> </w:t>
      </w:r>
      <w:r w:rsidR="00791592">
        <w:rPr>
          <w:rFonts w:cs="Arial"/>
          <w:szCs w:val="24"/>
        </w:rPr>
        <w:t xml:space="preserve">de 32.6 </w:t>
      </w:r>
      <w:r w:rsidR="00791592" w:rsidRPr="0037646C">
        <w:rPr>
          <w:rFonts w:cs="Arial"/>
          <w:szCs w:val="24"/>
        </w:rPr>
        <w:t>por ciento.</w:t>
      </w:r>
      <w:r w:rsidR="00626C6F">
        <w:rPr>
          <w:rFonts w:cs="Arial"/>
          <w:szCs w:val="24"/>
        </w:rPr>
        <w:t xml:space="preserve"> </w:t>
      </w:r>
      <w:r w:rsidR="00791592">
        <w:rPr>
          <w:rFonts w:cs="Arial"/>
          <w:szCs w:val="24"/>
        </w:rPr>
        <w:t xml:space="preserve">La </w:t>
      </w:r>
      <w:r w:rsidR="009026D0" w:rsidRPr="00FF3BBC">
        <w:rPr>
          <w:rFonts w:cs="Arial"/>
          <w:szCs w:val="24"/>
        </w:rPr>
        <w:t>tasa de participación en el trabajo infantil</w:t>
      </w:r>
      <w:r w:rsidR="00791592" w:rsidRPr="00EC25C1">
        <w:rPr>
          <w:rFonts w:cs="Arial"/>
          <w:i/>
          <w:iCs/>
          <w:szCs w:val="24"/>
        </w:rPr>
        <w:t xml:space="preserve"> </w:t>
      </w:r>
      <w:r w:rsidR="00791592" w:rsidRPr="003C4666">
        <w:rPr>
          <w:rFonts w:cs="Arial"/>
          <w:szCs w:val="24"/>
        </w:rPr>
        <w:t>de</w:t>
      </w:r>
      <w:r w:rsidR="009026D0">
        <w:rPr>
          <w:rFonts w:cs="Arial"/>
          <w:szCs w:val="24"/>
        </w:rPr>
        <w:t xml:space="preserve"> </w:t>
      </w:r>
      <w:r w:rsidR="009026D0" w:rsidRPr="005017D1">
        <w:rPr>
          <w:rFonts w:cs="Arial"/>
          <w:szCs w:val="24"/>
        </w:rPr>
        <w:t>niñas y niños que asistieron a la escuela</w:t>
      </w:r>
      <w:r w:rsidR="002C7355" w:rsidRPr="00EC25C1">
        <w:rPr>
          <w:rFonts w:cs="Arial"/>
          <w:i/>
          <w:iCs/>
          <w:szCs w:val="24"/>
        </w:rPr>
        <w:t xml:space="preserve"> </w:t>
      </w:r>
      <w:r w:rsidR="00791592">
        <w:rPr>
          <w:rFonts w:cs="Arial"/>
          <w:szCs w:val="24"/>
        </w:rPr>
        <w:t>fue de 9.9 %</w:t>
      </w:r>
      <w:r w:rsidR="00626C6F">
        <w:rPr>
          <w:rFonts w:cs="Arial"/>
          <w:szCs w:val="24"/>
        </w:rPr>
        <w:t>:</w:t>
      </w:r>
      <w:r w:rsidR="00791592">
        <w:rPr>
          <w:rFonts w:cs="Arial"/>
          <w:szCs w:val="24"/>
        </w:rPr>
        <w:t xml:space="preserve"> </w:t>
      </w:r>
      <w:r w:rsidR="00BC4C27" w:rsidRPr="0037646C">
        <w:rPr>
          <w:rFonts w:cs="Arial"/>
          <w:szCs w:val="24"/>
        </w:rPr>
        <w:t>en las niñas</w:t>
      </w:r>
      <w:r w:rsidR="00BC4C27">
        <w:rPr>
          <w:rFonts w:cs="Arial"/>
          <w:szCs w:val="24"/>
        </w:rPr>
        <w:t xml:space="preserve"> fue</w:t>
      </w:r>
      <w:r w:rsidR="00BC4C27" w:rsidRPr="0037646C">
        <w:rPr>
          <w:rFonts w:cs="Arial"/>
          <w:szCs w:val="24"/>
        </w:rPr>
        <w:t xml:space="preserve"> de </w:t>
      </w:r>
      <w:r w:rsidR="00BC4C27">
        <w:rPr>
          <w:rFonts w:cs="Arial"/>
          <w:szCs w:val="24"/>
        </w:rPr>
        <w:t>8.4</w:t>
      </w:r>
      <w:r w:rsidR="00BC4C27" w:rsidRPr="0037646C">
        <w:rPr>
          <w:rFonts w:cs="Arial"/>
          <w:szCs w:val="24"/>
        </w:rPr>
        <w:t xml:space="preserve"> </w:t>
      </w:r>
      <w:r w:rsidR="00BC4C27">
        <w:rPr>
          <w:rFonts w:cs="Arial"/>
          <w:szCs w:val="24"/>
        </w:rPr>
        <w:t xml:space="preserve">% y </w:t>
      </w:r>
      <w:r w:rsidR="00791592">
        <w:rPr>
          <w:rFonts w:cs="Arial"/>
          <w:szCs w:val="24"/>
        </w:rPr>
        <w:t>en los niños</w:t>
      </w:r>
      <w:r w:rsidR="00BC4C27">
        <w:rPr>
          <w:rFonts w:cs="Arial"/>
          <w:szCs w:val="24"/>
        </w:rPr>
        <w:t>,</w:t>
      </w:r>
      <w:r w:rsidR="00791592">
        <w:rPr>
          <w:rFonts w:cs="Arial"/>
          <w:szCs w:val="24"/>
        </w:rPr>
        <w:t xml:space="preserve"> de </w:t>
      </w:r>
      <w:r w:rsidR="00791592" w:rsidRPr="0037646C">
        <w:rPr>
          <w:rFonts w:cs="Arial"/>
          <w:szCs w:val="24"/>
        </w:rPr>
        <w:t>1</w:t>
      </w:r>
      <w:r w:rsidR="00791592">
        <w:rPr>
          <w:rFonts w:cs="Arial"/>
          <w:szCs w:val="24"/>
        </w:rPr>
        <w:t>1</w:t>
      </w:r>
      <w:r w:rsidR="00791592" w:rsidRPr="0037646C">
        <w:rPr>
          <w:rFonts w:cs="Arial"/>
          <w:szCs w:val="24"/>
        </w:rPr>
        <w:t>.5 por ciento</w:t>
      </w:r>
      <w:r w:rsidR="001760D0">
        <w:rPr>
          <w:rFonts w:cs="Arial"/>
          <w:szCs w:val="24"/>
        </w:rPr>
        <w:t>, Entre quienes</w:t>
      </w:r>
      <w:r w:rsidR="009026D0">
        <w:rPr>
          <w:rFonts w:cs="Arial"/>
          <w:szCs w:val="24"/>
        </w:rPr>
        <w:t xml:space="preserve"> </w:t>
      </w:r>
      <w:r w:rsidR="009026D0" w:rsidRPr="00237B01">
        <w:rPr>
          <w:rFonts w:cs="Arial"/>
          <w:szCs w:val="24"/>
        </w:rPr>
        <w:t>no asistieron</w:t>
      </w:r>
      <w:r w:rsidR="009026D0">
        <w:rPr>
          <w:rFonts w:cs="Arial"/>
          <w:szCs w:val="24"/>
        </w:rPr>
        <w:t>,</w:t>
      </w:r>
      <w:r w:rsidR="002C7355">
        <w:rPr>
          <w:rFonts w:cs="Arial"/>
          <w:szCs w:val="24"/>
        </w:rPr>
        <w:t xml:space="preserve"> </w:t>
      </w:r>
      <w:r w:rsidR="001760D0">
        <w:rPr>
          <w:rFonts w:cs="Arial"/>
          <w:szCs w:val="24"/>
        </w:rPr>
        <w:t xml:space="preserve">el porcentaje </w:t>
      </w:r>
      <w:r w:rsidR="00791592">
        <w:rPr>
          <w:rFonts w:cs="Arial"/>
          <w:szCs w:val="24"/>
        </w:rPr>
        <w:t>fue de 52.1 %</w:t>
      </w:r>
      <w:r w:rsidR="001760D0">
        <w:rPr>
          <w:rFonts w:cs="Arial"/>
          <w:szCs w:val="24"/>
        </w:rPr>
        <w:t>:</w:t>
      </w:r>
      <w:r w:rsidR="00BC4C27">
        <w:rPr>
          <w:rFonts w:cs="Arial"/>
          <w:szCs w:val="24"/>
        </w:rPr>
        <w:t xml:space="preserve"> </w:t>
      </w:r>
      <w:r w:rsidR="00BC4C27" w:rsidRPr="0037646C">
        <w:rPr>
          <w:rFonts w:cs="Arial"/>
          <w:szCs w:val="24"/>
        </w:rPr>
        <w:t>en las niñas</w:t>
      </w:r>
      <w:r w:rsidR="00BC4C27">
        <w:rPr>
          <w:rFonts w:cs="Arial"/>
          <w:szCs w:val="24"/>
        </w:rPr>
        <w:t xml:space="preserve"> fue</w:t>
      </w:r>
      <w:r w:rsidR="00BC4C27" w:rsidRPr="0037646C">
        <w:rPr>
          <w:rFonts w:cs="Arial"/>
          <w:szCs w:val="24"/>
        </w:rPr>
        <w:t xml:space="preserve"> de </w:t>
      </w:r>
      <w:r w:rsidR="00BC4C27">
        <w:rPr>
          <w:rFonts w:cs="Arial"/>
          <w:szCs w:val="24"/>
        </w:rPr>
        <w:t>41</w:t>
      </w:r>
      <w:r w:rsidR="00BC4C27" w:rsidRPr="0037646C">
        <w:rPr>
          <w:rFonts w:cs="Arial"/>
          <w:szCs w:val="24"/>
        </w:rPr>
        <w:t>.7</w:t>
      </w:r>
      <w:r w:rsidR="00BC4C27">
        <w:rPr>
          <w:rFonts w:cs="Arial"/>
          <w:szCs w:val="24"/>
        </w:rPr>
        <w:t xml:space="preserve"> % y </w:t>
      </w:r>
      <w:r w:rsidR="00791592">
        <w:rPr>
          <w:rFonts w:cs="Arial"/>
          <w:szCs w:val="24"/>
        </w:rPr>
        <w:t>en los niños</w:t>
      </w:r>
      <w:r w:rsidR="00BC4C27">
        <w:rPr>
          <w:rFonts w:cs="Arial"/>
          <w:szCs w:val="24"/>
        </w:rPr>
        <w:t xml:space="preserve">, </w:t>
      </w:r>
      <w:r w:rsidR="00791592">
        <w:rPr>
          <w:rFonts w:cs="Arial"/>
          <w:szCs w:val="24"/>
        </w:rPr>
        <w:t xml:space="preserve">de </w:t>
      </w:r>
      <w:r w:rsidR="007841FA">
        <w:rPr>
          <w:rFonts w:cs="Arial"/>
          <w:szCs w:val="24"/>
        </w:rPr>
        <w:br/>
      </w:r>
      <w:r w:rsidR="00791592">
        <w:rPr>
          <w:rFonts w:cs="Arial"/>
          <w:szCs w:val="24"/>
        </w:rPr>
        <w:t>60.5</w:t>
      </w:r>
      <w:r w:rsidR="00791592" w:rsidRPr="0037646C">
        <w:rPr>
          <w:rFonts w:cs="Arial"/>
          <w:szCs w:val="24"/>
        </w:rPr>
        <w:t xml:space="preserve"> por ciento</w:t>
      </w:r>
      <w:r w:rsidR="001E3935">
        <w:rPr>
          <w:rFonts w:cs="Arial"/>
          <w:szCs w:val="24"/>
        </w:rPr>
        <w:t xml:space="preserve"> (ver cuadro 3).</w:t>
      </w:r>
    </w:p>
    <w:p w14:paraId="2ECB7301" w14:textId="2187DC4B" w:rsidR="009E43F3" w:rsidRDefault="009E43F3" w:rsidP="00BF5B41">
      <w:pPr>
        <w:widowControl/>
        <w:jc w:val="left"/>
        <w:rPr>
          <w:rFonts w:cs="Arial"/>
          <w:b/>
          <w:szCs w:val="24"/>
        </w:rPr>
      </w:pPr>
    </w:p>
    <w:p w14:paraId="3A75943C" w14:textId="77777777" w:rsidR="00B84AFA" w:rsidRPr="007841FA" w:rsidRDefault="00B84AFA" w:rsidP="007841FA">
      <w:pPr>
        <w:widowControl/>
        <w:autoSpaceDE w:val="0"/>
        <w:autoSpaceDN w:val="0"/>
        <w:adjustRightInd w:val="0"/>
        <w:ind w:right="51"/>
        <w:jc w:val="center"/>
        <w:rPr>
          <w:rFonts w:cs="Arial"/>
          <w:bCs/>
          <w:sz w:val="20"/>
        </w:rPr>
      </w:pPr>
      <w:r w:rsidRPr="007841FA">
        <w:rPr>
          <w:rFonts w:cs="Arial"/>
          <w:bCs/>
          <w:sz w:val="20"/>
        </w:rPr>
        <w:t>Cuadro 3</w:t>
      </w:r>
    </w:p>
    <w:p w14:paraId="4BC49438" w14:textId="4396C7F5" w:rsidR="00B84AFA" w:rsidRPr="007841FA" w:rsidRDefault="00B84AFA" w:rsidP="007841FA">
      <w:pPr>
        <w:widowControl/>
        <w:autoSpaceDE w:val="0"/>
        <w:autoSpaceDN w:val="0"/>
        <w:adjustRightInd w:val="0"/>
        <w:ind w:right="51"/>
        <w:jc w:val="center"/>
        <w:rPr>
          <w:rFonts w:cs="Arial"/>
          <w:b/>
          <w:smallCaps/>
          <w:sz w:val="22"/>
          <w:szCs w:val="22"/>
        </w:rPr>
      </w:pPr>
      <w:r w:rsidRPr="007841FA">
        <w:rPr>
          <w:rFonts w:cs="Arial"/>
          <w:b/>
          <w:smallCaps/>
          <w:sz w:val="22"/>
          <w:szCs w:val="22"/>
        </w:rPr>
        <w:t>Tasas de trabajo infantil por variables seleccionadas</w:t>
      </w:r>
      <w:r w:rsidR="0094617A" w:rsidRPr="007841FA">
        <w:rPr>
          <w:rFonts w:cs="Arial"/>
          <w:b/>
          <w:smallCaps/>
          <w:sz w:val="22"/>
          <w:szCs w:val="22"/>
        </w:rPr>
        <w:t>,</w:t>
      </w:r>
      <w:r w:rsidRPr="007841FA">
        <w:rPr>
          <w:rFonts w:cs="Arial"/>
          <w:b/>
          <w:smallCaps/>
          <w:sz w:val="22"/>
          <w:szCs w:val="22"/>
        </w:rPr>
        <w:t xml:space="preserve"> según sexo</w:t>
      </w:r>
    </w:p>
    <w:p w14:paraId="4F76FAB0" w14:textId="47BF88AF" w:rsidR="00B84AFA" w:rsidRPr="00FC665E" w:rsidRDefault="00B84AFA" w:rsidP="007841FA">
      <w:pPr>
        <w:widowControl/>
        <w:autoSpaceDE w:val="0"/>
        <w:autoSpaceDN w:val="0"/>
        <w:adjustRightInd w:val="0"/>
        <w:ind w:right="51"/>
        <w:jc w:val="center"/>
        <w:rPr>
          <w:rFonts w:cs="Arial"/>
          <w:bCs/>
          <w:sz w:val="18"/>
          <w:szCs w:val="18"/>
        </w:rPr>
      </w:pPr>
      <w:r w:rsidRPr="00FC665E">
        <w:rPr>
          <w:rFonts w:cs="Arial"/>
          <w:bCs/>
          <w:sz w:val="18"/>
          <w:szCs w:val="18"/>
        </w:rPr>
        <w:t>(</w:t>
      </w:r>
      <w:r w:rsidR="00FD3AF6">
        <w:rPr>
          <w:rFonts w:cs="Arial"/>
          <w:bCs/>
          <w:sz w:val="18"/>
          <w:szCs w:val="18"/>
        </w:rPr>
        <w:t>p</w:t>
      </w:r>
      <w:r w:rsidRPr="00FC665E">
        <w:rPr>
          <w:rFonts w:cs="Arial"/>
          <w:bCs/>
          <w:sz w:val="18"/>
          <w:szCs w:val="18"/>
        </w:rPr>
        <w:t>orcentaje respecto a la población de</w:t>
      </w:r>
      <w:r>
        <w:rPr>
          <w:rFonts w:cs="Arial"/>
          <w:bCs/>
          <w:sz w:val="18"/>
          <w:szCs w:val="18"/>
        </w:rPr>
        <w:t xml:space="preserve"> cada categoría</w:t>
      </w:r>
      <w:r w:rsidRPr="00FC665E">
        <w:rPr>
          <w:rFonts w:cs="Arial"/>
          <w:bCs/>
          <w:sz w:val="18"/>
          <w:szCs w:val="18"/>
        </w:rPr>
        <w:t>)</w:t>
      </w:r>
    </w:p>
    <w:tbl>
      <w:tblPr>
        <w:tblW w:w="9994" w:type="dxa"/>
        <w:tblCellMar>
          <w:left w:w="70" w:type="dxa"/>
          <w:right w:w="70" w:type="dxa"/>
        </w:tblCellMar>
        <w:tblLook w:val="04A0" w:firstRow="1" w:lastRow="0" w:firstColumn="1" w:lastColumn="0" w:noHBand="0" w:noVBand="1"/>
      </w:tblPr>
      <w:tblGrid>
        <w:gridCol w:w="219"/>
        <w:gridCol w:w="4157"/>
        <w:gridCol w:w="1872"/>
        <w:gridCol w:w="1873"/>
        <w:gridCol w:w="1873"/>
      </w:tblGrid>
      <w:tr w:rsidR="00B84AFA" w:rsidRPr="005F0BFC" w14:paraId="77235BDF" w14:textId="77777777" w:rsidTr="00562DA7">
        <w:trPr>
          <w:trHeight w:val="345"/>
        </w:trPr>
        <w:tc>
          <w:tcPr>
            <w:tcW w:w="4376" w:type="dxa"/>
            <w:gridSpan w:val="2"/>
            <w:vMerge w:val="restart"/>
            <w:tcBorders>
              <w:top w:val="nil"/>
              <w:left w:val="nil"/>
              <w:bottom w:val="nil"/>
              <w:right w:val="nil"/>
            </w:tcBorders>
            <w:shd w:val="clear" w:color="auto" w:fill="338B99"/>
            <w:vAlign w:val="center"/>
            <w:hideMark/>
          </w:tcPr>
          <w:p w14:paraId="227C23AE" w14:textId="77777777" w:rsidR="00B84AFA" w:rsidRPr="005F0BFC" w:rsidRDefault="00B84AFA" w:rsidP="00562DA7">
            <w:pPr>
              <w:widowControl/>
              <w:jc w:val="left"/>
              <w:rPr>
                <w:rFonts w:cs="Arial"/>
                <w:b/>
                <w:bCs/>
                <w:color w:val="FFFFFF"/>
                <w:sz w:val="20"/>
                <w:lang w:eastAsia="es-MX"/>
              </w:rPr>
            </w:pPr>
            <w:r w:rsidRPr="005F0BFC">
              <w:rPr>
                <w:rFonts w:cs="Arial"/>
                <w:b/>
                <w:bCs/>
                <w:color w:val="FFFFFF"/>
                <w:sz w:val="20"/>
                <w:lang w:eastAsia="es-MX"/>
              </w:rPr>
              <w:t>Grupos de edad, asistencia escolar</w:t>
            </w:r>
            <w:r w:rsidRPr="005F0BFC">
              <w:rPr>
                <w:rFonts w:cs="Arial"/>
                <w:b/>
                <w:bCs/>
                <w:color w:val="FFFFFF"/>
                <w:sz w:val="20"/>
                <w:lang w:eastAsia="es-MX"/>
              </w:rPr>
              <w:br/>
              <w:t>y tipo de localidad</w:t>
            </w:r>
          </w:p>
        </w:tc>
        <w:tc>
          <w:tcPr>
            <w:tcW w:w="1872" w:type="dxa"/>
            <w:vMerge w:val="restart"/>
            <w:tcBorders>
              <w:top w:val="nil"/>
              <w:left w:val="nil"/>
              <w:bottom w:val="nil"/>
              <w:right w:val="nil"/>
            </w:tcBorders>
            <w:shd w:val="clear" w:color="auto" w:fill="338B99"/>
            <w:vAlign w:val="center"/>
            <w:hideMark/>
          </w:tcPr>
          <w:p w14:paraId="0F7199B7" w14:textId="77777777" w:rsidR="00B84AFA" w:rsidRPr="005F0BFC" w:rsidRDefault="00B84AFA" w:rsidP="00562DA7">
            <w:pPr>
              <w:widowControl/>
              <w:jc w:val="center"/>
              <w:rPr>
                <w:rFonts w:cs="Arial"/>
                <w:b/>
                <w:bCs/>
                <w:color w:val="FFFFFF"/>
                <w:sz w:val="20"/>
                <w:lang w:eastAsia="es-MX"/>
              </w:rPr>
            </w:pPr>
            <w:r w:rsidRPr="005F0BFC">
              <w:rPr>
                <w:rFonts w:cs="Arial"/>
                <w:b/>
                <w:bCs/>
                <w:color w:val="FFFFFF"/>
                <w:sz w:val="20"/>
                <w:lang w:eastAsia="es-MX"/>
              </w:rPr>
              <w:t>Total</w:t>
            </w:r>
          </w:p>
        </w:tc>
        <w:tc>
          <w:tcPr>
            <w:tcW w:w="1873" w:type="dxa"/>
            <w:vMerge w:val="restart"/>
            <w:tcBorders>
              <w:top w:val="nil"/>
              <w:left w:val="nil"/>
              <w:bottom w:val="nil"/>
              <w:right w:val="nil"/>
            </w:tcBorders>
            <w:shd w:val="clear" w:color="auto" w:fill="338B99"/>
            <w:vAlign w:val="center"/>
            <w:hideMark/>
          </w:tcPr>
          <w:p w14:paraId="1422AA3F" w14:textId="77777777" w:rsidR="00B84AFA" w:rsidRPr="005F0BFC" w:rsidRDefault="00B84AFA" w:rsidP="00562DA7">
            <w:pPr>
              <w:widowControl/>
              <w:jc w:val="center"/>
              <w:rPr>
                <w:rFonts w:cs="Arial"/>
                <w:b/>
                <w:bCs/>
                <w:color w:val="FFFFFF"/>
                <w:sz w:val="20"/>
                <w:lang w:eastAsia="es-MX"/>
              </w:rPr>
            </w:pPr>
            <w:r w:rsidRPr="005F0BFC">
              <w:rPr>
                <w:rFonts w:cs="Arial"/>
                <w:b/>
                <w:bCs/>
                <w:color w:val="FFFFFF"/>
                <w:sz w:val="20"/>
                <w:lang w:eastAsia="es-MX"/>
              </w:rPr>
              <w:t>Niños</w:t>
            </w:r>
          </w:p>
        </w:tc>
        <w:tc>
          <w:tcPr>
            <w:tcW w:w="1873" w:type="dxa"/>
            <w:vMerge w:val="restart"/>
            <w:tcBorders>
              <w:top w:val="nil"/>
              <w:left w:val="nil"/>
              <w:bottom w:val="nil"/>
              <w:right w:val="nil"/>
            </w:tcBorders>
            <w:shd w:val="clear" w:color="auto" w:fill="338B99"/>
            <w:vAlign w:val="center"/>
            <w:hideMark/>
          </w:tcPr>
          <w:p w14:paraId="10E9DF2C" w14:textId="77777777" w:rsidR="00B84AFA" w:rsidRPr="005F0BFC" w:rsidRDefault="00B84AFA" w:rsidP="00562DA7">
            <w:pPr>
              <w:widowControl/>
              <w:jc w:val="center"/>
              <w:rPr>
                <w:rFonts w:cs="Arial"/>
                <w:b/>
                <w:bCs/>
                <w:color w:val="FFFFFF"/>
                <w:sz w:val="20"/>
                <w:lang w:eastAsia="es-MX"/>
              </w:rPr>
            </w:pPr>
            <w:r w:rsidRPr="005F0BFC">
              <w:rPr>
                <w:rFonts w:cs="Arial"/>
                <w:b/>
                <w:bCs/>
                <w:color w:val="FFFFFF"/>
                <w:sz w:val="20"/>
                <w:lang w:eastAsia="es-MX"/>
              </w:rPr>
              <w:t>Niñas</w:t>
            </w:r>
          </w:p>
        </w:tc>
      </w:tr>
      <w:tr w:rsidR="00B84AFA" w:rsidRPr="005F0BFC" w14:paraId="03AB58B5" w14:textId="77777777" w:rsidTr="00562DA7">
        <w:trPr>
          <w:trHeight w:val="315"/>
        </w:trPr>
        <w:tc>
          <w:tcPr>
            <w:tcW w:w="4376" w:type="dxa"/>
            <w:gridSpan w:val="2"/>
            <w:vMerge/>
            <w:tcBorders>
              <w:top w:val="nil"/>
              <w:left w:val="nil"/>
              <w:bottom w:val="nil"/>
              <w:right w:val="nil"/>
            </w:tcBorders>
            <w:shd w:val="clear" w:color="auto" w:fill="338B99"/>
            <w:vAlign w:val="center"/>
            <w:hideMark/>
          </w:tcPr>
          <w:p w14:paraId="22885F64" w14:textId="77777777" w:rsidR="00B84AFA" w:rsidRPr="005F0BFC" w:rsidRDefault="00B84AFA" w:rsidP="00562DA7">
            <w:pPr>
              <w:widowControl/>
              <w:jc w:val="left"/>
              <w:rPr>
                <w:rFonts w:cs="Arial"/>
                <w:b/>
                <w:bCs/>
                <w:color w:val="FFFFFF"/>
                <w:sz w:val="20"/>
                <w:lang w:eastAsia="es-MX"/>
              </w:rPr>
            </w:pPr>
          </w:p>
        </w:tc>
        <w:tc>
          <w:tcPr>
            <w:tcW w:w="1872" w:type="dxa"/>
            <w:vMerge/>
            <w:tcBorders>
              <w:top w:val="nil"/>
              <w:left w:val="nil"/>
              <w:bottom w:val="nil"/>
              <w:right w:val="nil"/>
            </w:tcBorders>
            <w:shd w:val="clear" w:color="auto" w:fill="338B99"/>
            <w:vAlign w:val="center"/>
            <w:hideMark/>
          </w:tcPr>
          <w:p w14:paraId="64C05006" w14:textId="77777777" w:rsidR="00B84AFA" w:rsidRPr="005F0BFC" w:rsidRDefault="00B84AFA" w:rsidP="00562DA7">
            <w:pPr>
              <w:widowControl/>
              <w:jc w:val="left"/>
              <w:rPr>
                <w:rFonts w:cs="Arial"/>
                <w:b/>
                <w:bCs/>
                <w:color w:val="FFFFFF"/>
                <w:sz w:val="20"/>
                <w:lang w:eastAsia="es-MX"/>
              </w:rPr>
            </w:pPr>
          </w:p>
        </w:tc>
        <w:tc>
          <w:tcPr>
            <w:tcW w:w="1873" w:type="dxa"/>
            <w:vMerge/>
            <w:tcBorders>
              <w:top w:val="nil"/>
              <w:left w:val="nil"/>
              <w:bottom w:val="nil"/>
              <w:right w:val="nil"/>
            </w:tcBorders>
            <w:shd w:val="clear" w:color="auto" w:fill="338B99"/>
            <w:vAlign w:val="center"/>
            <w:hideMark/>
          </w:tcPr>
          <w:p w14:paraId="40CAE812" w14:textId="77777777" w:rsidR="00B84AFA" w:rsidRPr="005F0BFC" w:rsidRDefault="00B84AFA" w:rsidP="00562DA7">
            <w:pPr>
              <w:widowControl/>
              <w:jc w:val="left"/>
              <w:rPr>
                <w:rFonts w:cs="Arial"/>
                <w:b/>
                <w:bCs/>
                <w:color w:val="FFFFFF"/>
                <w:sz w:val="20"/>
                <w:lang w:eastAsia="es-MX"/>
              </w:rPr>
            </w:pPr>
          </w:p>
        </w:tc>
        <w:tc>
          <w:tcPr>
            <w:tcW w:w="1873" w:type="dxa"/>
            <w:vMerge/>
            <w:tcBorders>
              <w:top w:val="nil"/>
              <w:left w:val="nil"/>
              <w:bottom w:val="nil"/>
              <w:right w:val="nil"/>
            </w:tcBorders>
            <w:shd w:val="clear" w:color="auto" w:fill="338B99"/>
            <w:vAlign w:val="center"/>
            <w:hideMark/>
          </w:tcPr>
          <w:p w14:paraId="4335D7FA" w14:textId="77777777" w:rsidR="00B84AFA" w:rsidRPr="005F0BFC" w:rsidRDefault="00B84AFA" w:rsidP="00562DA7">
            <w:pPr>
              <w:widowControl/>
              <w:jc w:val="left"/>
              <w:rPr>
                <w:rFonts w:cs="Arial"/>
                <w:b/>
                <w:bCs/>
                <w:color w:val="FFFFFF"/>
                <w:sz w:val="20"/>
                <w:lang w:eastAsia="es-MX"/>
              </w:rPr>
            </w:pPr>
          </w:p>
        </w:tc>
      </w:tr>
      <w:tr w:rsidR="00B84AFA" w:rsidRPr="005F0BFC" w14:paraId="2EEC9D22" w14:textId="77777777" w:rsidTr="00562DA7">
        <w:trPr>
          <w:trHeight w:val="300"/>
        </w:trPr>
        <w:tc>
          <w:tcPr>
            <w:tcW w:w="4376" w:type="dxa"/>
            <w:gridSpan w:val="2"/>
            <w:tcBorders>
              <w:top w:val="nil"/>
              <w:left w:val="nil"/>
              <w:bottom w:val="nil"/>
              <w:right w:val="nil"/>
            </w:tcBorders>
            <w:shd w:val="clear" w:color="auto" w:fill="66A8B3"/>
            <w:vAlign w:val="center"/>
            <w:hideMark/>
          </w:tcPr>
          <w:p w14:paraId="5F76C4C9" w14:textId="77777777" w:rsidR="00B84AFA" w:rsidRPr="005F0BFC" w:rsidRDefault="00B84AFA" w:rsidP="00562DA7">
            <w:pPr>
              <w:widowControl/>
              <w:jc w:val="left"/>
              <w:rPr>
                <w:rFonts w:cs="Arial"/>
                <w:b/>
                <w:bCs/>
                <w:color w:val="000000"/>
                <w:sz w:val="20"/>
                <w:lang w:eastAsia="es-MX"/>
              </w:rPr>
            </w:pPr>
            <w:r w:rsidRPr="005F0BFC">
              <w:rPr>
                <w:rFonts w:cs="Arial"/>
                <w:b/>
                <w:bCs/>
                <w:color w:val="000000"/>
                <w:sz w:val="20"/>
                <w:lang w:eastAsia="es-MX"/>
              </w:rPr>
              <w:t>Trabajo infantil</w:t>
            </w:r>
          </w:p>
        </w:tc>
        <w:tc>
          <w:tcPr>
            <w:tcW w:w="1872" w:type="dxa"/>
            <w:tcBorders>
              <w:top w:val="nil"/>
              <w:left w:val="nil"/>
              <w:bottom w:val="nil"/>
              <w:right w:val="nil"/>
            </w:tcBorders>
            <w:shd w:val="clear" w:color="auto" w:fill="66A8B3"/>
            <w:vAlign w:val="center"/>
            <w:hideMark/>
          </w:tcPr>
          <w:p w14:paraId="6A68333A" w14:textId="77777777" w:rsidR="00B84AFA" w:rsidRPr="005F0BFC" w:rsidRDefault="00B84AFA" w:rsidP="00562DA7">
            <w:pPr>
              <w:widowControl/>
              <w:jc w:val="center"/>
              <w:rPr>
                <w:rFonts w:cs="Arial"/>
                <w:b/>
                <w:bCs/>
                <w:color w:val="000000"/>
                <w:sz w:val="20"/>
                <w:lang w:eastAsia="es-MX"/>
              </w:rPr>
            </w:pPr>
            <w:r w:rsidRPr="005F0BFC">
              <w:rPr>
                <w:rFonts w:cs="Arial"/>
                <w:b/>
                <w:bCs/>
                <w:color w:val="000000"/>
                <w:sz w:val="20"/>
                <w:lang w:eastAsia="es-MX"/>
              </w:rPr>
              <w:t>13.1</w:t>
            </w:r>
          </w:p>
        </w:tc>
        <w:tc>
          <w:tcPr>
            <w:tcW w:w="1873" w:type="dxa"/>
            <w:tcBorders>
              <w:top w:val="nil"/>
              <w:left w:val="nil"/>
              <w:bottom w:val="nil"/>
              <w:right w:val="nil"/>
            </w:tcBorders>
            <w:shd w:val="clear" w:color="auto" w:fill="66A8B3"/>
            <w:vAlign w:val="center"/>
            <w:hideMark/>
          </w:tcPr>
          <w:p w14:paraId="3A821A9A" w14:textId="77777777" w:rsidR="00B84AFA" w:rsidRPr="005F0BFC" w:rsidRDefault="00B84AFA" w:rsidP="00562DA7">
            <w:pPr>
              <w:widowControl/>
              <w:jc w:val="center"/>
              <w:rPr>
                <w:rFonts w:cs="Arial"/>
                <w:b/>
                <w:bCs/>
                <w:color w:val="000000"/>
                <w:sz w:val="20"/>
                <w:lang w:eastAsia="es-MX"/>
              </w:rPr>
            </w:pPr>
            <w:r w:rsidRPr="005F0BFC">
              <w:rPr>
                <w:rFonts w:cs="Arial"/>
                <w:b/>
                <w:bCs/>
                <w:color w:val="000000"/>
                <w:sz w:val="20"/>
                <w:lang w:eastAsia="es-MX"/>
              </w:rPr>
              <w:t>15.5</w:t>
            </w:r>
          </w:p>
        </w:tc>
        <w:tc>
          <w:tcPr>
            <w:tcW w:w="1873" w:type="dxa"/>
            <w:tcBorders>
              <w:top w:val="nil"/>
              <w:left w:val="nil"/>
              <w:bottom w:val="nil"/>
              <w:right w:val="nil"/>
            </w:tcBorders>
            <w:shd w:val="clear" w:color="auto" w:fill="66A8B3"/>
            <w:vAlign w:val="center"/>
            <w:hideMark/>
          </w:tcPr>
          <w:p w14:paraId="2C435A51" w14:textId="77777777" w:rsidR="00B84AFA" w:rsidRPr="005F0BFC" w:rsidRDefault="00B84AFA" w:rsidP="00562DA7">
            <w:pPr>
              <w:widowControl/>
              <w:jc w:val="center"/>
              <w:rPr>
                <w:rFonts w:cs="Arial"/>
                <w:b/>
                <w:bCs/>
                <w:color w:val="000000"/>
                <w:sz w:val="20"/>
                <w:lang w:eastAsia="es-MX"/>
              </w:rPr>
            </w:pPr>
            <w:r w:rsidRPr="005F0BFC">
              <w:rPr>
                <w:rFonts w:cs="Arial"/>
                <w:b/>
                <w:bCs/>
                <w:color w:val="000000"/>
                <w:sz w:val="20"/>
                <w:lang w:eastAsia="es-MX"/>
              </w:rPr>
              <w:t>10.7</w:t>
            </w:r>
          </w:p>
        </w:tc>
      </w:tr>
      <w:tr w:rsidR="00B84AFA" w:rsidRPr="005F0BFC" w14:paraId="12BCE79A" w14:textId="77777777" w:rsidTr="00562DA7">
        <w:trPr>
          <w:trHeight w:val="300"/>
        </w:trPr>
        <w:tc>
          <w:tcPr>
            <w:tcW w:w="4376" w:type="dxa"/>
            <w:gridSpan w:val="2"/>
            <w:tcBorders>
              <w:top w:val="nil"/>
              <w:left w:val="nil"/>
              <w:bottom w:val="nil"/>
              <w:right w:val="nil"/>
            </w:tcBorders>
            <w:shd w:val="clear" w:color="auto" w:fill="99C5CC"/>
            <w:vAlign w:val="center"/>
            <w:hideMark/>
          </w:tcPr>
          <w:p w14:paraId="4654F4AC" w14:textId="77777777" w:rsidR="00B84AFA" w:rsidRPr="005F0BFC" w:rsidRDefault="00B84AFA" w:rsidP="00562DA7">
            <w:pPr>
              <w:widowControl/>
              <w:jc w:val="left"/>
              <w:rPr>
                <w:rFonts w:cs="Arial"/>
                <w:b/>
                <w:bCs/>
                <w:color w:val="000000"/>
                <w:sz w:val="20"/>
                <w:lang w:eastAsia="es-MX"/>
              </w:rPr>
            </w:pPr>
            <w:r w:rsidRPr="005F0BFC">
              <w:rPr>
                <w:rFonts w:cs="Arial"/>
                <w:b/>
                <w:bCs/>
                <w:color w:val="000000"/>
                <w:sz w:val="20"/>
                <w:lang w:eastAsia="es-MX"/>
              </w:rPr>
              <w:t>Grupos de edad</w:t>
            </w:r>
          </w:p>
        </w:tc>
        <w:tc>
          <w:tcPr>
            <w:tcW w:w="1872" w:type="dxa"/>
            <w:tcBorders>
              <w:top w:val="nil"/>
              <w:left w:val="nil"/>
              <w:bottom w:val="nil"/>
              <w:right w:val="nil"/>
            </w:tcBorders>
            <w:shd w:val="clear" w:color="auto" w:fill="99C5CC"/>
            <w:vAlign w:val="center"/>
            <w:hideMark/>
          </w:tcPr>
          <w:p w14:paraId="443B43B9" w14:textId="77777777" w:rsidR="00B84AFA" w:rsidRPr="005F0BFC" w:rsidRDefault="00B84AFA" w:rsidP="00562DA7">
            <w:pPr>
              <w:widowControl/>
              <w:jc w:val="center"/>
              <w:rPr>
                <w:rFonts w:cs="Arial"/>
                <w:b/>
                <w:bCs/>
                <w:color w:val="000000"/>
                <w:sz w:val="20"/>
                <w:lang w:eastAsia="es-MX"/>
              </w:rPr>
            </w:pPr>
            <w:r w:rsidRPr="005F0BFC">
              <w:rPr>
                <w:rFonts w:cs="Arial"/>
                <w:b/>
                <w:bCs/>
                <w:color w:val="000000"/>
                <w:sz w:val="20"/>
                <w:lang w:eastAsia="es-MX"/>
              </w:rPr>
              <w:t> </w:t>
            </w:r>
          </w:p>
        </w:tc>
        <w:tc>
          <w:tcPr>
            <w:tcW w:w="1873" w:type="dxa"/>
            <w:tcBorders>
              <w:top w:val="nil"/>
              <w:left w:val="nil"/>
              <w:bottom w:val="nil"/>
              <w:right w:val="nil"/>
            </w:tcBorders>
            <w:shd w:val="clear" w:color="auto" w:fill="99C5CC"/>
            <w:vAlign w:val="center"/>
            <w:hideMark/>
          </w:tcPr>
          <w:p w14:paraId="30A1F6DC" w14:textId="77777777" w:rsidR="00B84AFA" w:rsidRPr="005F0BFC" w:rsidRDefault="00B84AFA" w:rsidP="00562DA7">
            <w:pPr>
              <w:widowControl/>
              <w:jc w:val="center"/>
              <w:rPr>
                <w:rFonts w:cs="Arial"/>
                <w:b/>
                <w:bCs/>
                <w:color w:val="000000"/>
                <w:sz w:val="20"/>
                <w:lang w:eastAsia="es-MX"/>
              </w:rPr>
            </w:pPr>
            <w:r w:rsidRPr="005F0BFC">
              <w:rPr>
                <w:rFonts w:cs="Arial"/>
                <w:b/>
                <w:bCs/>
                <w:color w:val="000000"/>
                <w:sz w:val="20"/>
                <w:lang w:eastAsia="es-MX"/>
              </w:rPr>
              <w:t> </w:t>
            </w:r>
          </w:p>
        </w:tc>
        <w:tc>
          <w:tcPr>
            <w:tcW w:w="1873" w:type="dxa"/>
            <w:tcBorders>
              <w:top w:val="nil"/>
              <w:left w:val="nil"/>
              <w:bottom w:val="nil"/>
              <w:right w:val="nil"/>
            </w:tcBorders>
            <w:shd w:val="clear" w:color="auto" w:fill="99C5CC"/>
            <w:vAlign w:val="center"/>
            <w:hideMark/>
          </w:tcPr>
          <w:p w14:paraId="508829EA" w14:textId="77777777" w:rsidR="00B84AFA" w:rsidRPr="005F0BFC" w:rsidRDefault="00B84AFA" w:rsidP="00562DA7">
            <w:pPr>
              <w:widowControl/>
              <w:jc w:val="center"/>
              <w:rPr>
                <w:rFonts w:cs="Arial"/>
                <w:b/>
                <w:bCs/>
                <w:color w:val="000000"/>
                <w:sz w:val="20"/>
                <w:lang w:eastAsia="es-MX"/>
              </w:rPr>
            </w:pPr>
            <w:r w:rsidRPr="005F0BFC">
              <w:rPr>
                <w:rFonts w:cs="Arial"/>
                <w:b/>
                <w:bCs/>
                <w:color w:val="000000"/>
                <w:sz w:val="20"/>
                <w:lang w:eastAsia="es-MX"/>
              </w:rPr>
              <w:t> </w:t>
            </w:r>
          </w:p>
        </w:tc>
      </w:tr>
      <w:tr w:rsidR="00B84AFA" w:rsidRPr="005F0BFC" w14:paraId="402B35CE" w14:textId="77777777" w:rsidTr="00562DA7">
        <w:trPr>
          <w:trHeight w:val="300"/>
        </w:trPr>
        <w:tc>
          <w:tcPr>
            <w:tcW w:w="219" w:type="dxa"/>
            <w:tcBorders>
              <w:top w:val="nil"/>
              <w:left w:val="nil"/>
              <w:bottom w:val="nil"/>
              <w:right w:val="nil"/>
            </w:tcBorders>
            <w:shd w:val="clear" w:color="auto" w:fill="CCE2E6"/>
            <w:vAlign w:val="center"/>
            <w:hideMark/>
          </w:tcPr>
          <w:p w14:paraId="740DC081" w14:textId="77777777" w:rsidR="00B84AFA" w:rsidRPr="005F0BFC" w:rsidRDefault="00B84AFA" w:rsidP="00562DA7">
            <w:pPr>
              <w:widowControl/>
              <w:jc w:val="left"/>
              <w:rPr>
                <w:rFonts w:cs="Arial"/>
                <w:color w:val="000000"/>
                <w:sz w:val="20"/>
                <w:lang w:eastAsia="es-MX"/>
              </w:rPr>
            </w:pPr>
            <w:r w:rsidRPr="005F0BFC">
              <w:rPr>
                <w:rFonts w:cs="Arial"/>
                <w:color w:val="000000"/>
                <w:sz w:val="20"/>
                <w:lang w:eastAsia="es-MX"/>
              </w:rPr>
              <w:t> </w:t>
            </w:r>
          </w:p>
        </w:tc>
        <w:tc>
          <w:tcPr>
            <w:tcW w:w="4157" w:type="dxa"/>
            <w:tcBorders>
              <w:top w:val="nil"/>
              <w:left w:val="nil"/>
              <w:bottom w:val="nil"/>
              <w:right w:val="nil"/>
            </w:tcBorders>
            <w:shd w:val="clear" w:color="auto" w:fill="CCE2E6"/>
            <w:vAlign w:val="center"/>
            <w:hideMark/>
          </w:tcPr>
          <w:p w14:paraId="4E9F1298" w14:textId="77777777" w:rsidR="00B84AFA" w:rsidRPr="005F0BFC" w:rsidRDefault="00B84AFA" w:rsidP="00562DA7">
            <w:pPr>
              <w:widowControl/>
              <w:jc w:val="left"/>
              <w:rPr>
                <w:rFonts w:cs="Arial"/>
                <w:color w:val="000000"/>
                <w:sz w:val="20"/>
                <w:lang w:eastAsia="es-MX"/>
              </w:rPr>
            </w:pPr>
            <w:r w:rsidRPr="005F0BFC">
              <w:rPr>
                <w:rFonts w:cs="Arial"/>
                <w:color w:val="000000"/>
                <w:sz w:val="20"/>
                <w:lang w:eastAsia="es-MX"/>
              </w:rPr>
              <w:t>5 a 14 años</w:t>
            </w:r>
          </w:p>
        </w:tc>
        <w:tc>
          <w:tcPr>
            <w:tcW w:w="1872" w:type="dxa"/>
            <w:tcBorders>
              <w:top w:val="nil"/>
              <w:left w:val="nil"/>
              <w:bottom w:val="nil"/>
              <w:right w:val="nil"/>
            </w:tcBorders>
            <w:shd w:val="clear" w:color="auto" w:fill="CCE2E6"/>
            <w:vAlign w:val="center"/>
            <w:hideMark/>
          </w:tcPr>
          <w:p w14:paraId="47992344" w14:textId="77777777" w:rsidR="00B84AFA" w:rsidRPr="005F0BFC" w:rsidRDefault="00B84AFA" w:rsidP="00562DA7">
            <w:pPr>
              <w:widowControl/>
              <w:jc w:val="center"/>
              <w:rPr>
                <w:rFonts w:cs="Arial"/>
                <w:color w:val="000000"/>
                <w:sz w:val="20"/>
                <w:lang w:eastAsia="es-MX"/>
              </w:rPr>
            </w:pPr>
            <w:r w:rsidRPr="005F0BFC">
              <w:rPr>
                <w:rFonts w:cs="Arial"/>
                <w:color w:val="000000"/>
                <w:sz w:val="20"/>
                <w:lang w:eastAsia="es-MX"/>
              </w:rPr>
              <w:t>8.9</w:t>
            </w:r>
          </w:p>
        </w:tc>
        <w:tc>
          <w:tcPr>
            <w:tcW w:w="1873" w:type="dxa"/>
            <w:tcBorders>
              <w:top w:val="nil"/>
              <w:left w:val="nil"/>
              <w:bottom w:val="nil"/>
              <w:right w:val="nil"/>
            </w:tcBorders>
            <w:shd w:val="clear" w:color="auto" w:fill="CCE2E6"/>
            <w:vAlign w:val="center"/>
            <w:hideMark/>
          </w:tcPr>
          <w:p w14:paraId="58EABD92" w14:textId="77777777" w:rsidR="00B84AFA" w:rsidRPr="005F0BFC" w:rsidRDefault="00B84AFA" w:rsidP="00562DA7">
            <w:pPr>
              <w:widowControl/>
              <w:jc w:val="center"/>
              <w:rPr>
                <w:rFonts w:cs="Arial"/>
                <w:color w:val="000000"/>
                <w:sz w:val="20"/>
                <w:lang w:eastAsia="es-MX"/>
              </w:rPr>
            </w:pPr>
            <w:r w:rsidRPr="005F0BFC">
              <w:rPr>
                <w:rFonts w:cs="Arial"/>
                <w:color w:val="000000"/>
                <w:sz w:val="20"/>
                <w:lang w:eastAsia="es-MX"/>
              </w:rPr>
              <w:t>10.0</w:t>
            </w:r>
          </w:p>
        </w:tc>
        <w:tc>
          <w:tcPr>
            <w:tcW w:w="1873" w:type="dxa"/>
            <w:tcBorders>
              <w:top w:val="nil"/>
              <w:left w:val="nil"/>
              <w:bottom w:val="nil"/>
              <w:right w:val="nil"/>
            </w:tcBorders>
            <w:shd w:val="clear" w:color="auto" w:fill="CCE2E6"/>
            <w:vAlign w:val="center"/>
            <w:hideMark/>
          </w:tcPr>
          <w:p w14:paraId="40776A06" w14:textId="77777777" w:rsidR="00B84AFA" w:rsidRPr="005F0BFC" w:rsidRDefault="00B84AFA" w:rsidP="00562DA7">
            <w:pPr>
              <w:widowControl/>
              <w:jc w:val="center"/>
              <w:rPr>
                <w:rFonts w:cs="Arial"/>
                <w:color w:val="000000"/>
                <w:sz w:val="20"/>
                <w:lang w:eastAsia="es-MX"/>
              </w:rPr>
            </w:pPr>
            <w:r w:rsidRPr="005F0BFC">
              <w:rPr>
                <w:rFonts w:cs="Arial"/>
                <w:color w:val="000000"/>
                <w:sz w:val="20"/>
                <w:lang w:eastAsia="es-MX"/>
              </w:rPr>
              <w:t>7.8</w:t>
            </w:r>
          </w:p>
        </w:tc>
      </w:tr>
      <w:tr w:rsidR="00B84AFA" w:rsidRPr="005F0BFC" w14:paraId="001331A3" w14:textId="77777777" w:rsidTr="00562DA7">
        <w:trPr>
          <w:trHeight w:val="300"/>
        </w:trPr>
        <w:tc>
          <w:tcPr>
            <w:tcW w:w="219" w:type="dxa"/>
            <w:tcBorders>
              <w:top w:val="nil"/>
              <w:left w:val="nil"/>
              <w:bottom w:val="nil"/>
              <w:right w:val="nil"/>
            </w:tcBorders>
            <w:shd w:val="clear" w:color="auto" w:fill="CCE2E6"/>
            <w:vAlign w:val="center"/>
            <w:hideMark/>
          </w:tcPr>
          <w:p w14:paraId="54BC0091" w14:textId="77777777" w:rsidR="00B84AFA" w:rsidRPr="005F0BFC" w:rsidRDefault="00B84AFA" w:rsidP="00562DA7">
            <w:pPr>
              <w:widowControl/>
              <w:jc w:val="left"/>
              <w:rPr>
                <w:rFonts w:cs="Arial"/>
                <w:color w:val="000000"/>
                <w:sz w:val="20"/>
                <w:lang w:eastAsia="es-MX"/>
              </w:rPr>
            </w:pPr>
            <w:r w:rsidRPr="005F0BFC">
              <w:rPr>
                <w:rFonts w:cs="Arial"/>
                <w:color w:val="000000"/>
                <w:sz w:val="20"/>
                <w:lang w:eastAsia="es-MX"/>
              </w:rPr>
              <w:t> </w:t>
            </w:r>
          </w:p>
        </w:tc>
        <w:tc>
          <w:tcPr>
            <w:tcW w:w="4157" w:type="dxa"/>
            <w:tcBorders>
              <w:top w:val="nil"/>
              <w:left w:val="nil"/>
              <w:bottom w:val="nil"/>
              <w:right w:val="nil"/>
            </w:tcBorders>
            <w:shd w:val="clear" w:color="auto" w:fill="CCE2E6"/>
            <w:vAlign w:val="center"/>
            <w:hideMark/>
          </w:tcPr>
          <w:p w14:paraId="4B6EA79F" w14:textId="77777777" w:rsidR="00B84AFA" w:rsidRPr="005F0BFC" w:rsidRDefault="00B84AFA" w:rsidP="00562DA7">
            <w:pPr>
              <w:widowControl/>
              <w:jc w:val="left"/>
              <w:rPr>
                <w:rFonts w:cs="Arial"/>
                <w:color w:val="000000"/>
                <w:sz w:val="20"/>
                <w:lang w:eastAsia="es-MX"/>
              </w:rPr>
            </w:pPr>
            <w:r w:rsidRPr="005F0BFC">
              <w:rPr>
                <w:rFonts w:cs="Arial"/>
                <w:color w:val="000000"/>
                <w:sz w:val="20"/>
                <w:lang w:eastAsia="es-MX"/>
              </w:rPr>
              <w:t>15 a 17 años</w:t>
            </w:r>
          </w:p>
        </w:tc>
        <w:tc>
          <w:tcPr>
            <w:tcW w:w="1872" w:type="dxa"/>
            <w:tcBorders>
              <w:top w:val="nil"/>
              <w:left w:val="nil"/>
              <w:bottom w:val="nil"/>
              <w:right w:val="nil"/>
            </w:tcBorders>
            <w:shd w:val="clear" w:color="auto" w:fill="CCE2E6"/>
            <w:vAlign w:val="center"/>
            <w:hideMark/>
          </w:tcPr>
          <w:p w14:paraId="6F215CA5" w14:textId="77777777" w:rsidR="00B84AFA" w:rsidRPr="005F0BFC" w:rsidRDefault="00B84AFA" w:rsidP="00562DA7">
            <w:pPr>
              <w:widowControl/>
              <w:jc w:val="center"/>
              <w:rPr>
                <w:rFonts w:cs="Arial"/>
                <w:color w:val="000000"/>
                <w:sz w:val="20"/>
                <w:lang w:eastAsia="es-MX"/>
              </w:rPr>
            </w:pPr>
            <w:r w:rsidRPr="005F0BFC">
              <w:rPr>
                <w:rFonts w:cs="Arial"/>
                <w:color w:val="000000"/>
                <w:sz w:val="20"/>
                <w:lang w:eastAsia="es-MX"/>
              </w:rPr>
              <w:t>26.0</w:t>
            </w:r>
          </w:p>
        </w:tc>
        <w:tc>
          <w:tcPr>
            <w:tcW w:w="1873" w:type="dxa"/>
            <w:tcBorders>
              <w:top w:val="nil"/>
              <w:left w:val="nil"/>
              <w:bottom w:val="nil"/>
              <w:right w:val="nil"/>
            </w:tcBorders>
            <w:shd w:val="clear" w:color="auto" w:fill="CCE2E6"/>
            <w:vAlign w:val="center"/>
            <w:hideMark/>
          </w:tcPr>
          <w:p w14:paraId="6DEC16A2" w14:textId="77777777" w:rsidR="00B84AFA" w:rsidRPr="005F0BFC" w:rsidRDefault="00B84AFA" w:rsidP="00562DA7">
            <w:pPr>
              <w:widowControl/>
              <w:jc w:val="center"/>
              <w:rPr>
                <w:rFonts w:cs="Arial"/>
                <w:color w:val="000000"/>
                <w:sz w:val="20"/>
                <w:lang w:eastAsia="es-MX"/>
              </w:rPr>
            </w:pPr>
            <w:r w:rsidRPr="005F0BFC">
              <w:rPr>
                <w:rFonts w:cs="Arial"/>
                <w:color w:val="000000"/>
                <w:sz w:val="20"/>
                <w:lang w:eastAsia="es-MX"/>
              </w:rPr>
              <w:t>32.6</w:t>
            </w:r>
          </w:p>
        </w:tc>
        <w:tc>
          <w:tcPr>
            <w:tcW w:w="1873" w:type="dxa"/>
            <w:tcBorders>
              <w:top w:val="nil"/>
              <w:left w:val="nil"/>
              <w:bottom w:val="nil"/>
              <w:right w:val="nil"/>
            </w:tcBorders>
            <w:shd w:val="clear" w:color="auto" w:fill="CCE2E6"/>
            <w:vAlign w:val="center"/>
            <w:hideMark/>
          </w:tcPr>
          <w:p w14:paraId="152D25E3" w14:textId="77777777" w:rsidR="00B84AFA" w:rsidRPr="005F0BFC" w:rsidRDefault="00B84AFA" w:rsidP="00562DA7">
            <w:pPr>
              <w:widowControl/>
              <w:jc w:val="center"/>
              <w:rPr>
                <w:rFonts w:cs="Arial"/>
                <w:color w:val="000000"/>
                <w:sz w:val="20"/>
                <w:lang w:eastAsia="es-MX"/>
              </w:rPr>
            </w:pPr>
            <w:r w:rsidRPr="005F0BFC">
              <w:rPr>
                <w:rFonts w:cs="Arial"/>
                <w:color w:val="000000"/>
                <w:sz w:val="20"/>
                <w:lang w:eastAsia="es-MX"/>
              </w:rPr>
              <w:t>19.3</w:t>
            </w:r>
          </w:p>
        </w:tc>
      </w:tr>
      <w:tr w:rsidR="00B84AFA" w:rsidRPr="005F0BFC" w14:paraId="28A3DB42" w14:textId="77777777" w:rsidTr="00562DA7">
        <w:trPr>
          <w:trHeight w:val="300"/>
        </w:trPr>
        <w:tc>
          <w:tcPr>
            <w:tcW w:w="4376" w:type="dxa"/>
            <w:gridSpan w:val="2"/>
            <w:tcBorders>
              <w:top w:val="nil"/>
              <w:left w:val="nil"/>
              <w:bottom w:val="nil"/>
              <w:right w:val="nil"/>
            </w:tcBorders>
            <w:shd w:val="clear" w:color="auto" w:fill="99C5CC"/>
            <w:vAlign w:val="center"/>
            <w:hideMark/>
          </w:tcPr>
          <w:p w14:paraId="7B63E838" w14:textId="77777777" w:rsidR="00B84AFA" w:rsidRPr="005F0BFC" w:rsidRDefault="00B84AFA" w:rsidP="00562DA7">
            <w:pPr>
              <w:widowControl/>
              <w:jc w:val="left"/>
              <w:rPr>
                <w:rFonts w:cs="Arial"/>
                <w:b/>
                <w:bCs/>
                <w:color w:val="000000"/>
                <w:sz w:val="20"/>
                <w:lang w:eastAsia="es-MX"/>
              </w:rPr>
            </w:pPr>
            <w:r w:rsidRPr="005F0BFC">
              <w:rPr>
                <w:rFonts w:cs="Arial"/>
                <w:b/>
                <w:bCs/>
                <w:color w:val="000000"/>
                <w:sz w:val="20"/>
                <w:lang w:eastAsia="es-MX"/>
              </w:rPr>
              <w:t>Asistencia escolar</w:t>
            </w:r>
          </w:p>
        </w:tc>
        <w:tc>
          <w:tcPr>
            <w:tcW w:w="1872" w:type="dxa"/>
            <w:tcBorders>
              <w:top w:val="nil"/>
              <w:left w:val="nil"/>
              <w:bottom w:val="nil"/>
              <w:right w:val="nil"/>
            </w:tcBorders>
            <w:shd w:val="clear" w:color="auto" w:fill="99C5CC"/>
            <w:vAlign w:val="center"/>
            <w:hideMark/>
          </w:tcPr>
          <w:p w14:paraId="42D09A6A" w14:textId="77777777" w:rsidR="00B84AFA" w:rsidRPr="005F0BFC" w:rsidRDefault="00B84AFA" w:rsidP="00562DA7">
            <w:pPr>
              <w:widowControl/>
              <w:jc w:val="center"/>
              <w:rPr>
                <w:rFonts w:cs="Arial"/>
                <w:b/>
                <w:bCs/>
                <w:color w:val="000000"/>
                <w:sz w:val="20"/>
                <w:lang w:eastAsia="es-MX"/>
              </w:rPr>
            </w:pPr>
            <w:r w:rsidRPr="005F0BFC">
              <w:rPr>
                <w:rFonts w:cs="Arial"/>
                <w:b/>
                <w:bCs/>
                <w:color w:val="000000"/>
                <w:sz w:val="20"/>
                <w:lang w:eastAsia="es-MX"/>
              </w:rPr>
              <w:t> </w:t>
            </w:r>
          </w:p>
        </w:tc>
        <w:tc>
          <w:tcPr>
            <w:tcW w:w="1873" w:type="dxa"/>
            <w:tcBorders>
              <w:top w:val="nil"/>
              <w:left w:val="nil"/>
              <w:bottom w:val="nil"/>
              <w:right w:val="nil"/>
            </w:tcBorders>
            <w:shd w:val="clear" w:color="auto" w:fill="99C5CC"/>
            <w:vAlign w:val="center"/>
            <w:hideMark/>
          </w:tcPr>
          <w:p w14:paraId="57C0B58A" w14:textId="77777777" w:rsidR="00B84AFA" w:rsidRPr="005F0BFC" w:rsidRDefault="00B84AFA" w:rsidP="00562DA7">
            <w:pPr>
              <w:widowControl/>
              <w:jc w:val="center"/>
              <w:rPr>
                <w:rFonts w:cs="Arial"/>
                <w:b/>
                <w:bCs/>
                <w:color w:val="000000"/>
                <w:sz w:val="20"/>
                <w:lang w:eastAsia="es-MX"/>
              </w:rPr>
            </w:pPr>
            <w:r w:rsidRPr="005F0BFC">
              <w:rPr>
                <w:rFonts w:cs="Arial"/>
                <w:b/>
                <w:bCs/>
                <w:color w:val="000000"/>
                <w:sz w:val="20"/>
                <w:lang w:eastAsia="es-MX"/>
              </w:rPr>
              <w:t> </w:t>
            </w:r>
          </w:p>
        </w:tc>
        <w:tc>
          <w:tcPr>
            <w:tcW w:w="1873" w:type="dxa"/>
            <w:tcBorders>
              <w:top w:val="nil"/>
              <w:left w:val="nil"/>
              <w:bottom w:val="nil"/>
              <w:right w:val="nil"/>
            </w:tcBorders>
            <w:shd w:val="clear" w:color="auto" w:fill="99C5CC"/>
            <w:vAlign w:val="center"/>
            <w:hideMark/>
          </w:tcPr>
          <w:p w14:paraId="17015197" w14:textId="77777777" w:rsidR="00B84AFA" w:rsidRPr="005F0BFC" w:rsidRDefault="00B84AFA" w:rsidP="00562DA7">
            <w:pPr>
              <w:widowControl/>
              <w:jc w:val="center"/>
              <w:rPr>
                <w:rFonts w:cs="Arial"/>
                <w:b/>
                <w:bCs/>
                <w:color w:val="000000"/>
                <w:sz w:val="20"/>
                <w:lang w:eastAsia="es-MX"/>
              </w:rPr>
            </w:pPr>
            <w:r w:rsidRPr="005F0BFC">
              <w:rPr>
                <w:rFonts w:cs="Arial"/>
                <w:b/>
                <w:bCs/>
                <w:color w:val="000000"/>
                <w:sz w:val="20"/>
                <w:lang w:eastAsia="es-MX"/>
              </w:rPr>
              <w:t> </w:t>
            </w:r>
          </w:p>
        </w:tc>
      </w:tr>
      <w:tr w:rsidR="00B84AFA" w:rsidRPr="005F0BFC" w14:paraId="381AAEFD" w14:textId="77777777" w:rsidTr="00562DA7">
        <w:trPr>
          <w:trHeight w:val="300"/>
        </w:trPr>
        <w:tc>
          <w:tcPr>
            <w:tcW w:w="219" w:type="dxa"/>
            <w:tcBorders>
              <w:top w:val="nil"/>
              <w:left w:val="nil"/>
              <w:bottom w:val="nil"/>
              <w:right w:val="nil"/>
            </w:tcBorders>
            <w:shd w:val="clear" w:color="auto" w:fill="CCE2E6"/>
            <w:vAlign w:val="center"/>
            <w:hideMark/>
          </w:tcPr>
          <w:p w14:paraId="311F3ECE" w14:textId="77777777" w:rsidR="00B84AFA" w:rsidRPr="005F0BFC" w:rsidRDefault="00B84AFA" w:rsidP="00562DA7">
            <w:pPr>
              <w:widowControl/>
              <w:jc w:val="left"/>
              <w:rPr>
                <w:rFonts w:cs="Arial"/>
                <w:color w:val="000000"/>
                <w:sz w:val="20"/>
                <w:lang w:eastAsia="es-MX"/>
              </w:rPr>
            </w:pPr>
            <w:r w:rsidRPr="005F0BFC">
              <w:rPr>
                <w:rFonts w:cs="Arial"/>
                <w:color w:val="000000"/>
                <w:sz w:val="20"/>
                <w:lang w:eastAsia="es-MX"/>
              </w:rPr>
              <w:t> </w:t>
            </w:r>
          </w:p>
        </w:tc>
        <w:tc>
          <w:tcPr>
            <w:tcW w:w="4157" w:type="dxa"/>
            <w:tcBorders>
              <w:top w:val="nil"/>
              <w:left w:val="nil"/>
              <w:bottom w:val="nil"/>
              <w:right w:val="nil"/>
            </w:tcBorders>
            <w:shd w:val="clear" w:color="auto" w:fill="CCE2E6"/>
            <w:vAlign w:val="center"/>
            <w:hideMark/>
          </w:tcPr>
          <w:p w14:paraId="16B937C9" w14:textId="77777777" w:rsidR="00B84AFA" w:rsidRPr="005F0BFC" w:rsidRDefault="00B84AFA" w:rsidP="00562DA7">
            <w:pPr>
              <w:widowControl/>
              <w:jc w:val="left"/>
              <w:rPr>
                <w:rFonts w:cs="Arial"/>
                <w:color w:val="000000"/>
                <w:sz w:val="20"/>
                <w:lang w:eastAsia="es-MX"/>
              </w:rPr>
            </w:pPr>
            <w:r w:rsidRPr="005F0BFC">
              <w:rPr>
                <w:rFonts w:cs="Arial"/>
                <w:color w:val="000000"/>
                <w:sz w:val="20"/>
                <w:lang w:eastAsia="es-MX"/>
              </w:rPr>
              <w:t>Asiste</w:t>
            </w:r>
          </w:p>
        </w:tc>
        <w:tc>
          <w:tcPr>
            <w:tcW w:w="1872" w:type="dxa"/>
            <w:tcBorders>
              <w:top w:val="nil"/>
              <w:left w:val="nil"/>
              <w:bottom w:val="nil"/>
              <w:right w:val="nil"/>
            </w:tcBorders>
            <w:shd w:val="clear" w:color="auto" w:fill="CCE2E6"/>
            <w:vAlign w:val="center"/>
            <w:hideMark/>
          </w:tcPr>
          <w:p w14:paraId="5A9DD06B" w14:textId="77777777" w:rsidR="00B84AFA" w:rsidRPr="005F0BFC" w:rsidRDefault="00B84AFA" w:rsidP="00562DA7">
            <w:pPr>
              <w:widowControl/>
              <w:jc w:val="center"/>
              <w:rPr>
                <w:rFonts w:cs="Arial"/>
                <w:color w:val="000000"/>
                <w:sz w:val="20"/>
                <w:lang w:eastAsia="es-MX"/>
              </w:rPr>
            </w:pPr>
            <w:r w:rsidRPr="005F0BFC">
              <w:rPr>
                <w:rFonts w:cs="Arial"/>
                <w:color w:val="000000"/>
                <w:sz w:val="20"/>
                <w:lang w:eastAsia="es-MX"/>
              </w:rPr>
              <w:t>9.9</w:t>
            </w:r>
          </w:p>
        </w:tc>
        <w:tc>
          <w:tcPr>
            <w:tcW w:w="1873" w:type="dxa"/>
            <w:tcBorders>
              <w:top w:val="nil"/>
              <w:left w:val="nil"/>
              <w:bottom w:val="nil"/>
              <w:right w:val="nil"/>
            </w:tcBorders>
            <w:shd w:val="clear" w:color="auto" w:fill="CCE2E6"/>
            <w:vAlign w:val="center"/>
            <w:hideMark/>
          </w:tcPr>
          <w:p w14:paraId="73516DC3" w14:textId="77777777" w:rsidR="00B84AFA" w:rsidRPr="005F0BFC" w:rsidRDefault="00B84AFA" w:rsidP="00562DA7">
            <w:pPr>
              <w:widowControl/>
              <w:jc w:val="center"/>
              <w:rPr>
                <w:rFonts w:cs="Arial"/>
                <w:color w:val="000000"/>
                <w:sz w:val="20"/>
                <w:lang w:eastAsia="es-MX"/>
              </w:rPr>
            </w:pPr>
            <w:r w:rsidRPr="005F0BFC">
              <w:rPr>
                <w:rFonts w:cs="Arial"/>
                <w:color w:val="000000"/>
                <w:sz w:val="20"/>
                <w:lang w:eastAsia="es-MX"/>
              </w:rPr>
              <w:t>11.5</w:t>
            </w:r>
          </w:p>
        </w:tc>
        <w:tc>
          <w:tcPr>
            <w:tcW w:w="1873" w:type="dxa"/>
            <w:tcBorders>
              <w:top w:val="nil"/>
              <w:left w:val="nil"/>
              <w:bottom w:val="nil"/>
              <w:right w:val="nil"/>
            </w:tcBorders>
            <w:shd w:val="clear" w:color="auto" w:fill="CCE2E6"/>
            <w:vAlign w:val="center"/>
            <w:hideMark/>
          </w:tcPr>
          <w:p w14:paraId="15ECCA54" w14:textId="77777777" w:rsidR="00B84AFA" w:rsidRPr="005F0BFC" w:rsidRDefault="00B84AFA" w:rsidP="00562DA7">
            <w:pPr>
              <w:widowControl/>
              <w:jc w:val="center"/>
              <w:rPr>
                <w:rFonts w:cs="Arial"/>
                <w:color w:val="000000"/>
                <w:sz w:val="20"/>
                <w:lang w:eastAsia="es-MX"/>
              </w:rPr>
            </w:pPr>
            <w:r w:rsidRPr="005F0BFC">
              <w:rPr>
                <w:rFonts w:cs="Arial"/>
                <w:color w:val="000000"/>
                <w:sz w:val="20"/>
                <w:lang w:eastAsia="es-MX"/>
              </w:rPr>
              <w:t>8.4</w:t>
            </w:r>
          </w:p>
        </w:tc>
      </w:tr>
      <w:tr w:rsidR="00B84AFA" w:rsidRPr="005F0BFC" w14:paraId="53AC8A6E" w14:textId="77777777" w:rsidTr="00562DA7">
        <w:trPr>
          <w:trHeight w:val="300"/>
        </w:trPr>
        <w:tc>
          <w:tcPr>
            <w:tcW w:w="219" w:type="dxa"/>
            <w:tcBorders>
              <w:top w:val="nil"/>
              <w:left w:val="nil"/>
              <w:bottom w:val="nil"/>
              <w:right w:val="nil"/>
            </w:tcBorders>
            <w:shd w:val="clear" w:color="auto" w:fill="CCE2E6"/>
            <w:vAlign w:val="center"/>
            <w:hideMark/>
          </w:tcPr>
          <w:p w14:paraId="72B7FBC5" w14:textId="77777777" w:rsidR="00B84AFA" w:rsidRPr="005F0BFC" w:rsidRDefault="00B84AFA" w:rsidP="00562DA7">
            <w:pPr>
              <w:widowControl/>
              <w:jc w:val="left"/>
              <w:rPr>
                <w:rFonts w:cs="Arial"/>
                <w:color w:val="000000"/>
                <w:sz w:val="20"/>
                <w:lang w:eastAsia="es-MX"/>
              </w:rPr>
            </w:pPr>
            <w:r w:rsidRPr="005F0BFC">
              <w:rPr>
                <w:rFonts w:cs="Arial"/>
                <w:color w:val="000000"/>
                <w:sz w:val="20"/>
                <w:lang w:eastAsia="es-MX"/>
              </w:rPr>
              <w:t> </w:t>
            </w:r>
          </w:p>
        </w:tc>
        <w:tc>
          <w:tcPr>
            <w:tcW w:w="4157" w:type="dxa"/>
            <w:tcBorders>
              <w:top w:val="nil"/>
              <w:left w:val="nil"/>
              <w:bottom w:val="nil"/>
              <w:right w:val="nil"/>
            </w:tcBorders>
            <w:shd w:val="clear" w:color="auto" w:fill="CCE2E6"/>
            <w:vAlign w:val="center"/>
            <w:hideMark/>
          </w:tcPr>
          <w:p w14:paraId="1742A8EF" w14:textId="77777777" w:rsidR="00B84AFA" w:rsidRPr="005F0BFC" w:rsidRDefault="00B84AFA" w:rsidP="00562DA7">
            <w:pPr>
              <w:widowControl/>
              <w:jc w:val="left"/>
              <w:rPr>
                <w:rFonts w:cs="Arial"/>
                <w:color w:val="000000"/>
                <w:sz w:val="20"/>
                <w:lang w:eastAsia="es-MX"/>
              </w:rPr>
            </w:pPr>
            <w:r w:rsidRPr="005F0BFC">
              <w:rPr>
                <w:rFonts w:cs="Arial"/>
                <w:color w:val="000000"/>
                <w:sz w:val="20"/>
                <w:lang w:eastAsia="es-MX"/>
              </w:rPr>
              <w:t>No asiste</w:t>
            </w:r>
          </w:p>
        </w:tc>
        <w:tc>
          <w:tcPr>
            <w:tcW w:w="1872" w:type="dxa"/>
            <w:tcBorders>
              <w:top w:val="nil"/>
              <w:left w:val="nil"/>
              <w:bottom w:val="nil"/>
              <w:right w:val="nil"/>
            </w:tcBorders>
            <w:shd w:val="clear" w:color="auto" w:fill="CCE2E6"/>
            <w:vAlign w:val="center"/>
            <w:hideMark/>
          </w:tcPr>
          <w:p w14:paraId="73578FBE" w14:textId="77777777" w:rsidR="00B84AFA" w:rsidRPr="005F0BFC" w:rsidRDefault="00B84AFA" w:rsidP="00562DA7">
            <w:pPr>
              <w:widowControl/>
              <w:jc w:val="center"/>
              <w:rPr>
                <w:rFonts w:cs="Arial"/>
                <w:color w:val="000000"/>
                <w:sz w:val="20"/>
                <w:lang w:eastAsia="es-MX"/>
              </w:rPr>
            </w:pPr>
            <w:r w:rsidRPr="005F0BFC">
              <w:rPr>
                <w:rFonts w:cs="Arial"/>
                <w:color w:val="000000"/>
                <w:sz w:val="20"/>
                <w:lang w:eastAsia="es-MX"/>
              </w:rPr>
              <w:t>52.1</w:t>
            </w:r>
          </w:p>
        </w:tc>
        <w:tc>
          <w:tcPr>
            <w:tcW w:w="1873" w:type="dxa"/>
            <w:tcBorders>
              <w:top w:val="nil"/>
              <w:left w:val="nil"/>
              <w:bottom w:val="nil"/>
              <w:right w:val="nil"/>
            </w:tcBorders>
            <w:shd w:val="clear" w:color="auto" w:fill="CCE2E6"/>
            <w:vAlign w:val="center"/>
            <w:hideMark/>
          </w:tcPr>
          <w:p w14:paraId="013271B3" w14:textId="77777777" w:rsidR="00B84AFA" w:rsidRPr="005F0BFC" w:rsidRDefault="00B84AFA" w:rsidP="00562DA7">
            <w:pPr>
              <w:widowControl/>
              <w:jc w:val="center"/>
              <w:rPr>
                <w:rFonts w:cs="Arial"/>
                <w:color w:val="000000"/>
                <w:sz w:val="20"/>
                <w:lang w:eastAsia="es-MX"/>
              </w:rPr>
            </w:pPr>
            <w:r w:rsidRPr="005F0BFC">
              <w:rPr>
                <w:rFonts w:cs="Arial"/>
                <w:color w:val="000000"/>
                <w:sz w:val="20"/>
                <w:lang w:eastAsia="es-MX"/>
              </w:rPr>
              <w:t>60.5</w:t>
            </w:r>
          </w:p>
        </w:tc>
        <w:tc>
          <w:tcPr>
            <w:tcW w:w="1873" w:type="dxa"/>
            <w:tcBorders>
              <w:top w:val="nil"/>
              <w:left w:val="nil"/>
              <w:bottom w:val="nil"/>
              <w:right w:val="nil"/>
            </w:tcBorders>
            <w:shd w:val="clear" w:color="auto" w:fill="CCE2E6"/>
            <w:vAlign w:val="center"/>
            <w:hideMark/>
          </w:tcPr>
          <w:p w14:paraId="0740954E" w14:textId="77777777" w:rsidR="00B84AFA" w:rsidRPr="005F0BFC" w:rsidRDefault="00B84AFA" w:rsidP="00562DA7">
            <w:pPr>
              <w:widowControl/>
              <w:jc w:val="center"/>
              <w:rPr>
                <w:rFonts w:cs="Arial"/>
                <w:color w:val="000000"/>
                <w:sz w:val="20"/>
                <w:lang w:eastAsia="es-MX"/>
              </w:rPr>
            </w:pPr>
            <w:r w:rsidRPr="005F0BFC">
              <w:rPr>
                <w:rFonts w:cs="Arial"/>
                <w:color w:val="000000"/>
                <w:sz w:val="20"/>
                <w:lang w:eastAsia="es-MX"/>
              </w:rPr>
              <w:t>41.7</w:t>
            </w:r>
          </w:p>
        </w:tc>
      </w:tr>
      <w:tr w:rsidR="00B84AFA" w:rsidRPr="005F0BFC" w14:paraId="0C088ECC" w14:textId="77777777" w:rsidTr="00562DA7">
        <w:trPr>
          <w:trHeight w:val="300"/>
        </w:trPr>
        <w:tc>
          <w:tcPr>
            <w:tcW w:w="4376" w:type="dxa"/>
            <w:gridSpan w:val="2"/>
            <w:tcBorders>
              <w:top w:val="nil"/>
              <w:left w:val="nil"/>
              <w:bottom w:val="nil"/>
              <w:right w:val="nil"/>
            </w:tcBorders>
            <w:shd w:val="clear" w:color="auto" w:fill="99C5CC"/>
            <w:vAlign w:val="center"/>
            <w:hideMark/>
          </w:tcPr>
          <w:p w14:paraId="1D47930A" w14:textId="77777777" w:rsidR="00B84AFA" w:rsidRPr="005F0BFC" w:rsidRDefault="00B84AFA" w:rsidP="00562DA7">
            <w:pPr>
              <w:widowControl/>
              <w:jc w:val="left"/>
              <w:rPr>
                <w:rFonts w:cs="Arial"/>
                <w:b/>
                <w:bCs/>
                <w:color w:val="000000"/>
                <w:sz w:val="20"/>
                <w:lang w:eastAsia="es-MX"/>
              </w:rPr>
            </w:pPr>
            <w:r w:rsidRPr="005F0BFC">
              <w:rPr>
                <w:rFonts w:cs="Arial"/>
                <w:b/>
                <w:bCs/>
                <w:color w:val="000000"/>
                <w:sz w:val="20"/>
                <w:lang w:eastAsia="es-MX"/>
              </w:rPr>
              <w:t>Tipo de localidad</w:t>
            </w:r>
          </w:p>
        </w:tc>
        <w:tc>
          <w:tcPr>
            <w:tcW w:w="1872" w:type="dxa"/>
            <w:tcBorders>
              <w:top w:val="nil"/>
              <w:left w:val="nil"/>
              <w:bottom w:val="nil"/>
              <w:right w:val="nil"/>
            </w:tcBorders>
            <w:shd w:val="clear" w:color="auto" w:fill="99C5CC"/>
            <w:vAlign w:val="center"/>
            <w:hideMark/>
          </w:tcPr>
          <w:p w14:paraId="5DE0A62C" w14:textId="77777777" w:rsidR="00B84AFA" w:rsidRPr="005F0BFC" w:rsidRDefault="00B84AFA" w:rsidP="00562DA7">
            <w:pPr>
              <w:widowControl/>
              <w:jc w:val="center"/>
              <w:rPr>
                <w:rFonts w:cs="Arial"/>
                <w:b/>
                <w:bCs/>
                <w:color w:val="000000"/>
                <w:sz w:val="20"/>
                <w:lang w:eastAsia="es-MX"/>
              </w:rPr>
            </w:pPr>
            <w:r w:rsidRPr="005F0BFC">
              <w:rPr>
                <w:rFonts w:cs="Arial"/>
                <w:b/>
                <w:bCs/>
                <w:color w:val="000000"/>
                <w:sz w:val="20"/>
                <w:lang w:eastAsia="es-MX"/>
              </w:rPr>
              <w:t> </w:t>
            </w:r>
          </w:p>
        </w:tc>
        <w:tc>
          <w:tcPr>
            <w:tcW w:w="1873" w:type="dxa"/>
            <w:tcBorders>
              <w:top w:val="nil"/>
              <w:left w:val="nil"/>
              <w:bottom w:val="nil"/>
              <w:right w:val="nil"/>
            </w:tcBorders>
            <w:shd w:val="clear" w:color="auto" w:fill="99C5CC"/>
            <w:vAlign w:val="center"/>
            <w:hideMark/>
          </w:tcPr>
          <w:p w14:paraId="0E53C107" w14:textId="77777777" w:rsidR="00B84AFA" w:rsidRPr="005F0BFC" w:rsidRDefault="00B84AFA" w:rsidP="00562DA7">
            <w:pPr>
              <w:widowControl/>
              <w:jc w:val="center"/>
              <w:rPr>
                <w:rFonts w:cs="Arial"/>
                <w:b/>
                <w:bCs/>
                <w:color w:val="000000"/>
                <w:sz w:val="20"/>
                <w:lang w:eastAsia="es-MX"/>
              </w:rPr>
            </w:pPr>
            <w:r w:rsidRPr="005F0BFC">
              <w:rPr>
                <w:rFonts w:cs="Arial"/>
                <w:b/>
                <w:bCs/>
                <w:color w:val="000000"/>
                <w:sz w:val="20"/>
                <w:lang w:eastAsia="es-MX"/>
              </w:rPr>
              <w:t> </w:t>
            </w:r>
          </w:p>
        </w:tc>
        <w:tc>
          <w:tcPr>
            <w:tcW w:w="1873" w:type="dxa"/>
            <w:tcBorders>
              <w:top w:val="nil"/>
              <w:left w:val="nil"/>
              <w:bottom w:val="nil"/>
              <w:right w:val="nil"/>
            </w:tcBorders>
            <w:shd w:val="clear" w:color="auto" w:fill="99C5CC"/>
            <w:vAlign w:val="center"/>
            <w:hideMark/>
          </w:tcPr>
          <w:p w14:paraId="3E20D141" w14:textId="77777777" w:rsidR="00B84AFA" w:rsidRPr="005F0BFC" w:rsidRDefault="00B84AFA" w:rsidP="00562DA7">
            <w:pPr>
              <w:widowControl/>
              <w:jc w:val="center"/>
              <w:rPr>
                <w:rFonts w:cs="Arial"/>
                <w:b/>
                <w:bCs/>
                <w:color w:val="000000"/>
                <w:sz w:val="20"/>
                <w:lang w:eastAsia="es-MX"/>
              </w:rPr>
            </w:pPr>
            <w:r w:rsidRPr="005F0BFC">
              <w:rPr>
                <w:rFonts w:cs="Arial"/>
                <w:b/>
                <w:bCs/>
                <w:color w:val="000000"/>
                <w:sz w:val="20"/>
                <w:lang w:eastAsia="es-MX"/>
              </w:rPr>
              <w:t> </w:t>
            </w:r>
          </w:p>
        </w:tc>
      </w:tr>
      <w:tr w:rsidR="00B84AFA" w:rsidRPr="005F0BFC" w14:paraId="5DB9CCE3" w14:textId="77777777" w:rsidTr="00562DA7">
        <w:trPr>
          <w:trHeight w:val="300"/>
        </w:trPr>
        <w:tc>
          <w:tcPr>
            <w:tcW w:w="219" w:type="dxa"/>
            <w:tcBorders>
              <w:top w:val="nil"/>
              <w:left w:val="nil"/>
              <w:right w:val="nil"/>
            </w:tcBorders>
            <w:shd w:val="clear" w:color="auto" w:fill="CCE2E6"/>
            <w:vAlign w:val="center"/>
            <w:hideMark/>
          </w:tcPr>
          <w:p w14:paraId="3F5AD5F7" w14:textId="77777777" w:rsidR="00B84AFA" w:rsidRPr="005F0BFC" w:rsidRDefault="00B84AFA" w:rsidP="00562DA7">
            <w:pPr>
              <w:widowControl/>
              <w:jc w:val="left"/>
              <w:rPr>
                <w:rFonts w:cs="Arial"/>
                <w:color w:val="000000"/>
                <w:sz w:val="20"/>
                <w:lang w:eastAsia="es-MX"/>
              </w:rPr>
            </w:pPr>
            <w:r w:rsidRPr="005F0BFC">
              <w:rPr>
                <w:rFonts w:cs="Arial"/>
                <w:color w:val="000000"/>
                <w:sz w:val="20"/>
                <w:lang w:eastAsia="es-MX"/>
              </w:rPr>
              <w:t> </w:t>
            </w:r>
          </w:p>
        </w:tc>
        <w:tc>
          <w:tcPr>
            <w:tcW w:w="4157" w:type="dxa"/>
            <w:tcBorders>
              <w:top w:val="nil"/>
              <w:left w:val="nil"/>
              <w:right w:val="nil"/>
            </w:tcBorders>
            <w:shd w:val="clear" w:color="auto" w:fill="CCE2E6"/>
            <w:vAlign w:val="center"/>
            <w:hideMark/>
          </w:tcPr>
          <w:p w14:paraId="1ACF44DE" w14:textId="77777777" w:rsidR="00B84AFA" w:rsidRPr="005F0BFC" w:rsidRDefault="00B84AFA" w:rsidP="00562DA7">
            <w:pPr>
              <w:widowControl/>
              <w:jc w:val="left"/>
              <w:rPr>
                <w:rFonts w:cs="Arial"/>
                <w:color w:val="000000"/>
                <w:sz w:val="20"/>
                <w:lang w:eastAsia="es-MX"/>
              </w:rPr>
            </w:pPr>
            <w:r w:rsidRPr="005F0BFC">
              <w:rPr>
                <w:rFonts w:cs="Arial"/>
                <w:color w:val="000000"/>
                <w:sz w:val="20"/>
                <w:lang w:eastAsia="es-MX"/>
              </w:rPr>
              <w:t>Áreas más urbanizadas</w:t>
            </w:r>
            <w:r w:rsidRPr="005F0BFC">
              <w:rPr>
                <w:rFonts w:cs="Arial"/>
                <w:color w:val="000000"/>
                <w:sz w:val="20"/>
                <w:vertAlign w:val="superscript"/>
                <w:lang w:eastAsia="es-MX"/>
              </w:rPr>
              <w:t>1</w:t>
            </w:r>
          </w:p>
        </w:tc>
        <w:tc>
          <w:tcPr>
            <w:tcW w:w="1872" w:type="dxa"/>
            <w:tcBorders>
              <w:top w:val="nil"/>
              <w:left w:val="nil"/>
              <w:right w:val="nil"/>
            </w:tcBorders>
            <w:shd w:val="clear" w:color="auto" w:fill="CCE2E6"/>
            <w:vAlign w:val="center"/>
            <w:hideMark/>
          </w:tcPr>
          <w:p w14:paraId="1C91ADDA" w14:textId="77777777" w:rsidR="00B84AFA" w:rsidRPr="005F0BFC" w:rsidRDefault="00B84AFA" w:rsidP="00562DA7">
            <w:pPr>
              <w:widowControl/>
              <w:jc w:val="center"/>
              <w:rPr>
                <w:rFonts w:cs="Arial"/>
                <w:color w:val="000000"/>
                <w:sz w:val="20"/>
                <w:lang w:eastAsia="es-MX"/>
              </w:rPr>
            </w:pPr>
            <w:r w:rsidRPr="005F0BFC">
              <w:rPr>
                <w:rFonts w:cs="Arial"/>
                <w:color w:val="000000"/>
                <w:sz w:val="20"/>
                <w:lang w:eastAsia="es-MX"/>
              </w:rPr>
              <w:t>8.4</w:t>
            </w:r>
          </w:p>
        </w:tc>
        <w:tc>
          <w:tcPr>
            <w:tcW w:w="1873" w:type="dxa"/>
            <w:tcBorders>
              <w:top w:val="nil"/>
              <w:left w:val="nil"/>
              <w:right w:val="nil"/>
            </w:tcBorders>
            <w:shd w:val="clear" w:color="auto" w:fill="CCE2E6"/>
            <w:vAlign w:val="center"/>
            <w:hideMark/>
          </w:tcPr>
          <w:p w14:paraId="1BC73653" w14:textId="77777777" w:rsidR="00B84AFA" w:rsidRPr="005F0BFC" w:rsidRDefault="00B84AFA" w:rsidP="00562DA7">
            <w:pPr>
              <w:widowControl/>
              <w:jc w:val="center"/>
              <w:rPr>
                <w:rFonts w:cs="Arial"/>
                <w:color w:val="000000"/>
                <w:sz w:val="20"/>
                <w:lang w:eastAsia="es-MX"/>
              </w:rPr>
            </w:pPr>
            <w:r w:rsidRPr="005F0BFC">
              <w:rPr>
                <w:rFonts w:cs="Arial"/>
                <w:color w:val="000000"/>
                <w:sz w:val="20"/>
                <w:lang w:eastAsia="es-MX"/>
              </w:rPr>
              <w:t>9.7</w:t>
            </w:r>
          </w:p>
        </w:tc>
        <w:tc>
          <w:tcPr>
            <w:tcW w:w="1873" w:type="dxa"/>
            <w:tcBorders>
              <w:top w:val="nil"/>
              <w:left w:val="nil"/>
              <w:right w:val="nil"/>
            </w:tcBorders>
            <w:shd w:val="clear" w:color="auto" w:fill="CCE2E6"/>
            <w:vAlign w:val="center"/>
            <w:hideMark/>
          </w:tcPr>
          <w:p w14:paraId="447BD57C" w14:textId="77777777" w:rsidR="00B84AFA" w:rsidRPr="005F0BFC" w:rsidRDefault="00B84AFA" w:rsidP="00562DA7">
            <w:pPr>
              <w:widowControl/>
              <w:jc w:val="center"/>
              <w:rPr>
                <w:rFonts w:cs="Arial"/>
                <w:color w:val="000000"/>
                <w:sz w:val="20"/>
                <w:lang w:eastAsia="es-MX"/>
              </w:rPr>
            </w:pPr>
            <w:r w:rsidRPr="005F0BFC">
              <w:rPr>
                <w:rFonts w:cs="Arial"/>
                <w:color w:val="000000"/>
                <w:sz w:val="20"/>
                <w:lang w:eastAsia="es-MX"/>
              </w:rPr>
              <w:t>7.1</w:t>
            </w:r>
          </w:p>
        </w:tc>
      </w:tr>
      <w:tr w:rsidR="00B84AFA" w:rsidRPr="005F0BFC" w14:paraId="7591BF3B" w14:textId="77777777" w:rsidTr="00562DA7">
        <w:trPr>
          <w:trHeight w:val="300"/>
        </w:trPr>
        <w:tc>
          <w:tcPr>
            <w:tcW w:w="219" w:type="dxa"/>
            <w:tcBorders>
              <w:top w:val="nil"/>
              <w:left w:val="nil"/>
              <w:right w:val="nil"/>
            </w:tcBorders>
            <w:shd w:val="clear" w:color="auto" w:fill="CCE2E6"/>
            <w:vAlign w:val="center"/>
            <w:hideMark/>
          </w:tcPr>
          <w:p w14:paraId="3BF60E4F" w14:textId="77777777" w:rsidR="00B84AFA" w:rsidRPr="005F0BFC" w:rsidRDefault="00B84AFA" w:rsidP="00562DA7">
            <w:pPr>
              <w:widowControl/>
              <w:jc w:val="left"/>
              <w:rPr>
                <w:rFonts w:cs="Arial"/>
                <w:color w:val="000000"/>
                <w:sz w:val="20"/>
                <w:lang w:eastAsia="es-MX"/>
              </w:rPr>
            </w:pPr>
            <w:r w:rsidRPr="005F0BFC">
              <w:rPr>
                <w:rFonts w:cs="Arial"/>
                <w:color w:val="000000"/>
                <w:sz w:val="20"/>
                <w:lang w:eastAsia="es-MX"/>
              </w:rPr>
              <w:t> </w:t>
            </w:r>
          </w:p>
        </w:tc>
        <w:tc>
          <w:tcPr>
            <w:tcW w:w="4157" w:type="dxa"/>
            <w:tcBorders>
              <w:top w:val="nil"/>
              <w:left w:val="nil"/>
              <w:right w:val="nil"/>
            </w:tcBorders>
            <w:shd w:val="clear" w:color="auto" w:fill="CCE2E6"/>
            <w:vAlign w:val="center"/>
            <w:hideMark/>
          </w:tcPr>
          <w:p w14:paraId="698FD17A" w14:textId="77777777" w:rsidR="00B84AFA" w:rsidRPr="005F0BFC" w:rsidRDefault="00B84AFA" w:rsidP="00562DA7">
            <w:pPr>
              <w:widowControl/>
              <w:jc w:val="left"/>
              <w:rPr>
                <w:rFonts w:cs="Arial"/>
                <w:color w:val="000000"/>
                <w:sz w:val="20"/>
                <w:lang w:eastAsia="es-MX"/>
              </w:rPr>
            </w:pPr>
            <w:r w:rsidRPr="005F0BFC">
              <w:rPr>
                <w:rFonts w:cs="Arial"/>
                <w:color w:val="000000"/>
                <w:sz w:val="20"/>
                <w:lang w:eastAsia="es-MX"/>
              </w:rPr>
              <w:t>Áreas menos urbanizadas</w:t>
            </w:r>
            <w:r w:rsidRPr="005F0BFC">
              <w:rPr>
                <w:rFonts w:cs="Arial"/>
                <w:color w:val="000000"/>
                <w:sz w:val="20"/>
                <w:vertAlign w:val="superscript"/>
                <w:lang w:eastAsia="es-MX"/>
              </w:rPr>
              <w:t>2</w:t>
            </w:r>
          </w:p>
        </w:tc>
        <w:tc>
          <w:tcPr>
            <w:tcW w:w="1872" w:type="dxa"/>
            <w:tcBorders>
              <w:top w:val="nil"/>
              <w:left w:val="nil"/>
              <w:right w:val="nil"/>
            </w:tcBorders>
            <w:shd w:val="clear" w:color="auto" w:fill="CCE2E6"/>
            <w:vAlign w:val="center"/>
            <w:hideMark/>
          </w:tcPr>
          <w:p w14:paraId="4D641AEC" w14:textId="77777777" w:rsidR="00B84AFA" w:rsidRPr="005F0BFC" w:rsidRDefault="00B84AFA" w:rsidP="00562DA7">
            <w:pPr>
              <w:widowControl/>
              <w:jc w:val="center"/>
              <w:rPr>
                <w:rFonts w:cs="Arial"/>
                <w:color w:val="000000"/>
                <w:sz w:val="20"/>
                <w:lang w:eastAsia="es-MX"/>
              </w:rPr>
            </w:pPr>
            <w:r w:rsidRPr="005F0BFC">
              <w:rPr>
                <w:rFonts w:cs="Arial"/>
                <w:color w:val="000000"/>
                <w:sz w:val="20"/>
                <w:lang w:eastAsia="es-MX"/>
              </w:rPr>
              <w:t>16.4</w:t>
            </w:r>
          </w:p>
        </w:tc>
        <w:tc>
          <w:tcPr>
            <w:tcW w:w="1873" w:type="dxa"/>
            <w:tcBorders>
              <w:top w:val="nil"/>
              <w:left w:val="nil"/>
              <w:right w:val="nil"/>
            </w:tcBorders>
            <w:shd w:val="clear" w:color="auto" w:fill="CCE2E6"/>
            <w:vAlign w:val="center"/>
            <w:hideMark/>
          </w:tcPr>
          <w:p w14:paraId="1469B544" w14:textId="77777777" w:rsidR="00B84AFA" w:rsidRPr="005F0BFC" w:rsidRDefault="00B84AFA" w:rsidP="00562DA7">
            <w:pPr>
              <w:widowControl/>
              <w:jc w:val="center"/>
              <w:rPr>
                <w:rFonts w:cs="Arial"/>
                <w:color w:val="000000"/>
                <w:sz w:val="20"/>
                <w:lang w:eastAsia="es-MX"/>
              </w:rPr>
            </w:pPr>
            <w:r w:rsidRPr="005F0BFC">
              <w:rPr>
                <w:rFonts w:cs="Arial"/>
                <w:color w:val="000000"/>
                <w:sz w:val="20"/>
                <w:lang w:eastAsia="es-MX"/>
              </w:rPr>
              <w:t>19.6</w:t>
            </w:r>
          </w:p>
        </w:tc>
        <w:tc>
          <w:tcPr>
            <w:tcW w:w="1873" w:type="dxa"/>
            <w:tcBorders>
              <w:top w:val="nil"/>
              <w:left w:val="nil"/>
              <w:right w:val="nil"/>
            </w:tcBorders>
            <w:shd w:val="clear" w:color="auto" w:fill="CCE2E6"/>
            <w:vAlign w:val="center"/>
            <w:hideMark/>
          </w:tcPr>
          <w:p w14:paraId="365BA9E6" w14:textId="77777777" w:rsidR="00B84AFA" w:rsidRPr="005F0BFC" w:rsidRDefault="00B84AFA" w:rsidP="00562DA7">
            <w:pPr>
              <w:widowControl/>
              <w:jc w:val="center"/>
              <w:rPr>
                <w:rFonts w:cs="Arial"/>
                <w:color w:val="000000"/>
                <w:sz w:val="20"/>
                <w:lang w:eastAsia="es-MX"/>
              </w:rPr>
            </w:pPr>
            <w:r w:rsidRPr="005F0BFC">
              <w:rPr>
                <w:rFonts w:cs="Arial"/>
                <w:color w:val="000000"/>
                <w:sz w:val="20"/>
                <w:lang w:eastAsia="es-MX"/>
              </w:rPr>
              <w:t>13.2</w:t>
            </w:r>
          </w:p>
        </w:tc>
      </w:tr>
    </w:tbl>
    <w:p w14:paraId="7362431A" w14:textId="06C14EB2" w:rsidR="00B84AFA" w:rsidRPr="00CD6FE9" w:rsidRDefault="006F4870" w:rsidP="00B84AFA">
      <w:pPr>
        <w:widowControl/>
        <w:autoSpaceDE w:val="0"/>
        <w:autoSpaceDN w:val="0"/>
        <w:adjustRightInd w:val="0"/>
        <w:rPr>
          <w:rFonts w:cs="Arial"/>
          <w:color w:val="000000" w:themeColor="text1"/>
          <w:sz w:val="16"/>
          <w:szCs w:val="16"/>
        </w:rPr>
      </w:pPr>
      <w:r>
        <w:rPr>
          <w:rFonts w:cs="Arial"/>
          <w:color w:val="000000" w:themeColor="text1"/>
          <w:sz w:val="16"/>
          <w:szCs w:val="16"/>
          <w:vertAlign w:val="superscript"/>
        </w:rPr>
        <w:t xml:space="preserve">  </w:t>
      </w:r>
      <w:r w:rsidR="00B84AFA" w:rsidRPr="00CD6FE9">
        <w:rPr>
          <w:rFonts w:cs="Arial"/>
          <w:color w:val="000000" w:themeColor="text1"/>
          <w:sz w:val="16"/>
          <w:szCs w:val="16"/>
          <w:vertAlign w:val="superscript"/>
        </w:rPr>
        <w:t>1</w:t>
      </w:r>
      <w:r w:rsidR="00B84AFA" w:rsidRPr="00CD6FE9">
        <w:rPr>
          <w:rFonts w:cs="Arial"/>
          <w:color w:val="000000" w:themeColor="text1"/>
          <w:sz w:val="16"/>
          <w:szCs w:val="16"/>
        </w:rPr>
        <w:t xml:space="preserve"> </w:t>
      </w:r>
      <w:r w:rsidR="007841FA">
        <w:rPr>
          <w:rFonts w:cs="Arial"/>
          <w:color w:val="000000" w:themeColor="text1"/>
          <w:sz w:val="16"/>
          <w:szCs w:val="16"/>
        </w:rPr>
        <w:t xml:space="preserve">            </w:t>
      </w:r>
      <w:proofErr w:type="gramStart"/>
      <w:r w:rsidR="00B84AFA" w:rsidRPr="00CD6FE9">
        <w:rPr>
          <w:rFonts w:cs="Arial"/>
          <w:color w:val="000000" w:themeColor="text1"/>
          <w:sz w:val="16"/>
          <w:szCs w:val="16"/>
        </w:rPr>
        <w:t>Localidades</w:t>
      </w:r>
      <w:proofErr w:type="gramEnd"/>
      <w:r w:rsidR="00B84AFA" w:rsidRPr="00CD6FE9">
        <w:rPr>
          <w:rFonts w:cs="Arial"/>
          <w:color w:val="000000" w:themeColor="text1"/>
          <w:sz w:val="16"/>
          <w:szCs w:val="16"/>
        </w:rPr>
        <w:t xml:space="preserve"> de 100 mil y más habitantes.</w:t>
      </w:r>
    </w:p>
    <w:p w14:paraId="1BB52247" w14:textId="2BD43350" w:rsidR="00B84AFA" w:rsidRPr="009135F6" w:rsidRDefault="006F4870" w:rsidP="00B84AFA">
      <w:pPr>
        <w:widowControl/>
        <w:autoSpaceDE w:val="0"/>
        <w:autoSpaceDN w:val="0"/>
        <w:adjustRightInd w:val="0"/>
        <w:rPr>
          <w:rFonts w:cs="Arial"/>
          <w:color w:val="000000" w:themeColor="text1"/>
          <w:sz w:val="16"/>
          <w:szCs w:val="16"/>
          <w:lang w:val="pt-PT"/>
        </w:rPr>
      </w:pPr>
      <w:r w:rsidRPr="00533F36">
        <w:rPr>
          <w:rFonts w:cs="Arial"/>
          <w:color w:val="000000" w:themeColor="text1"/>
          <w:sz w:val="16"/>
          <w:szCs w:val="16"/>
          <w:vertAlign w:val="superscript"/>
        </w:rPr>
        <w:t xml:space="preserve">  </w:t>
      </w:r>
      <w:r w:rsidR="00B84AFA" w:rsidRPr="009135F6">
        <w:rPr>
          <w:rFonts w:cs="Arial"/>
          <w:color w:val="000000" w:themeColor="text1"/>
          <w:sz w:val="16"/>
          <w:szCs w:val="16"/>
          <w:vertAlign w:val="superscript"/>
          <w:lang w:val="pt-PT"/>
        </w:rPr>
        <w:t>2</w:t>
      </w:r>
      <w:r w:rsidR="00B84AFA" w:rsidRPr="009135F6">
        <w:rPr>
          <w:rFonts w:cs="Arial"/>
          <w:color w:val="000000" w:themeColor="text1"/>
          <w:sz w:val="16"/>
          <w:szCs w:val="16"/>
          <w:lang w:val="pt-PT"/>
        </w:rPr>
        <w:t xml:space="preserve"> </w:t>
      </w:r>
      <w:r w:rsidR="007841FA">
        <w:rPr>
          <w:rFonts w:cs="Arial"/>
          <w:color w:val="000000" w:themeColor="text1"/>
          <w:sz w:val="16"/>
          <w:szCs w:val="16"/>
          <w:lang w:val="pt-PT"/>
        </w:rPr>
        <w:t xml:space="preserve">            </w:t>
      </w:r>
      <w:r w:rsidR="00B84AFA" w:rsidRPr="009135F6">
        <w:rPr>
          <w:rFonts w:cs="Arial"/>
          <w:color w:val="000000" w:themeColor="text1"/>
          <w:sz w:val="16"/>
          <w:szCs w:val="16"/>
          <w:lang w:val="pt-PT"/>
        </w:rPr>
        <w:t>Localidades menores de 100 mil habitantes.</w:t>
      </w:r>
    </w:p>
    <w:p w14:paraId="0EF0AB94" w14:textId="2D916884" w:rsidR="00B84AFA" w:rsidRPr="00CD6FE9" w:rsidRDefault="006F4870" w:rsidP="00B84AFA">
      <w:pPr>
        <w:widowControl/>
        <w:autoSpaceDE w:val="0"/>
        <w:autoSpaceDN w:val="0"/>
        <w:adjustRightInd w:val="0"/>
        <w:rPr>
          <w:rFonts w:cs="Arial"/>
          <w:sz w:val="16"/>
          <w:szCs w:val="16"/>
        </w:rPr>
      </w:pPr>
      <w:r w:rsidRPr="00533F36">
        <w:rPr>
          <w:rFonts w:cs="Arial"/>
          <w:color w:val="000000" w:themeColor="text1"/>
          <w:sz w:val="16"/>
          <w:szCs w:val="16"/>
          <w:lang w:val="pt-PT"/>
        </w:rPr>
        <w:t xml:space="preserve"> </w:t>
      </w:r>
      <w:r w:rsidR="00C56872" w:rsidRPr="00533F36">
        <w:rPr>
          <w:rFonts w:cs="Arial"/>
          <w:color w:val="000000" w:themeColor="text1"/>
          <w:sz w:val="16"/>
          <w:szCs w:val="16"/>
          <w:lang w:val="pt-PT"/>
        </w:rPr>
        <w:t xml:space="preserve"> </w:t>
      </w:r>
      <w:r w:rsidR="00B84AFA" w:rsidRPr="00CD6FE9">
        <w:rPr>
          <w:rFonts w:cs="Arial"/>
          <w:color w:val="000000" w:themeColor="text1"/>
          <w:sz w:val="16"/>
          <w:szCs w:val="16"/>
        </w:rPr>
        <w:t>Fuente: INEGI, ENTI. 2022.</w:t>
      </w:r>
    </w:p>
    <w:p w14:paraId="15040ABE" w14:textId="77777777" w:rsidR="009E105D" w:rsidRDefault="009E105D" w:rsidP="009428B0">
      <w:pPr>
        <w:widowControl/>
        <w:autoSpaceDE w:val="0"/>
        <w:autoSpaceDN w:val="0"/>
        <w:adjustRightInd w:val="0"/>
        <w:rPr>
          <w:rFonts w:cs="Arial"/>
          <w:szCs w:val="24"/>
        </w:rPr>
      </w:pPr>
    </w:p>
    <w:p w14:paraId="734C8482" w14:textId="07CF2163" w:rsidR="004E1CBA" w:rsidRDefault="00791592" w:rsidP="007841FA">
      <w:pPr>
        <w:widowControl/>
        <w:autoSpaceDE w:val="0"/>
        <w:autoSpaceDN w:val="0"/>
        <w:adjustRightInd w:val="0"/>
        <w:ind w:right="51"/>
        <w:rPr>
          <w:rFonts w:cs="Arial"/>
          <w:color w:val="000000"/>
          <w:szCs w:val="24"/>
        </w:rPr>
      </w:pPr>
      <w:r>
        <w:rPr>
          <w:rFonts w:cs="Arial"/>
          <w:szCs w:val="24"/>
        </w:rPr>
        <w:t xml:space="preserve">En las áreas más urbanizadas (localidades de 100 mil y más habitantes) la tasa de </w:t>
      </w:r>
      <w:r w:rsidR="002C7355">
        <w:rPr>
          <w:rFonts w:cs="Arial"/>
          <w:szCs w:val="24"/>
        </w:rPr>
        <w:t xml:space="preserve">trabajo </w:t>
      </w:r>
      <w:r>
        <w:rPr>
          <w:rFonts w:cs="Arial"/>
          <w:szCs w:val="24"/>
        </w:rPr>
        <w:t>infantil fue de</w:t>
      </w:r>
      <w:r w:rsidRPr="0037646C">
        <w:rPr>
          <w:rFonts w:cs="Arial"/>
          <w:color w:val="000000"/>
          <w:szCs w:val="24"/>
        </w:rPr>
        <w:t xml:space="preserve"> 8.4 %</w:t>
      </w:r>
      <w:r w:rsidR="009428B0">
        <w:rPr>
          <w:rFonts w:cs="Arial"/>
          <w:color w:val="000000"/>
          <w:szCs w:val="24"/>
        </w:rPr>
        <w:t xml:space="preserve">: </w:t>
      </w:r>
      <w:r w:rsidRPr="0037646C">
        <w:rPr>
          <w:rFonts w:cs="Arial"/>
          <w:color w:val="000000"/>
          <w:szCs w:val="24"/>
        </w:rPr>
        <w:t xml:space="preserve">a los niños </w:t>
      </w:r>
      <w:r w:rsidR="009428B0">
        <w:rPr>
          <w:rFonts w:cs="Arial"/>
          <w:color w:val="000000"/>
          <w:szCs w:val="24"/>
        </w:rPr>
        <w:t xml:space="preserve">correspondió </w:t>
      </w:r>
      <w:r w:rsidRPr="0037646C">
        <w:rPr>
          <w:rFonts w:cs="Arial"/>
          <w:color w:val="000000"/>
          <w:szCs w:val="24"/>
        </w:rPr>
        <w:t xml:space="preserve">una tasa de 9.7 % y a las niñas </w:t>
      </w:r>
      <w:r w:rsidR="009428B0">
        <w:rPr>
          <w:rFonts w:cs="Arial"/>
          <w:color w:val="000000"/>
          <w:szCs w:val="24"/>
        </w:rPr>
        <w:t xml:space="preserve">una </w:t>
      </w:r>
      <w:r w:rsidRPr="0037646C">
        <w:rPr>
          <w:rFonts w:cs="Arial"/>
          <w:color w:val="000000"/>
          <w:szCs w:val="24"/>
        </w:rPr>
        <w:t xml:space="preserve">de </w:t>
      </w:r>
      <w:r w:rsidR="007841FA">
        <w:rPr>
          <w:rFonts w:cs="Arial"/>
          <w:color w:val="000000"/>
          <w:szCs w:val="24"/>
        </w:rPr>
        <w:br/>
      </w:r>
      <w:r w:rsidRPr="0037646C">
        <w:rPr>
          <w:rFonts w:cs="Arial"/>
          <w:color w:val="000000"/>
          <w:szCs w:val="24"/>
        </w:rPr>
        <w:t>7.1 por ciento</w:t>
      </w:r>
      <w:r>
        <w:rPr>
          <w:rFonts w:cs="Arial"/>
          <w:color w:val="000000"/>
          <w:szCs w:val="24"/>
        </w:rPr>
        <w:t>.</w:t>
      </w:r>
      <w:r w:rsidR="0017313B">
        <w:rPr>
          <w:rFonts w:cs="Arial"/>
          <w:szCs w:val="24"/>
        </w:rPr>
        <w:t xml:space="preserve"> </w:t>
      </w:r>
      <w:r>
        <w:rPr>
          <w:rFonts w:cs="Arial"/>
          <w:szCs w:val="24"/>
        </w:rPr>
        <w:t xml:space="preserve">En las áreas menos urbanizadas (localidades menores de 100 mil habitantes) </w:t>
      </w:r>
      <w:r w:rsidR="004758CF">
        <w:rPr>
          <w:rFonts w:cs="Arial"/>
          <w:szCs w:val="24"/>
        </w:rPr>
        <w:t>l</w:t>
      </w:r>
      <w:r>
        <w:rPr>
          <w:rFonts w:cs="Arial"/>
          <w:szCs w:val="24"/>
        </w:rPr>
        <w:t xml:space="preserve">a tasa de </w:t>
      </w:r>
      <w:r w:rsidR="002C7355" w:rsidRPr="00E5073C">
        <w:rPr>
          <w:rFonts w:cs="Arial"/>
          <w:szCs w:val="24"/>
        </w:rPr>
        <w:t xml:space="preserve">trabajo </w:t>
      </w:r>
      <w:r w:rsidRPr="00E5073C">
        <w:rPr>
          <w:rFonts w:cs="Arial"/>
          <w:szCs w:val="24"/>
        </w:rPr>
        <w:t>infantil fue de</w:t>
      </w:r>
      <w:r w:rsidRPr="00E5073C">
        <w:rPr>
          <w:rFonts w:cs="Arial"/>
          <w:color w:val="000000"/>
          <w:szCs w:val="24"/>
        </w:rPr>
        <w:t xml:space="preserve"> 16.4 %</w:t>
      </w:r>
      <w:r w:rsidR="009428B0" w:rsidRPr="00E5073C">
        <w:rPr>
          <w:rFonts w:cs="Arial"/>
          <w:color w:val="000000"/>
          <w:szCs w:val="24"/>
        </w:rPr>
        <w:t>:</w:t>
      </w:r>
      <w:r w:rsidRPr="00E5073C">
        <w:rPr>
          <w:rFonts w:cs="Arial"/>
          <w:color w:val="000000"/>
          <w:szCs w:val="24"/>
        </w:rPr>
        <w:t xml:space="preserve"> </w:t>
      </w:r>
      <w:r w:rsidR="00BC4C27" w:rsidRPr="00E5073C">
        <w:rPr>
          <w:rFonts w:cs="Arial"/>
          <w:color w:val="000000"/>
          <w:szCs w:val="24"/>
        </w:rPr>
        <w:t xml:space="preserve">en </w:t>
      </w:r>
      <w:r w:rsidRPr="00E5073C">
        <w:rPr>
          <w:rFonts w:cs="Arial"/>
          <w:color w:val="000000"/>
          <w:szCs w:val="24"/>
        </w:rPr>
        <w:t>los niños</w:t>
      </w:r>
      <w:r w:rsidR="00BC4C27" w:rsidRPr="00E5073C">
        <w:rPr>
          <w:rFonts w:cs="Arial"/>
          <w:color w:val="000000"/>
          <w:szCs w:val="24"/>
        </w:rPr>
        <w:t xml:space="preserve"> se reportó</w:t>
      </w:r>
      <w:r w:rsidRPr="00E5073C">
        <w:rPr>
          <w:rFonts w:cs="Arial"/>
          <w:color w:val="000000"/>
          <w:szCs w:val="24"/>
        </w:rPr>
        <w:t xml:space="preserve"> una tasa de 19.6 % y </w:t>
      </w:r>
      <w:r w:rsidR="00BC4C27" w:rsidRPr="00E5073C">
        <w:rPr>
          <w:rFonts w:cs="Arial"/>
          <w:color w:val="000000"/>
          <w:szCs w:val="24"/>
        </w:rPr>
        <w:t xml:space="preserve">en </w:t>
      </w:r>
      <w:r w:rsidRPr="00E5073C">
        <w:rPr>
          <w:rFonts w:cs="Arial"/>
          <w:color w:val="000000"/>
          <w:szCs w:val="24"/>
        </w:rPr>
        <w:t>las niñas</w:t>
      </w:r>
      <w:r w:rsidR="00BC4C27" w:rsidRPr="00E5073C">
        <w:rPr>
          <w:rFonts w:cs="Arial"/>
          <w:color w:val="000000"/>
          <w:szCs w:val="24"/>
        </w:rPr>
        <w:t>,</w:t>
      </w:r>
      <w:r w:rsidRPr="00E5073C">
        <w:rPr>
          <w:rFonts w:cs="Arial"/>
          <w:color w:val="000000"/>
          <w:szCs w:val="24"/>
        </w:rPr>
        <w:t xml:space="preserve"> de 13.2 </w:t>
      </w:r>
      <w:r w:rsidR="00BC4C27" w:rsidRPr="00E5073C">
        <w:rPr>
          <w:rFonts w:cs="Arial"/>
          <w:color w:val="000000"/>
          <w:szCs w:val="24"/>
        </w:rPr>
        <w:t>por ciento</w:t>
      </w:r>
      <w:r w:rsidRPr="00E5073C">
        <w:rPr>
          <w:rFonts w:cs="Arial"/>
          <w:color w:val="000000"/>
          <w:szCs w:val="24"/>
        </w:rPr>
        <w:t>.</w:t>
      </w:r>
      <w:r w:rsidR="009428B0" w:rsidRPr="00E5073C">
        <w:rPr>
          <w:rFonts w:cs="Arial"/>
          <w:color w:val="000000"/>
          <w:szCs w:val="24"/>
        </w:rPr>
        <w:t xml:space="preserve"> </w:t>
      </w:r>
    </w:p>
    <w:p w14:paraId="4868E412" w14:textId="77777777" w:rsidR="004E1CBA" w:rsidRDefault="004E1CBA" w:rsidP="007841FA">
      <w:pPr>
        <w:widowControl/>
        <w:autoSpaceDE w:val="0"/>
        <w:autoSpaceDN w:val="0"/>
        <w:adjustRightInd w:val="0"/>
        <w:ind w:right="51"/>
        <w:rPr>
          <w:rFonts w:cs="Arial"/>
          <w:color w:val="000000"/>
          <w:szCs w:val="24"/>
        </w:rPr>
      </w:pPr>
    </w:p>
    <w:p w14:paraId="1D667AC4" w14:textId="3CD7BA40" w:rsidR="00791592" w:rsidRPr="00E5073C" w:rsidRDefault="00FD3AF6" w:rsidP="007841FA">
      <w:pPr>
        <w:widowControl/>
        <w:autoSpaceDE w:val="0"/>
        <w:autoSpaceDN w:val="0"/>
        <w:adjustRightInd w:val="0"/>
        <w:ind w:right="51"/>
        <w:rPr>
          <w:rFonts w:cs="Arial"/>
          <w:color w:val="000000"/>
          <w:szCs w:val="24"/>
        </w:rPr>
      </w:pPr>
      <w:r>
        <w:rPr>
          <w:rFonts w:cs="Arial"/>
          <w:color w:val="000000"/>
          <w:szCs w:val="24"/>
        </w:rPr>
        <w:t>P</w:t>
      </w:r>
      <w:r w:rsidR="009428B0" w:rsidRPr="00E5073C">
        <w:rPr>
          <w:rFonts w:cs="Arial"/>
          <w:color w:val="000000"/>
          <w:szCs w:val="24"/>
        </w:rPr>
        <w:t xml:space="preserve">or </w:t>
      </w:r>
      <w:r w:rsidR="00791592" w:rsidRPr="00E5073C">
        <w:rPr>
          <w:rFonts w:cs="Arial"/>
          <w:color w:val="000000"/>
          <w:szCs w:val="24"/>
        </w:rPr>
        <w:t>entidad federativa, las tasas de trabajo infantil más altas se presenta</w:t>
      </w:r>
      <w:r w:rsidR="002C7355" w:rsidRPr="00E5073C">
        <w:rPr>
          <w:rFonts w:cs="Arial"/>
          <w:color w:val="000000"/>
          <w:szCs w:val="24"/>
        </w:rPr>
        <w:t>ro</w:t>
      </w:r>
      <w:r w:rsidR="00791592" w:rsidRPr="00E5073C">
        <w:rPr>
          <w:rFonts w:cs="Arial"/>
          <w:color w:val="000000"/>
          <w:szCs w:val="24"/>
        </w:rPr>
        <w:t>n en</w:t>
      </w:r>
      <w:r w:rsidR="006767AC" w:rsidRPr="00E5073C">
        <w:rPr>
          <w:rFonts w:cs="Arial"/>
          <w:color w:val="000000"/>
          <w:szCs w:val="24"/>
        </w:rPr>
        <w:t xml:space="preserve"> Guerrero</w:t>
      </w:r>
      <w:r w:rsidR="009428B0" w:rsidRPr="00E5073C">
        <w:rPr>
          <w:rFonts w:cs="Arial"/>
          <w:color w:val="000000"/>
          <w:szCs w:val="24"/>
        </w:rPr>
        <w:t>,</w:t>
      </w:r>
      <w:r w:rsidR="00791592" w:rsidRPr="00E5073C">
        <w:rPr>
          <w:rFonts w:cs="Arial"/>
          <w:color w:val="000000"/>
          <w:szCs w:val="24"/>
        </w:rPr>
        <w:t xml:space="preserve"> con 24.5 %</w:t>
      </w:r>
      <w:r w:rsidR="009428B0" w:rsidRPr="00E5073C">
        <w:rPr>
          <w:rFonts w:cs="Arial"/>
          <w:color w:val="000000"/>
          <w:szCs w:val="24"/>
        </w:rPr>
        <w:t>;</w:t>
      </w:r>
      <w:r w:rsidR="00791592" w:rsidRPr="00E5073C">
        <w:rPr>
          <w:rFonts w:cs="Arial"/>
          <w:color w:val="000000"/>
          <w:szCs w:val="24"/>
        </w:rPr>
        <w:t xml:space="preserve"> Chiapas</w:t>
      </w:r>
      <w:r w:rsidR="009428B0" w:rsidRPr="00E5073C">
        <w:rPr>
          <w:rFonts w:cs="Arial"/>
          <w:color w:val="000000"/>
          <w:szCs w:val="24"/>
        </w:rPr>
        <w:t>,</w:t>
      </w:r>
      <w:r w:rsidR="00791592" w:rsidRPr="00E5073C">
        <w:rPr>
          <w:rFonts w:cs="Arial"/>
          <w:color w:val="000000"/>
          <w:szCs w:val="24"/>
        </w:rPr>
        <w:t xml:space="preserve"> con 20.8 %</w:t>
      </w:r>
      <w:r w:rsidR="009428B0" w:rsidRPr="00E5073C">
        <w:rPr>
          <w:rFonts w:cs="Arial"/>
          <w:color w:val="000000"/>
          <w:szCs w:val="24"/>
        </w:rPr>
        <w:t>,</w:t>
      </w:r>
      <w:r w:rsidR="00791592" w:rsidRPr="00E5073C">
        <w:rPr>
          <w:rFonts w:cs="Arial"/>
          <w:color w:val="000000"/>
          <w:szCs w:val="24"/>
        </w:rPr>
        <w:t xml:space="preserve"> y</w:t>
      </w:r>
      <w:r w:rsidR="009428B0" w:rsidRPr="00E5073C">
        <w:rPr>
          <w:rFonts w:cs="Arial"/>
          <w:color w:val="000000"/>
          <w:szCs w:val="24"/>
        </w:rPr>
        <w:t xml:space="preserve"> en</w:t>
      </w:r>
      <w:r w:rsidR="00791592" w:rsidRPr="00E5073C">
        <w:rPr>
          <w:rFonts w:cs="Arial"/>
          <w:color w:val="000000"/>
          <w:szCs w:val="24"/>
        </w:rPr>
        <w:t xml:space="preserve"> Nayarit</w:t>
      </w:r>
      <w:r w:rsidR="009428B0" w:rsidRPr="00E5073C">
        <w:rPr>
          <w:rFonts w:cs="Arial"/>
          <w:color w:val="000000"/>
          <w:szCs w:val="24"/>
        </w:rPr>
        <w:t>, con</w:t>
      </w:r>
      <w:r w:rsidR="00791592" w:rsidRPr="00E5073C">
        <w:rPr>
          <w:rFonts w:cs="Arial"/>
          <w:color w:val="000000"/>
          <w:szCs w:val="24"/>
        </w:rPr>
        <w:t xml:space="preserve"> 19.1 </w:t>
      </w:r>
      <w:r w:rsidR="009428B0" w:rsidRPr="00E5073C">
        <w:rPr>
          <w:rFonts w:cs="Arial"/>
          <w:color w:val="000000"/>
          <w:szCs w:val="24"/>
        </w:rPr>
        <w:t>por ciento</w:t>
      </w:r>
      <w:r w:rsidR="00614268" w:rsidRPr="00E5073C">
        <w:rPr>
          <w:rFonts w:cs="Arial"/>
          <w:color w:val="000000"/>
          <w:szCs w:val="24"/>
        </w:rPr>
        <w:t xml:space="preserve">. Los estados que registraron las tasas más bajas fueron: </w:t>
      </w:r>
      <w:r w:rsidR="00791592" w:rsidRPr="00E5073C">
        <w:rPr>
          <w:rFonts w:cs="Arial"/>
          <w:color w:val="000000"/>
          <w:szCs w:val="24"/>
        </w:rPr>
        <w:t>Ciudad de México</w:t>
      </w:r>
      <w:r w:rsidR="00614268" w:rsidRPr="00E5073C">
        <w:rPr>
          <w:rFonts w:cs="Arial"/>
          <w:color w:val="000000"/>
          <w:szCs w:val="24"/>
        </w:rPr>
        <w:t>,</w:t>
      </w:r>
      <w:r w:rsidR="00791592" w:rsidRPr="00E5073C">
        <w:rPr>
          <w:rFonts w:cs="Arial"/>
          <w:color w:val="000000"/>
          <w:szCs w:val="24"/>
        </w:rPr>
        <w:t xml:space="preserve"> con 4.0 %</w:t>
      </w:r>
      <w:r w:rsidR="00614268" w:rsidRPr="00E5073C">
        <w:rPr>
          <w:rFonts w:cs="Arial"/>
          <w:color w:val="000000"/>
          <w:szCs w:val="24"/>
        </w:rPr>
        <w:t>;</w:t>
      </w:r>
      <w:r w:rsidR="00791592" w:rsidRPr="00E5073C">
        <w:rPr>
          <w:rFonts w:cs="Arial"/>
          <w:color w:val="000000"/>
          <w:szCs w:val="24"/>
        </w:rPr>
        <w:t xml:space="preserve"> Coahuila de Zaragoza</w:t>
      </w:r>
      <w:r w:rsidR="00614268" w:rsidRPr="00E5073C">
        <w:rPr>
          <w:rFonts w:cs="Arial"/>
          <w:color w:val="000000"/>
          <w:szCs w:val="24"/>
        </w:rPr>
        <w:t>,</w:t>
      </w:r>
      <w:r w:rsidR="00791592" w:rsidRPr="00E5073C">
        <w:rPr>
          <w:rFonts w:cs="Arial"/>
          <w:color w:val="000000"/>
          <w:szCs w:val="24"/>
        </w:rPr>
        <w:t xml:space="preserve"> con 6.4 %</w:t>
      </w:r>
      <w:r w:rsidR="00614268" w:rsidRPr="00E5073C">
        <w:rPr>
          <w:rFonts w:cs="Arial"/>
          <w:color w:val="000000"/>
          <w:szCs w:val="24"/>
        </w:rPr>
        <w:t>,</w:t>
      </w:r>
      <w:r w:rsidR="00791592" w:rsidRPr="00E5073C">
        <w:rPr>
          <w:rFonts w:cs="Arial"/>
          <w:color w:val="000000"/>
          <w:szCs w:val="24"/>
        </w:rPr>
        <w:t xml:space="preserve"> y Baja California</w:t>
      </w:r>
      <w:r w:rsidR="00614268" w:rsidRPr="00E5073C">
        <w:rPr>
          <w:rFonts w:cs="Arial"/>
          <w:color w:val="000000"/>
          <w:szCs w:val="24"/>
        </w:rPr>
        <w:t>,</w:t>
      </w:r>
      <w:r w:rsidR="00791592" w:rsidRPr="00E5073C">
        <w:rPr>
          <w:rFonts w:cs="Arial"/>
          <w:color w:val="000000"/>
          <w:szCs w:val="24"/>
        </w:rPr>
        <w:t xml:space="preserve"> con 6.5 </w:t>
      </w:r>
      <w:r w:rsidR="007841FA">
        <w:rPr>
          <w:rFonts w:cs="Arial"/>
          <w:color w:val="000000"/>
          <w:szCs w:val="24"/>
        </w:rPr>
        <w:t>%</w:t>
      </w:r>
      <w:r w:rsidR="001E3935">
        <w:rPr>
          <w:rFonts w:cs="Arial"/>
          <w:color w:val="000000"/>
          <w:szCs w:val="24"/>
        </w:rPr>
        <w:t xml:space="preserve"> </w:t>
      </w:r>
      <w:r w:rsidR="001E3935">
        <w:rPr>
          <w:rFonts w:cs="Arial"/>
          <w:szCs w:val="24"/>
        </w:rPr>
        <w:t xml:space="preserve">(ver gráfica </w:t>
      </w:r>
      <w:r w:rsidR="00294ADC">
        <w:rPr>
          <w:rFonts w:cs="Arial"/>
          <w:szCs w:val="24"/>
        </w:rPr>
        <w:t>6</w:t>
      </w:r>
      <w:r w:rsidR="001E3935">
        <w:rPr>
          <w:rFonts w:cs="Arial"/>
          <w:szCs w:val="24"/>
        </w:rPr>
        <w:t>)</w:t>
      </w:r>
      <w:r w:rsidR="00614268" w:rsidRPr="00E5073C">
        <w:rPr>
          <w:rFonts w:cs="Arial"/>
          <w:color w:val="000000"/>
          <w:szCs w:val="24"/>
        </w:rPr>
        <w:t>.</w:t>
      </w:r>
    </w:p>
    <w:p w14:paraId="7F807010" w14:textId="14A25FD1" w:rsidR="00DF1DE1" w:rsidRDefault="00DF1DE1" w:rsidP="00493A8C">
      <w:pPr>
        <w:widowControl/>
        <w:jc w:val="left"/>
        <w:rPr>
          <w:rFonts w:cs="Arial"/>
          <w:color w:val="000000"/>
          <w:szCs w:val="24"/>
        </w:rPr>
      </w:pPr>
      <w:r>
        <w:rPr>
          <w:rFonts w:cs="Arial"/>
          <w:color w:val="000000"/>
          <w:szCs w:val="24"/>
        </w:rPr>
        <w:br w:type="page"/>
      </w:r>
    </w:p>
    <w:p w14:paraId="34F5D15F" w14:textId="7755EDE1" w:rsidR="00EC25C1" w:rsidRPr="007841FA" w:rsidRDefault="00EC25C1" w:rsidP="00EC25C1">
      <w:pPr>
        <w:widowControl/>
        <w:jc w:val="center"/>
        <w:rPr>
          <w:rFonts w:cs="Arial"/>
          <w:color w:val="000000"/>
          <w:sz w:val="20"/>
        </w:rPr>
      </w:pPr>
      <w:r w:rsidRPr="007841FA">
        <w:rPr>
          <w:rFonts w:cs="Arial"/>
          <w:color w:val="000000"/>
          <w:sz w:val="20"/>
        </w:rPr>
        <w:lastRenderedPageBreak/>
        <w:t xml:space="preserve">Gráfica </w:t>
      </w:r>
      <w:r w:rsidR="004E1CBA" w:rsidRPr="007841FA">
        <w:rPr>
          <w:rFonts w:cs="Arial"/>
          <w:color w:val="000000"/>
          <w:sz w:val="20"/>
        </w:rPr>
        <w:t>6</w:t>
      </w:r>
    </w:p>
    <w:p w14:paraId="556DF45D" w14:textId="77777777" w:rsidR="00EC25C1" w:rsidRPr="007841FA" w:rsidRDefault="00EC25C1" w:rsidP="00EC25C1">
      <w:pPr>
        <w:widowControl/>
        <w:autoSpaceDE w:val="0"/>
        <w:autoSpaceDN w:val="0"/>
        <w:adjustRightInd w:val="0"/>
        <w:jc w:val="center"/>
        <w:rPr>
          <w:rFonts w:cs="Arial"/>
          <w:b/>
          <w:bCs/>
          <w:smallCaps/>
          <w:color w:val="000000"/>
          <w:sz w:val="22"/>
          <w:szCs w:val="22"/>
        </w:rPr>
      </w:pPr>
      <w:r w:rsidRPr="007841FA">
        <w:rPr>
          <w:rFonts w:cs="Arial"/>
          <w:b/>
          <w:bCs/>
          <w:smallCaps/>
          <w:color w:val="000000"/>
          <w:sz w:val="22"/>
          <w:szCs w:val="22"/>
        </w:rPr>
        <w:t>Tasa de trabajo infantil por entidad federativa, 2019 y 2022</w:t>
      </w:r>
    </w:p>
    <w:p w14:paraId="76447F3B" w14:textId="70AD2D44" w:rsidR="00EC25C1" w:rsidRDefault="00EC25C1" w:rsidP="00EC25C1">
      <w:pPr>
        <w:widowControl/>
        <w:autoSpaceDE w:val="0"/>
        <w:autoSpaceDN w:val="0"/>
        <w:adjustRightInd w:val="0"/>
        <w:jc w:val="center"/>
        <w:rPr>
          <w:rFonts w:cs="Arial"/>
          <w:color w:val="000000"/>
          <w:sz w:val="18"/>
          <w:szCs w:val="18"/>
        </w:rPr>
      </w:pPr>
      <w:r w:rsidRPr="0003346F">
        <w:rPr>
          <w:rFonts w:cs="Arial"/>
          <w:color w:val="000000"/>
          <w:sz w:val="18"/>
          <w:szCs w:val="18"/>
        </w:rPr>
        <w:t>(</w:t>
      </w:r>
      <w:r w:rsidR="00FD3AF6">
        <w:rPr>
          <w:rFonts w:cs="Arial"/>
          <w:color w:val="000000"/>
          <w:sz w:val="18"/>
          <w:szCs w:val="18"/>
        </w:rPr>
        <w:t>p</w:t>
      </w:r>
      <w:r w:rsidRPr="0003346F">
        <w:rPr>
          <w:rFonts w:cs="Arial"/>
          <w:color w:val="000000"/>
          <w:sz w:val="18"/>
          <w:szCs w:val="18"/>
        </w:rPr>
        <w:t>orcentaje respecto a la población de 5 a 17 años)</w:t>
      </w:r>
    </w:p>
    <w:p w14:paraId="10079689" w14:textId="0765CE67" w:rsidR="00555665" w:rsidRPr="0003346F" w:rsidRDefault="00F04EC8" w:rsidP="00EC25C1">
      <w:pPr>
        <w:widowControl/>
        <w:autoSpaceDE w:val="0"/>
        <w:autoSpaceDN w:val="0"/>
        <w:adjustRightInd w:val="0"/>
        <w:jc w:val="center"/>
        <w:rPr>
          <w:rFonts w:cs="Arial"/>
          <w:color w:val="000000"/>
          <w:sz w:val="18"/>
          <w:szCs w:val="18"/>
        </w:rPr>
      </w:pPr>
      <w:r>
        <w:rPr>
          <w:noProof/>
        </w:rPr>
        <w:drawing>
          <wp:inline distT="0" distB="0" distL="0" distR="0" wp14:anchorId="67ABF598" wp14:editId="04A98B2C">
            <wp:extent cx="5386388" cy="7092000"/>
            <wp:effectExtent l="0" t="0" r="5080" b="0"/>
            <wp:docPr id="1204878023" name="Gráfico 1">
              <a:extLst xmlns:a="http://schemas.openxmlformats.org/drawingml/2006/main">
                <a:ext uri="{FF2B5EF4-FFF2-40B4-BE49-F238E27FC236}">
                  <a16:creationId xmlns:a16="http://schemas.microsoft.com/office/drawing/2014/main" id="{5C1E991D-2AC3-488C-AF81-5854B3AAC0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5B80F3E1" w14:textId="50BB65EE" w:rsidR="00EC25C1" w:rsidRDefault="00C56872" w:rsidP="007841FA">
      <w:pPr>
        <w:widowControl/>
        <w:autoSpaceDE w:val="0"/>
        <w:autoSpaceDN w:val="0"/>
        <w:adjustRightInd w:val="0"/>
        <w:spacing w:line="276" w:lineRule="auto"/>
        <w:ind w:left="709" w:firstLine="142"/>
        <w:jc w:val="left"/>
        <w:rPr>
          <w:rFonts w:cs="Arial"/>
          <w:color w:val="000000" w:themeColor="text1"/>
          <w:sz w:val="16"/>
          <w:szCs w:val="16"/>
        </w:rPr>
      </w:pPr>
      <w:r>
        <w:rPr>
          <w:rFonts w:cs="Arial"/>
          <w:color w:val="000000" w:themeColor="text1"/>
          <w:sz w:val="16"/>
          <w:szCs w:val="16"/>
        </w:rPr>
        <w:t xml:space="preserve">  </w:t>
      </w:r>
      <w:r w:rsidR="00EC25C1" w:rsidRPr="00CD6FE9">
        <w:rPr>
          <w:rFonts w:cs="Arial"/>
          <w:color w:val="000000" w:themeColor="text1"/>
          <w:sz w:val="16"/>
          <w:szCs w:val="16"/>
        </w:rPr>
        <w:t>Fuente:</w:t>
      </w:r>
      <w:r w:rsidR="007841FA">
        <w:rPr>
          <w:rFonts w:cs="Arial"/>
          <w:color w:val="000000" w:themeColor="text1"/>
          <w:sz w:val="16"/>
          <w:szCs w:val="16"/>
        </w:rPr>
        <w:t xml:space="preserve"> </w:t>
      </w:r>
      <w:r w:rsidR="00EC25C1" w:rsidRPr="00CD6FE9">
        <w:rPr>
          <w:rFonts w:cs="Arial"/>
          <w:color w:val="000000" w:themeColor="text1"/>
          <w:sz w:val="16"/>
          <w:szCs w:val="16"/>
        </w:rPr>
        <w:t>INEGI, ENTI</w:t>
      </w:r>
      <w:r w:rsidR="007C44C9">
        <w:rPr>
          <w:rFonts w:cs="Arial"/>
          <w:color w:val="000000" w:themeColor="text1"/>
          <w:sz w:val="16"/>
          <w:szCs w:val="16"/>
        </w:rPr>
        <w:t>.</w:t>
      </w:r>
      <w:r w:rsidR="00EC25C1" w:rsidRPr="00CD6FE9">
        <w:rPr>
          <w:rFonts w:cs="Arial"/>
          <w:color w:val="000000" w:themeColor="text1"/>
          <w:sz w:val="16"/>
          <w:szCs w:val="16"/>
        </w:rPr>
        <w:t xml:space="preserve"> 2019 y 2022.</w:t>
      </w:r>
    </w:p>
    <w:p w14:paraId="4870AC38" w14:textId="77777777" w:rsidR="007841FA" w:rsidRDefault="007841FA" w:rsidP="007841FA">
      <w:pPr>
        <w:widowControl/>
        <w:autoSpaceDE w:val="0"/>
        <w:autoSpaceDN w:val="0"/>
        <w:adjustRightInd w:val="0"/>
        <w:spacing w:line="276" w:lineRule="auto"/>
        <w:ind w:left="709" w:firstLine="142"/>
        <w:jc w:val="left"/>
        <w:rPr>
          <w:rFonts w:cs="Arial"/>
          <w:color w:val="000000" w:themeColor="text1"/>
          <w:sz w:val="16"/>
          <w:szCs w:val="16"/>
        </w:rPr>
      </w:pPr>
    </w:p>
    <w:p w14:paraId="7E6F37DA" w14:textId="77777777" w:rsidR="007841FA" w:rsidRDefault="007841FA" w:rsidP="007841FA">
      <w:pPr>
        <w:widowControl/>
        <w:autoSpaceDE w:val="0"/>
        <w:autoSpaceDN w:val="0"/>
        <w:adjustRightInd w:val="0"/>
        <w:spacing w:line="276" w:lineRule="auto"/>
        <w:ind w:left="709" w:firstLine="142"/>
        <w:jc w:val="left"/>
        <w:rPr>
          <w:rFonts w:cs="Arial"/>
          <w:color w:val="000000" w:themeColor="text1"/>
          <w:sz w:val="16"/>
          <w:szCs w:val="16"/>
        </w:rPr>
      </w:pPr>
    </w:p>
    <w:p w14:paraId="2BDD0A8F" w14:textId="77777777" w:rsidR="007841FA" w:rsidRPr="00CD6FE9" w:rsidRDefault="007841FA" w:rsidP="007841FA">
      <w:pPr>
        <w:widowControl/>
        <w:autoSpaceDE w:val="0"/>
        <w:autoSpaceDN w:val="0"/>
        <w:adjustRightInd w:val="0"/>
        <w:spacing w:line="276" w:lineRule="auto"/>
        <w:ind w:left="709" w:firstLine="142"/>
        <w:jc w:val="left"/>
        <w:rPr>
          <w:rFonts w:cs="Arial"/>
          <w:color w:val="000000"/>
          <w:sz w:val="16"/>
          <w:szCs w:val="16"/>
        </w:rPr>
      </w:pPr>
    </w:p>
    <w:p w14:paraId="0C7053A9" w14:textId="72BE7A59" w:rsidR="00791592" w:rsidRPr="00B7117F" w:rsidRDefault="008719F2" w:rsidP="00B7117F">
      <w:pPr>
        <w:pStyle w:val="Prrafodelista"/>
        <w:widowControl/>
        <w:numPr>
          <w:ilvl w:val="0"/>
          <w:numId w:val="9"/>
        </w:numPr>
        <w:autoSpaceDE w:val="0"/>
        <w:autoSpaceDN w:val="0"/>
        <w:adjustRightInd w:val="0"/>
        <w:jc w:val="center"/>
        <w:rPr>
          <w:rFonts w:ascii="Arial Negrita" w:hAnsi="Arial Negrita" w:cs="Arial"/>
          <w:b/>
          <w:bCs/>
          <w:smallCaps/>
          <w:color w:val="000000"/>
          <w:szCs w:val="24"/>
        </w:rPr>
      </w:pPr>
      <w:r w:rsidRPr="00B7117F">
        <w:rPr>
          <w:rFonts w:ascii="Arial Negrita" w:hAnsi="Arial Negrita" w:cs="Arial"/>
          <w:b/>
          <w:bCs/>
          <w:smallCaps/>
          <w:color w:val="000000"/>
          <w:szCs w:val="24"/>
        </w:rPr>
        <w:lastRenderedPageBreak/>
        <w:t>Ocupación no permitida</w:t>
      </w:r>
    </w:p>
    <w:p w14:paraId="4C462B2C" w14:textId="77777777" w:rsidR="00791592" w:rsidRDefault="00791592" w:rsidP="00E630A5">
      <w:pPr>
        <w:widowControl/>
        <w:autoSpaceDE w:val="0"/>
        <w:autoSpaceDN w:val="0"/>
        <w:adjustRightInd w:val="0"/>
        <w:rPr>
          <w:rFonts w:cs="Arial"/>
          <w:color w:val="000000"/>
          <w:szCs w:val="24"/>
        </w:rPr>
      </w:pPr>
    </w:p>
    <w:p w14:paraId="3AF31A57" w14:textId="7D5047D7" w:rsidR="00791592" w:rsidRPr="00820B16" w:rsidRDefault="00791592" w:rsidP="00136A32">
      <w:pPr>
        <w:pStyle w:val="Prrafodelista"/>
        <w:widowControl/>
        <w:numPr>
          <w:ilvl w:val="1"/>
          <w:numId w:val="9"/>
        </w:numPr>
        <w:autoSpaceDE w:val="0"/>
        <w:autoSpaceDN w:val="0"/>
        <w:adjustRightInd w:val="0"/>
        <w:ind w:left="851" w:hanging="567"/>
        <w:rPr>
          <w:rFonts w:cs="Arial"/>
          <w:b/>
          <w:bCs/>
          <w:color w:val="000000"/>
          <w:szCs w:val="24"/>
        </w:rPr>
      </w:pPr>
      <w:r w:rsidRPr="00820B16">
        <w:rPr>
          <w:rFonts w:cs="Arial"/>
          <w:b/>
          <w:bCs/>
          <w:color w:val="000000"/>
          <w:szCs w:val="24"/>
        </w:rPr>
        <w:t>Participación en la ocupación no permitida</w:t>
      </w:r>
      <w:r w:rsidR="00BF5349">
        <w:rPr>
          <w:rStyle w:val="Refdenotaalpie"/>
          <w:b w:val="0"/>
          <w:bCs/>
          <w:color w:val="000000"/>
          <w:szCs w:val="24"/>
        </w:rPr>
        <w:footnoteReference w:id="10"/>
      </w:r>
    </w:p>
    <w:p w14:paraId="1B464FE7" w14:textId="77777777" w:rsidR="00791592" w:rsidRDefault="00791592" w:rsidP="00E630A5">
      <w:pPr>
        <w:widowControl/>
        <w:autoSpaceDE w:val="0"/>
        <w:autoSpaceDN w:val="0"/>
        <w:adjustRightInd w:val="0"/>
        <w:rPr>
          <w:rFonts w:cs="Arial"/>
          <w:color w:val="000000"/>
          <w:szCs w:val="24"/>
        </w:rPr>
      </w:pPr>
    </w:p>
    <w:p w14:paraId="4A6BDA5C" w14:textId="3A35290C" w:rsidR="00791592" w:rsidRPr="005844DC" w:rsidRDefault="00791592" w:rsidP="007841FA">
      <w:pPr>
        <w:widowControl/>
        <w:ind w:right="51"/>
        <w:rPr>
          <w:rFonts w:cs="Arial"/>
          <w:color w:val="000000"/>
          <w:szCs w:val="24"/>
        </w:rPr>
      </w:pPr>
      <w:r w:rsidRPr="005844DC">
        <w:rPr>
          <w:rFonts w:cs="Arial"/>
          <w:szCs w:val="24"/>
        </w:rPr>
        <w:t xml:space="preserve">La ocupación no permitida o trabajo infantil en la producción </w:t>
      </w:r>
      <w:r w:rsidR="00925094" w:rsidRPr="005844DC">
        <w:rPr>
          <w:rFonts w:cs="Arial"/>
          <w:szCs w:val="24"/>
        </w:rPr>
        <w:t xml:space="preserve">económica </w:t>
      </w:r>
      <w:r w:rsidRPr="005844DC">
        <w:rPr>
          <w:rFonts w:cs="Arial"/>
          <w:szCs w:val="24"/>
        </w:rPr>
        <w:t>fue de 2.1 millones; de los cuales, 1.5 mil</w:t>
      </w:r>
      <w:r w:rsidR="009A22A8" w:rsidRPr="005844DC">
        <w:rPr>
          <w:rFonts w:cs="Arial"/>
          <w:szCs w:val="24"/>
        </w:rPr>
        <w:t xml:space="preserve">lones </w:t>
      </w:r>
      <w:r w:rsidRPr="005844DC">
        <w:rPr>
          <w:rFonts w:cs="Arial"/>
          <w:szCs w:val="24"/>
        </w:rPr>
        <w:t xml:space="preserve">eran niños y 0.6 millones </w:t>
      </w:r>
      <w:r w:rsidR="009A22A8" w:rsidRPr="005844DC">
        <w:rPr>
          <w:rFonts w:cs="Arial"/>
          <w:szCs w:val="24"/>
        </w:rPr>
        <w:t>eran</w:t>
      </w:r>
      <w:r w:rsidRPr="005844DC">
        <w:rPr>
          <w:rFonts w:cs="Arial"/>
          <w:szCs w:val="24"/>
        </w:rPr>
        <w:t xml:space="preserve"> niñas.</w:t>
      </w:r>
      <w:r w:rsidR="007A0157" w:rsidRPr="005844DC">
        <w:rPr>
          <w:rFonts w:cs="Arial"/>
          <w:color w:val="000000"/>
          <w:szCs w:val="24"/>
        </w:rPr>
        <w:t xml:space="preserve"> </w:t>
      </w:r>
      <w:r w:rsidRPr="005844DC">
        <w:rPr>
          <w:rFonts w:cs="Arial"/>
          <w:color w:val="000000"/>
          <w:szCs w:val="24"/>
        </w:rPr>
        <w:t xml:space="preserve">Las </w:t>
      </w:r>
      <w:r w:rsidR="00191949" w:rsidRPr="005844DC">
        <w:rPr>
          <w:rFonts w:cs="Arial"/>
          <w:color w:val="000000"/>
          <w:szCs w:val="24"/>
        </w:rPr>
        <w:t>niñas</w:t>
      </w:r>
      <w:r w:rsidR="007A0157" w:rsidRPr="005844DC">
        <w:rPr>
          <w:rFonts w:cs="Arial"/>
          <w:color w:val="000000"/>
          <w:szCs w:val="24"/>
        </w:rPr>
        <w:t>,</w:t>
      </w:r>
      <w:r w:rsidR="00191949" w:rsidRPr="005844DC">
        <w:rPr>
          <w:rFonts w:cs="Arial"/>
          <w:color w:val="000000"/>
          <w:szCs w:val="24"/>
        </w:rPr>
        <w:t xml:space="preserve"> niños y adolescentes </w:t>
      </w:r>
      <w:r w:rsidRPr="005844DC">
        <w:rPr>
          <w:rFonts w:cs="Arial"/>
          <w:color w:val="000000"/>
          <w:szCs w:val="24"/>
        </w:rPr>
        <w:t>de 5 a 17 años en ocupación no permitida en forma exclusiva</w:t>
      </w:r>
      <w:r w:rsidR="00F47B5E" w:rsidRPr="005844DC">
        <w:rPr>
          <w:rFonts w:cs="Arial"/>
          <w:color w:val="000000"/>
          <w:szCs w:val="24"/>
        </w:rPr>
        <w:t>,</w:t>
      </w:r>
      <w:r w:rsidRPr="005844DC">
        <w:rPr>
          <w:rFonts w:cs="Arial"/>
          <w:color w:val="000000"/>
          <w:szCs w:val="24"/>
        </w:rPr>
        <w:t xml:space="preserve"> fueron </w:t>
      </w:r>
      <w:r w:rsidR="00F47B5E" w:rsidRPr="005844DC">
        <w:rPr>
          <w:rFonts w:cs="Arial"/>
          <w:color w:val="000000"/>
          <w:szCs w:val="24"/>
        </w:rPr>
        <w:br/>
      </w:r>
      <w:r w:rsidRPr="005844DC">
        <w:rPr>
          <w:rFonts w:cs="Arial"/>
          <w:color w:val="000000"/>
          <w:szCs w:val="24"/>
        </w:rPr>
        <w:t>1.8 millones</w:t>
      </w:r>
      <w:r w:rsidR="00A54CCC" w:rsidRPr="005844DC">
        <w:rPr>
          <w:rFonts w:cs="Arial"/>
          <w:color w:val="000000"/>
          <w:szCs w:val="24"/>
        </w:rPr>
        <w:t xml:space="preserve">, </w:t>
      </w:r>
      <w:r w:rsidR="009A22A8" w:rsidRPr="005844DC">
        <w:rPr>
          <w:rFonts w:cs="Arial"/>
          <w:color w:val="000000"/>
          <w:szCs w:val="24"/>
        </w:rPr>
        <w:t>que representan 85.1 %, mientras que, l</w:t>
      </w:r>
      <w:r w:rsidR="00F47B5E" w:rsidRPr="005844DC">
        <w:rPr>
          <w:rFonts w:cs="Arial"/>
          <w:color w:val="000000"/>
          <w:szCs w:val="24"/>
        </w:rPr>
        <w:t>a población</w:t>
      </w:r>
      <w:r w:rsidRPr="005844DC">
        <w:rPr>
          <w:rFonts w:cs="Arial"/>
          <w:color w:val="000000"/>
          <w:szCs w:val="24"/>
        </w:rPr>
        <w:t xml:space="preserve"> que combin</w:t>
      </w:r>
      <w:r w:rsidR="00F47B5E" w:rsidRPr="005844DC">
        <w:rPr>
          <w:rFonts w:cs="Arial"/>
          <w:color w:val="000000"/>
          <w:szCs w:val="24"/>
        </w:rPr>
        <w:t>ó</w:t>
      </w:r>
      <w:r w:rsidRPr="005844DC">
        <w:rPr>
          <w:rFonts w:cs="Arial"/>
          <w:color w:val="000000"/>
          <w:szCs w:val="24"/>
        </w:rPr>
        <w:t xml:space="preserve"> la ocupación no permitida con los quehaceres domésticos en condiciones no adecuadas fue</w:t>
      </w:r>
      <w:r w:rsidR="00F47B5E" w:rsidRPr="005844DC">
        <w:rPr>
          <w:rFonts w:cs="Arial"/>
          <w:color w:val="000000"/>
          <w:szCs w:val="24"/>
        </w:rPr>
        <w:t xml:space="preserve"> de</w:t>
      </w:r>
      <w:r w:rsidRPr="005844DC">
        <w:rPr>
          <w:rFonts w:cs="Arial"/>
          <w:color w:val="000000"/>
          <w:szCs w:val="24"/>
        </w:rPr>
        <w:t xml:space="preserve"> 0.3 millones</w:t>
      </w:r>
      <w:r w:rsidR="00FD3AF6" w:rsidRPr="005844DC">
        <w:rPr>
          <w:rFonts w:cs="Arial"/>
          <w:color w:val="000000"/>
          <w:szCs w:val="24"/>
        </w:rPr>
        <w:t>,</w:t>
      </w:r>
      <w:r w:rsidR="009A22A8" w:rsidRPr="005844DC">
        <w:rPr>
          <w:rFonts w:cs="Arial"/>
          <w:color w:val="000000"/>
          <w:szCs w:val="24"/>
        </w:rPr>
        <w:t xml:space="preserve"> equivalente a 14.9 % </w:t>
      </w:r>
      <w:r w:rsidR="00A54CCC" w:rsidRPr="005844DC">
        <w:rPr>
          <w:rFonts w:cs="Arial"/>
          <w:color w:val="000000"/>
          <w:szCs w:val="24"/>
        </w:rPr>
        <w:t>(</w:t>
      </w:r>
      <w:r w:rsidR="001E3935" w:rsidRPr="005844DC">
        <w:rPr>
          <w:rFonts w:cs="Arial"/>
          <w:szCs w:val="24"/>
        </w:rPr>
        <w:t>ver</w:t>
      </w:r>
      <w:r w:rsidR="00E25FF2" w:rsidRPr="005844DC">
        <w:rPr>
          <w:rFonts w:cs="Arial"/>
          <w:szCs w:val="24"/>
        </w:rPr>
        <w:t xml:space="preserve"> </w:t>
      </w:r>
      <w:r w:rsidR="001E3935" w:rsidRPr="005844DC">
        <w:rPr>
          <w:rFonts w:cs="Arial"/>
          <w:szCs w:val="24"/>
        </w:rPr>
        <w:t>cuadro 4</w:t>
      </w:r>
      <w:r w:rsidR="00A54CCC" w:rsidRPr="005844DC">
        <w:rPr>
          <w:rFonts w:cs="Arial"/>
          <w:szCs w:val="24"/>
        </w:rPr>
        <w:t>)</w:t>
      </w:r>
      <w:r w:rsidR="00E25FF2" w:rsidRPr="005844DC">
        <w:rPr>
          <w:rFonts w:cs="Arial"/>
          <w:szCs w:val="24"/>
        </w:rPr>
        <w:t>.</w:t>
      </w:r>
      <w:r w:rsidR="00191949" w:rsidRPr="005844DC">
        <w:rPr>
          <w:rFonts w:cs="Arial"/>
          <w:color w:val="000000"/>
          <w:szCs w:val="24"/>
        </w:rPr>
        <w:t xml:space="preserve"> </w:t>
      </w:r>
    </w:p>
    <w:p w14:paraId="57D7A9F4" w14:textId="77777777" w:rsidR="00B84AFA" w:rsidRDefault="00B84AFA" w:rsidP="007327E2">
      <w:pPr>
        <w:widowControl/>
        <w:autoSpaceDE w:val="0"/>
        <w:autoSpaceDN w:val="0"/>
        <w:adjustRightInd w:val="0"/>
        <w:rPr>
          <w:rFonts w:cs="Arial"/>
          <w:color w:val="000000"/>
          <w:sz w:val="16"/>
          <w:szCs w:val="16"/>
        </w:rPr>
      </w:pPr>
    </w:p>
    <w:p w14:paraId="39B6240A" w14:textId="77777777" w:rsidR="00B84AFA" w:rsidRPr="007841FA" w:rsidRDefault="00B84AFA" w:rsidP="00B84AFA">
      <w:pPr>
        <w:widowControl/>
        <w:autoSpaceDE w:val="0"/>
        <w:autoSpaceDN w:val="0"/>
        <w:adjustRightInd w:val="0"/>
        <w:spacing w:line="276" w:lineRule="auto"/>
        <w:jc w:val="center"/>
        <w:rPr>
          <w:rFonts w:cs="Arial"/>
          <w:color w:val="000000"/>
          <w:sz w:val="20"/>
        </w:rPr>
      </w:pPr>
      <w:r w:rsidRPr="007841FA">
        <w:rPr>
          <w:rFonts w:cs="Arial"/>
          <w:color w:val="000000"/>
          <w:sz w:val="20"/>
        </w:rPr>
        <w:t>Cuadro 4</w:t>
      </w:r>
    </w:p>
    <w:p w14:paraId="1B91689B" w14:textId="5DDB5D4A" w:rsidR="00B84AFA" w:rsidRPr="007841FA" w:rsidRDefault="00B84AFA" w:rsidP="00B84AFA">
      <w:pPr>
        <w:widowControl/>
        <w:autoSpaceDE w:val="0"/>
        <w:autoSpaceDN w:val="0"/>
        <w:adjustRightInd w:val="0"/>
        <w:spacing w:after="120"/>
        <w:ind w:right="51"/>
        <w:jc w:val="center"/>
        <w:rPr>
          <w:rFonts w:cs="Arial"/>
          <w:b/>
          <w:smallCaps/>
          <w:sz w:val="22"/>
          <w:szCs w:val="22"/>
        </w:rPr>
      </w:pPr>
      <w:r w:rsidRPr="007841FA">
        <w:rPr>
          <w:rFonts w:cs="Arial"/>
          <w:b/>
          <w:smallCaps/>
          <w:sz w:val="22"/>
          <w:szCs w:val="22"/>
        </w:rPr>
        <w:t>Personas en alguna ocupación no permitida por forma de trabajo</w:t>
      </w:r>
      <w:r w:rsidR="0094617A" w:rsidRPr="007841FA">
        <w:rPr>
          <w:rFonts w:cs="Arial"/>
          <w:b/>
          <w:smallCaps/>
          <w:sz w:val="22"/>
          <w:szCs w:val="22"/>
        </w:rPr>
        <w:t>,</w:t>
      </w:r>
      <w:r w:rsidRPr="007841FA">
        <w:rPr>
          <w:rFonts w:cs="Arial"/>
          <w:b/>
          <w:smallCaps/>
          <w:sz w:val="22"/>
          <w:szCs w:val="22"/>
        </w:rPr>
        <w:t xml:space="preserve"> según sexo</w:t>
      </w:r>
    </w:p>
    <w:tbl>
      <w:tblPr>
        <w:tblW w:w="9923" w:type="dxa"/>
        <w:tblCellMar>
          <w:left w:w="70" w:type="dxa"/>
          <w:right w:w="70" w:type="dxa"/>
        </w:tblCellMar>
        <w:tblLook w:val="04A0" w:firstRow="1" w:lastRow="0" w:firstColumn="1" w:lastColumn="0" w:noHBand="0" w:noVBand="1"/>
      </w:tblPr>
      <w:tblGrid>
        <w:gridCol w:w="220"/>
        <w:gridCol w:w="2580"/>
        <w:gridCol w:w="1311"/>
        <w:gridCol w:w="992"/>
        <w:gridCol w:w="1134"/>
        <w:gridCol w:w="1134"/>
        <w:gridCol w:w="1134"/>
        <w:gridCol w:w="1418"/>
      </w:tblGrid>
      <w:tr w:rsidR="00B84AFA" w:rsidRPr="00570220" w14:paraId="39E3AE80" w14:textId="77777777" w:rsidTr="00562DA7">
        <w:trPr>
          <w:trHeight w:val="510"/>
        </w:trPr>
        <w:tc>
          <w:tcPr>
            <w:tcW w:w="2800" w:type="dxa"/>
            <w:gridSpan w:val="2"/>
            <w:vMerge w:val="restart"/>
            <w:tcBorders>
              <w:top w:val="nil"/>
              <w:left w:val="nil"/>
              <w:bottom w:val="nil"/>
              <w:right w:val="nil"/>
            </w:tcBorders>
            <w:shd w:val="clear" w:color="auto" w:fill="338B99"/>
            <w:vAlign w:val="center"/>
            <w:hideMark/>
          </w:tcPr>
          <w:p w14:paraId="3466B509" w14:textId="79E1E61D" w:rsidR="00B84AFA" w:rsidRPr="00570220" w:rsidRDefault="00B84AFA" w:rsidP="00B84AFA">
            <w:pPr>
              <w:widowControl/>
              <w:jc w:val="left"/>
              <w:rPr>
                <w:rFonts w:cs="Arial"/>
                <w:b/>
                <w:bCs/>
                <w:color w:val="FFFFFF"/>
                <w:sz w:val="20"/>
                <w:lang w:eastAsia="es-MX"/>
              </w:rPr>
            </w:pPr>
            <w:r w:rsidRPr="00570220">
              <w:rPr>
                <w:rFonts w:cs="Arial"/>
                <w:b/>
                <w:bCs/>
                <w:color w:val="FFFFFF"/>
                <w:sz w:val="20"/>
                <w:lang w:eastAsia="es-MX"/>
              </w:rPr>
              <w:t>Forma de trabajo</w:t>
            </w:r>
            <w:r w:rsidRPr="00570220">
              <w:rPr>
                <w:rFonts w:cs="Arial"/>
                <w:color w:val="000000"/>
                <w:sz w:val="20"/>
                <w:lang w:eastAsia="es-MX"/>
              </w:rPr>
              <w:t> </w:t>
            </w:r>
          </w:p>
        </w:tc>
        <w:tc>
          <w:tcPr>
            <w:tcW w:w="3437" w:type="dxa"/>
            <w:gridSpan w:val="3"/>
            <w:tcBorders>
              <w:top w:val="nil"/>
              <w:left w:val="nil"/>
              <w:bottom w:val="single" w:sz="4" w:space="0" w:color="FFFFFF"/>
              <w:right w:val="nil"/>
            </w:tcBorders>
            <w:shd w:val="clear" w:color="auto" w:fill="338B99"/>
            <w:vAlign w:val="center"/>
            <w:hideMark/>
          </w:tcPr>
          <w:p w14:paraId="633BF2FC" w14:textId="153EE32B" w:rsidR="00B84AFA" w:rsidRPr="00570220" w:rsidRDefault="00B84AFA" w:rsidP="00B84AFA">
            <w:pPr>
              <w:widowControl/>
              <w:jc w:val="center"/>
              <w:rPr>
                <w:rFonts w:cs="Arial"/>
                <w:b/>
                <w:bCs/>
                <w:color w:val="FFFFFF"/>
                <w:sz w:val="20"/>
                <w:lang w:eastAsia="es-MX"/>
              </w:rPr>
            </w:pPr>
            <w:r>
              <w:rPr>
                <w:rFonts w:cs="Arial"/>
                <w:b/>
                <w:bCs/>
                <w:color w:val="FFFFFF"/>
                <w:sz w:val="20"/>
                <w:lang w:eastAsia="es-MX"/>
              </w:rPr>
              <w:t>M</w:t>
            </w:r>
            <w:r w:rsidRPr="00570220">
              <w:rPr>
                <w:rFonts w:cs="Arial"/>
                <w:b/>
                <w:bCs/>
                <w:color w:val="FFFFFF"/>
                <w:sz w:val="20"/>
                <w:lang w:eastAsia="es-MX"/>
              </w:rPr>
              <w:t>illones</w:t>
            </w:r>
            <w:r>
              <w:rPr>
                <w:rFonts w:cs="Arial"/>
                <w:b/>
                <w:bCs/>
                <w:color w:val="FFFFFF"/>
                <w:sz w:val="20"/>
                <w:lang w:eastAsia="es-MX"/>
              </w:rPr>
              <w:t xml:space="preserve"> de personas</w:t>
            </w:r>
            <w:r w:rsidRPr="00570220">
              <w:rPr>
                <w:rFonts w:cs="Arial"/>
                <w:b/>
                <w:bCs/>
                <w:color w:val="FFFFFF"/>
                <w:sz w:val="20"/>
                <w:lang w:eastAsia="es-MX"/>
              </w:rPr>
              <w:t xml:space="preserve"> </w:t>
            </w:r>
          </w:p>
        </w:tc>
        <w:tc>
          <w:tcPr>
            <w:tcW w:w="3686" w:type="dxa"/>
            <w:gridSpan w:val="3"/>
            <w:tcBorders>
              <w:top w:val="nil"/>
              <w:left w:val="nil"/>
              <w:bottom w:val="single" w:sz="4" w:space="0" w:color="FFFFFF"/>
              <w:right w:val="nil"/>
            </w:tcBorders>
            <w:shd w:val="clear" w:color="auto" w:fill="338B99"/>
            <w:vAlign w:val="center"/>
            <w:hideMark/>
          </w:tcPr>
          <w:p w14:paraId="0DE589C9" w14:textId="42ADCEEB" w:rsidR="00B84AFA" w:rsidRPr="00570220" w:rsidRDefault="00B84AFA" w:rsidP="00B84AFA">
            <w:pPr>
              <w:widowControl/>
              <w:jc w:val="center"/>
              <w:rPr>
                <w:rFonts w:cs="Arial"/>
                <w:b/>
                <w:bCs/>
                <w:color w:val="FFFFFF"/>
                <w:sz w:val="20"/>
                <w:lang w:eastAsia="es-MX"/>
              </w:rPr>
            </w:pPr>
            <w:r w:rsidRPr="00570220">
              <w:rPr>
                <w:rFonts w:cs="Arial"/>
                <w:b/>
                <w:bCs/>
                <w:color w:val="FFFFFF"/>
                <w:sz w:val="20"/>
                <w:lang w:eastAsia="es-MX"/>
              </w:rPr>
              <w:t>Distribución</w:t>
            </w:r>
            <w:r>
              <w:rPr>
                <w:rFonts w:cs="Arial"/>
                <w:b/>
                <w:bCs/>
                <w:color w:val="FFFFFF"/>
                <w:sz w:val="20"/>
                <w:lang w:eastAsia="es-MX"/>
              </w:rPr>
              <w:t xml:space="preserve"> porcentual</w:t>
            </w:r>
          </w:p>
        </w:tc>
      </w:tr>
      <w:tr w:rsidR="00B84AFA" w:rsidRPr="00570220" w14:paraId="0FD5311F" w14:textId="77777777" w:rsidTr="00562DA7">
        <w:trPr>
          <w:trHeight w:val="300"/>
        </w:trPr>
        <w:tc>
          <w:tcPr>
            <w:tcW w:w="2800" w:type="dxa"/>
            <w:gridSpan w:val="2"/>
            <w:vMerge/>
            <w:tcBorders>
              <w:top w:val="nil"/>
              <w:left w:val="nil"/>
              <w:bottom w:val="nil"/>
              <w:right w:val="nil"/>
            </w:tcBorders>
            <w:shd w:val="clear" w:color="auto" w:fill="338B99"/>
            <w:vAlign w:val="center"/>
            <w:hideMark/>
          </w:tcPr>
          <w:p w14:paraId="6EAA2D1A" w14:textId="77777777" w:rsidR="00B84AFA" w:rsidRPr="00570220" w:rsidRDefault="00B84AFA" w:rsidP="00B84AFA">
            <w:pPr>
              <w:widowControl/>
              <w:jc w:val="left"/>
              <w:rPr>
                <w:rFonts w:cs="Arial"/>
                <w:b/>
                <w:bCs/>
                <w:color w:val="FFFFFF"/>
                <w:sz w:val="20"/>
                <w:lang w:eastAsia="es-MX"/>
              </w:rPr>
            </w:pPr>
          </w:p>
        </w:tc>
        <w:tc>
          <w:tcPr>
            <w:tcW w:w="1311" w:type="dxa"/>
            <w:tcBorders>
              <w:top w:val="nil"/>
              <w:left w:val="nil"/>
              <w:bottom w:val="nil"/>
              <w:right w:val="nil"/>
            </w:tcBorders>
            <w:shd w:val="clear" w:color="auto" w:fill="338B99"/>
            <w:vAlign w:val="center"/>
            <w:hideMark/>
          </w:tcPr>
          <w:p w14:paraId="11913F07" w14:textId="78B555C8" w:rsidR="00B84AFA" w:rsidRPr="00570220" w:rsidRDefault="00B84AFA" w:rsidP="00B84AFA">
            <w:pPr>
              <w:widowControl/>
              <w:jc w:val="center"/>
              <w:rPr>
                <w:rFonts w:cs="Arial"/>
                <w:b/>
                <w:bCs/>
                <w:color w:val="FFFFFF"/>
                <w:sz w:val="20"/>
                <w:lang w:eastAsia="es-MX"/>
              </w:rPr>
            </w:pPr>
            <w:r w:rsidRPr="00570220">
              <w:rPr>
                <w:rFonts w:cs="Arial"/>
                <w:b/>
                <w:bCs/>
                <w:color w:val="FFFFFF"/>
                <w:sz w:val="20"/>
                <w:lang w:eastAsia="es-MX"/>
              </w:rPr>
              <w:t>Total</w:t>
            </w:r>
          </w:p>
        </w:tc>
        <w:tc>
          <w:tcPr>
            <w:tcW w:w="992" w:type="dxa"/>
            <w:tcBorders>
              <w:top w:val="nil"/>
              <w:left w:val="nil"/>
              <w:bottom w:val="nil"/>
              <w:right w:val="nil"/>
            </w:tcBorders>
            <w:shd w:val="clear" w:color="auto" w:fill="338B99"/>
            <w:vAlign w:val="center"/>
            <w:hideMark/>
          </w:tcPr>
          <w:p w14:paraId="0C2B9755" w14:textId="6AA3CB49" w:rsidR="00B84AFA" w:rsidRPr="00570220" w:rsidRDefault="00B84AFA" w:rsidP="00B84AFA">
            <w:pPr>
              <w:widowControl/>
              <w:jc w:val="center"/>
              <w:rPr>
                <w:rFonts w:cs="Arial"/>
                <w:b/>
                <w:bCs/>
                <w:color w:val="FFFFFF"/>
                <w:sz w:val="20"/>
                <w:lang w:eastAsia="es-MX"/>
              </w:rPr>
            </w:pPr>
            <w:r w:rsidRPr="00570220">
              <w:rPr>
                <w:rFonts w:cs="Arial"/>
                <w:b/>
                <w:bCs/>
                <w:color w:val="FFFFFF"/>
                <w:sz w:val="20"/>
                <w:lang w:eastAsia="es-MX"/>
              </w:rPr>
              <w:t>Niños</w:t>
            </w:r>
          </w:p>
        </w:tc>
        <w:tc>
          <w:tcPr>
            <w:tcW w:w="1134" w:type="dxa"/>
            <w:tcBorders>
              <w:top w:val="nil"/>
              <w:left w:val="nil"/>
              <w:bottom w:val="nil"/>
              <w:right w:val="nil"/>
            </w:tcBorders>
            <w:shd w:val="clear" w:color="auto" w:fill="338B99"/>
            <w:vAlign w:val="center"/>
            <w:hideMark/>
          </w:tcPr>
          <w:p w14:paraId="7F595CA9" w14:textId="77777777" w:rsidR="00B84AFA" w:rsidRPr="00570220" w:rsidRDefault="00B84AFA" w:rsidP="00B84AFA">
            <w:pPr>
              <w:widowControl/>
              <w:jc w:val="center"/>
              <w:rPr>
                <w:rFonts w:cs="Arial"/>
                <w:b/>
                <w:bCs/>
                <w:color w:val="FFFFFF"/>
                <w:sz w:val="20"/>
                <w:lang w:eastAsia="es-MX"/>
              </w:rPr>
            </w:pPr>
            <w:r w:rsidRPr="00570220">
              <w:rPr>
                <w:rFonts w:cs="Arial"/>
                <w:b/>
                <w:bCs/>
                <w:color w:val="FFFFFF"/>
                <w:sz w:val="20"/>
                <w:lang w:eastAsia="es-MX"/>
              </w:rPr>
              <w:t>Niñas</w:t>
            </w:r>
          </w:p>
        </w:tc>
        <w:tc>
          <w:tcPr>
            <w:tcW w:w="1134" w:type="dxa"/>
            <w:tcBorders>
              <w:top w:val="nil"/>
              <w:left w:val="nil"/>
              <w:bottom w:val="nil"/>
              <w:right w:val="nil"/>
            </w:tcBorders>
            <w:shd w:val="clear" w:color="auto" w:fill="338B99"/>
            <w:vAlign w:val="center"/>
            <w:hideMark/>
          </w:tcPr>
          <w:p w14:paraId="2244B5DC" w14:textId="1BA3CD03" w:rsidR="00B84AFA" w:rsidRPr="00570220" w:rsidRDefault="00B84AFA" w:rsidP="00B84AFA">
            <w:pPr>
              <w:widowControl/>
              <w:jc w:val="center"/>
              <w:rPr>
                <w:rFonts w:cs="Arial"/>
                <w:b/>
                <w:bCs/>
                <w:color w:val="FFFFFF"/>
                <w:sz w:val="20"/>
                <w:lang w:eastAsia="es-MX"/>
              </w:rPr>
            </w:pPr>
            <w:r w:rsidRPr="00570220">
              <w:rPr>
                <w:rFonts w:cs="Arial"/>
                <w:b/>
                <w:bCs/>
                <w:color w:val="FFFFFF"/>
                <w:sz w:val="20"/>
                <w:lang w:eastAsia="es-MX"/>
              </w:rPr>
              <w:t>Total</w:t>
            </w:r>
          </w:p>
        </w:tc>
        <w:tc>
          <w:tcPr>
            <w:tcW w:w="1134" w:type="dxa"/>
            <w:tcBorders>
              <w:top w:val="nil"/>
              <w:left w:val="nil"/>
              <w:bottom w:val="nil"/>
              <w:right w:val="nil"/>
            </w:tcBorders>
            <w:shd w:val="clear" w:color="auto" w:fill="338B99"/>
            <w:vAlign w:val="center"/>
            <w:hideMark/>
          </w:tcPr>
          <w:p w14:paraId="41017324" w14:textId="7AB58A7D" w:rsidR="00B84AFA" w:rsidRPr="00570220" w:rsidRDefault="00B84AFA" w:rsidP="00B84AFA">
            <w:pPr>
              <w:widowControl/>
              <w:jc w:val="center"/>
              <w:rPr>
                <w:rFonts w:cs="Arial"/>
                <w:b/>
                <w:bCs/>
                <w:color w:val="FFFFFF"/>
                <w:sz w:val="20"/>
                <w:lang w:eastAsia="es-MX"/>
              </w:rPr>
            </w:pPr>
            <w:r w:rsidRPr="00570220">
              <w:rPr>
                <w:rFonts w:cs="Arial"/>
                <w:b/>
                <w:bCs/>
                <w:color w:val="FFFFFF"/>
                <w:sz w:val="20"/>
                <w:lang w:eastAsia="es-MX"/>
              </w:rPr>
              <w:t>Niños</w:t>
            </w:r>
          </w:p>
        </w:tc>
        <w:tc>
          <w:tcPr>
            <w:tcW w:w="1418" w:type="dxa"/>
            <w:tcBorders>
              <w:top w:val="nil"/>
              <w:left w:val="nil"/>
              <w:bottom w:val="nil"/>
              <w:right w:val="nil"/>
            </w:tcBorders>
            <w:shd w:val="clear" w:color="auto" w:fill="338B99"/>
            <w:vAlign w:val="center"/>
            <w:hideMark/>
          </w:tcPr>
          <w:p w14:paraId="6FAB0B16" w14:textId="77777777" w:rsidR="00B84AFA" w:rsidRPr="00570220" w:rsidRDefault="00B84AFA" w:rsidP="00B84AFA">
            <w:pPr>
              <w:widowControl/>
              <w:jc w:val="center"/>
              <w:rPr>
                <w:rFonts w:cs="Arial"/>
                <w:b/>
                <w:bCs/>
                <w:color w:val="FFFFFF"/>
                <w:sz w:val="20"/>
                <w:lang w:eastAsia="es-MX"/>
              </w:rPr>
            </w:pPr>
            <w:r w:rsidRPr="00570220">
              <w:rPr>
                <w:rFonts w:cs="Arial"/>
                <w:b/>
                <w:bCs/>
                <w:color w:val="FFFFFF"/>
                <w:sz w:val="20"/>
                <w:lang w:eastAsia="es-MX"/>
              </w:rPr>
              <w:t>Niñas</w:t>
            </w:r>
          </w:p>
        </w:tc>
      </w:tr>
      <w:tr w:rsidR="00B84AFA" w:rsidRPr="00570220" w14:paraId="73B23F90" w14:textId="77777777" w:rsidTr="00562DA7">
        <w:trPr>
          <w:trHeight w:val="300"/>
        </w:trPr>
        <w:tc>
          <w:tcPr>
            <w:tcW w:w="2800" w:type="dxa"/>
            <w:gridSpan w:val="2"/>
            <w:tcBorders>
              <w:top w:val="nil"/>
              <w:left w:val="nil"/>
              <w:bottom w:val="nil"/>
              <w:right w:val="nil"/>
            </w:tcBorders>
            <w:shd w:val="clear" w:color="auto" w:fill="99C5CC"/>
            <w:vAlign w:val="center"/>
            <w:hideMark/>
          </w:tcPr>
          <w:p w14:paraId="6F40A934" w14:textId="77777777" w:rsidR="00B84AFA" w:rsidRPr="00570220" w:rsidRDefault="00B84AFA" w:rsidP="00562DA7">
            <w:pPr>
              <w:widowControl/>
              <w:jc w:val="left"/>
              <w:rPr>
                <w:rFonts w:cs="Arial"/>
                <w:b/>
                <w:bCs/>
                <w:color w:val="000000"/>
                <w:sz w:val="20"/>
                <w:lang w:eastAsia="es-MX"/>
              </w:rPr>
            </w:pPr>
            <w:r w:rsidRPr="00570220">
              <w:rPr>
                <w:rFonts w:cs="Arial"/>
                <w:b/>
                <w:bCs/>
                <w:color w:val="000000"/>
                <w:sz w:val="20"/>
                <w:lang w:eastAsia="es-MX"/>
              </w:rPr>
              <w:t>Ocupación no permitida</w:t>
            </w:r>
          </w:p>
        </w:tc>
        <w:tc>
          <w:tcPr>
            <w:tcW w:w="1311" w:type="dxa"/>
            <w:tcBorders>
              <w:top w:val="nil"/>
              <w:left w:val="nil"/>
              <w:bottom w:val="nil"/>
              <w:right w:val="nil"/>
            </w:tcBorders>
            <w:shd w:val="clear" w:color="auto" w:fill="99C5CC"/>
            <w:vAlign w:val="center"/>
            <w:hideMark/>
          </w:tcPr>
          <w:p w14:paraId="1EA81E30" w14:textId="77777777" w:rsidR="00B84AFA" w:rsidRPr="00570220" w:rsidRDefault="00B84AFA" w:rsidP="00562DA7">
            <w:pPr>
              <w:widowControl/>
              <w:jc w:val="center"/>
              <w:rPr>
                <w:rFonts w:cs="Arial"/>
                <w:b/>
                <w:bCs/>
                <w:color w:val="000000"/>
                <w:sz w:val="20"/>
                <w:lang w:eastAsia="es-MX"/>
              </w:rPr>
            </w:pPr>
            <w:r w:rsidRPr="00570220">
              <w:rPr>
                <w:rFonts w:cs="Arial"/>
                <w:b/>
                <w:bCs/>
                <w:sz w:val="20"/>
                <w:lang w:eastAsia="es-MX"/>
              </w:rPr>
              <w:t>2.1</w:t>
            </w:r>
          </w:p>
        </w:tc>
        <w:tc>
          <w:tcPr>
            <w:tcW w:w="992" w:type="dxa"/>
            <w:tcBorders>
              <w:top w:val="nil"/>
              <w:left w:val="nil"/>
              <w:bottom w:val="nil"/>
              <w:right w:val="nil"/>
            </w:tcBorders>
            <w:shd w:val="clear" w:color="auto" w:fill="99C5CC"/>
            <w:vAlign w:val="center"/>
            <w:hideMark/>
          </w:tcPr>
          <w:p w14:paraId="329AD94D" w14:textId="77777777" w:rsidR="00B84AFA" w:rsidRPr="00570220" w:rsidRDefault="00B84AFA" w:rsidP="00562DA7">
            <w:pPr>
              <w:widowControl/>
              <w:jc w:val="center"/>
              <w:rPr>
                <w:rFonts w:cs="Arial"/>
                <w:b/>
                <w:bCs/>
                <w:color w:val="000000"/>
                <w:sz w:val="20"/>
                <w:lang w:eastAsia="es-MX"/>
              </w:rPr>
            </w:pPr>
            <w:r w:rsidRPr="00570220">
              <w:rPr>
                <w:rFonts w:cs="Arial"/>
                <w:b/>
                <w:bCs/>
                <w:sz w:val="20"/>
                <w:lang w:eastAsia="es-MX"/>
              </w:rPr>
              <w:t>1.5</w:t>
            </w:r>
          </w:p>
        </w:tc>
        <w:tc>
          <w:tcPr>
            <w:tcW w:w="1134" w:type="dxa"/>
            <w:tcBorders>
              <w:top w:val="nil"/>
              <w:left w:val="nil"/>
              <w:bottom w:val="nil"/>
              <w:right w:val="nil"/>
            </w:tcBorders>
            <w:shd w:val="clear" w:color="auto" w:fill="99C5CC"/>
            <w:vAlign w:val="center"/>
            <w:hideMark/>
          </w:tcPr>
          <w:p w14:paraId="798F2BD9" w14:textId="77777777" w:rsidR="00B84AFA" w:rsidRPr="00570220" w:rsidRDefault="00B84AFA" w:rsidP="00562DA7">
            <w:pPr>
              <w:widowControl/>
              <w:jc w:val="center"/>
              <w:rPr>
                <w:rFonts w:cs="Arial"/>
                <w:b/>
                <w:bCs/>
                <w:color w:val="000000"/>
                <w:sz w:val="20"/>
                <w:lang w:eastAsia="es-MX"/>
              </w:rPr>
            </w:pPr>
            <w:r w:rsidRPr="00570220">
              <w:rPr>
                <w:rFonts w:cs="Arial"/>
                <w:b/>
                <w:bCs/>
                <w:sz w:val="20"/>
                <w:lang w:eastAsia="es-MX"/>
              </w:rPr>
              <w:t>0.6</w:t>
            </w:r>
          </w:p>
        </w:tc>
        <w:tc>
          <w:tcPr>
            <w:tcW w:w="1134" w:type="dxa"/>
            <w:tcBorders>
              <w:top w:val="nil"/>
              <w:left w:val="nil"/>
              <w:bottom w:val="nil"/>
              <w:right w:val="nil"/>
            </w:tcBorders>
            <w:shd w:val="clear" w:color="auto" w:fill="99C5CC"/>
            <w:vAlign w:val="center"/>
            <w:hideMark/>
          </w:tcPr>
          <w:p w14:paraId="04920B9D" w14:textId="77777777" w:rsidR="00B84AFA" w:rsidRPr="00570220" w:rsidRDefault="00B84AFA" w:rsidP="00562DA7">
            <w:pPr>
              <w:widowControl/>
              <w:jc w:val="center"/>
              <w:rPr>
                <w:rFonts w:cs="Arial"/>
                <w:b/>
                <w:bCs/>
                <w:color w:val="000000"/>
                <w:sz w:val="20"/>
                <w:lang w:eastAsia="es-MX"/>
              </w:rPr>
            </w:pPr>
            <w:r w:rsidRPr="00570220">
              <w:rPr>
                <w:rFonts w:cs="Arial"/>
                <w:b/>
                <w:bCs/>
                <w:sz w:val="20"/>
                <w:lang w:eastAsia="es-MX"/>
              </w:rPr>
              <w:t>100.0</w:t>
            </w:r>
          </w:p>
        </w:tc>
        <w:tc>
          <w:tcPr>
            <w:tcW w:w="1134" w:type="dxa"/>
            <w:tcBorders>
              <w:top w:val="nil"/>
              <w:left w:val="nil"/>
              <w:bottom w:val="nil"/>
              <w:right w:val="nil"/>
            </w:tcBorders>
            <w:shd w:val="clear" w:color="auto" w:fill="99C5CC"/>
            <w:vAlign w:val="center"/>
            <w:hideMark/>
          </w:tcPr>
          <w:p w14:paraId="71D4292C" w14:textId="77777777" w:rsidR="00B84AFA" w:rsidRPr="00570220" w:rsidRDefault="00B84AFA" w:rsidP="00562DA7">
            <w:pPr>
              <w:widowControl/>
              <w:jc w:val="center"/>
              <w:rPr>
                <w:rFonts w:cs="Arial"/>
                <w:b/>
                <w:bCs/>
                <w:color w:val="000000"/>
                <w:sz w:val="20"/>
                <w:lang w:eastAsia="es-MX"/>
              </w:rPr>
            </w:pPr>
            <w:r w:rsidRPr="00570220">
              <w:rPr>
                <w:rFonts w:cs="Arial"/>
                <w:b/>
                <w:bCs/>
                <w:sz w:val="20"/>
                <w:lang w:eastAsia="es-MX"/>
              </w:rPr>
              <w:t>100.0</w:t>
            </w:r>
          </w:p>
        </w:tc>
        <w:tc>
          <w:tcPr>
            <w:tcW w:w="1418" w:type="dxa"/>
            <w:tcBorders>
              <w:top w:val="nil"/>
              <w:left w:val="nil"/>
              <w:bottom w:val="nil"/>
              <w:right w:val="nil"/>
            </w:tcBorders>
            <w:shd w:val="clear" w:color="auto" w:fill="99C5CC"/>
            <w:vAlign w:val="center"/>
            <w:hideMark/>
          </w:tcPr>
          <w:p w14:paraId="733C8474" w14:textId="77777777" w:rsidR="00B84AFA" w:rsidRPr="00570220" w:rsidRDefault="00B84AFA" w:rsidP="00562DA7">
            <w:pPr>
              <w:widowControl/>
              <w:jc w:val="center"/>
              <w:rPr>
                <w:rFonts w:cs="Arial"/>
                <w:b/>
                <w:bCs/>
                <w:color w:val="000000"/>
                <w:sz w:val="20"/>
                <w:lang w:eastAsia="es-MX"/>
              </w:rPr>
            </w:pPr>
            <w:r w:rsidRPr="00570220">
              <w:rPr>
                <w:rFonts w:cs="Arial"/>
                <w:b/>
                <w:bCs/>
                <w:sz w:val="20"/>
                <w:lang w:eastAsia="es-MX"/>
              </w:rPr>
              <w:t>100.0</w:t>
            </w:r>
          </w:p>
        </w:tc>
      </w:tr>
      <w:tr w:rsidR="00B84AFA" w:rsidRPr="00570220" w14:paraId="6DA88B4D" w14:textId="77777777" w:rsidTr="00562DA7">
        <w:trPr>
          <w:trHeight w:val="300"/>
        </w:trPr>
        <w:tc>
          <w:tcPr>
            <w:tcW w:w="220" w:type="dxa"/>
            <w:tcBorders>
              <w:top w:val="nil"/>
              <w:left w:val="nil"/>
              <w:right w:val="nil"/>
            </w:tcBorders>
            <w:shd w:val="clear" w:color="auto" w:fill="CCE2E6"/>
            <w:noWrap/>
            <w:vAlign w:val="bottom"/>
            <w:hideMark/>
          </w:tcPr>
          <w:p w14:paraId="183D6709" w14:textId="77777777" w:rsidR="00B84AFA" w:rsidRPr="00570220" w:rsidRDefault="00B84AFA" w:rsidP="00562DA7">
            <w:pPr>
              <w:widowControl/>
              <w:jc w:val="left"/>
              <w:rPr>
                <w:rFonts w:ascii="Times New Roman" w:hAnsi="Times New Roman"/>
                <w:color w:val="000000"/>
                <w:sz w:val="20"/>
                <w:lang w:eastAsia="es-MX"/>
              </w:rPr>
            </w:pPr>
            <w:r w:rsidRPr="00570220">
              <w:rPr>
                <w:rFonts w:ascii="Times New Roman" w:hAnsi="Times New Roman"/>
                <w:color w:val="000000"/>
                <w:sz w:val="20"/>
                <w:lang w:eastAsia="es-MX"/>
              </w:rPr>
              <w:t> </w:t>
            </w:r>
          </w:p>
        </w:tc>
        <w:tc>
          <w:tcPr>
            <w:tcW w:w="2580" w:type="dxa"/>
            <w:tcBorders>
              <w:top w:val="nil"/>
              <w:left w:val="nil"/>
              <w:right w:val="nil"/>
            </w:tcBorders>
            <w:shd w:val="clear" w:color="auto" w:fill="CCE2E6"/>
            <w:vAlign w:val="center"/>
            <w:hideMark/>
          </w:tcPr>
          <w:p w14:paraId="06A67128" w14:textId="77777777" w:rsidR="00B84AFA" w:rsidRPr="00570220" w:rsidRDefault="00B84AFA" w:rsidP="00562DA7">
            <w:pPr>
              <w:widowControl/>
              <w:jc w:val="left"/>
              <w:rPr>
                <w:rFonts w:cs="Arial"/>
                <w:color w:val="000000"/>
                <w:sz w:val="20"/>
                <w:lang w:eastAsia="es-MX"/>
              </w:rPr>
            </w:pPr>
            <w:r w:rsidRPr="00570220">
              <w:rPr>
                <w:rFonts w:cs="Arial"/>
                <w:color w:val="000000"/>
                <w:sz w:val="20"/>
                <w:lang w:eastAsia="es-MX"/>
              </w:rPr>
              <w:t>Solo ocupación no permitida</w:t>
            </w:r>
          </w:p>
        </w:tc>
        <w:tc>
          <w:tcPr>
            <w:tcW w:w="1311" w:type="dxa"/>
            <w:tcBorders>
              <w:top w:val="nil"/>
              <w:left w:val="nil"/>
              <w:right w:val="nil"/>
            </w:tcBorders>
            <w:shd w:val="clear" w:color="auto" w:fill="CCE2E6"/>
            <w:vAlign w:val="center"/>
            <w:hideMark/>
          </w:tcPr>
          <w:p w14:paraId="3A4FB771" w14:textId="77777777" w:rsidR="00B84AFA" w:rsidRPr="00570220" w:rsidRDefault="00B84AFA" w:rsidP="00562DA7">
            <w:pPr>
              <w:widowControl/>
              <w:jc w:val="center"/>
              <w:rPr>
                <w:rFonts w:cs="Arial"/>
                <w:color w:val="000000"/>
                <w:sz w:val="20"/>
                <w:lang w:eastAsia="es-MX"/>
              </w:rPr>
            </w:pPr>
            <w:r w:rsidRPr="00570220">
              <w:rPr>
                <w:rFonts w:cs="Arial"/>
                <w:sz w:val="20"/>
                <w:lang w:eastAsia="es-MX"/>
              </w:rPr>
              <w:t>1.8</w:t>
            </w:r>
          </w:p>
        </w:tc>
        <w:tc>
          <w:tcPr>
            <w:tcW w:w="992" w:type="dxa"/>
            <w:tcBorders>
              <w:top w:val="nil"/>
              <w:left w:val="nil"/>
              <w:right w:val="nil"/>
            </w:tcBorders>
            <w:shd w:val="clear" w:color="auto" w:fill="CCE2E6"/>
            <w:vAlign w:val="center"/>
            <w:hideMark/>
          </w:tcPr>
          <w:p w14:paraId="1F3D2E76" w14:textId="77777777" w:rsidR="00B84AFA" w:rsidRPr="00570220" w:rsidRDefault="00B84AFA" w:rsidP="00562DA7">
            <w:pPr>
              <w:widowControl/>
              <w:jc w:val="center"/>
              <w:rPr>
                <w:rFonts w:cs="Arial"/>
                <w:color w:val="000000"/>
                <w:sz w:val="20"/>
                <w:lang w:eastAsia="es-MX"/>
              </w:rPr>
            </w:pPr>
            <w:r w:rsidRPr="00570220">
              <w:rPr>
                <w:rFonts w:cs="Arial"/>
                <w:sz w:val="20"/>
                <w:lang w:eastAsia="es-MX"/>
              </w:rPr>
              <w:t>1.3</w:t>
            </w:r>
          </w:p>
        </w:tc>
        <w:tc>
          <w:tcPr>
            <w:tcW w:w="1134" w:type="dxa"/>
            <w:tcBorders>
              <w:top w:val="nil"/>
              <w:left w:val="nil"/>
              <w:right w:val="nil"/>
            </w:tcBorders>
            <w:shd w:val="clear" w:color="auto" w:fill="CCE2E6"/>
            <w:vAlign w:val="center"/>
            <w:hideMark/>
          </w:tcPr>
          <w:p w14:paraId="092C387E" w14:textId="77777777" w:rsidR="00B84AFA" w:rsidRPr="00570220" w:rsidRDefault="00B84AFA" w:rsidP="00562DA7">
            <w:pPr>
              <w:widowControl/>
              <w:jc w:val="center"/>
              <w:rPr>
                <w:rFonts w:cs="Arial"/>
                <w:color w:val="000000"/>
                <w:sz w:val="20"/>
                <w:lang w:eastAsia="es-MX"/>
              </w:rPr>
            </w:pPr>
            <w:r w:rsidRPr="00570220">
              <w:rPr>
                <w:rFonts w:cs="Arial"/>
                <w:sz w:val="20"/>
                <w:lang w:eastAsia="es-MX"/>
              </w:rPr>
              <w:t>0.5</w:t>
            </w:r>
          </w:p>
        </w:tc>
        <w:tc>
          <w:tcPr>
            <w:tcW w:w="1134" w:type="dxa"/>
            <w:tcBorders>
              <w:top w:val="nil"/>
              <w:left w:val="nil"/>
              <w:right w:val="nil"/>
            </w:tcBorders>
            <w:shd w:val="clear" w:color="auto" w:fill="CCE2E6"/>
            <w:vAlign w:val="center"/>
            <w:hideMark/>
          </w:tcPr>
          <w:p w14:paraId="007FE22A" w14:textId="77777777" w:rsidR="00B84AFA" w:rsidRPr="00570220" w:rsidRDefault="00B84AFA" w:rsidP="00562DA7">
            <w:pPr>
              <w:widowControl/>
              <w:jc w:val="center"/>
              <w:rPr>
                <w:rFonts w:cs="Arial"/>
                <w:color w:val="000000"/>
                <w:sz w:val="20"/>
                <w:lang w:eastAsia="es-MX"/>
              </w:rPr>
            </w:pPr>
            <w:r w:rsidRPr="00570220">
              <w:rPr>
                <w:rFonts w:cs="Arial"/>
                <w:sz w:val="20"/>
                <w:lang w:eastAsia="es-MX"/>
              </w:rPr>
              <w:t>85.1</w:t>
            </w:r>
          </w:p>
        </w:tc>
        <w:tc>
          <w:tcPr>
            <w:tcW w:w="1134" w:type="dxa"/>
            <w:tcBorders>
              <w:top w:val="nil"/>
              <w:left w:val="nil"/>
              <w:right w:val="nil"/>
            </w:tcBorders>
            <w:shd w:val="clear" w:color="auto" w:fill="CCE2E6"/>
            <w:vAlign w:val="center"/>
            <w:hideMark/>
          </w:tcPr>
          <w:p w14:paraId="45141510" w14:textId="77777777" w:rsidR="00B84AFA" w:rsidRPr="00570220" w:rsidRDefault="00B84AFA" w:rsidP="00562DA7">
            <w:pPr>
              <w:widowControl/>
              <w:jc w:val="center"/>
              <w:rPr>
                <w:rFonts w:cs="Arial"/>
                <w:color w:val="000000"/>
                <w:sz w:val="20"/>
                <w:lang w:eastAsia="es-MX"/>
              </w:rPr>
            </w:pPr>
            <w:r w:rsidRPr="00570220">
              <w:rPr>
                <w:rFonts w:cs="Arial"/>
                <w:sz w:val="20"/>
                <w:lang w:eastAsia="es-MX"/>
              </w:rPr>
              <w:t>86.2</w:t>
            </w:r>
          </w:p>
        </w:tc>
        <w:tc>
          <w:tcPr>
            <w:tcW w:w="1418" w:type="dxa"/>
            <w:tcBorders>
              <w:top w:val="nil"/>
              <w:left w:val="nil"/>
              <w:right w:val="nil"/>
            </w:tcBorders>
            <w:shd w:val="clear" w:color="auto" w:fill="CCE2E6"/>
            <w:vAlign w:val="center"/>
            <w:hideMark/>
          </w:tcPr>
          <w:p w14:paraId="2E78DC4F" w14:textId="77777777" w:rsidR="00B84AFA" w:rsidRPr="00570220" w:rsidRDefault="00B84AFA" w:rsidP="00562DA7">
            <w:pPr>
              <w:widowControl/>
              <w:jc w:val="center"/>
              <w:rPr>
                <w:rFonts w:cs="Arial"/>
                <w:color w:val="000000"/>
                <w:sz w:val="20"/>
                <w:lang w:eastAsia="es-MX"/>
              </w:rPr>
            </w:pPr>
            <w:r w:rsidRPr="00570220">
              <w:rPr>
                <w:rFonts w:cs="Arial"/>
                <w:sz w:val="20"/>
                <w:lang w:eastAsia="es-MX"/>
              </w:rPr>
              <w:t>82.4</w:t>
            </w:r>
          </w:p>
        </w:tc>
      </w:tr>
      <w:tr w:rsidR="00B84AFA" w:rsidRPr="00570220" w14:paraId="756DBEDE" w14:textId="77777777" w:rsidTr="00562DA7">
        <w:trPr>
          <w:trHeight w:val="765"/>
        </w:trPr>
        <w:tc>
          <w:tcPr>
            <w:tcW w:w="220" w:type="dxa"/>
            <w:tcBorders>
              <w:top w:val="nil"/>
              <w:left w:val="nil"/>
              <w:right w:val="nil"/>
            </w:tcBorders>
            <w:shd w:val="clear" w:color="auto" w:fill="CCE2E6"/>
            <w:vAlign w:val="center"/>
            <w:hideMark/>
          </w:tcPr>
          <w:p w14:paraId="75F5098C" w14:textId="77777777" w:rsidR="00B84AFA" w:rsidRPr="00570220" w:rsidRDefault="00B84AFA" w:rsidP="00562DA7">
            <w:pPr>
              <w:widowControl/>
              <w:jc w:val="left"/>
              <w:rPr>
                <w:rFonts w:ascii="Times New Roman" w:hAnsi="Times New Roman"/>
                <w:color w:val="000000"/>
                <w:sz w:val="20"/>
                <w:lang w:eastAsia="es-MX"/>
              </w:rPr>
            </w:pPr>
            <w:r w:rsidRPr="00570220">
              <w:rPr>
                <w:rFonts w:ascii="Times New Roman" w:hAnsi="Times New Roman"/>
                <w:color w:val="000000"/>
                <w:sz w:val="20"/>
                <w:lang w:eastAsia="es-MX"/>
              </w:rPr>
              <w:t> </w:t>
            </w:r>
          </w:p>
        </w:tc>
        <w:tc>
          <w:tcPr>
            <w:tcW w:w="2580" w:type="dxa"/>
            <w:tcBorders>
              <w:top w:val="nil"/>
              <w:left w:val="nil"/>
              <w:right w:val="nil"/>
            </w:tcBorders>
            <w:shd w:val="clear" w:color="auto" w:fill="CCE2E6"/>
            <w:vAlign w:val="center"/>
            <w:hideMark/>
          </w:tcPr>
          <w:p w14:paraId="547C345F" w14:textId="77777777" w:rsidR="00B84AFA" w:rsidRPr="00570220" w:rsidRDefault="00B84AFA" w:rsidP="00562DA7">
            <w:pPr>
              <w:widowControl/>
              <w:jc w:val="left"/>
              <w:rPr>
                <w:rFonts w:cs="Arial"/>
                <w:color w:val="000000"/>
                <w:sz w:val="20"/>
                <w:lang w:eastAsia="es-MX"/>
              </w:rPr>
            </w:pPr>
            <w:r w:rsidRPr="00570220">
              <w:rPr>
                <w:rFonts w:cs="Arial"/>
                <w:color w:val="000000"/>
                <w:sz w:val="20"/>
                <w:lang w:eastAsia="es-MX"/>
              </w:rPr>
              <w:t>Ocupación no permitida y quehaceres domésticos en condiciones no adecuadas</w:t>
            </w:r>
          </w:p>
        </w:tc>
        <w:tc>
          <w:tcPr>
            <w:tcW w:w="1311" w:type="dxa"/>
            <w:tcBorders>
              <w:top w:val="nil"/>
              <w:left w:val="nil"/>
              <w:right w:val="nil"/>
            </w:tcBorders>
            <w:shd w:val="clear" w:color="auto" w:fill="CCE2E6"/>
            <w:vAlign w:val="center"/>
            <w:hideMark/>
          </w:tcPr>
          <w:p w14:paraId="3BF20BBC" w14:textId="77777777" w:rsidR="00B84AFA" w:rsidRPr="00570220" w:rsidRDefault="00B84AFA" w:rsidP="00562DA7">
            <w:pPr>
              <w:widowControl/>
              <w:jc w:val="center"/>
              <w:rPr>
                <w:rFonts w:cs="Arial"/>
                <w:color w:val="000000"/>
                <w:sz w:val="20"/>
                <w:lang w:eastAsia="es-MX"/>
              </w:rPr>
            </w:pPr>
            <w:r w:rsidRPr="00570220">
              <w:rPr>
                <w:rFonts w:cs="Arial"/>
                <w:sz w:val="20"/>
                <w:lang w:eastAsia="es-MX"/>
              </w:rPr>
              <w:t>0.3</w:t>
            </w:r>
          </w:p>
        </w:tc>
        <w:tc>
          <w:tcPr>
            <w:tcW w:w="992" w:type="dxa"/>
            <w:tcBorders>
              <w:top w:val="nil"/>
              <w:left w:val="nil"/>
              <w:right w:val="nil"/>
            </w:tcBorders>
            <w:shd w:val="clear" w:color="auto" w:fill="CCE2E6"/>
            <w:vAlign w:val="center"/>
            <w:hideMark/>
          </w:tcPr>
          <w:p w14:paraId="4FB9025D" w14:textId="77777777" w:rsidR="00B84AFA" w:rsidRPr="00570220" w:rsidRDefault="00B84AFA" w:rsidP="00562DA7">
            <w:pPr>
              <w:widowControl/>
              <w:jc w:val="center"/>
              <w:rPr>
                <w:rFonts w:cs="Arial"/>
                <w:color w:val="000000"/>
                <w:sz w:val="20"/>
                <w:lang w:eastAsia="es-MX"/>
              </w:rPr>
            </w:pPr>
            <w:r w:rsidRPr="00570220">
              <w:rPr>
                <w:rFonts w:cs="Arial"/>
                <w:sz w:val="20"/>
                <w:lang w:eastAsia="es-MX"/>
              </w:rPr>
              <w:t>0.2</w:t>
            </w:r>
          </w:p>
        </w:tc>
        <w:tc>
          <w:tcPr>
            <w:tcW w:w="1134" w:type="dxa"/>
            <w:tcBorders>
              <w:top w:val="nil"/>
              <w:left w:val="nil"/>
              <w:right w:val="nil"/>
            </w:tcBorders>
            <w:shd w:val="clear" w:color="auto" w:fill="CCE2E6"/>
            <w:vAlign w:val="center"/>
            <w:hideMark/>
          </w:tcPr>
          <w:p w14:paraId="079C862D" w14:textId="77777777" w:rsidR="00B84AFA" w:rsidRPr="00570220" w:rsidRDefault="00B84AFA" w:rsidP="00562DA7">
            <w:pPr>
              <w:widowControl/>
              <w:jc w:val="center"/>
              <w:rPr>
                <w:rFonts w:cs="Arial"/>
                <w:color w:val="000000"/>
                <w:sz w:val="20"/>
                <w:lang w:eastAsia="es-MX"/>
              </w:rPr>
            </w:pPr>
            <w:r w:rsidRPr="00570220">
              <w:rPr>
                <w:rFonts w:cs="Arial"/>
                <w:sz w:val="20"/>
                <w:lang w:eastAsia="es-MX"/>
              </w:rPr>
              <w:t>0.1</w:t>
            </w:r>
          </w:p>
        </w:tc>
        <w:tc>
          <w:tcPr>
            <w:tcW w:w="1134" w:type="dxa"/>
            <w:tcBorders>
              <w:top w:val="nil"/>
              <w:left w:val="nil"/>
              <w:right w:val="nil"/>
            </w:tcBorders>
            <w:shd w:val="clear" w:color="auto" w:fill="CCE2E6"/>
            <w:vAlign w:val="center"/>
            <w:hideMark/>
          </w:tcPr>
          <w:p w14:paraId="1AD41E67" w14:textId="77777777" w:rsidR="00B84AFA" w:rsidRPr="00570220" w:rsidRDefault="00B84AFA" w:rsidP="00562DA7">
            <w:pPr>
              <w:widowControl/>
              <w:jc w:val="center"/>
              <w:rPr>
                <w:rFonts w:cs="Arial"/>
                <w:color w:val="000000"/>
                <w:sz w:val="20"/>
                <w:lang w:eastAsia="es-MX"/>
              </w:rPr>
            </w:pPr>
            <w:r w:rsidRPr="00570220">
              <w:rPr>
                <w:rFonts w:cs="Arial"/>
                <w:sz w:val="20"/>
                <w:lang w:eastAsia="es-MX"/>
              </w:rPr>
              <w:t>14.9</w:t>
            </w:r>
          </w:p>
        </w:tc>
        <w:tc>
          <w:tcPr>
            <w:tcW w:w="1134" w:type="dxa"/>
            <w:tcBorders>
              <w:top w:val="nil"/>
              <w:left w:val="nil"/>
              <w:right w:val="nil"/>
            </w:tcBorders>
            <w:shd w:val="clear" w:color="auto" w:fill="CCE2E6"/>
            <w:vAlign w:val="center"/>
            <w:hideMark/>
          </w:tcPr>
          <w:p w14:paraId="569F15C8" w14:textId="77777777" w:rsidR="00B84AFA" w:rsidRPr="00570220" w:rsidRDefault="00B84AFA" w:rsidP="00562DA7">
            <w:pPr>
              <w:widowControl/>
              <w:jc w:val="center"/>
              <w:rPr>
                <w:rFonts w:cs="Arial"/>
                <w:color w:val="000000"/>
                <w:sz w:val="20"/>
                <w:lang w:eastAsia="es-MX"/>
              </w:rPr>
            </w:pPr>
            <w:r w:rsidRPr="00570220">
              <w:rPr>
                <w:rFonts w:cs="Arial"/>
                <w:sz w:val="20"/>
                <w:lang w:eastAsia="es-MX"/>
              </w:rPr>
              <w:t>13.8</w:t>
            </w:r>
          </w:p>
        </w:tc>
        <w:tc>
          <w:tcPr>
            <w:tcW w:w="1418" w:type="dxa"/>
            <w:tcBorders>
              <w:top w:val="nil"/>
              <w:left w:val="nil"/>
              <w:right w:val="nil"/>
            </w:tcBorders>
            <w:shd w:val="clear" w:color="auto" w:fill="CCE2E6"/>
            <w:vAlign w:val="center"/>
            <w:hideMark/>
          </w:tcPr>
          <w:p w14:paraId="3013749F" w14:textId="77777777" w:rsidR="00B84AFA" w:rsidRPr="00570220" w:rsidRDefault="00B84AFA" w:rsidP="00562DA7">
            <w:pPr>
              <w:widowControl/>
              <w:jc w:val="center"/>
              <w:rPr>
                <w:rFonts w:cs="Arial"/>
                <w:color w:val="000000"/>
                <w:sz w:val="20"/>
                <w:lang w:eastAsia="es-MX"/>
              </w:rPr>
            </w:pPr>
            <w:r w:rsidRPr="00570220">
              <w:rPr>
                <w:rFonts w:cs="Arial"/>
                <w:sz w:val="20"/>
                <w:lang w:eastAsia="es-MX"/>
              </w:rPr>
              <w:t>17.6</w:t>
            </w:r>
          </w:p>
        </w:tc>
      </w:tr>
    </w:tbl>
    <w:p w14:paraId="0E4032F4" w14:textId="77777777" w:rsidR="00B84AFA" w:rsidRPr="00CD6FE9" w:rsidRDefault="00B84AFA" w:rsidP="00B84AFA">
      <w:pPr>
        <w:widowControl/>
        <w:autoSpaceDE w:val="0"/>
        <w:autoSpaceDN w:val="0"/>
        <w:adjustRightInd w:val="0"/>
        <w:spacing w:line="276" w:lineRule="auto"/>
        <w:ind w:right="333"/>
        <w:rPr>
          <w:rFonts w:cs="Arial"/>
          <w:color w:val="000000"/>
          <w:sz w:val="16"/>
          <w:szCs w:val="16"/>
        </w:rPr>
      </w:pPr>
      <w:r w:rsidRPr="00CD6FE9">
        <w:rPr>
          <w:rFonts w:cs="Arial"/>
          <w:color w:val="000000" w:themeColor="text1"/>
          <w:sz w:val="16"/>
          <w:szCs w:val="16"/>
        </w:rPr>
        <w:t>Fuente: INEGI, ENTI. 2022.</w:t>
      </w:r>
    </w:p>
    <w:p w14:paraId="1BAA938B" w14:textId="77777777" w:rsidR="00B84AFA" w:rsidRDefault="00B84AFA" w:rsidP="007327E2">
      <w:pPr>
        <w:widowControl/>
        <w:autoSpaceDE w:val="0"/>
        <w:autoSpaceDN w:val="0"/>
        <w:adjustRightInd w:val="0"/>
        <w:rPr>
          <w:rFonts w:cs="Arial"/>
          <w:color w:val="000000"/>
          <w:sz w:val="16"/>
          <w:szCs w:val="16"/>
        </w:rPr>
      </w:pPr>
    </w:p>
    <w:p w14:paraId="481A72E2" w14:textId="77777777" w:rsidR="00B84AFA" w:rsidRDefault="00B84AFA" w:rsidP="007327E2">
      <w:pPr>
        <w:widowControl/>
        <w:autoSpaceDE w:val="0"/>
        <w:autoSpaceDN w:val="0"/>
        <w:adjustRightInd w:val="0"/>
        <w:rPr>
          <w:rFonts w:cs="Arial"/>
          <w:color w:val="000000"/>
          <w:sz w:val="16"/>
          <w:szCs w:val="16"/>
        </w:rPr>
      </w:pPr>
    </w:p>
    <w:p w14:paraId="00A2595D" w14:textId="57685026" w:rsidR="00791592" w:rsidRPr="005844DC" w:rsidRDefault="00791592" w:rsidP="007841FA">
      <w:pPr>
        <w:widowControl/>
        <w:autoSpaceDE w:val="0"/>
        <w:autoSpaceDN w:val="0"/>
        <w:adjustRightInd w:val="0"/>
        <w:ind w:right="51"/>
        <w:rPr>
          <w:rFonts w:cs="Arial"/>
          <w:szCs w:val="24"/>
        </w:rPr>
      </w:pPr>
      <w:r w:rsidRPr="005844DC">
        <w:rPr>
          <w:rFonts w:cs="Arial"/>
          <w:szCs w:val="24"/>
        </w:rPr>
        <w:t xml:space="preserve">En </w:t>
      </w:r>
      <w:r w:rsidR="007244D1" w:rsidRPr="005844DC">
        <w:rPr>
          <w:rFonts w:cs="Arial"/>
          <w:szCs w:val="24"/>
        </w:rPr>
        <w:t xml:space="preserve">el grupo de </w:t>
      </w:r>
      <w:r w:rsidRPr="005844DC">
        <w:rPr>
          <w:rFonts w:cs="Arial"/>
          <w:szCs w:val="24"/>
        </w:rPr>
        <w:t>edad de 5 a 14 años, la ocupación no permitida fue de 0.9 millones (43.3 %) y de 15 a 17 años</w:t>
      </w:r>
      <w:r w:rsidR="00F47B5E" w:rsidRPr="005844DC">
        <w:rPr>
          <w:rFonts w:cs="Arial"/>
          <w:szCs w:val="24"/>
        </w:rPr>
        <w:t>, de</w:t>
      </w:r>
      <w:r w:rsidRPr="005844DC">
        <w:rPr>
          <w:rFonts w:cs="Arial"/>
          <w:szCs w:val="24"/>
        </w:rPr>
        <w:t xml:space="preserve"> 1.2 millones (56.7 %)</w:t>
      </w:r>
      <w:r w:rsidR="00F47B5E" w:rsidRPr="005844DC">
        <w:rPr>
          <w:rFonts w:cs="Arial"/>
          <w:szCs w:val="24"/>
        </w:rPr>
        <w:t xml:space="preserve">. </w:t>
      </w:r>
      <w:r w:rsidR="007327E2" w:rsidRPr="005844DC">
        <w:rPr>
          <w:rFonts w:cs="Arial"/>
          <w:szCs w:val="24"/>
        </w:rPr>
        <w:t>Por otra parte,</w:t>
      </w:r>
      <w:r w:rsidRPr="005844DC">
        <w:rPr>
          <w:rFonts w:cs="Arial"/>
          <w:szCs w:val="24"/>
        </w:rPr>
        <w:t xml:space="preserve"> 1.3 millones (60.1 %) asistieron a la escuela y 0.9 millones (39.9 %) no</w:t>
      </w:r>
      <w:r w:rsidR="007327E2" w:rsidRPr="005844DC">
        <w:rPr>
          <w:rFonts w:cs="Arial"/>
          <w:szCs w:val="24"/>
        </w:rPr>
        <w:t xml:space="preserve"> asistieron</w:t>
      </w:r>
      <w:bookmarkStart w:id="4" w:name="_Hlk147276467"/>
      <w:r w:rsidR="000D354F" w:rsidRPr="005844DC">
        <w:rPr>
          <w:rFonts w:cs="Arial"/>
          <w:szCs w:val="24"/>
        </w:rPr>
        <w:t xml:space="preserve"> </w:t>
      </w:r>
      <w:r w:rsidR="001E3935" w:rsidRPr="005844DC">
        <w:rPr>
          <w:rFonts w:cs="Arial"/>
          <w:szCs w:val="24"/>
        </w:rPr>
        <w:t>(ver cuadro 5)</w:t>
      </w:r>
      <w:bookmarkEnd w:id="4"/>
      <w:r w:rsidR="001E3935" w:rsidRPr="005844DC">
        <w:rPr>
          <w:rFonts w:cs="Arial"/>
          <w:szCs w:val="24"/>
        </w:rPr>
        <w:t>.</w:t>
      </w:r>
    </w:p>
    <w:p w14:paraId="6F4AFEB4" w14:textId="77777777" w:rsidR="00791592" w:rsidRDefault="00791592" w:rsidP="007327E2">
      <w:pPr>
        <w:widowControl/>
        <w:autoSpaceDE w:val="0"/>
        <w:autoSpaceDN w:val="0"/>
        <w:adjustRightInd w:val="0"/>
        <w:rPr>
          <w:rFonts w:cs="Arial"/>
          <w:szCs w:val="24"/>
        </w:rPr>
      </w:pPr>
    </w:p>
    <w:p w14:paraId="21A1A640" w14:textId="77777777" w:rsidR="00B84AFA" w:rsidRPr="007841FA" w:rsidRDefault="00B84AFA" w:rsidP="007841FA">
      <w:pPr>
        <w:widowControl/>
        <w:autoSpaceDE w:val="0"/>
        <w:autoSpaceDN w:val="0"/>
        <w:adjustRightInd w:val="0"/>
        <w:jc w:val="center"/>
        <w:rPr>
          <w:rFonts w:cs="Arial"/>
          <w:sz w:val="20"/>
        </w:rPr>
      </w:pPr>
      <w:r w:rsidRPr="007841FA">
        <w:rPr>
          <w:rFonts w:cs="Arial"/>
          <w:sz w:val="20"/>
        </w:rPr>
        <w:t>Cuadro 5</w:t>
      </w:r>
    </w:p>
    <w:p w14:paraId="302639C4" w14:textId="77777777" w:rsidR="007841FA" w:rsidRDefault="00B84AFA" w:rsidP="007841FA">
      <w:pPr>
        <w:widowControl/>
        <w:autoSpaceDE w:val="0"/>
        <w:autoSpaceDN w:val="0"/>
        <w:adjustRightInd w:val="0"/>
        <w:ind w:right="51"/>
        <w:jc w:val="center"/>
        <w:rPr>
          <w:rFonts w:cs="Arial"/>
          <w:b/>
          <w:smallCaps/>
          <w:sz w:val="22"/>
          <w:szCs w:val="22"/>
        </w:rPr>
      </w:pPr>
      <w:r w:rsidRPr="007841FA">
        <w:rPr>
          <w:rFonts w:cs="Arial"/>
          <w:b/>
          <w:smallCaps/>
          <w:sz w:val="22"/>
          <w:szCs w:val="22"/>
        </w:rPr>
        <w:t>Personas en alguna ocupación no permitida por grupos de edad y asistencia escolar</w:t>
      </w:r>
      <w:r w:rsidR="0094617A" w:rsidRPr="007841FA">
        <w:rPr>
          <w:rFonts w:cs="Arial"/>
          <w:b/>
          <w:smallCaps/>
          <w:sz w:val="22"/>
          <w:szCs w:val="22"/>
        </w:rPr>
        <w:t>,</w:t>
      </w:r>
      <w:r w:rsidRPr="007841FA">
        <w:rPr>
          <w:rFonts w:cs="Arial"/>
          <w:b/>
          <w:smallCaps/>
          <w:sz w:val="22"/>
          <w:szCs w:val="22"/>
        </w:rPr>
        <w:t xml:space="preserve"> </w:t>
      </w:r>
    </w:p>
    <w:p w14:paraId="5173AE4E" w14:textId="6C69C137" w:rsidR="00B84AFA" w:rsidRPr="007841FA" w:rsidRDefault="00B84AFA" w:rsidP="007841FA">
      <w:pPr>
        <w:widowControl/>
        <w:autoSpaceDE w:val="0"/>
        <w:autoSpaceDN w:val="0"/>
        <w:adjustRightInd w:val="0"/>
        <w:ind w:right="51"/>
        <w:jc w:val="center"/>
        <w:rPr>
          <w:rFonts w:cs="Arial"/>
          <w:b/>
          <w:smallCaps/>
          <w:sz w:val="22"/>
          <w:szCs w:val="22"/>
        </w:rPr>
      </w:pPr>
      <w:r w:rsidRPr="007841FA">
        <w:rPr>
          <w:rFonts w:cs="Arial"/>
          <w:b/>
          <w:smallCaps/>
          <w:sz w:val="22"/>
          <w:szCs w:val="22"/>
        </w:rPr>
        <w:t>según sexo</w:t>
      </w:r>
    </w:p>
    <w:tbl>
      <w:tblPr>
        <w:tblW w:w="9781" w:type="dxa"/>
        <w:tblCellMar>
          <w:left w:w="70" w:type="dxa"/>
          <w:right w:w="70" w:type="dxa"/>
        </w:tblCellMar>
        <w:tblLook w:val="04A0" w:firstRow="1" w:lastRow="0" w:firstColumn="1" w:lastColumn="0" w:noHBand="0" w:noVBand="1"/>
      </w:tblPr>
      <w:tblGrid>
        <w:gridCol w:w="220"/>
        <w:gridCol w:w="2580"/>
        <w:gridCol w:w="1169"/>
        <w:gridCol w:w="993"/>
        <w:gridCol w:w="992"/>
        <w:gridCol w:w="1417"/>
        <w:gridCol w:w="1134"/>
        <w:gridCol w:w="1276"/>
      </w:tblGrid>
      <w:tr w:rsidR="00B84AFA" w:rsidRPr="0048105D" w14:paraId="7B591ED1" w14:textId="77777777" w:rsidTr="00562DA7">
        <w:trPr>
          <w:trHeight w:val="510"/>
        </w:trPr>
        <w:tc>
          <w:tcPr>
            <w:tcW w:w="2800" w:type="dxa"/>
            <w:gridSpan w:val="2"/>
            <w:vMerge w:val="restart"/>
            <w:tcBorders>
              <w:top w:val="nil"/>
              <w:left w:val="nil"/>
              <w:bottom w:val="nil"/>
              <w:right w:val="nil"/>
            </w:tcBorders>
            <w:shd w:val="clear" w:color="auto" w:fill="338B99"/>
            <w:vAlign w:val="center"/>
            <w:hideMark/>
          </w:tcPr>
          <w:p w14:paraId="5DF2C3FF" w14:textId="6367E801" w:rsidR="00B84AFA" w:rsidRPr="0048105D" w:rsidRDefault="00B84AFA" w:rsidP="00B84AFA">
            <w:pPr>
              <w:widowControl/>
              <w:jc w:val="left"/>
              <w:rPr>
                <w:rFonts w:cs="Arial"/>
                <w:b/>
                <w:bCs/>
                <w:color w:val="FFFFFF"/>
                <w:sz w:val="20"/>
                <w:lang w:eastAsia="es-MX"/>
              </w:rPr>
            </w:pPr>
            <w:r w:rsidRPr="0048105D">
              <w:rPr>
                <w:rFonts w:cs="Arial"/>
                <w:b/>
                <w:bCs/>
                <w:color w:val="FFFFFF"/>
                <w:sz w:val="20"/>
                <w:lang w:eastAsia="es-MX"/>
              </w:rPr>
              <w:t>Grupos de edad y asistencia escolar</w:t>
            </w:r>
            <w:r w:rsidRPr="0048105D">
              <w:rPr>
                <w:rFonts w:cs="Arial"/>
                <w:color w:val="000000"/>
                <w:sz w:val="20"/>
                <w:lang w:eastAsia="es-MX"/>
              </w:rPr>
              <w:t> </w:t>
            </w:r>
          </w:p>
        </w:tc>
        <w:tc>
          <w:tcPr>
            <w:tcW w:w="3154" w:type="dxa"/>
            <w:gridSpan w:val="3"/>
            <w:tcBorders>
              <w:top w:val="nil"/>
              <w:left w:val="nil"/>
              <w:bottom w:val="single" w:sz="4" w:space="0" w:color="FFFFFF"/>
              <w:right w:val="nil"/>
            </w:tcBorders>
            <w:shd w:val="clear" w:color="auto" w:fill="338B99"/>
            <w:vAlign w:val="center"/>
            <w:hideMark/>
          </w:tcPr>
          <w:p w14:paraId="4555E96D" w14:textId="3C1FF138" w:rsidR="00B84AFA" w:rsidRPr="0048105D" w:rsidRDefault="00B84AFA" w:rsidP="00B84AFA">
            <w:pPr>
              <w:widowControl/>
              <w:jc w:val="center"/>
              <w:rPr>
                <w:rFonts w:cs="Arial"/>
                <w:b/>
                <w:bCs/>
                <w:color w:val="FFFFFF"/>
                <w:sz w:val="20"/>
                <w:lang w:eastAsia="es-MX"/>
              </w:rPr>
            </w:pPr>
            <w:r>
              <w:rPr>
                <w:rFonts w:cs="Arial"/>
                <w:b/>
                <w:bCs/>
                <w:color w:val="FFFFFF"/>
                <w:sz w:val="20"/>
                <w:lang w:eastAsia="es-MX"/>
              </w:rPr>
              <w:t>Millones de personas</w:t>
            </w:r>
            <w:r w:rsidRPr="0048105D">
              <w:rPr>
                <w:rFonts w:cs="Arial"/>
                <w:b/>
                <w:bCs/>
                <w:color w:val="FFFFFF"/>
                <w:sz w:val="20"/>
                <w:lang w:eastAsia="es-MX"/>
              </w:rPr>
              <w:t xml:space="preserve"> </w:t>
            </w:r>
          </w:p>
        </w:tc>
        <w:tc>
          <w:tcPr>
            <w:tcW w:w="3827" w:type="dxa"/>
            <w:gridSpan w:val="3"/>
            <w:tcBorders>
              <w:top w:val="nil"/>
              <w:left w:val="nil"/>
              <w:bottom w:val="single" w:sz="4" w:space="0" w:color="FFFFFF"/>
              <w:right w:val="nil"/>
            </w:tcBorders>
            <w:shd w:val="clear" w:color="auto" w:fill="338B99"/>
            <w:vAlign w:val="center"/>
            <w:hideMark/>
          </w:tcPr>
          <w:p w14:paraId="0BE8C1A2" w14:textId="33F7A51D" w:rsidR="00B84AFA" w:rsidRPr="0048105D" w:rsidRDefault="00B84AFA" w:rsidP="00B84AFA">
            <w:pPr>
              <w:widowControl/>
              <w:jc w:val="center"/>
              <w:rPr>
                <w:rFonts w:cs="Arial"/>
                <w:b/>
                <w:bCs/>
                <w:color w:val="FFFFFF"/>
                <w:sz w:val="20"/>
                <w:lang w:eastAsia="es-MX"/>
              </w:rPr>
            </w:pPr>
            <w:r w:rsidRPr="0048105D">
              <w:rPr>
                <w:rFonts w:cs="Arial"/>
                <w:b/>
                <w:bCs/>
                <w:color w:val="FFFFFF"/>
                <w:sz w:val="20"/>
                <w:lang w:eastAsia="es-MX"/>
              </w:rPr>
              <w:t>Distribución</w:t>
            </w:r>
            <w:r>
              <w:rPr>
                <w:rFonts w:cs="Arial"/>
                <w:b/>
                <w:bCs/>
                <w:color w:val="FFFFFF"/>
                <w:sz w:val="20"/>
                <w:lang w:eastAsia="es-MX"/>
              </w:rPr>
              <w:t xml:space="preserve"> porcentual</w:t>
            </w:r>
          </w:p>
        </w:tc>
      </w:tr>
      <w:tr w:rsidR="00B84AFA" w:rsidRPr="0048105D" w14:paraId="6F6B7436" w14:textId="77777777" w:rsidTr="00562DA7">
        <w:trPr>
          <w:trHeight w:val="300"/>
        </w:trPr>
        <w:tc>
          <w:tcPr>
            <w:tcW w:w="2800" w:type="dxa"/>
            <w:gridSpan w:val="2"/>
            <w:vMerge/>
            <w:tcBorders>
              <w:top w:val="nil"/>
              <w:left w:val="nil"/>
              <w:bottom w:val="nil"/>
              <w:right w:val="nil"/>
            </w:tcBorders>
            <w:shd w:val="clear" w:color="auto" w:fill="338B99"/>
            <w:vAlign w:val="center"/>
            <w:hideMark/>
          </w:tcPr>
          <w:p w14:paraId="25003642" w14:textId="77777777" w:rsidR="00B84AFA" w:rsidRPr="0048105D" w:rsidRDefault="00B84AFA" w:rsidP="00B84AFA">
            <w:pPr>
              <w:widowControl/>
              <w:jc w:val="left"/>
              <w:rPr>
                <w:rFonts w:cs="Arial"/>
                <w:b/>
                <w:bCs/>
                <w:color w:val="FFFFFF"/>
                <w:sz w:val="20"/>
                <w:lang w:eastAsia="es-MX"/>
              </w:rPr>
            </w:pPr>
          </w:p>
        </w:tc>
        <w:tc>
          <w:tcPr>
            <w:tcW w:w="1169" w:type="dxa"/>
            <w:tcBorders>
              <w:top w:val="nil"/>
              <w:left w:val="nil"/>
              <w:bottom w:val="nil"/>
              <w:right w:val="nil"/>
            </w:tcBorders>
            <w:shd w:val="clear" w:color="auto" w:fill="338B99"/>
            <w:vAlign w:val="center"/>
            <w:hideMark/>
          </w:tcPr>
          <w:p w14:paraId="142E3F0C" w14:textId="3C1EBF01" w:rsidR="00B84AFA" w:rsidRPr="0048105D" w:rsidRDefault="00B84AFA" w:rsidP="00B84AFA">
            <w:pPr>
              <w:widowControl/>
              <w:jc w:val="center"/>
              <w:rPr>
                <w:rFonts w:cs="Arial"/>
                <w:b/>
                <w:bCs/>
                <w:color w:val="FFFFFF"/>
                <w:sz w:val="20"/>
                <w:lang w:eastAsia="es-MX"/>
              </w:rPr>
            </w:pPr>
            <w:r w:rsidRPr="0048105D">
              <w:rPr>
                <w:rFonts w:cs="Arial"/>
                <w:b/>
                <w:bCs/>
                <w:color w:val="FFFFFF"/>
                <w:sz w:val="20"/>
                <w:lang w:eastAsia="es-MX"/>
              </w:rPr>
              <w:t>Total</w:t>
            </w:r>
          </w:p>
        </w:tc>
        <w:tc>
          <w:tcPr>
            <w:tcW w:w="993" w:type="dxa"/>
            <w:tcBorders>
              <w:top w:val="nil"/>
              <w:left w:val="nil"/>
              <w:bottom w:val="nil"/>
              <w:right w:val="nil"/>
            </w:tcBorders>
            <w:shd w:val="clear" w:color="auto" w:fill="338B99"/>
            <w:vAlign w:val="center"/>
            <w:hideMark/>
          </w:tcPr>
          <w:p w14:paraId="4D356442" w14:textId="42795025" w:rsidR="00B84AFA" w:rsidRPr="0048105D" w:rsidRDefault="00B84AFA" w:rsidP="00B84AFA">
            <w:pPr>
              <w:widowControl/>
              <w:jc w:val="center"/>
              <w:rPr>
                <w:rFonts w:cs="Arial"/>
                <w:b/>
                <w:bCs/>
                <w:color w:val="FFFFFF"/>
                <w:sz w:val="20"/>
                <w:lang w:eastAsia="es-MX"/>
              </w:rPr>
            </w:pPr>
            <w:r w:rsidRPr="0048105D">
              <w:rPr>
                <w:rFonts w:cs="Arial"/>
                <w:b/>
                <w:bCs/>
                <w:color w:val="FFFFFF"/>
                <w:sz w:val="20"/>
                <w:lang w:eastAsia="es-MX"/>
              </w:rPr>
              <w:t>Niños</w:t>
            </w:r>
          </w:p>
        </w:tc>
        <w:tc>
          <w:tcPr>
            <w:tcW w:w="992" w:type="dxa"/>
            <w:tcBorders>
              <w:top w:val="nil"/>
              <w:left w:val="nil"/>
              <w:bottom w:val="nil"/>
              <w:right w:val="nil"/>
            </w:tcBorders>
            <w:shd w:val="clear" w:color="auto" w:fill="338B99"/>
            <w:vAlign w:val="center"/>
            <w:hideMark/>
          </w:tcPr>
          <w:p w14:paraId="14541AF6" w14:textId="77777777" w:rsidR="00B84AFA" w:rsidRPr="0048105D" w:rsidRDefault="00B84AFA" w:rsidP="00B84AFA">
            <w:pPr>
              <w:widowControl/>
              <w:jc w:val="center"/>
              <w:rPr>
                <w:rFonts w:cs="Arial"/>
                <w:b/>
                <w:bCs/>
                <w:color w:val="FFFFFF"/>
                <w:sz w:val="20"/>
                <w:lang w:eastAsia="es-MX"/>
              </w:rPr>
            </w:pPr>
            <w:r w:rsidRPr="0048105D">
              <w:rPr>
                <w:rFonts w:cs="Arial"/>
                <w:b/>
                <w:bCs/>
                <w:color w:val="FFFFFF"/>
                <w:sz w:val="20"/>
                <w:lang w:eastAsia="es-MX"/>
              </w:rPr>
              <w:t>Niñas</w:t>
            </w:r>
          </w:p>
        </w:tc>
        <w:tc>
          <w:tcPr>
            <w:tcW w:w="1417" w:type="dxa"/>
            <w:tcBorders>
              <w:top w:val="nil"/>
              <w:left w:val="nil"/>
              <w:bottom w:val="nil"/>
              <w:right w:val="nil"/>
            </w:tcBorders>
            <w:shd w:val="clear" w:color="auto" w:fill="338B99"/>
            <w:vAlign w:val="center"/>
            <w:hideMark/>
          </w:tcPr>
          <w:p w14:paraId="799B00D1" w14:textId="1B84A5CF" w:rsidR="00B84AFA" w:rsidRPr="0048105D" w:rsidRDefault="00B84AFA" w:rsidP="00B84AFA">
            <w:pPr>
              <w:widowControl/>
              <w:jc w:val="center"/>
              <w:rPr>
                <w:rFonts w:cs="Arial"/>
                <w:b/>
                <w:bCs/>
                <w:color w:val="FFFFFF"/>
                <w:sz w:val="20"/>
                <w:lang w:eastAsia="es-MX"/>
              </w:rPr>
            </w:pPr>
            <w:r w:rsidRPr="0048105D">
              <w:rPr>
                <w:rFonts w:cs="Arial"/>
                <w:b/>
                <w:bCs/>
                <w:color w:val="FFFFFF"/>
                <w:sz w:val="20"/>
                <w:lang w:eastAsia="es-MX"/>
              </w:rPr>
              <w:t>Total</w:t>
            </w:r>
          </w:p>
        </w:tc>
        <w:tc>
          <w:tcPr>
            <w:tcW w:w="1134" w:type="dxa"/>
            <w:tcBorders>
              <w:top w:val="nil"/>
              <w:left w:val="nil"/>
              <w:bottom w:val="nil"/>
              <w:right w:val="nil"/>
            </w:tcBorders>
            <w:shd w:val="clear" w:color="auto" w:fill="338B99"/>
            <w:vAlign w:val="center"/>
            <w:hideMark/>
          </w:tcPr>
          <w:p w14:paraId="4A7B4DA2" w14:textId="1F3D3642" w:rsidR="00B84AFA" w:rsidRPr="0048105D" w:rsidRDefault="00B84AFA" w:rsidP="00B84AFA">
            <w:pPr>
              <w:widowControl/>
              <w:jc w:val="center"/>
              <w:rPr>
                <w:rFonts w:cs="Arial"/>
                <w:b/>
                <w:bCs/>
                <w:color w:val="FFFFFF"/>
                <w:sz w:val="20"/>
                <w:lang w:eastAsia="es-MX"/>
              </w:rPr>
            </w:pPr>
            <w:r w:rsidRPr="0048105D">
              <w:rPr>
                <w:rFonts w:cs="Arial"/>
                <w:b/>
                <w:bCs/>
                <w:color w:val="FFFFFF"/>
                <w:sz w:val="20"/>
                <w:lang w:eastAsia="es-MX"/>
              </w:rPr>
              <w:t>Niños</w:t>
            </w:r>
          </w:p>
        </w:tc>
        <w:tc>
          <w:tcPr>
            <w:tcW w:w="1276" w:type="dxa"/>
            <w:tcBorders>
              <w:top w:val="nil"/>
              <w:left w:val="nil"/>
              <w:bottom w:val="nil"/>
              <w:right w:val="nil"/>
            </w:tcBorders>
            <w:shd w:val="clear" w:color="auto" w:fill="338B99"/>
            <w:vAlign w:val="center"/>
            <w:hideMark/>
          </w:tcPr>
          <w:p w14:paraId="775E157E" w14:textId="77777777" w:rsidR="00B84AFA" w:rsidRPr="0048105D" w:rsidRDefault="00B84AFA" w:rsidP="00B84AFA">
            <w:pPr>
              <w:widowControl/>
              <w:jc w:val="center"/>
              <w:rPr>
                <w:rFonts w:cs="Arial"/>
                <w:b/>
                <w:bCs/>
                <w:color w:val="FFFFFF"/>
                <w:sz w:val="20"/>
                <w:lang w:eastAsia="es-MX"/>
              </w:rPr>
            </w:pPr>
            <w:r w:rsidRPr="0048105D">
              <w:rPr>
                <w:rFonts w:cs="Arial"/>
                <w:b/>
                <w:bCs/>
                <w:color w:val="FFFFFF"/>
                <w:sz w:val="20"/>
                <w:lang w:eastAsia="es-MX"/>
              </w:rPr>
              <w:t>Niñas</w:t>
            </w:r>
          </w:p>
        </w:tc>
      </w:tr>
      <w:tr w:rsidR="00B84AFA" w:rsidRPr="0048105D" w14:paraId="0142B72A" w14:textId="77777777" w:rsidTr="00562DA7">
        <w:trPr>
          <w:trHeight w:val="300"/>
        </w:trPr>
        <w:tc>
          <w:tcPr>
            <w:tcW w:w="2800" w:type="dxa"/>
            <w:gridSpan w:val="2"/>
            <w:tcBorders>
              <w:top w:val="nil"/>
              <w:left w:val="nil"/>
              <w:bottom w:val="nil"/>
              <w:right w:val="nil"/>
            </w:tcBorders>
            <w:shd w:val="clear" w:color="auto" w:fill="99C5CC"/>
            <w:vAlign w:val="center"/>
            <w:hideMark/>
          </w:tcPr>
          <w:p w14:paraId="08563C1F" w14:textId="77777777" w:rsidR="00B84AFA" w:rsidRPr="0048105D" w:rsidRDefault="00B84AFA" w:rsidP="00562DA7">
            <w:pPr>
              <w:widowControl/>
              <w:jc w:val="left"/>
              <w:rPr>
                <w:rFonts w:cs="Arial"/>
                <w:b/>
                <w:bCs/>
                <w:color w:val="000000"/>
                <w:sz w:val="20"/>
                <w:lang w:eastAsia="es-MX"/>
              </w:rPr>
            </w:pPr>
            <w:r w:rsidRPr="0048105D">
              <w:rPr>
                <w:rFonts w:cs="Arial"/>
                <w:b/>
                <w:bCs/>
                <w:sz w:val="20"/>
                <w:lang w:eastAsia="es-MX"/>
              </w:rPr>
              <w:t>Grupos de edad</w:t>
            </w:r>
          </w:p>
        </w:tc>
        <w:tc>
          <w:tcPr>
            <w:tcW w:w="1169" w:type="dxa"/>
            <w:tcBorders>
              <w:top w:val="nil"/>
              <w:left w:val="nil"/>
              <w:bottom w:val="nil"/>
              <w:right w:val="nil"/>
            </w:tcBorders>
            <w:shd w:val="clear" w:color="auto" w:fill="99C5CC"/>
            <w:vAlign w:val="center"/>
            <w:hideMark/>
          </w:tcPr>
          <w:p w14:paraId="6F4D3884" w14:textId="77777777" w:rsidR="00B84AFA" w:rsidRPr="0048105D" w:rsidRDefault="00B84AFA" w:rsidP="00562DA7">
            <w:pPr>
              <w:widowControl/>
              <w:jc w:val="center"/>
              <w:rPr>
                <w:rFonts w:cs="Arial"/>
                <w:b/>
                <w:bCs/>
                <w:color w:val="000000"/>
                <w:sz w:val="20"/>
                <w:lang w:eastAsia="es-MX"/>
              </w:rPr>
            </w:pPr>
            <w:r w:rsidRPr="0048105D">
              <w:rPr>
                <w:rFonts w:cs="Arial"/>
                <w:b/>
                <w:bCs/>
                <w:sz w:val="20"/>
                <w:lang w:eastAsia="es-MX"/>
              </w:rPr>
              <w:t>2.1</w:t>
            </w:r>
          </w:p>
        </w:tc>
        <w:tc>
          <w:tcPr>
            <w:tcW w:w="993" w:type="dxa"/>
            <w:tcBorders>
              <w:top w:val="nil"/>
              <w:left w:val="nil"/>
              <w:bottom w:val="nil"/>
              <w:right w:val="nil"/>
            </w:tcBorders>
            <w:shd w:val="clear" w:color="auto" w:fill="99C5CC"/>
            <w:vAlign w:val="center"/>
            <w:hideMark/>
          </w:tcPr>
          <w:p w14:paraId="007E1632" w14:textId="77777777" w:rsidR="00B84AFA" w:rsidRPr="0048105D" w:rsidRDefault="00B84AFA" w:rsidP="00562DA7">
            <w:pPr>
              <w:widowControl/>
              <w:jc w:val="center"/>
              <w:rPr>
                <w:rFonts w:cs="Arial"/>
                <w:b/>
                <w:bCs/>
                <w:color w:val="000000"/>
                <w:sz w:val="20"/>
                <w:lang w:eastAsia="es-MX"/>
              </w:rPr>
            </w:pPr>
            <w:r w:rsidRPr="0048105D">
              <w:rPr>
                <w:rFonts w:cs="Arial"/>
                <w:b/>
                <w:bCs/>
                <w:sz w:val="20"/>
                <w:lang w:eastAsia="es-MX"/>
              </w:rPr>
              <w:t>1.5</w:t>
            </w:r>
          </w:p>
        </w:tc>
        <w:tc>
          <w:tcPr>
            <w:tcW w:w="992" w:type="dxa"/>
            <w:tcBorders>
              <w:top w:val="nil"/>
              <w:left w:val="nil"/>
              <w:bottom w:val="nil"/>
              <w:right w:val="nil"/>
            </w:tcBorders>
            <w:shd w:val="clear" w:color="auto" w:fill="99C5CC"/>
            <w:vAlign w:val="center"/>
            <w:hideMark/>
          </w:tcPr>
          <w:p w14:paraId="0026218F" w14:textId="77777777" w:rsidR="00B84AFA" w:rsidRPr="0048105D" w:rsidRDefault="00B84AFA" w:rsidP="00562DA7">
            <w:pPr>
              <w:widowControl/>
              <w:jc w:val="center"/>
              <w:rPr>
                <w:rFonts w:cs="Arial"/>
                <w:b/>
                <w:bCs/>
                <w:color w:val="000000"/>
                <w:sz w:val="20"/>
                <w:lang w:eastAsia="es-MX"/>
              </w:rPr>
            </w:pPr>
            <w:r w:rsidRPr="0048105D">
              <w:rPr>
                <w:rFonts w:cs="Arial"/>
                <w:b/>
                <w:bCs/>
                <w:sz w:val="20"/>
                <w:lang w:eastAsia="es-MX"/>
              </w:rPr>
              <w:t>0.6</w:t>
            </w:r>
          </w:p>
        </w:tc>
        <w:tc>
          <w:tcPr>
            <w:tcW w:w="1417" w:type="dxa"/>
            <w:tcBorders>
              <w:top w:val="nil"/>
              <w:left w:val="nil"/>
              <w:bottom w:val="nil"/>
              <w:right w:val="nil"/>
            </w:tcBorders>
            <w:shd w:val="clear" w:color="auto" w:fill="99C5CC"/>
            <w:vAlign w:val="center"/>
            <w:hideMark/>
          </w:tcPr>
          <w:p w14:paraId="51E21090" w14:textId="77777777" w:rsidR="00B84AFA" w:rsidRPr="0048105D" w:rsidRDefault="00B84AFA" w:rsidP="00562DA7">
            <w:pPr>
              <w:widowControl/>
              <w:jc w:val="center"/>
              <w:rPr>
                <w:rFonts w:cs="Arial"/>
                <w:b/>
                <w:bCs/>
                <w:color w:val="000000"/>
                <w:sz w:val="20"/>
                <w:lang w:eastAsia="es-MX"/>
              </w:rPr>
            </w:pPr>
            <w:r w:rsidRPr="0048105D">
              <w:rPr>
                <w:rFonts w:cs="Arial"/>
                <w:b/>
                <w:bCs/>
                <w:sz w:val="20"/>
                <w:lang w:eastAsia="es-MX"/>
              </w:rPr>
              <w:t>100.0</w:t>
            </w:r>
          </w:p>
        </w:tc>
        <w:tc>
          <w:tcPr>
            <w:tcW w:w="1134" w:type="dxa"/>
            <w:tcBorders>
              <w:top w:val="nil"/>
              <w:left w:val="nil"/>
              <w:bottom w:val="nil"/>
              <w:right w:val="nil"/>
            </w:tcBorders>
            <w:shd w:val="clear" w:color="auto" w:fill="99C5CC"/>
            <w:vAlign w:val="center"/>
            <w:hideMark/>
          </w:tcPr>
          <w:p w14:paraId="68A250B1" w14:textId="77777777" w:rsidR="00B84AFA" w:rsidRPr="0048105D" w:rsidRDefault="00B84AFA" w:rsidP="00562DA7">
            <w:pPr>
              <w:widowControl/>
              <w:jc w:val="center"/>
              <w:rPr>
                <w:rFonts w:cs="Arial"/>
                <w:b/>
                <w:bCs/>
                <w:color w:val="000000"/>
                <w:sz w:val="20"/>
                <w:lang w:eastAsia="es-MX"/>
              </w:rPr>
            </w:pPr>
            <w:r w:rsidRPr="0048105D">
              <w:rPr>
                <w:rFonts w:cs="Arial"/>
                <w:b/>
                <w:bCs/>
                <w:sz w:val="20"/>
                <w:lang w:eastAsia="es-MX"/>
              </w:rPr>
              <w:t>100.0</w:t>
            </w:r>
          </w:p>
        </w:tc>
        <w:tc>
          <w:tcPr>
            <w:tcW w:w="1276" w:type="dxa"/>
            <w:tcBorders>
              <w:top w:val="nil"/>
              <w:left w:val="nil"/>
              <w:bottom w:val="nil"/>
              <w:right w:val="nil"/>
            </w:tcBorders>
            <w:shd w:val="clear" w:color="auto" w:fill="99C5CC"/>
            <w:vAlign w:val="center"/>
            <w:hideMark/>
          </w:tcPr>
          <w:p w14:paraId="35FE8BB7" w14:textId="77777777" w:rsidR="00B84AFA" w:rsidRPr="0048105D" w:rsidRDefault="00B84AFA" w:rsidP="00562DA7">
            <w:pPr>
              <w:widowControl/>
              <w:jc w:val="center"/>
              <w:rPr>
                <w:rFonts w:cs="Arial"/>
                <w:b/>
                <w:bCs/>
                <w:color w:val="000000"/>
                <w:sz w:val="20"/>
                <w:lang w:eastAsia="es-MX"/>
              </w:rPr>
            </w:pPr>
            <w:r w:rsidRPr="0048105D">
              <w:rPr>
                <w:rFonts w:cs="Arial"/>
                <w:b/>
                <w:bCs/>
                <w:sz w:val="20"/>
                <w:lang w:eastAsia="es-MX"/>
              </w:rPr>
              <w:t>100.0</w:t>
            </w:r>
          </w:p>
        </w:tc>
      </w:tr>
      <w:tr w:rsidR="00B84AFA" w:rsidRPr="0048105D" w14:paraId="3C1CFFA6" w14:textId="77777777" w:rsidTr="00562DA7">
        <w:trPr>
          <w:trHeight w:val="300"/>
        </w:trPr>
        <w:tc>
          <w:tcPr>
            <w:tcW w:w="220" w:type="dxa"/>
            <w:tcBorders>
              <w:top w:val="nil"/>
              <w:left w:val="nil"/>
              <w:bottom w:val="nil"/>
              <w:right w:val="nil"/>
            </w:tcBorders>
            <w:shd w:val="clear" w:color="auto" w:fill="CCE2E6"/>
            <w:noWrap/>
            <w:vAlign w:val="bottom"/>
            <w:hideMark/>
          </w:tcPr>
          <w:p w14:paraId="777964E7" w14:textId="77777777" w:rsidR="00B84AFA" w:rsidRPr="0048105D" w:rsidRDefault="00B84AFA" w:rsidP="00562DA7">
            <w:pPr>
              <w:widowControl/>
              <w:jc w:val="left"/>
              <w:rPr>
                <w:rFonts w:ascii="Times New Roman" w:hAnsi="Times New Roman"/>
                <w:color w:val="000000"/>
                <w:sz w:val="20"/>
                <w:lang w:eastAsia="es-MX"/>
              </w:rPr>
            </w:pPr>
            <w:r w:rsidRPr="0048105D">
              <w:rPr>
                <w:rFonts w:ascii="Times New Roman" w:hAnsi="Times New Roman"/>
                <w:color w:val="000000"/>
                <w:sz w:val="20"/>
                <w:lang w:eastAsia="es-MX"/>
              </w:rPr>
              <w:t> </w:t>
            </w:r>
          </w:p>
        </w:tc>
        <w:tc>
          <w:tcPr>
            <w:tcW w:w="2580" w:type="dxa"/>
            <w:tcBorders>
              <w:top w:val="nil"/>
              <w:left w:val="nil"/>
              <w:bottom w:val="nil"/>
              <w:right w:val="nil"/>
            </w:tcBorders>
            <w:shd w:val="clear" w:color="auto" w:fill="CCE2E6"/>
            <w:vAlign w:val="center"/>
            <w:hideMark/>
          </w:tcPr>
          <w:p w14:paraId="0720D6ED" w14:textId="77777777" w:rsidR="00B84AFA" w:rsidRPr="0048105D" w:rsidRDefault="00B84AFA" w:rsidP="00562DA7">
            <w:pPr>
              <w:widowControl/>
              <w:jc w:val="left"/>
              <w:rPr>
                <w:rFonts w:cs="Arial"/>
                <w:color w:val="000000"/>
                <w:sz w:val="20"/>
                <w:lang w:eastAsia="es-MX"/>
              </w:rPr>
            </w:pPr>
            <w:r w:rsidRPr="0048105D">
              <w:rPr>
                <w:rFonts w:cs="Arial"/>
                <w:sz w:val="20"/>
                <w:lang w:eastAsia="es-MX"/>
              </w:rPr>
              <w:t>5 a 14 años</w:t>
            </w:r>
          </w:p>
        </w:tc>
        <w:tc>
          <w:tcPr>
            <w:tcW w:w="1169" w:type="dxa"/>
            <w:tcBorders>
              <w:top w:val="nil"/>
              <w:left w:val="nil"/>
              <w:bottom w:val="nil"/>
              <w:right w:val="nil"/>
            </w:tcBorders>
            <w:shd w:val="clear" w:color="auto" w:fill="CCE2E6"/>
            <w:vAlign w:val="center"/>
            <w:hideMark/>
          </w:tcPr>
          <w:p w14:paraId="11E1FB6C" w14:textId="77777777" w:rsidR="00B84AFA" w:rsidRPr="0048105D" w:rsidRDefault="00B84AFA" w:rsidP="00562DA7">
            <w:pPr>
              <w:widowControl/>
              <w:jc w:val="center"/>
              <w:rPr>
                <w:rFonts w:cs="Arial"/>
                <w:color w:val="000000"/>
                <w:sz w:val="20"/>
                <w:lang w:eastAsia="es-MX"/>
              </w:rPr>
            </w:pPr>
            <w:r w:rsidRPr="0048105D">
              <w:rPr>
                <w:rFonts w:cs="Arial"/>
                <w:sz w:val="20"/>
                <w:lang w:eastAsia="es-MX"/>
              </w:rPr>
              <w:t>0.9</w:t>
            </w:r>
          </w:p>
        </w:tc>
        <w:tc>
          <w:tcPr>
            <w:tcW w:w="993" w:type="dxa"/>
            <w:tcBorders>
              <w:top w:val="nil"/>
              <w:left w:val="nil"/>
              <w:bottom w:val="nil"/>
              <w:right w:val="nil"/>
            </w:tcBorders>
            <w:shd w:val="clear" w:color="auto" w:fill="CCE2E6"/>
            <w:vAlign w:val="center"/>
            <w:hideMark/>
          </w:tcPr>
          <w:p w14:paraId="25770FFD" w14:textId="77777777" w:rsidR="00B84AFA" w:rsidRPr="0048105D" w:rsidRDefault="00B84AFA" w:rsidP="00562DA7">
            <w:pPr>
              <w:widowControl/>
              <w:jc w:val="center"/>
              <w:rPr>
                <w:rFonts w:cs="Arial"/>
                <w:color w:val="000000"/>
                <w:sz w:val="20"/>
                <w:lang w:eastAsia="es-MX"/>
              </w:rPr>
            </w:pPr>
            <w:r w:rsidRPr="0048105D">
              <w:rPr>
                <w:rFonts w:cs="Arial"/>
                <w:sz w:val="20"/>
                <w:lang w:eastAsia="es-MX"/>
              </w:rPr>
              <w:t>0.7</w:t>
            </w:r>
          </w:p>
        </w:tc>
        <w:tc>
          <w:tcPr>
            <w:tcW w:w="992" w:type="dxa"/>
            <w:tcBorders>
              <w:top w:val="nil"/>
              <w:left w:val="nil"/>
              <w:bottom w:val="nil"/>
              <w:right w:val="nil"/>
            </w:tcBorders>
            <w:shd w:val="clear" w:color="auto" w:fill="CCE2E6"/>
            <w:vAlign w:val="center"/>
            <w:hideMark/>
          </w:tcPr>
          <w:p w14:paraId="63AD27C3" w14:textId="77777777" w:rsidR="00B84AFA" w:rsidRPr="0048105D" w:rsidRDefault="00B84AFA" w:rsidP="00562DA7">
            <w:pPr>
              <w:widowControl/>
              <w:jc w:val="center"/>
              <w:rPr>
                <w:rFonts w:cs="Arial"/>
                <w:color w:val="000000"/>
                <w:sz w:val="20"/>
                <w:lang w:eastAsia="es-MX"/>
              </w:rPr>
            </w:pPr>
            <w:r w:rsidRPr="0048105D">
              <w:rPr>
                <w:rFonts w:cs="Arial"/>
                <w:sz w:val="20"/>
                <w:lang w:eastAsia="es-MX"/>
              </w:rPr>
              <w:t>0.3</w:t>
            </w:r>
          </w:p>
        </w:tc>
        <w:tc>
          <w:tcPr>
            <w:tcW w:w="1417" w:type="dxa"/>
            <w:tcBorders>
              <w:top w:val="nil"/>
              <w:left w:val="nil"/>
              <w:bottom w:val="nil"/>
              <w:right w:val="nil"/>
            </w:tcBorders>
            <w:shd w:val="clear" w:color="auto" w:fill="CCE2E6"/>
            <w:vAlign w:val="center"/>
            <w:hideMark/>
          </w:tcPr>
          <w:p w14:paraId="04DB4F4A" w14:textId="77777777" w:rsidR="00B84AFA" w:rsidRPr="0048105D" w:rsidRDefault="00B84AFA" w:rsidP="00562DA7">
            <w:pPr>
              <w:widowControl/>
              <w:jc w:val="center"/>
              <w:rPr>
                <w:rFonts w:cs="Arial"/>
                <w:color w:val="000000"/>
                <w:sz w:val="20"/>
                <w:lang w:eastAsia="es-MX"/>
              </w:rPr>
            </w:pPr>
            <w:r w:rsidRPr="0048105D">
              <w:rPr>
                <w:rFonts w:cs="Arial"/>
                <w:sz w:val="20"/>
                <w:lang w:eastAsia="es-MX"/>
              </w:rPr>
              <w:t>43.3</w:t>
            </w:r>
          </w:p>
        </w:tc>
        <w:tc>
          <w:tcPr>
            <w:tcW w:w="1134" w:type="dxa"/>
            <w:tcBorders>
              <w:top w:val="nil"/>
              <w:left w:val="nil"/>
              <w:bottom w:val="nil"/>
              <w:right w:val="nil"/>
            </w:tcBorders>
            <w:shd w:val="clear" w:color="auto" w:fill="CCE2E6"/>
            <w:vAlign w:val="center"/>
            <w:hideMark/>
          </w:tcPr>
          <w:p w14:paraId="6C7D8F7D" w14:textId="77777777" w:rsidR="00B84AFA" w:rsidRPr="0048105D" w:rsidRDefault="00B84AFA" w:rsidP="00562DA7">
            <w:pPr>
              <w:widowControl/>
              <w:jc w:val="center"/>
              <w:rPr>
                <w:rFonts w:cs="Arial"/>
                <w:color w:val="000000"/>
                <w:sz w:val="20"/>
                <w:lang w:eastAsia="es-MX"/>
              </w:rPr>
            </w:pPr>
            <w:r w:rsidRPr="0048105D">
              <w:rPr>
                <w:rFonts w:cs="Arial"/>
                <w:sz w:val="20"/>
                <w:lang w:eastAsia="es-MX"/>
              </w:rPr>
              <w:t>42.6</w:t>
            </w:r>
          </w:p>
        </w:tc>
        <w:tc>
          <w:tcPr>
            <w:tcW w:w="1276" w:type="dxa"/>
            <w:tcBorders>
              <w:top w:val="nil"/>
              <w:left w:val="nil"/>
              <w:bottom w:val="nil"/>
              <w:right w:val="nil"/>
            </w:tcBorders>
            <w:shd w:val="clear" w:color="auto" w:fill="CCE2E6"/>
            <w:vAlign w:val="center"/>
            <w:hideMark/>
          </w:tcPr>
          <w:p w14:paraId="27F6A4CC" w14:textId="77777777" w:rsidR="00B84AFA" w:rsidRPr="0048105D" w:rsidRDefault="00B84AFA" w:rsidP="00562DA7">
            <w:pPr>
              <w:widowControl/>
              <w:jc w:val="center"/>
              <w:rPr>
                <w:rFonts w:cs="Arial"/>
                <w:color w:val="000000"/>
                <w:sz w:val="20"/>
                <w:lang w:eastAsia="es-MX"/>
              </w:rPr>
            </w:pPr>
            <w:r w:rsidRPr="0048105D">
              <w:rPr>
                <w:rFonts w:cs="Arial"/>
                <w:sz w:val="20"/>
                <w:lang w:eastAsia="es-MX"/>
              </w:rPr>
              <w:t>45.4</w:t>
            </w:r>
          </w:p>
        </w:tc>
      </w:tr>
      <w:tr w:rsidR="00B84AFA" w:rsidRPr="0048105D" w14:paraId="48223BCC" w14:textId="77777777" w:rsidTr="00562DA7">
        <w:trPr>
          <w:trHeight w:val="300"/>
        </w:trPr>
        <w:tc>
          <w:tcPr>
            <w:tcW w:w="220" w:type="dxa"/>
            <w:tcBorders>
              <w:top w:val="nil"/>
              <w:left w:val="nil"/>
              <w:bottom w:val="nil"/>
              <w:right w:val="nil"/>
            </w:tcBorders>
            <w:shd w:val="clear" w:color="auto" w:fill="CCE2E6"/>
            <w:noWrap/>
            <w:vAlign w:val="bottom"/>
            <w:hideMark/>
          </w:tcPr>
          <w:p w14:paraId="3F885F78" w14:textId="77777777" w:rsidR="00B84AFA" w:rsidRPr="0048105D" w:rsidRDefault="00B84AFA" w:rsidP="00562DA7">
            <w:pPr>
              <w:widowControl/>
              <w:jc w:val="left"/>
              <w:rPr>
                <w:rFonts w:ascii="Times New Roman" w:hAnsi="Times New Roman"/>
                <w:color w:val="000000"/>
                <w:sz w:val="20"/>
                <w:lang w:eastAsia="es-MX"/>
              </w:rPr>
            </w:pPr>
            <w:r w:rsidRPr="0048105D">
              <w:rPr>
                <w:rFonts w:ascii="Times New Roman" w:hAnsi="Times New Roman"/>
                <w:color w:val="000000"/>
                <w:sz w:val="20"/>
                <w:lang w:eastAsia="es-MX"/>
              </w:rPr>
              <w:t> </w:t>
            </w:r>
          </w:p>
        </w:tc>
        <w:tc>
          <w:tcPr>
            <w:tcW w:w="2580" w:type="dxa"/>
            <w:tcBorders>
              <w:top w:val="nil"/>
              <w:left w:val="nil"/>
              <w:bottom w:val="nil"/>
              <w:right w:val="nil"/>
            </w:tcBorders>
            <w:shd w:val="clear" w:color="auto" w:fill="CCE2E6"/>
            <w:vAlign w:val="center"/>
            <w:hideMark/>
          </w:tcPr>
          <w:p w14:paraId="6DC3421A" w14:textId="77777777" w:rsidR="00B84AFA" w:rsidRPr="0048105D" w:rsidRDefault="00B84AFA" w:rsidP="00562DA7">
            <w:pPr>
              <w:widowControl/>
              <w:jc w:val="left"/>
              <w:rPr>
                <w:rFonts w:cs="Arial"/>
                <w:color w:val="000000"/>
                <w:sz w:val="20"/>
                <w:lang w:eastAsia="es-MX"/>
              </w:rPr>
            </w:pPr>
            <w:r w:rsidRPr="0048105D">
              <w:rPr>
                <w:rFonts w:cs="Arial"/>
                <w:sz w:val="20"/>
                <w:lang w:eastAsia="es-MX"/>
              </w:rPr>
              <w:t>15 a 17 años</w:t>
            </w:r>
          </w:p>
        </w:tc>
        <w:tc>
          <w:tcPr>
            <w:tcW w:w="1169" w:type="dxa"/>
            <w:tcBorders>
              <w:top w:val="nil"/>
              <w:left w:val="nil"/>
              <w:bottom w:val="nil"/>
              <w:right w:val="nil"/>
            </w:tcBorders>
            <w:shd w:val="clear" w:color="auto" w:fill="CCE2E6"/>
            <w:vAlign w:val="center"/>
            <w:hideMark/>
          </w:tcPr>
          <w:p w14:paraId="76CBD288" w14:textId="77777777" w:rsidR="00B84AFA" w:rsidRPr="0048105D" w:rsidRDefault="00B84AFA" w:rsidP="00562DA7">
            <w:pPr>
              <w:widowControl/>
              <w:jc w:val="center"/>
              <w:rPr>
                <w:rFonts w:cs="Arial"/>
                <w:color w:val="000000"/>
                <w:sz w:val="20"/>
                <w:lang w:eastAsia="es-MX"/>
              </w:rPr>
            </w:pPr>
            <w:r w:rsidRPr="0048105D">
              <w:rPr>
                <w:rFonts w:cs="Arial"/>
                <w:sz w:val="20"/>
                <w:lang w:eastAsia="es-MX"/>
              </w:rPr>
              <w:t>1.2</w:t>
            </w:r>
          </w:p>
        </w:tc>
        <w:tc>
          <w:tcPr>
            <w:tcW w:w="993" w:type="dxa"/>
            <w:tcBorders>
              <w:top w:val="nil"/>
              <w:left w:val="nil"/>
              <w:bottom w:val="nil"/>
              <w:right w:val="nil"/>
            </w:tcBorders>
            <w:shd w:val="clear" w:color="auto" w:fill="CCE2E6"/>
            <w:vAlign w:val="center"/>
            <w:hideMark/>
          </w:tcPr>
          <w:p w14:paraId="0458AB9D" w14:textId="77777777" w:rsidR="00B84AFA" w:rsidRPr="0048105D" w:rsidRDefault="00B84AFA" w:rsidP="00562DA7">
            <w:pPr>
              <w:widowControl/>
              <w:jc w:val="center"/>
              <w:rPr>
                <w:rFonts w:cs="Arial"/>
                <w:color w:val="000000"/>
                <w:sz w:val="20"/>
                <w:lang w:eastAsia="es-MX"/>
              </w:rPr>
            </w:pPr>
            <w:r w:rsidRPr="0048105D">
              <w:rPr>
                <w:rFonts w:cs="Arial"/>
                <w:sz w:val="20"/>
                <w:lang w:eastAsia="es-MX"/>
              </w:rPr>
              <w:t>0.9</w:t>
            </w:r>
          </w:p>
        </w:tc>
        <w:tc>
          <w:tcPr>
            <w:tcW w:w="992" w:type="dxa"/>
            <w:tcBorders>
              <w:top w:val="nil"/>
              <w:left w:val="nil"/>
              <w:bottom w:val="nil"/>
              <w:right w:val="nil"/>
            </w:tcBorders>
            <w:shd w:val="clear" w:color="auto" w:fill="CCE2E6"/>
            <w:vAlign w:val="center"/>
            <w:hideMark/>
          </w:tcPr>
          <w:p w14:paraId="58BC516B" w14:textId="77777777" w:rsidR="00B84AFA" w:rsidRPr="0048105D" w:rsidRDefault="00B84AFA" w:rsidP="00562DA7">
            <w:pPr>
              <w:widowControl/>
              <w:jc w:val="center"/>
              <w:rPr>
                <w:rFonts w:cs="Arial"/>
                <w:color w:val="000000"/>
                <w:sz w:val="20"/>
                <w:lang w:eastAsia="es-MX"/>
              </w:rPr>
            </w:pPr>
            <w:r w:rsidRPr="0048105D">
              <w:rPr>
                <w:rFonts w:cs="Arial"/>
                <w:sz w:val="20"/>
                <w:lang w:eastAsia="es-MX"/>
              </w:rPr>
              <w:t>0.3</w:t>
            </w:r>
          </w:p>
        </w:tc>
        <w:tc>
          <w:tcPr>
            <w:tcW w:w="1417" w:type="dxa"/>
            <w:tcBorders>
              <w:top w:val="nil"/>
              <w:left w:val="nil"/>
              <w:bottom w:val="nil"/>
              <w:right w:val="nil"/>
            </w:tcBorders>
            <w:shd w:val="clear" w:color="auto" w:fill="CCE2E6"/>
            <w:vAlign w:val="center"/>
            <w:hideMark/>
          </w:tcPr>
          <w:p w14:paraId="4B8C563A" w14:textId="77777777" w:rsidR="00B84AFA" w:rsidRPr="0048105D" w:rsidRDefault="00B84AFA" w:rsidP="00562DA7">
            <w:pPr>
              <w:widowControl/>
              <w:jc w:val="center"/>
              <w:rPr>
                <w:rFonts w:cs="Arial"/>
                <w:color w:val="000000"/>
                <w:sz w:val="20"/>
                <w:lang w:eastAsia="es-MX"/>
              </w:rPr>
            </w:pPr>
            <w:r w:rsidRPr="0048105D">
              <w:rPr>
                <w:rFonts w:cs="Arial"/>
                <w:sz w:val="20"/>
                <w:lang w:eastAsia="es-MX"/>
              </w:rPr>
              <w:t>56.7</w:t>
            </w:r>
          </w:p>
        </w:tc>
        <w:tc>
          <w:tcPr>
            <w:tcW w:w="1134" w:type="dxa"/>
            <w:tcBorders>
              <w:top w:val="nil"/>
              <w:left w:val="nil"/>
              <w:bottom w:val="nil"/>
              <w:right w:val="nil"/>
            </w:tcBorders>
            <w:shd w:val="clear" w:color="auto" w:fill="CCE2E6"/>
            <w:vAlign w:val="center"/>
            <w:hideMark/>
          </w:tcPr>
          <w:p w14:paraId="61D4DF89" w14:textId="77777777" w:rsidR="00B84AFA" w:rsidRPr="0048105D" w:rsidRDefault="00B84AFA" w:rsidP="00562DA7">
            <w:pPr>
              <w:widowControl/>
              <w:jc w:val="center"/>
              <w:rPr>
                <w:rFonts w:cs="Arial"/>
                <w:color w:val="000000"/>
                <w:sz w:val="20"/>
                <w:lang w:eastAsia="es-MX"/>
              </w:rPr>
            </w:pPr>
            <w:r w:rsidRPr="0048105D">
              <w:rPr>
                <w:rFonts w:cs="Arial"/>
                <w:sz w:val="20"/>
                <w:lang w:eastAsia="es-MX"/>
              </w:rPr>
              <w:t>57.4</w:t>
            </w:r>
          </w:p>
        </w:tc>
        <w:tc>
          <w:tcPr>
            <w:tcW w:w="1276" w:type="dxa"/>
            <w:tcBorders>
              <w:top w:val="nil"/>
              <w:left w:val="nil"/>
              <w:bottom w:val="nil"/>
              <w:right w:val="nil"/>
            </w:tcBorders>
            <w:shd w:val="clear" w:color="auto" w:fill="CCE2E6"/>
            <w:vAlign w:val="center"/>
            <w:hideMark/>
          </w:tcPr>
          <w:p w14:paraId="3E907D43" w14:textId="77777777" w:rsidR="00B84AFA" w:rsidRPr="0048105D" w:rsidRDefault="00B84AFA" w:rsidP="00562DA7">
            <w:pPr>
              <w:widowControl/>
              <w:jc w:val="center"/>
              <w:rPr>
                <w:rFonts w:cs="Arial"/>
                <w:color w:val="000000"/>
                <w:sz w:val="20"/>
                <w:lang w:eastAsia="es-MX"/>
              </w:rPr>
            </w:pPr>
            <w:r w:rsidRPr="0048105D">
              <w:rPr>
                <w:rFonts w:cs="Arial"/>
                <w:sz w:val="20"/>
                <w:lang w:eastAsia="es-MX"/>
              </w:rPr>
              <w:t>54.6</w:t>
            </w:r>
          </w:p>
        </w:tc>
      </w:tr>
      <w:tr w:rsidR="00B84AFA" w:rsidRPr="0048105D" w14:paraId="0F89DD43" w14:textId="77777777" w:rsidTr="00562DA7">
        <w:trPr>
          <w:trHeight w:val="300"/>
        </w:trPr>
        <w:tc>
          <w:tcPr>
            <w:tcW w:w="2800" w:type="dxa"/>
            <w:gridSpan w:val="2"/>
            <w:tcBorders>
              <w:top w:val="nil"/>
              <w:left w:val="nil"/>
              <w:bottom w:val="nil"/>
              <w:right w:val="nil"/>
            </w:tcBorders>
            <w:shd w:val="clear" w:color="auto" w:fill="99C5CC"/>
            <w:vAlign w:val="center"/>
            <w:hideMark/>
          </w:tcPr>
          <w:p w14:paraId="645CCD62" w14:textId="77777777" w:rsidR="00B84AFA" w:rsidRPr="0048105D" w:rsidRDefault="00B84AFA" w:rsidP="00562DA7">
            <w:pPr>
              <w:widowControl/>
              <w:jc w:val="left"/>
              <w:rPr>
                <w:rFonts w:cs="Arial"/>
                <w:b/>
                <w:bCs/>
                <w:color w:val="000000"/>
                <w:sz w:val="20"/>
                <w:lang w:eastAsia="es-MX"/>
              </w:rPr>
            </w:pPr>
            <w:r w:rsidRPr="0048105D">
              <w:rPr>
                <w:rFonts w:cs="Arial"/>
                <w:b/>
                <w:bCs/>
                <w:sz w:val="20"/>
                <w:lang w:eastAsia="es-MX"/>
              </w:rPr>
              <w:t>Asistencia escolar</w:t>
            </w:r>
          </w:p>
        </w:tc>
        <w:tc>
          <w:tcPr>
            <w:tcW w:w="1169" w:type="dxa"/>
            <w:tcBorders>
              <w:top w:val="nil"/>
              <w:left w:val="nil"/>
              <w:bottom w:val="nil"/>
              <w:right w:val="nil"/>
            </w:tcBorders>
            <w:shd w:val="clear" w:color="auto" w:fill="99C5CC"/>
            <w:vAlign w:val="center"/>
            <w:hideMark/>
          </w:tcPr>
          <w:p w14:paraId="5740255B" w14:textId="77777777" w:rsidR="00B84AFA" w:rsidRPr="0048105D" w:rsidRDefault="00B84AFA" w:rsidP="00562DA7">
            <w:pPr>
              <w:widowControl/>
              <w:jc w:val="center"/>
              <w:rPr>
                <w:rFonts w:cs="Arial"/>
                <w:b/>
                <w:bCs/>
                <w:color w:val="000000"/>
                <w:sz w:val="20"/>
                <w:lang w:eastAsia="es-MX"/>
              </w:rPr>
            </w:pPr>
            <w:r w:rsidRPr="0048105D">
              <w:rPr>
                <w:rFonts w:cs="Arial"/>
                <w:b/>
                <w:bCs/>
                <w:sz w:val="20"/>
                <w:lang w:eastAsia="es-MX"/>
              </w:rPr>
              <w:t>2.1</w:t>
            </w:r>
          </w:p>
        </w:tc>
        <w:tc>
          <w:tcPr>
            <w:tcW w:w="993" w:type="dxa"/>
            <w:tcBorders>
              <w:top w:val="nil"/>
              <w:left w:val="nil"/>
              <w:bottom w:val="nil"/>
              <w:right w:val="nil"/>
            </w:tcBorders>
            <w:shd w:val="clear" w:color="auto" w:fill="99C5CC"/>
            <w:vAlign w:val="center"/>
            <w:hideMark/>
          </w:tcPr>
          <w:p w14:paraId="52E5FE75" w14:textId="77777777" w:rsidR="00B84AFA" w:rsidRPr="0048105D" w:rsidRDefault="00B84AFA" w:rsidP="00562DA7">
            <w:pPr>
              <w:widowControl/>
              <w:jc w:val="center"/>
              <w:rPr>
                <w:rFonts w:cs="Arial"/>
                <w:b/>
                <w:bCs/>
                <w:color w:val="000000"/>
                <w:sz w:val="20"/>
                <w:lang w:eastAsia="es-MX"/>
              </w:rPr>
            </w:pPr>
            <w:r w:rsidRPr="0048105D">
              <w:rPr>
                <w:rFonts w:cs="Arial"/>
                <w:b/>
                <w:bCs/>
                <w:sz w:val="20"/>
                <w:lang w:eastAsia="es-MX"/>
              </w:rPr>
              <w:t>1.5</w:t>
            </w:r>
          </w:p>
        </w:tc>
        <w:tc>
          <w:tcPr>
            <w:tcW w:w="992" w:type="dxa"/>
            <w:tcBorders>
              <w:top w:val="nil"/>
              <w:left w:val="nil"/>
              <w:bottom w:val="nil"/>
              <w:right w:val="nil"/>
            </w:tcBorders>
            <w:shd w:val="clear" w:color="auto" w:fill="99C5CC"/>
            <w:vAlign w:val="center"/>
            <w:hideMark/>
          </w:tcPr>
          <w:p w14:paraId="5C5FA5A5" w14:textId="77777777" w:rsidR="00B84AFA" w:rsidRPr="0048105D" w:rsidRDefault="00B84AFA" w:rsidP="00562DA7">
            <w:pPr>
              <w:widowControl/>
              <w:jc w:val="center"/>
              <w:rPr>
                <w:rFonts w:cs="Arial"/>
                <w:b/>
                <w:bCs/>
                <w:color w:val="000000"/>
                <w:sz w:val="20"/>
                <w:lang w:eastAsia="es-MX"/>
              </w:rPr>
            </w:pPr>
            <w:r w:rsidRPr="0048105D">
              <w:rPr>
                <w:rFonts w:cs="Arial"/>
                <w:b/>
                <w:bCs/>
                <w:sz w:val="20"/>
                <w:lang w:eastAsia="es-MX"/>
              </w:rPr>
              <w:t>0.6</w:t>
            </w:r>
          </w:p>
        </w:tc>
        <w:tc>
          <w:tcPr>
            <w:tcW w:w="1417" w:type="dxa"/>
            <w:tcBorders>
              <w:top w:val="nil"/>
              <w:left w:val="nil"/>
              <w:bottom w:val="nil"/>
              <w:right w:val="nil"/>
            </w:tcBorders>
            <w:shd w:val="clear" w:color="auto" w:fill="99C5CC"/>
            <w:vAlign w:val="center"/>
            <w:hideMark/>
          </w:tcPr>
          <w:p w14:paraId="5C628E4B" w14:textId="77777777" w:rsidR="00B84AFA" w:rsidRPr="0048105D" w:rsidRDefault="00B84AFA" w:rsidP="00562DA7">
            <w:pPr>
              <w:widowControl/>
              <w:jc w:val="center"/>
              <w:rPr>
                <w:rFonts w:cs="Arial"/>
                <w:b/>
                <w:bCs/>
                <w:color w:val="000000"/>
                <w:sz w:val="20"/>
                <w:lang w:eastAsia="es-MX"/>
              </w:rPr>
            </w:pPr>
            <w:r w:rsidRPr="0048105D">
              <w:rPr>
                <w:rFonts w:cs="Arial"/>
                <w:b/>
                <w:bCs/>
                <w:sz w:val="20"/>
                <w:lang w:eastAsia="es-MX"/>
              </w:rPr>
              <w:t>100.0</w:t>
            </w:r>
          </w:p>
        </w:tc>
        <w:tc>
          <w:tcPr>
            <w:tcW w:w="1134" w:type="dxa"/>
            <w:tcBorders>
              <w:top w:val="nil"/>
              <w:left w:val="nil"/>
              <w:bottom w:val="nil"/>
              <w:right w:val="nil"/>
            </w:tcBorders>
            <w:shd w:val="clear" w:color="auto" w:fill="99C5CC"/>
            <w:vAlign w:val="center"/>
            <w:hideMark/>
          </w:tcPr>
          <w:p w14:paraId="4BF9CDE7" w14:textId="77777777" w:rsidR="00B84AFA" w:rsidRPr="0048105D" w:rsidRDefault="00B84AFA" w:rsidP="00562DA7">
            <w:pPr>
              <w:widowControl/>
              <w:jc w:val="center"/>
              <w:rPr>
                <w:rFonts w:cs="Arial"/>
                <w:b/>
                <w:bCs/>
                <w:color w:val="000000"/>
                <w:sz w:val="20"/>
                <w:lang w:eastAsia="es-MX"/>
              </w:rPr>
            </w:pPr>
            <w:r w:rsidRPr="0048105D">
              <w:rPr>
                <w:rFonts w:cs="Arial"/>
                <w:b/>
                <w:bCs/>
                <w:sz w:val="20"/>
                <w:lang w:eastAsia="es-MX"/>
              </w:rPr>
              <w:t>100.0</w:t>
            </w:r>
          </w:p>
        </w:tc>
        <w:tc>
          <w:tcPr>
            <w:tcW w:w="1276" w:type="dxa"/>
            <w:tcBorders>
              <w:top w:val="nil"/>
              <w:left w:val="nil"/>
              <w:bottom w:val="nil"/>
              <w:right w:val="nil"/>
            </w:tcBorders>
            <w:shd w:val="clear" w:color="auto" w:fill="99C5CC"/>
            <w:vAlign w:val="center"/>
            <w:hideMark/>
          </w:tcPr>
          <w:p w14:paraId="495CFE05" w14:textId="77777777" w:rsidR="00B84AFA" w:rsidRPr="0048105D" w:rsidRDefault="00B84AFA" w:rsidP="00562DA7">
            <w:pPr>
              <w:widowControl/>
              <w:jc w:val="center"/>
              <w:rPr>
                <w:rFonts w:cs="Arial"/>
                <w:b/>
                <w:bCs/>
                <w:color w:val="000000"/>
                <w:sz w:val="20"/>
                <w:lang w:eastAsia="es-MX"/>
              </w:rPr>
            </w:pPr>
            <w:r w:rsidRPr="0048105D">
              <w:rPr>
                <w:rFonts w:cs="Arial"/>
                <w:b/>
                <w:bCs/>
                <w:sz w:val="20"/>
                <w:lang w:eastAsia="es-MX"/>
              </w:rPr>
              <w:t>100.0</w:t>
            </w:r>
          </w:p>
        </w:tc>
      </w:tr>
      <w:tr w:rsidR="00B84AFA" w:rsidRPr="0048105D" w14:paraId="6E935AE6" w14:textId="77777777" w:rsidTr="00562DA7">
        <w:trPr>
          <w:trHeight w:val="300"/>
        </w:trPr>
        <w:tc>
          <w:tcPr>
            <w:tcW w:w="220" w:type="dxa"/>
            <w:tcBorders>
              <w:top w:val="nil"/>
              <w:left w:val="nil"/>
              <w:right w:val="nil"/>
            </w:tcBorders>
            <w:shd w:val="clear" w:color="auto" w:fill="CCE2E6"/>
            <w:noWrap/>
            <w:vAlign w:val="bottom"/>
            <w:hideMark/>
          </w:tcPr>
          <w:p w14:paraId="36FA05D8" w14:textId="77777777" w:rsidR="00B84AFA" w:rsidRPr="0048105D" w:rsidRDefault="00B84AFA" w:rsidP="00562DA7">
            <w:pPr>
              <w:widowControl/>
              <w:jc w:val="left"/>
              <w:rPr>
                <w:rFonts w:ascii="Times New Roman" w:hAnsi="Times New Roman"/>
                <w:color w:val="000000"/>
                <w:sz w:val="20"/>
                <w:lang w:eastAsia="es-MX"/>
              </w:rPr>
            </w:pPr>
            <w:r w:rsidRPr="0048105D">
              <w:rPr>
                <w:rFonts w:ascii="Times New Roman" w:hAnsi="Times New Roman" w:cs="Arial"/>
                <w:color w:val="000000"/>
                <w:sz w:val="20"/>
                <w:lang w:eastAsia="es-MX"/>
              </w:rPr>
              <w:t> </w:t>
            </w:r>
          </w:p>
        </w:tc>
        <w:tc>
          <w:tcPr>
            <w:tcW w:w="2580" w:type="dxa"/>
            <w:tcBorders>
              <w:top w:val="nil"/>
              <w:left w:val="nil"/>
              <w:right w:val="nil"/>
            </w:tcBorders>
            <w:shd w:val="clear" w:color="auto" w:fill="CCE2E6"/>
            <w:vAlign w:val="center"/>
            <w:hideMark/>
          </w:tcPr>
          <w:p w14:paraId="30BEF348" w14:textId="77777777" w:rsidR="00B84AFA" w:rsidRPr="0048105D" w:rsidRDefault="00B84AFA" w:rsidP="00562DA7">
            <w:pPr>
              <w:widowControl/>
              <w:jc w:val="left"/>
              <w:rPr>
                <w:rFonts w:cs="Arial"/>
                <w:color w:val="000000"/>
                <w:sz w:val="20"/>
                <w:lang w:eastAsia="es-MX"/>
              </w:rPr>
            </w:pPr>
            <w:r w:rsidRPr="0048105D">
              <w:rPr>
                <w:rFonts w:cs="Arial"/>
                <w:sz w:val="20"/>
                <w:lang w:eastAsia="es-MX"/>
              </w:rPr>
              <w:t>Asiste</w:t>
            </w:r>
          </w:p>
        </w:tc>
        <w:tc>
          <w:tcPr>
            <w:tcW w:w="1169" w:type="dxa"/>
            <w:tcBorders>
              <w:top w:val="nil"/>
              <w:left w:val="nil"/>
              <w:right w:val="nil"/>
            </w:tcBorders>
            <w:shd w:val="clear" w:color="auto" w:fill="CCE2E6"/>
            <w:vAlign w:val="center"/>
            <w:hideMark/>
          </w:tcPr>
          <w:p w14:paraId="2887D365" w14:textId="77777777" w:rsidR="00B84AFA" w:rsidRPr="0048105D" w:rsidRDefault="00B84AFA" w:rsidP="00562DA7">
            <w:pPr>
              <w:widowControl/>
              <w:jc w:val="center"/>
              <w:rPr>
                <w:rFonts w:cs="Arial"/>
                <w:color w:val="000000"/>
                <w:sz w:val="20"/>
                <w:lang w:eastAsia="es-MX"/>
              </w:rPr>
            </w:pPr>
            <w:r w:rsidRPr="0048105D">
              <w:rPr>
                <w:rFonts w:cs="Arial"/>
                <w:sz w:val="20"/>
                <w:lang w:eastAsia="es-MX"/>
              </w:rPr>
              <w:t>1.3</w:t>
            </w:r>
          </w:p>
        </w:tc>
        <w:tc>
          <w:tcPr>
            <w:tcW w:w="993" w:type="dxa"/>
            <w:tcBorders>
              <w:top w:val="nil"/>
              <w:left w:val="nil"/>
              <w:right w:val="nil"/>
            </w:tcBorders>
            <w:shd w:val="clear" w:color="auto" w:fill="CCE2E6"/>
            <w:vAlign w:val="center"/>
            <w:hideMark/>
          </w:tcPr>
          <w:p w14:paraId="7DC5930B" w14:textId="77777777" w:rsidR="00B84AFA" w:rsidRPr="0048105D" w:rsidRDefault="00B84AFA" w:rsidP="00562DA7">
            <w:pPr>
              <w:widowControl/>
              <w:jc w:val="center"/>
              <w:rPr>
                <w:rFonts w:cs="Arial"/>
                <w:color w:val="000000"/>
                <w:sz w:val="20"/>
                <w:lang w:eastAsia="es-MX"/>
              </w:rPr>
            </w:pPr>
            <w:r w:rsidRPr="0048105D">
              <w:rPr>
                <w:rFonts w:cs="Arial"/>
                <w:sz w:val="20"/>
                <w:lang w:eastAsia="es-MX"/>
              </w:rPr>
              <w:t>0.9</w:t>
            </w:r>
          </w:p>
        </w:tc>
        <w:tc>
          <w:tcPr>
            <w:tcW w:w="992" w:type="dxa"/>
            <w:tcBorders>
              <w:top w:val="nil"/>
              <w:left w:val="nil"/>
              <w:right w:val="nil"/>
            </w:tcBorders>
            <w:shd w:val="clear" w:color="auto" w:fill="CCE2E6"/>
            <w:vAlign w:val="center"/>
            <w:hideMark/>
          </w:tcPr>
          <w:p w14:paraId="1FA70688" w14:textId="77777777" w:rsidR="00B84AFA" w:rsidRPr="0048105D" w:rsidRDefault="00B84AFA" w:rsidP="00562DA7">
            <w:pPr>
              <w:widowControl/>
              <w:jc w:val="center"/>
              <w:rPr>
                <w:rFonts w:cs="Arial"/>
                <w:color w:val="000000"/>
                <w:sz w:val="20"/>
                <w:lang w:eastAsia="es-MX"/>
              </w:rPr>
            </w:pPr>
            <w:r w:rsidRPr="0048105D">
              <w:rPr>
                <w:rFonts w:cs="Arial"/>
                <w:sz w:val="20"/>
                <w:lang w:eastAsia="es-MX"/>
              </w:rPr>
              <w:t>0.4</w:t>
            </w:r>
          </w:p>
        </w:tc>
        <w:tc>
          <w:tcPr>
            <w:tcW w:w="1417" w:type="dxa"/>
            <w:tcBorders>
              <w:top w:val="nil"/>
              <w:left w:val="nil"/>
              <w:right w:val="nil"/>
            </w:tcBorders>
            <w:shd w:val="clear" w:color="auto" w:fill="CCE2E6"/>
            <w:vAlign w:val="center"/>
            <w:hideMark/>
          </w:tcPr>
          <w:p w14:paraId="65B25ADB" w14:textId="77777777" w:rsidR="00B84AFA" w:rsidRPr="0048105D" w:rsidRDefault="00B84AFA" w:rsidP="00562DA7">
            <w:pPr>
              <w:widowControl/>
              <w:jc w:val="center"/>
              <w:rPr>
                <w:rFonts w:cs="Arial"/>
                <w:color w:val="000000"/>
                <w:sz w:val="20"/>
                <w:lang w:eastAsia="es-MX"/>
              </w:rPr>
            </w:pPr>
            <w:r w:rsidRPr="0048105D">
              <w:rPr>
                <w:rFonts w:cs="Arial"/>
                <w:sz w:val="20"/>
                <w:lang w:eastAsia="es-MX"/>
              </w:rPr>
              <w:t>60.1</w:t>
            </w:r>
          </w:p>
        </w:tc>
        <w:tc>
          <w:tcPr>
            <w:tcW w:w="1134" w:type="dxa"/>
            <w:tcBorders>
              <w:top w:val="nil"/>
              <w:left w:val="nil"/>
              <w:right w:val="nil"/>
            </w:tcBorders>
            <w:shd w:val="clear" w:color="auto" w:fill="CCE2E6"/>
            <w:vAlign w:val="center"/>
            <w:hideMark/>
          </w:tcPr>
          <w:p w14:paraId="06548065" w14:textId="77777777" w:rsidR="00B84AFA" w:rsidRPr="0048105D" w:rsidRDefault="00B84AFA" w:rsidP="00562DA7">
            <w:pPr>
              <w:widowControl/>
              <w:jc w:val="center"/>
              <w:rPr>
                <w:rFonts w:cs="Arial"/>
                <w:color w:val="000000"/>
                <w:sz w:val="20"/>
                <w:lang w:eastAsia="es-MX"/>
              </w:rPr>
            </w:pPr>
            <w:r w:rsidRPr="0048105D">
              <w:rPr>
                <w:rFonts w:cs="Arial"/>
                <w:sz w:val="20"/>
                <w:lang w:eastAsia="es-MX"/>
              </w:rPr>
              <w:t>57.3</w:t>
            </w:r>
          </w:p>
        </w:tc>
        <w:tc>
          <w:tcPr>
            <w:tcW w:w="1276" w:type="dxa"/>
            <w:tcBorders>
              <w:top w:val="nil"/>
              <w:left w:val="nil"/>
              <w:right w:val="nil"/>
            </w:tcBorders>
            <w:shd w:val="clear" w:color="auto" w:fill="CCE2E6"/>
            <w:vAlign w:val="center"/>
            <w:hideMark/>
          </w:tcPr>
          <w:p w14:paraId="72CE4754" w14:textId="77777777" w:rsidR="00B84AFA" w:rsidRPr="0048105D" w:rsidRDefault="00B84AFA" w:rsidP="00562DA7">
            <w:pPr>
              <w:widowControl/>
              <w:jc w:val="center"/>
              <w:rPr>
                <w:rFonts w:cs="Arial"/>
                <w:color w:val="000000"/>
                <w:sz w:val="20"/>
                <w:lang w:eastAsia="es-MX"/>
              </w:rPr>
            </w:pPr>
            <w:r w:rsidRPr="0048105D">
              <w:rPr>
                <w:rFonts w:cs="Arial"/>
                <w:sz w:val="20"/>
                <w:lang w:eastAsia="es-MX"/>
              </w:rPr>
              <w:t>67.2</w:t>
            </w:r>
          </w:p>
        </w:tc>
      </w:tr>
      <w:tr w:rsidR="00B84AFA" w:rsidRPr="0048105D" w14:paraId="2EF0492F" w14:textId="77777777" w:rsidTr="00562DA7">
        <w:trPr>
          <w:trHeight w:val="300"/>
        </w:trPr>
        <w:tc>
          <w:tcPr>
            <w:tcW w:w="220" w:type="dxa"/>
            <w:tcBorders>
              <w:top w:val="nil"/>
              <w:left w:val="nil"/>
              <w:right w:val="nil"/>
            </w:tcBorders>
            <w:shd w:val="clear" w:color="auto" w:fill="CCE2E6"/>
            <w:vAlign w:val="center"/>
            <w:hideMark/>
          </w:tcPr>
          <w:p w14:paraId="26130D49" w14:textId="77777777" w:rsidR="00B84AFA" w:rsidRPr="0048105D" w:rsidRDefault="00B84AFA" w:rsidP="00562DA7">
            <w:pPr>
              <w:widowControl/>
              <w:jc w:val="left"/>
              <w:rPr>
                <w:rFonts w:ascii="Times New Roman" w:hAnsi="Times New Roman"/>
                <w:color w:val="000000"/>
                <w:sz w:val="20"/>
                <w:lang w:eastAsia="es-MX"/>
              </w:rPr>
            </w:pPr>
            <w:r w:rsidRPr="0048105D">
              <w:rPr>
                <w:rFonts w:ascii="Times New Roman" w:hAnsi="Times New Roman" w:cs="Arial"/>
                <w:color w:val="000000"/>
                <w:sz w:val="20"/>
                <w:lang w:eastAsia="es-MX"/>
              </w:rPr>
              <w:t> </w:t>
            </w:r>
          </w:p>
        </w:tc>
        <w:tc>
          <w:tcPr>
            <w:tcW w:w="2580" w:type="dxa"/>
            <w:tcBorders>
              <w:top w:val="nil"/>
              <w:left w:val="nil"/>
              <w:right w:val="nil"/>
            </w:tcBorders>
            <w:shd w:val="clear" w:color="auto" w:fill="CCE2E6"/>
            <w:vAlign w:val="center"/>
            <w:hideMark/>
          </w:tcPr>
          <w:p w14:paraId="43F17A5E" w14:textId="77777777" w:rsidR="00B84AFA" w:rsidRPr="0048105D" w:rsidRDefault="00B84AFA" w:rsidP="00562DA7">
            <w:pPr>
              <w:widowControl/>
              <w:jc w:val="left"/>
              <w:rPr>
                <w:rFonts w:cs="Arial"/>
                <w:color w:val="000000"/>
                <w:sz w:val="20"/>
                <w:lang w:eastAsia="es-MX"/>
              </w:rPr>
            </w:pPr>
            <w:r w:rsidRPr="0048105D">
              <w:rPr>
                <w:rFonts w:cs="Arial"/>
                <w:sz w:val="20"/>
                <w:lang w:eastAsia="es-MX"/>
              </w:rPr>
              <w:t>No asiste</w:t>
            </w:r>
          </w:p>
        </w:tc>
        <w:tc>
          <w:tcPr>
            <w:tcW w:w="1169" w:type="dxa"/>
            <w:tcBorders>
              <w:top w:val="nil"/>
              <w:left w:val="nil"/>
              <w:right w:val="nil"/>
            </w:tcBorders>
            <w:shd w:val="clear" w:color="auto" w:fill="CCE2E6"/>
            <w:vAlign w:val="center"/>
            <w:hideMark/>
          </w:tcPr>
          <w:p w14:paraId="21F0419D" w14:textId="77777777" w:rsidR="00B84AFA" w:rsidRPr="0048105D" w:rsidRDefault="00B84AFA" w:rsidP="00562DA7">
            <w:pPr>
              <w:widowControl/>
              <w:jc w:val="center"/>
              <w:rPr>
                <w:rFonts w:cs="Arial"/>
                <w:color w:val="000000"/>
                <w:sz w:val="20"/>
                <w:lang w:eastAsia="es-MX"/>
              </w:rPr>
            </w:pPr>
            <w:r w:rsidRPr="0048105D">
              <w:rPr>
                <w:rFonts w:cs="Arial"/>
                <w:sz w:val="20"/>
                <w:lang w:eastAsia="es-MX"/>
              </w:rPr>
              <w:t>0.9</w:t>
            </w:r>
          </w:p>
        </w:tc>
        <w:tc>
          <w:tcPr>
            <w:tcW w:w="993" w:type="dxa"/>
            <w:tcBorders>
              <w:top w:val="nil"/>
              <w:left w:val="nil"/>
              <w:right w:val="nil"/>
            </w:tcBorders>
            <w:shd w:val="clear" w:color="auto" w:fill="CCE2E6"/>
            <w:vAlign w:val="center"/>
            <w:hideMark/>
          </w:tcPr>
          <w:p w14:paraId="1911F93B" w14:textId="77777777" w:rsidR="00B84AFA" w:rsidRPr="0048105D" w:rsidRDefault="00B84AFA" w:rsidP="00562DA7">
            <w:pPr>
              <w:widowControl/>
              <w:jc w:val="center"/>
              <w:rPr>
                <w:rFonts w:cs="Arial"/>
                <w:color w:val="000000"/>
                <w:sz w:val="20"/>
                <w:lang w:eastAsia="es-MX"/>
              </w:rPr>
            </w:pPr>
            <w:r w:rsidRPr="0048105D">
              <w:rPr>
                <w:rFonts w:cs="Arial"/>
                <w:sz w:val="20"/>
                <w:lang w:eastAsia="es-MX"/>
              </w:rPr>
              <w:t>0.7</w:t>
            </w:r>
          </w:p>
        </w:tc>
        <w:tc>
          <w:tcPr>
            <w:tcW w:w="992" w:type="dxa"/>
            <w:tcBorders>
              <w:top w:val="nil"/>
              <w:left w:val="nil"/>
              <w:right w:val="nil"/>
            </w:tcBorders>
            <w:shd w:val="clear" w:color="auto" w:fill="CCE2E6"/>
            <w:vAlign w:val="center"/>
            <w:hideMark/>
          </w:tcPr>
          <w:p w14:paraId="61931410" w14:textId="77777777" w:rsidR="00B84AFA" w:rsidRPr="0048105D" w:rsidRDefault="00B84AFA" w:rsidP="00562DA7">
            <w:pPr>
              <w:widowControl/>
              <w:jc w:val="center"/>
              <w:rPr>
                <w:rFonts w:cs="Arial"/>
                <w:color w:val="000000"/>
                <w:sz w:val="20"/>
                <w:lang w:eastAsia="es-MX"/>
              </w:rPr>
            </w:pPr>
            <w:r w:rsidRPr="0048105D">
              <w:rPr>
                <w:rFonts w:cs="Arial"/>
                <w:sz w:val="20"/>
                <w:lang w:eastAsia="es-MX"/>
              </w:rPr>
              <w:t>0.2</w:t>
            </w:r>
          </w:p>
        </w:tc>
        <w:tc>
          <w:tcPr>
            <w:tcW w:w="1417" w:type="dxa"/>
            <w:tcBorders>
              <w:top w:val="nil"/>
              <w:left w:val="nil"/>
              <w:right w:val="nil"/>
            </w:tcBorders>
            <w:shd w:val="clear" w:color="auto" w:fill="CCE2E6"/>
            <w:vAlign w:val="center"/>
            <w:hideMark/>
          </w:tcPr>
          <w:p w14:paraId="62759C87" w14:textId="77777777" w:rsidR="00B84AFA" w:rsidRPr="0048105D" w:rsidRDefault="00B84AFA" w:rsidP="00562DA7">
            <w:pPr>
              <w:widowControl/>
              <w:jc w:val="center"/>
              <w:rPr>
                <w:rFonts w:cs="Arial"/>
                <w:color w:val="000000"/>
                <w:sz w:val="20"/>
                <w:lang w:eastAsia="es-MX"/>
              </w:rPr>
            </w:pPr>
            <w:r w:rsidRPr="0048105D">
              <w:rPr>
                <w:rFonts w:cs="Arial"/>
                <w:sz w:val="20"/>
                <w:lang w:eastAsia="es-MX"/>
              </w:rPr>
              <w:t>39.9</w:t>
            </w:r>
          </w:p>
        </w:tc>
        <w:tc>
          <w:tcPr>
            <w:tcW w:w="1134" w:type="dxa"/>
            <w:tcBorders>
              <w:top w:val="nil"/>
              <w:left w:val="nil"/>
              <w:right w:val="nil"/>
            </w:tcBorders>
            <w:shd w:val="clear" w:color="auto" w:fill="CCE2E6"/>
            <w:vAlign w:val="center"/>
            <w:hideMark/>
          </w:tcPr>
          <w:p w14:paraId="5502C467" w14:textId="77777777" w:rsidR="00B84AFA" w:rsidRPr="0048105D" w:rsidRDefault="00B84AFA" w:rsidP="00562DA7">
            <w:pPr>
              <w:widowControl/>
              <w:jc w:val="center"/>
              <w:rPr>
                <w:rFonts w:cs="Arial"/>
                <w:color w:val="000000"/>
                <w:sz w:val="20"/>
                <w:lang w:eastAsia="es-MX"/>
              </w:rPr>
            </w:pPr>
            <w:r w:rsidRPr="0048105D">
              <w:rPr>
                <w:rFonts w:cs="Arial"/>
                <w:sz w:val="20"/>
                <w:lang w:eastAsia="es-MX"/>
              </w:rPr>
              <w:t>42.7</w:t>
            </w:r>
          </w:p>
        </w:tc>
        <w:tc>
          <w:tcPr>
            <w:tcW w:w="1276" w:type="dxa"/>
            <w:tcBorders>
              <w:top w:val="nil"/>
              <w:left w:val="nil"/>
              <w:right w:val="nil"/>
            </w:tcBorders>
            <w:shd w:val="clear" w:color="auto" w:fill="CCE2E6"/>
            <w:vAlign w:val="center"/>
            <w:hideMark/>
          </w:tcPr>
          <w:p w14:paraId="663589B1" w14:textId="77777777" w:rsidR="00B84AFA" w:rsidRPr="0048105D" w:rsidRDefault="00B84AFA" w:rsidP="00562DA7">
            <w:pPr>
              <w:widowControl/>
              <w:jc w:val="center"/>
              <w:rPr>
                <w:rFonts w:cs="Arial"/>
                <w:color w:val="000000"/>
                <w:sz w:val="20"/>
                <w:lang w:eastAsia="es-MX"/>
              </w:rPr>
            </w:pPr>
            <w:r w:rsidRPr="0048105D">
              <w:rPr>
                <w:rFonts w:cs="Arial"/>
                <w:sz w:val="20"/>
                <w:lang w:eastAsia="es-MX"/>
              </w:rPr>
              <w:t>32.8</w:t>
            </w:r>
          </w:p>
        </w:tc>
      </w:tr>
    </w:tbl>
    <w:p w14:paraId="5334498B" w14:textId="66C618A9" w:rsidR="00B84AFA" w:rsidRPr="00CD6FE9" w:rsidRDefault="00B84AFA" w:rsidP="00B84AFA">
      <w:pPr>
        <w:widowControl/>
        <w:autoSpaceDE w:val="0"/>
        <w:autoSpaceDN w:val="0"/>
        <w:adjustRightInd w:val="0"/>
        <w:rPr>
          <w:rFonts w:cs="Arial"/>
          <w:sz w:val="22"/>
          <w:szCs w:val="22"/>
        </w:rPr>
      </w:pPr>
      <w:r w:rsidRPr="00CD6FE9">
        <w:rPr>
          <w:rFonts w:cs="Arial"/>
          <w:color w:val="000000" w:themeColor="text1"/>
          <w:sz w:val="16"/>
          <w:szCs w:val="16"/>
        </w:rPr>
        <w:t>Fuente: INEGI, ENTI. 2022.</w:t>
      </w:r>
    </w:p>
    <w:p w14:paraId="28500A23" w14:textId="77777777" w:rsidR="00B84AFA" w:rsidRDefault="00B84AFA" w:rsidP="007327E2">
      <w:pPr>
        <w:widowControl/>
        <w:autoSpaceDE w:val="0"/>
        <w:autoSpaceDN w:val="0"/>
        <w:adjustRightInd w:val="0"/>
        <w:rPr>
          <w:rFonts w:cs="Arial"/>
          <w:szCs w:val="24"/>
        </w:rPr>
      </w:pPr>
    </w:p>
    <w:p w14:paraId="6811AC67" w14:textId="77777777" w:rsidR="00DF1DE1" w:rsidRDefault="00DF1DE1" w:rsidP="007327E2">
      <w:pPr>
        <w:widowControl/>
        <w:autoSpaceDE w:val="0"/>
        <w:autoSpaceDN w:val="0"/>
        <w:adjustRightInd w:val="0"/>
        <w:rPr>
          <w:rFonts w:cs="Arial"/>
          <w:szCs w:val="24"/>
        </w:rPr>
      </w:pPr>
    </w:p>
    <w:p w14:paraId="3D57236A" w14:textId="77777777" w:rsidR="00DF1DE1" w:rsidRDefault="00DF1DE1" w:rsidP="007327E2">
      <w:pPr>
        <w:widowControl/>
        <w:autoSpaceDE w:val="0"/>
        <w:autoSpaceDN w:val="0"/>
        <w:adjustRightInd w:val="0"/>
        <w:rPr>
          <w:rFonts w:cs="Arial"/>
          <w:szCs w:val="24"/>
        </w:rPr>
      </w:pPr>
    </w:p>
    <w:p w14:paraId="1B317AFA" w14:textId="08DBA193" w:rsidR="00791592" w:rsidRPr="00A93979" w:rsidRDefault="00791592" w:rsidP="007841FA">
      <w:pPr>
        <w:widowControl/>
        <w:autoSpaceDE w:val="0"/>
        <w:autoSpaceDN w:val="0"/>
        <w:adjustRightInd w:val="0"/>
        <w:ind w:right="51"/>
        <w:rPr>
          <w:rFonts w:cs="Arial"/>
          <w:szCs w:val="24"/>
        </w:rPr>
      </w:pPr>
      <w:r w:rsidRPr="00A93979">
        <w:rPr>
          <w:rFonts w:cs="Arial"/>
          <w:szCs w:val="24"/>
        </w:rPr>
        <w:lastRenderedPageBreak/>
        <w:t>En 2022, la tasa de ocupación no permitida fue de 7.5 %</w:t>
      </w:r>
      <w:r w:rsidR="007327E2" w:rsidRPr="00A93979">
        <w:rPr>
          <w:rFonts w:cs="Arial"/>
          <w:szCs w:val="24"/>
        </w:rPr>
        <w:t xml:space="preserve">; </w:t>
      </w:r>
      <w:r w:rsidRPr="00A93979">
        <w:rPr>
          <w:rFonts w:cs="Arial"/>
          <w:szCs w:val="24"/>
        </w:rPr>
        <w:t>en</w:t>
      </w:r>
      <w:r w:rsidR="007327E2" w:rsidRPr="00A93979">
        <w:rPr>
          <w:rFonts w:cs="Arial"/>
          <w:szCs w:val="24"/>
        </w:rPr>
        <w:t xml:space="preserve"> las niñas fue de 4.3 % y en</w:t>
      </w:r>
      <w:r w:rsidRPr="00A93979">
        <w:rPr>
          <w:rFonts w:cs="Arial"/>
          <w:szCs w:val="24"/>
        </w:rPr>
        <w:t xml:space="preserve"> los niños</w:t>
      </w:r>
      <w:r w:rsidR="007327E2" w:rsidRPr="00A93979">
        <w:rPr>
          <w:rFonts w:cs="Arial"/>
          <w:szCs w:val="24"/>
        </w:rPr>
        <w:t xml:space="preserve">, </w:t>
      </w:r>
      <w:r w:rsidRPr="00A93979">
        <w:rPr>
          <w:rFonts w:cs="Arial"/>
          <w:szCs w:val="24"/>
        </w:rPr>
        <w:t>de 10.6</w:t>
      </w:r>
      <w:r w:rsidR="007327E2" w:rsidRPr="00A93979">
        <w:rPr>
          <w:rFonts w:cs="Arial"/>
          <w:szCs w:val="24"/>
        </w:rPr>
        <w:t xml:space="preserve"> por ciento</w:t>
      </w:r>
      <w:r w:rsidRPr="00A93979">
        <w:rPr>
          <w:rFonts w:cs="Arial"/>
          <w:szCs w:val="24"/>
        </w:rPr>
        <w:t>.</w:t>
      </w:r>
      <w:r w:rsidR="00191949" w:rsidRPr="00A93979">
        <w:rPr>
          <w:rFonts w:cs="Arial"/>
          <w:szCs w:val="24"/>
        </w:rPr>
        <w:t xml:space="preserve"> Para </w:t>
      </w:r>
      <w:r w:rsidR="008312EE" w:rsidRPr="00A93979">
        <w:rPr>
          <w:rFonts w:cs="Arial"/>
          <w:szCs w:val="24"/>
        </w:rPr>
        <w:t>el rango</w:t>
      </w:r>
      <w:r w:rsidR="00191949" w:rsidRPr="00A93979">
        <w:rPr>
          <w:rFonts w:cs="Arial"/>
          <w:szCs w:val="24"/>
        </w:rPr>
        <w:t xml:space="preserve"> </w:t>
      </w:r>
      <w:r w:rsidRPr="00A93979">
        <w:rPr>
          <w:rFonts w:cs="Arial"/>
          <w:szCs w:val="24"/>
        </w:rPr>
        <w:t>de 5 a 14 años fue de 4.3 %</w:t>
      </w:r>
      <w:r w:rsidR="00191949" w:rsidRPr="00A93979">
        <w:rPr>
          <w:rFonts w:cs="Arial"/>
          <w:szCs w:val="24"/>
        </w:rPr>
        <w:t>;</w:t>
      </w:r>
      <w:r w:rsidRPr="00A93979">
        <w:rPr>
          <w:rFonts w:cs="Arial"/>
          <w:szCs w:val="24"/>
        </w:rPr>
        <w:t xml:space="preserve"> </w:t>
      </w:r>
      <w:r w:rsidR="007327E2" w:rsidRPr="00A93979">
        <w:rPr>
          <w:rFonts w:cs="Arial"/>
          <w:szCs w:val="24"/>
        </w:rPr>
        <w:t xml:space="preserve">en las niñas fue de </w:t>
      </w:r>
      <w:r w:rsidR="007327E2" w:rsidRPr="00A93979">
        <w:rPr>
          <w:rFonts w:cs="Arial"/>
          <w:szCs w:val="24"/>
        </w:rPr>
        <w:br/>
        <w:t xml:space="preserve">2.6 % y </w:t>
      </w:r>
      <w:r w:rsidRPr="00A93979">
        <w:rPr>
          <w:rFonts w:cs="Arial"/>
          <w:szCs w:val="24"/>
        </w:rPr>
        <w:t>en los niños de 5.9 %</w:t>
      </w:r>
      <w:r w:rsidR="007327E2" w:rsidRPr="00A93979">
        <w:rPr>
          <w:rFonts w:cs="Arial"/>
          <w:szCs w:val="24"/>
        </w:rPr>
        <w:t xml:space="preserve">, </w:t>
      </w:r>
      <w:r w:rsidR="00191949" w:rsidRPr="00A93979">
        <w:rPr>
          <w:rFonts w:cs="Arial"/>
          <w:szCs w:val="24"/>
        </w:rPr>
        <w:t xml:space="preserve">mientras que para los de </w:t>
      </w:r>
      <w:r w:rsidRPr="00A93979">
        <w:rPr>
          <w:rFonts w:cs="Arial"/>
          <w:szCs w:val="24"/>
        </w:rPr>
        <w:t>15 a 17 años fue de 17.2 %</w:t>
      </w:r>
      <w:r w:rsidR="00191949" w:rsidRPr="00A93979">
        <w:rPr>
          <w:rFonts w:cs="Arial"/>
          <w:szCs w:val="24"/>
        </w:rPr>
        <w:t>;</w:t>
      </w:r>
      <w:r w:rsidRPr="00A93979">
        <w:rPr>
          <w:rFonts w:cs="Arial"/>
          <w:szCs w:val="24"/>
        </w:rPr>
        <w:t xml:space="preserve"> </w:t>
      </w:r>
      <w:r w:rsidR="007327E2" w:rsidRPr="00A93979">
        <w:rPr>
          <w:rFonts w:cs="Arial"/>
          <w:szCs w:val="24"/>
        </w:rPr>
        <w:t xml:space="preserve">en las niñas fue de 9.3 y </w:t>
      </w:r>
      <w:r w:rsidRPr="00A93979">
        <w:rPr>
          <w:rFonts w:cs="Arial"/>
          <w:szCs w:val="24"/>
        </w:rPr>
        <w:t>en los niños</w:t>
      </w:r>
      <w:r w:rsidR="007327E2" w:rsidRPr="00A93979">
        <w:rPr>
          <w:rFonts w:cs="Arial"/>
          <w:szCs w:val="24"/>
        </w:rPr>
        <w:t>, de</w:t>
      </w:r>
      <w:r w:rsidRPr="00A93979">
        <w:rPr>
          <w:rFonts w:cs="Arial"/>
          <w:szCs w:val="24"/>
        </w:rPr>
        <w:t xml:space="preserve"> 25.1 por ciento.</w:t>
      </w:r>
      <w:r w:rsidR="007A0157" w:rsidRPr="00A93979">
        <w:rPr>
          <w:rFonts w:cs="Arial"/>
          <w:szCs w:val="24"/>
        </w:rPr>
        <w:t xml:space="preserve"> </w:t>
      </w:r>
      <w:r w:rsidRPr="00A93979">
        <w:rPr>
          <w:rFonts w:cs="Arial"/>
          <w:szCs w:val="24"/>
        </w:rPr>
        <w:t>La tasa de ocupación no permitida de</w:t>
      </w:r>
      <w:r w:rsidR="00A53C9D" w:rsidRPr="00A93979">
        <w:rPr>
          <w:rFonts w:cs="Arial"/>
          <w:szCs w:val="24"/>
        </w:rPr>
        <w:t xml:space="preserve"> las </w:t>
      </w:r>
      <w:r w:rsidR="00191949" w:rsidRPr="00A93979">
        <w:rPr>
          <w:rFonts w:cs="Arial"/>
          <w:szCs w:val="24"/>
        </w:rPr>
        <w:t xml:space="preserve">niñas y </w:t>
      </w:r>
      <w:r w:rsidR="007327E2" w:rsidRPr="00A93979">
        <w:rPr>
          <w:rFonts w:cs="Arial"/>
          <w:szCs w:val="24"/>
        </w:rPr>
        <w:t xml:space="preserve">los </w:t>
      </w:r>
      <w:r w:rsidR="00191949" w:rsidRPr="00A93979">
        <w:rPr>
          <w:rFonts w:cs="Arial"/>
          <w:szCs w:val="24"/>
        </w:rPr>
        <w:t xml:space="preserve">niños </w:t>
      </w:r>
      <w:r w:rsidR="00A53C9D" w:rsidRPr="00A93979">
        <w:rPr>
          <w:rFonts w:cs="Arial"/>
          <w:szCs w:val="24"/>
        </w:rPr>
        <w:t xml:space="preserve">que </w:t>
      </w:r>
      <w:r w:rsidRPr="00A93979">
        <w:rPr>
          <w:rFonts w:cs="Arial"/>
          <w:szCs w:val="24"/>
        </w:rPr>
        <w:t>asist</w:t>
      </w:r>
      <w:r w:rsidR="00A53C9D" w:rsidRPr="00A93979">
        <w:rPr>
          <w:rFonts w:cs="Arial"/>
          <w:szCs w:val="24"/>
        </w:rPr>
        <w:t>ieron</w:t>
      </w:r>
      <w:r w:rsidRPr="00A93979">
        <w:rPr>
          <w:rFonts w:cs="Arial"/>
          <w:szCs w:val="24"/>
        </w:rPr>
        <w:t xml:space="preserve"> a la escuela fue de 4.9 %</w:t>
      </w:r>
      <w:r w:rsidR="00191949" w:rsidRPr="00A93979">
        <w:rPr>
          <w:rFonts w:cs="Arial"/>
          <w:szCs w:val="24"/>
        </w:rPr>
        <w:t>;</w:t>
      </w:r>
      <w:r w:rsidRPr="00A93979">
        <w:rPr>
          <w:rFonts w:cs="Arial"/>
          <w:szCs w:val="24"/>
        </w:rPr>
        <w:t xml:space="preserve"> en</w:t>
      </w:r>
      <w:r w:rsidR="007327E2" w:rsidRPr="00A93979">
        <w:rPr>
          <w:rFonts w:cs="Arial"/>
          <w:szCs w:val="24"/>
        </w:rPr>
        <w:t xml:space="preserve"> las niñas fue de 3.1 % y en </w:t>
      </w:r>
      <w:r w:rsidRPr="00A93979">
        <w:rPr>
          <w:rFonts w:cs="Arial"/>
          <w:szCs w:val="24"/>
        </w:rPr>
        <w:t>los niños</w:t>
      </w:r>
      <w:r w:rsidR="007327E2" w:rsidRPr="00A93979">
        <w:rPr>
          <w:rFonts w:cs="Arial"/>
          <w:szCs w:val="24"/>
        </w:rPr>
        <w:t>,</w:t>
      </w:r>
      <w:r w:rsidRPr="00A93979">
        <w:rPr>
          <w:rFonts w:cs="Arial"/>
          <w:szCs w:val="24"/>
        </w:rPr>
        <w:t xml:space="preserve"> de 6.6 %</w:t>
      </w:r>
      <w:r w:rsidR="00191949" w:rsidRPr="00A93979">
        <w:rPr>
          <w:rFonts w:cs="Arial"/>
          <w:szCs w:val="24"/>
        </w:rPr>
        <w:t xml:space="preserve">, mientras que para los </w:t>
      </w:r>
      <w:r w:rsidR="00B60730" w:rsidRPr="00A93979">
        <w:rPr>
          <w:rFonts w:cs="Arial"/>
          <w:szCs w:val="24"/>
        </w:rPr>
        <w:t xml:space="preserve">que </w:t>
      </w:r>
      <w:r w:rsidRPr="00A93979">
        <w:rPr>
          <w:rFonts w:cs="Arial"/>
          <w:szCs w:val="24"/>
        </w:rPr>
        <w:t>no asist</w:t>
      </w:r>
      <w:r w:rsidR="00B60730" w:rsidRPr="00A93979">
        <w:rPr>
          <w:rFonts w:cs="Arial"/>
          <w:szCs w:val="24"/>
        </w:rPr>
        <w:t>ieron</w:t>
      </w:r>
      <w:r w:rsidRPr="00A93979">
        <w:rPr>
          <w:rFonts w:cs="Arial"/>
          <w:szCs w:val="24"/>
        </w:rPr>
        <w:t xml:space="preserve"> a la escuela fue de 39.6 %</w:t>
      </w:r>
      <w:r w:rsidR="00191949" w:rsidRPr="00A93979">
        <w:rPr>
          <w:rFonts w:cs="Arial"/>
          <w:szCs w:val="24"/>
        </w:rPr>
        <w:t>;</w:t>
      </w:r>
      <w:r w:rsidRPr="00A93979">
        <w:rPr>
          <w:rFonts w:cs="Arial"/>
          <w:szCs w:val="24"/>
        </w:rPr>
        <w:t xml:space="preserve"> en l</w:t>
      </w:r>
      <w:r w:rsidR="007327E2" w:rsidRPr="00A93979">
        <w:rPr>
          <w:rFonts w:cs="Arial"/>
          <w:szCs w:val="24"/>
        </w:rPr>
        <w:t>a</w:t>
      </w:r>
      <w:r w:rsidRPr="00A93979">
        <w:rPr>
          <w:rFonts w:cs="Arial"/>
          <w:szCs w:val="24"/>
        </w:rPr>
        <w:t>s niñ</w:t>
      </w:r>
      <w:r w:rsidR="007327E2" w:rsidRPr="00A93979">
        <w:rPr>
          <w:rFonts w:cs="Arial"/>
          <w:szCs w:val="24"/>
        </w:rPr>
        <w:t>a</w:t>
      </w:r>
      <w:r w:rsidRPr="00A93979">
        <w:rPr>
          <w:rFonts w:cs="Arial"/>
          <w:szCs w:val="24"/>
        </w:rPr>
        <w:t>s</w:t>
      </w:r>
      <w:r w:rsidR="007327E2" w:rsidRPr="00A93979">
        <w:rPr>
          <w:rFonts w:cs="Arial"/>
          <w:szCs w:val="24"/>
        </w:rPr>
        <w:t xml:space="preserve"> fue de 20.5 </w:t>
      </w:r>
      <w:r w:rsidRPr="00A93979">
        <w:rPr>
          <w:rFonts w:cs="Arial"/>
          <w:szCs w:val="24"/>
        </w:rPr>
        <w:t>% y en l</w:t>
      </w:r>
      <w:r w:rsidR="007327E2" w:rsidRPr="00A93979">
        <w:rPr>
          <w:rFonts w:cs="Arial"/>
          <w:szCs w:val="24"/>
        </w:rPr>
        <w:t>o</w:t>
      </w:r>
      <w:r w:rsidRPr="00A93979">
        <w:rPr>
          <w:rFonts w:cs="Arial"/>
          <w:szCs w:val="24"/>
        </w:rPr>
        <w:t>s niñ</w:t>
      </w:r>
      <w:r w:rsidR="007327E2" w:rsidRPr="00A93979">
        <w:rPr>
          <w:rFonts w:cs="Arial"/>
          <w:szCs w:val="24"/>
        </w:rPr>
        <w:t>o</w:t>
      </w:r>
      <w:r w:rsidRPr="00A93979">
        <w:rPr>
          <w:rFonts w:cs="Arial"/>
          <w:szCs w:val="24"/>
        </w:rPr>
        <w:t>s</w:t>
      </w:r>
      <w:r w:rsidR="007327E2" w:rsidRPr="00A93979">
        <w:rPr>
          <w:rFonts w:cs="Arial"/>
          <w:szCs w:val="24"/>
        </w:rPr>
        <w:t>,</w:t>
      </w:r>
      <w:r w:rsidRPr="00A93979">
        <w:rPr>
          <w:rFonts w:cs="Arial"/>
          <w:szCs w:val="24"/>
        </w:rPr>
        <w:t xml:space="preserve"> de </w:t>
      </w:r>
      <w:r w:rsidR="007327E2" w:rsidRPr="00A93979">
        <w:rPr>
          <w:rFonts w:cs="Arial"/>
          <w:szCs w:val="24"/>
        </w:rPr>
        <w:t>55.1</w:t>
      </w:r>
      <w:r w:rsidR="002024CD" w:rsidRPr="00A93979">
        <w:rPr>
          <w:rFonts w:cs="Arial"/>
          <w:szCs w:val="24"/>
        </w:rPr>
        <w:t xml:space="preserve"> </w:t>
      </w:r>
      <w:r w:rsidR="007841FA">
        <w:rPr>
          <w:rFonts w:cs="Arial"/>
          <w:szCs w:val="24"/>
        </w:rPr>
        <w:t>%</w:t>
      </w:r>
      <w:r w:rsidR="001E3935" w:rsidRPr="00A93979">
        <w:rPr>
          <w:rFonts w:cs="Arial"/>
          <w:szCs w:val="24"/>
        </w:rPr>
        <w:t xml:space="preserve"> (ver cuadro 6)</w:t>
      </w:r>
      <w:r w:rsidRPr="00A93979">
        <w:rPr>
          <w:rFonts w:cs="Arial"/>
          <w:szCs w:val="24"/>
        </w:rPr>
        <w:t>.</w:t>
      </w:r>
    </w:p>
    <w:p w14:paraId="54478DD4" w14:textId="77777777" w:rsidR="00791592" w:rsidRDefault="00791592" w:rsidP="007327E2">
      <w:pPr>
        <w:widowControl/>
        <w:autoSpaceDE w:val="0"/>
        <w:autoSpaceDN w:val="0"/>
        <w:adjustRightInd w:val="0"/>
        <w:rPr>
          <w:rFonts w:cs="Arial"/>
          <w:szCs w:val="24"/>
        </w:rPr>
      </w:pPr>
    </w:p>
    <w:p w14:paraId="26584E43" w14:textId="77777777" w:rsidR="00B84AFA" w:rsidRPr="007841FA" w:rsidRDefault="00B84AFA" w:rsidP="007841FA">
      <w:pPr>
        <w:widowControl/>
        <w:autoSpaceDE w:val="0"/>
        <w:autoSpaceDN w:val="0"/>
        <w:adjustRightInd w:val="0"/>
        <w:jc w:val="center"/>
        <w:rPr>
          <w:rFonts w:cs="Arial"/>
          <w:sz w:val="20"/>
        </w:rPr>
      </w:pPr>
      <w:r w:rsidRPr="007841FA">
        <w:rPr>
          <w:rFonts w:cs="Arial"/>
          <w:sz w:val="20"/>
        </w:rPr>
        <w:t>Cuadro 6</w:t>
      </w:r>
    </w:p>
    <w:p w14:paraId="24BF1458" w14:textId="69E450FB" w:rsidR="00B84AFA" w:rsidRPr="007841FA" w:rsidRDefault="00B84AFA" w:rsidP="007841FA">
      <w:pPr>
        <w:widowControl/>
        <w:autoSpaceDE w:val="0"/>
        <w:autoSpaceDN w:val="0"/>
        <w:adjustRightInd w:val="0"/>
        <w:ind w:right="51"/>
        <w:jc w:val="center"/>
        <w:rPr>
          <w:rFonts w:cs="Arial"/>
          <w:b/>
          <w:smallCaps/>
          <w:sz w:val="22"/>
          <w:szCs w:val="22"/>
        </w:rPr>
      </w:pPr>
      <w:r w:rsidRPr="007841FA">
        <w:rPr>
          <w:rFonts w:cs="Arial"/>
          <w:b/>
          <w:smallCaps/>
          <w:sz w:val="22"/>
          <w:szCs w:val="22"/>
        </w:rPr>
        <w:t>Tasas de ocupación no permitida por variables seleccionadas</w:t>
      </w:r>
      <w:r w:rsidR="0094617A" w:rsidRPr="007841FA">
        <w:rPr>
          <w:rFonts w:cs="Arial"/>
          <w:b/>
          <w:smallCaps/>
          <w:sz w:val="22"/>
          <w:szCs w:val="22"/>
        </w:rPr>
        <w:t>,</w:t>
      </w:r>
      <w:r w:rsidRPr="007841FA">
        <w:rPr>
          <w:rFonts w:cs="Arial"/>
          <w:b/>
          <w:smallCaps/>
          <w:sz w:val="22"/>
          <w:szCs w:val="22"/>
        </w:rPr>
        <w:t xml:space="preserve"> según sexo</w:t>
      </w:r>
    </w:p>
    <w:p w14:paraId="517C29B1" w14:textId="74F48CD4" w:rsidR="00B84AFA" w:rsidRPr="00FC665E" w:rsidRDefault="00B84AFA" w:rsidP="007841FA">
      <w:pPr>
        <w:widowControl/>
        <w:autoSpaceDE w:val="0"/>
        <w:autoSpaceDN w:val="0"/>
        <w:adjustRightInd w:val="0"/>
        <w:ind w:right="51"/>
        <w:jc w:val="center"/>
        <w:rPr>
          <w:rFonts w:cs="Arial"/>
          <w:bCs/>
          <w:sz w:val="18"/>
          <w:szCs w:val="18"/>
        </w:rPr>
      </w:pPr>
      <w:r w:rsidRPr="00FC665E">
        <w:rPr>
          <w:rFonts w:cs="Arial"/>
          <w:bCs/>
          <w:sz w:val="18"/>
          <w:szCs w:val="18"/>
        </w:rPr>
        <w:t>(</w:t>
      </w:r>
      <w:r w:rsidR="00FD3AF6">
        <w:rPr>
          <w:rFonts w:cs="Arial"/>
          <w:bCs/>
          <w:sz w:val="18"/>
          <w:szCs w:val="18"/>
        </w:rPr>
        <w:t>p</w:t>
      </w:r>
      <w:r w:rsidRPr="00FC665E">
        <w:rPr>
          <w:rFonts w:cs="Arial"/>
          <w:bCs/>
          <w:sz w:val="18"/>
          <w:szCs w:val="18"/>
        </w:rPr>
        <w:t>orcentaje respecto a la población de</w:t>
      </w:r>
      <w:r>
        <w:rPr>
          <w:rFonts w:cs="Arial"/>
          <w:bCs/>
          <w:sz w:val="18"/>
          <w:szCs w:val="18"/>
        </w:rPr>
        <w:t xml:space="preserve"> cada categoría</w:t>
      </w:r>
      <w:r w:rsidRPr="00FC665E">
        <w:rPr>
          <w:rFonts w:cs="Arial"/>
          <w:bCs/>
          <w:sz w:val="18"/>
          <w:szCs w:val="18"/>
        </w:rPr>
        <w:t>)</w:t>
      </w:r>
    </w:p>
    <w:tbl>
      <w:tblPr>
        <w:tblW w:w="10000" w:type="dxa"/>
        <w:tblCellMar>
          <w:left w:w="70" w:type="dxa"/>
          <w:right w:w="70" w:type="dxa"/>
        </w:tblCellMar>
        <w:tblLook w:val="04A0" w:firstRow="1" w:lastRow="0" w:firstColumn="1" w:lastColumn="0" w:noHBand="0" w:noVBand="1"/>
      </w:tblPr>
      <w:tblGrid>
        <w:gridCol w:w="220"/>
        <w:gridCol w:w="4560"/>
        <w:gridCol w:w="1740"/>
        <w:gridCol w:w="1740"/>
        <w:gridCol w:w="1740"/>
      </w:tblGrid>
      <w:tr w:rsidR="00B84AFA" w:rsidRPr="007C2D83" w14:paraId="37BC08BD" w14:textId="77777777" w:rsidTr="00562DA7">
        <w:trPr>
          <w:trHeight w:val="510"/>
        </w:trPr>
        <w:tc>
          <w:tcPr>
            <w:tcW w:w="4780" w:type="dxa"/>
            <w:gridSpan w:val="2"/>
            <w:tcBorders>
              <w:top w:val="nil"/>
              <w:left w:val="nil"/>
              <w:bottom w:val="nil"/>
              <w:right w:val="nil"/>
            </w:tcBorders>
            <w:shd w:val="clear" w:color="auto" w:fill="338B99"/>
            <w:vAlign w:val="center"/>
            <w:hideMark/>
          </w:tcPr>
          <w:p w14:paraId="23584E35" w14:textId="77777777" w:rsidR="00B84AFA" w:rsidRPr="007C2D83" w:rsidRDefault="00B84AFA" w:rsidP="00562DA7">
            <w:pPr>
              <w:widowControl/>
              <w:jc w:val="left"/>
              <w:rPr>
                <w:rFonts w:cs="Arial"/>
                <w:b/>
                <w:bCs/>
                <w:color w:val="FFFFFF"/>
                <w:sz w:val="20"/>
                <w:lang w:eastAsia="es-MX"/>
              </w:rPr>
            </w:pPr>
            <w:r w:rsidRPr="007C2D83">
              <w:rPr>
                <w:rFonts w:cs="Arial"/>
                <w:b/>
                <w:bCs/>
                <w:color w:val="FFFFFF"/>
                <w:sz w:val="20"/>
                <w:lang w:eastAsia="es-MX"/>
              </w:rPr>
              <w:t>Grupos de edad, asistencia escolar</w:t>
            </w:r>
            <w:r w:rsidRPr="007C2D83">
              <w:rPr>
                <w:rFonts w:cs="Arial"/>
                <w:b/>
                <w:bCs/>
                <w:color w:val="FFFFFF"/>
                <w:sz w:val="20"/>
                <w:lang w:eastAsia="es-MX"/>
              </w:rPr>
              <w:br/>
              <w:t>y tipo de localidad</w:t>
            </w:r>
          </w:p>
        </w:tc>
        <w:tc>
          <w:tcPr>
            <w:tcW w:w="1740" w:type="dxa"/>
            <w:tcBorders>
              <w:top w:val="nil"/>
              <w:left w:val="nil"/>
              <w:bottom w:val="nil"/>
              <w:right w:val="nil"/>
            </w:tcBorders>
            <w:shd w:val="clear" w:color="auto" w:fill="338B99"/>
            <w:vAlign w:val="center"/>
            <w:hideMark/>
          </w:tcPr>
          <w:p w14:paraId="0DBD181B" w14:textId="77777777" w:rsidR="00B84AFA" w:rsidRPr="007C2D83" w:rsidRDefault="00B84AFA" w:rsidP="00562DA7">
            <w:pPr>
              <w:widowControl/>
              <w:jc w:val="center"/>
              <w:rPr>
                <w:rFonts w:cs="Arial"/>
                <w:b/>
                <w:bCs/>
                <w:color w:val="FFFFFF"/>
                <w:sz w:val="20"/>
                <w:lang w:eastAsia="es-MX"/>
              </w:rPr>
            </w:pPr>
            <w:r w:rsidRPr="007C2D83">
              <w:rPr>
                <w:rFonts w:cs="Arial"/>
                <w:b/>
                <w:bCs/>
                <w:color w:val="FFFFFF"/>
                <w:sz w:val="20"/>
                <w:lang w:eastAsia="es-MX"/>
              </w:rPr>
              <w:t>Total</w:t>
            </w:r>
          </w:p>
        </w:tc>
        <w:tc>
          <w:tcPr>
            <w:tcW w:w="1740" w:type="dxa"/>
            <w:tcBorders>
              <w:top w:val="nil"/>
              <w:left w:val="nil"/>
              <w:bottom w:val="nil"/>
              <w:right w:val="nil"/>
            </w:tcBorders>
            <w:shd w:val="clear" w:color="auto" w:fill="338B99"/>
            <w:vAlign w:val="center"/>
            <w:hideMark/>
          </w:tcPr>
          <w:p w14:paraId="2A5276E9" w14:textId="77777777" w:rsidR="00B84AFA" w:rsidRPr="007C2D83" w:rsidRDefault="00B84AFA" w:rsidP="00562DA7">
            <w:pPr>
              <w:widowControl/>
              <w:jc w:val="center"/>
              <w:rPr>
                <w:rFonts w:cs="Arial"/>
                <w:b/>
                <w:bCs/>
                <w:color w:val="FFFFFF"/>
                <w:sz w:val="20"/>
                <w:lang w:eastAsia="es-MX"/>
              </w:rPr>
            </w:pPr>
            <w:r w:rsidRPr="007C2D83">
              <w:rPr>
                <w:rFonts w:cs="Arial"/>
                <w:b/>
                <w:bCs/>
                <w:color w:val="FFFFFF"/>
                <w:sz w:val="20"/>
                <w:lang w:eastAsia="es-MX"/>
              </w:rPr>
              <w:t>Niños</w:t>
            </w:r>
          </w:p>
        </w:tc>
        <w:tc>
          <w:tcPr>
            <w:tcW w:w="1740" w:type="dxa"/>
            <w:tcBorders>
              <w:top w:val="nil"/>
              <w:left w:val="nil"/>
              <w:bottom w:val="nil"/>
              <w:right w:val="nil"/>
            </w:tcBorders>
            <w:shd w:val="clear" w:color="auto" w:fill="338B99"/>
            <w:vAlign w:val="center"/>
            <w:hideMark/>
          </w:tcPr>
          <w:p w14:paraId="38A89DD7" w14:textId="77777777" w:rsidR="00B84AFA" w:rsidRPr="007C2D83" w:rsidRDefault="00B84AFA" w:rsidP="00562DA7">
            <w:pPr>
              <w:widowControl/>
              <w:jc w:val="center"/>
              <w:rPr>
                <w:rFonts w:cs="Arial"/>
                <w:b/>
                <w:bCs/>
                <w:color w:val="FFFFFF"/>
                <w:sz w:val="20"/>
                <w:lang w:eastAsia="es-MX"/>
              </w:rPr>
            </w:pPr>
            <w:r w:rsidRPr="007C2D83">
              <w:rPr>
                <w:rFonts w:cs="Arial"/>
                <w:b/>
                <w:bCs/>
                <w:color w:val="FFFFFF"/>
                <w:sz w:val="20"/>
                <w:lang w:eastAsia="es-MX"/>
              </w:rPr>
              <w:t>Niñas</w:t>
            </w:r>
          </w:p>
        </w:tc>
      </w:tr>
      <w:tr w:rsidR="00B84AFA" w:rsidRPr="007C2D83" w14:paraId="23B51CC8" w14:textId="77777777" w:rsidTr="00562DA7">
        <w:trPr>
          <w:trHeight w:val="300"/>
        </w:trPr>
        <w:tc>
          <w:tcPr>
            <w:tcW w:w="4780" w:type="dxa"/>
            <w:gridSpan w:val="2"/>
            <w:tcBorders>
              <w:top w:val="nil"/>
              <w:left w:val="nil"/>
              <w:bottom w:val="nil"/>
              <w:right w:val="nil"/>
            </w:tcBorders>
            <w:shd w:val="clear" w:color="auto" w:fill="66A8B3"/>
            <w:vAlign w:val="center"/>
            <w:hideMark/>
          </w:tcPr>
          <w:p w14:paraId="43A80703" w14:textId="77777777" w:rsidR="00B84AFA" w:rsidRPr="007C2D83" w:rsidRDefault="00B84AFA" w:rsidP="00562DA7">
            <w:pPr>
              <w:widowControl/>
              <w:jc w:val="left"/>
              <w:rPr>
                <w:rFonts w:cs="Arial"/>
                <w:b/>
                <w:bCs/>
                <w:color w:val="000000"/>
                <w:sz w:val="20"/>
                <w:lang w:eastAsia="es-MX"/>
              </w:rPr>
            </w:pPr>
            <w:r w:rsidRPr="007C2D83">
              <w:rPr>
                <w:rFonts w:cs="Arial"/>
                <w:b/>
                <w:bCs/>
                <w:color w:val="000000"/>
                <w:sz w:val="20"/>
                <w:lang w:eastAsia="es-MX"/>
              </w:rPr>
              <w:t>Ocupación no permitida</w:t>
            </w:r>
          </w:p>
        </w:tc>
        <w:tc>
          <w:tcPr>
            <w:tcW w:w="1740" w:type="dxa"/>
            <w:tcBorders>
              <w:top w:val="nil"/>
              <w:left w:val="nil"/>
              <w:bottom w:val="nil"/>
              <w:right w:val="nil"/>
            </w:tcBorders>
            <w:shd w:val="clear" w:color="auto" w:fill="66A8B3"/>
            <w:vAlign w:val="center"/>
            <w:hideMark/>
          </w:tcPr>
          <w:p w14:paraId="2021DB74" w14:textId="77777777" w:rsidR="00B84AFA" w:rsidRPr="007C2D83" w:rsidRDefault="00B84AFA" w:rsidP="00562DA7">
            <w:pPr>
              <w:widowControl/>
              <w:jc w:val="center"/>
              <w:rPr>
                <w:rFonts w:cs="Arial"/>
                <w:b/>
                <w:bCs/>
                <w:color w:val="000000"/>
                <w:sz w:val="20"/>
                <w:lang w:eastAsia="es-MX"/>
              </w:rPr>
            </w:pPr>
            <w:r w:rsidRPr="007C2D83">
              <w:rPr>
                <w:rFonts w:cs="Arial"/>
                <w:b/>
                <w:bCs/>
                <w:color w:val="000000"/>
                <w:sz w:val="20"/>
                <w:lang w:eastAsia="es-MX"/>
              </w:rPr>
              <w:t>7.5</w:t>
            </w:r>
          </w:p>
        </w:tc>
        <w:tc>
          <w:tcPr>
            <w:tcW w:w="1740" w:type="dxa"/>
            <w:tcBorders>
              <w:top w:val="nil"/>
              <w:left w:val="nil"/>
              <w:bottom w:val="nil"/>
              <w:right w:val="nil"/>
            </w:tcBorders>
            <w:shd w:val="clear" w:color="auto" w:fill="66A8B3"/>
            <w:vAlign w:val="center"/>
            <w:hideMark/>
          </w:tcPr>
          <w:p w14:paraId="4DECB10E" w14:textId="77777777" w:rsidR="00B84AFA" w:rsidRPr="007C2D83" w:rsidRDefault="00B84AFA" w:rsidP="00562DA7">
            <w:pPr>
              <w:widowControl/>
              <w:jc w:val="center"/>
              <w:rPr>
                <w:rFonts w:cs="Arial"/>
                <w:b/>
                <w:bCs/>
                <w:color w:val="000000"/>
                <w:sz w:val="20"/>
                <w:lang w:eastAsia="es-MX"/>
              </w:rPr>
            </w:pPr>
            <w:r w:rsidRPr="007C2D83">
              <w:rPr>
                <w:rFonts w:cs="Arial"/>
                <w:b/>
                <w:bCs/>
                <w:color w:val="000000"/>
                <w:sz w:val="20"/>
                <w:lang w:eastAsia="es-MX"/>
              </w:rPr>
              <w:t>10.6</w:t>
            </w:r>
          </w:p>
        </w:tc>
        <w:tc>
          <w:tcPr>
            <w:tcW w:w="1740" w:type="dxa"/>
            <w:tcBorders>
              <w:top w:val="nil"/>
              <w:left w:val="nil"/>
              <w:bottom w:val="nil"/>
              <w:right w:val="nil"/>
            </w:tcBorders>
            <w:shd w:val="clear" w:color="auto" w:fill="66A8B3"/>
            <w:vAlign w:val="center"/>
            <w:hideMark/>
          </w:tcPr>
          <w:p w14:paraId="0C513D9B" w14:textId="77777777" w:rsidR="00B84AFA" w:rsidRPr="007C2D83" w:rsidRDefault="00B84AFA" w:rsidP="00562DA7">
            <w:pPr>
              <w:widowControl/>
              <w:jc w:val="center"/>
              <w:rPr>
                <w:rFonts w:cs="Arial"/>
                <w:b/>
                <w:bCs/>
                <w:color w:val="000000"/>
                <w:sz w:val="20"/>
                <w:lang w:eastAsia="es-MX"/>
              </w:rPr>
            </w:pPr>
            <w:r w:rsidRPr="007C2D83">
              <w:rPr>
                <w:rFonts w:cs="Arial"/>
                <w:b/>
                <w:bCs/>
                <w:color w:val="000000"/>
                <w:sz w:val="20"/>
                <w:lang w:eastAsia="es-MX"/>
              </w:rPr>
              <w:t>4.3</w:t>
            </w:r>
          </w:p>
        </w:tc>
      </w:tr>
      <w:tr w:rsidR="00B84AFA" w:rsidRPr="007C2D83" w14:paraId="7C99DB5C" w14:textId="77777777" w:rsidTr="00562DA7">
        <w:trPr>
          <w:trHeight w:val="300"/>
        </w:trPr>
        <w:tc>
          <w:tcPr>
            <w:tcW w:w="4780" w:type="dxa"/>
            <w:gridSpan w:val="2"/>
            <w:tcBorders>
              <w:top w:val="nil"/>
              <w:left w:val="nil"/>
              <w:bottom w:val="nil"/>
              <w:right w:val="nil"/>
            </w:tcBorders>
            <w:shd w:val="clear" w:color="auto" w:fill="99C5CC"/>
            <w:vAlign w:val="center"/>
            <w:hideMark/>
          </w:tcPr>
          <w:p w14:paraId="761DE458" w14:textId="77777777" w:rsidR="00B84AFA" w:rsidRPr="007C2D83" w:rsidRDefault="00B84AFA" w:rsidP="00562DA7">
            <w:pPr>
              <w:widowControl/>
              <w:jc w:val="left"/>
              <w:rPr>
                <w:rFonts w:cs="Arial"/>
                <w:b/>
                <w:bCs/>
                <w:color w:val="000000"/>
                <w:sz w:val="20"/>
                <w:lang w:eastAsia="es-MX"/>
              </w:rPr>
            </w:pPr>
            <w:r w:rsidRPr="007C2D83">
              <w:rPr>
                <w:rFonts w:cs="Arial"/>
                <w:b/>
                <w:bCs/>
                <w:color w:val="000000"/>
                <w:sz w:val="20"/>
                <w:lang w:eastAsia="es-MX"/>
              </w:rPr>
              <w:t>Grupos de edad</w:t>
            </w:r>
          </w:p>
        </w:tc>
        <w:tc>
          <w:tcPr>
            <w:tcW w:w="1740" w:type="dxa"/>
            <w:tcBorders>
              <w:top w:val="nil"/>
              <w:left w:val="nil"/>
              <w:bottom w:val="nil"/>
              <w:right w:val="nil"/>
            </w:tcBorders>
            <w:shd w:val="clear" w:color="auto" w:fill="99C5CC"/>
            <w:vAlign w:val="center"/>
            <w:hideMark/>
          </w:tcPr>
          <w:p w14:paraId="73CDECF1" w14:textId="77777777" w:rsidR="00B84AFA" w:rsidRPr="007C2D83" w:rsidRDefault="00B84AFA" w:rsidP="00562DA7">
            <w:pPr>
              <w:widowControl/>
              <w:jc w:val="center"/>
              <w:rPr>
                <w:rFonts w:cs="Arial"/>
                <w:b/>
                <w:bCs/>
                <w:color w:val="000000"/>
                <w:sz w:val="20"/>
                <w:lang w:eastAsia="es-MX"/>
              </w:rPr>
            </w:pPr>
            <w:r w:rsidRPr="007C2D83">
              <w:rPr>
                <w:rFonts w:cs="Arial"/>
                <w:b/>
                <w:bCs/>
                <w:color w:val="000000"/>
                <w:sz w:val="20"/>
                <w:lang w:eastAsia="es-MX"/>
              </w:rPr>
              <w:t> </w:t>
            </w:r>
          </w:p>
        </w:tc>
        <w:tc>
          <w:tcPr>
            <w:tcW w:w="1740" w:type="dxa"/>
            <w:tcBorders>
              <w:top w:val="nil"/>
              <w:left w:val="nil"/>
              <w:bottom w:val="nil"/>
              <w:right w:val="nil"/>
            </w:tcBorders>
            <w:shd w:val="clear" w:color="auto" w:fill="99C5CC"/>
            <w:vAlign w:val="center"/>
            <w:hideMark/>
          </w:tcPr>
          <w:p w14:paraId="3E07C5D3" w14:textId="77777777" w:rsidR="00B84AFA" w:rsidRPr="007C2D83" w:rsidRDefault="00B84AFA" w:rsidP="00562DA7">
            <w:pPr>
              <w:widowControl/>
              <w:jc w:val="center"/>
              <w:rPr>
                <w:rFonts w:cs="Arial"/>
                <w:b/>
                <w:bCs/>
                <w:color w:val="000000"/>
                <w:sz w:val="20"/>
                <w:lang w:eastAsia="es-MX"/>
              </w:rPr>
            </w:pPr>
            <w:r w:rsidRPr="007C2D83">
              <w:rPr>
                <w:rFonts w:cs="Arial"/>
                <w:b/>
                <w:bCs/>
                <w:color w:val="000000"/>
                <w:sz w:val="20"/>
                <w:lang w:eastAsia="es-MX"/>
              </w:rPr>
              <w:t> </w:t>
            </w:r>
          </w:p>
        </w:tc>
        <w:tc>
          <w:tcPr>
            <w:tcW w:w="1740" w:type="dxa"/>
            <w:tcBorders>
              <w:top w:val="nil"/>
              <w:left w:val="nil"/>
              <w:bottom w:val="nil"/>
              <w:right w:val="nil"/>
            </w:tcBorders>
            <w:shd w:val="clear" w:color="auto" w:fill="99C5CC"/>
            <w:vAlign w:val="center"/>
            <w:hideMark/>
          </w:tcPr>
          <w:p w14:paraId="4B3CF543" w14:textId="77777777" w:rsidR="00B84AFA" w:rsidRPr="007C2D83" w:rsidRDefault="00B84AFA" w:rsidP="00562DA7">
            <w:pPr>
              <w:widowControl/>
              <w:jc w:val="center"/>
              <w:rPr>
                <w:rFonts w:cs="Arial"/>
                <w:b/>
                <w:bCs/>
                <w:color w:val="000000"/>
                <w:sz w:val="20"/>
                <w:lang w:eastAsia="es-MX"/>
              </w:rPr>
            </w:pPr>
            <w:r w:rsidRPr="007C2D83">
              <w:rPr>
                <w:rFonts w:cs="Arial"/>
                <w:b/>
                <w:bCs/>
                <w:color w:val="000000"/>
                <w:sz w:val="20"/>
                <w:lang w:eastAsia="es-MX"/>
              </w:rPr>
              <w:t> </w:t>
            </w:r>
          </w:p>
        </w:tc>
      </w:tr>
      <w:tr w:rsidR="00B84AFA" w:rsidRPr="007C2D83" w14:paraId="24F84CE0" w14:textId="77777777" w:rsidTr="00562DA7">
        <w:trPr>
          <w:trHeight w:val="300"/>
        </w:trPr>
        <w:tc>
          <w:tcPr>
            <w:tcW w:w="220" w:type="dxa"/>
            <w:tcBorders>
              <w:top w:val="nil"/>
              <w:left w:val="nil"/>
              <w:bottom w:val="nil"/>
              <w:right w:val="nil"/>
            </w:tcBorders>
            <w:shd w:val="clear" w:color="auto" w:fill="CCE2E6"/>
            <w:noWrap/>
            <w:vAlign w:val="bottom"/>
            <w:hideMark/>
          </w:tcPr>
          <w:p w14:paraId="35815853" w14:textId="77777777" w:rsidR="00B84AFA" w:rsidRPr="007C2D83" w:rsidRDefault="00B84AFA" w:rsidP="00562DA7">
            <w:pPr>
              <w:widowControl/>
              <w:jc w:val="left"/>
              <w:rPr>
                <w:rFonts w:ascii="Times New Roman" w:hAnsi="Times New Roman"/>
                <w:color w:val="000000"/>
                <w:sz w:val="20"/>
                <w:lang w:eastAsia="es-MX"/>
              </w:rPr>
            </w:pPr>
            <w:r w:rsidRPr="007C2D83">
              <w:rPr>
                <w:rFonts w:ascii="Times New Roman" w:hAnsi="Times New Roman"/>
                <w:color w:val="000000"/>
                <w:sz w:val="20"/>
                <w:lang w:eastAsia="es-MX"/>
              </w:rPr>
              <w:t> </w:t>
            </w:r>
          </w:p>
        </w:tc>
        <w:tc>
          <w:tcPr>
            <w:tcW w:w="4560" w:type="dxa"/>
            <w:tcBorders>
              <w:top w:val="nil"/>
              <w:left w:val="nil"/>
              <w:bottom w:val="nil"/>
              <w:right w:val="nil"/>
            </w:tcBorders>
            <w:shd w:val="clear" w:color="auto" w:fill="CCE2E6"/>
            <w:vAlign w:val="center"/>
            <w:hideMark/>
          </w:tcPr>
          <w:p w14:paraId="3E264464" w14:textId="77777777" w:rsidR="00B84AFA" w:rsidRPr="007C2D83" w:rsidRDefault="00B84AFA" w:rsidP="00562DA7">
            <w:pPr>
              <w:widowControl/>
              <w:jc w:val="left"/>
              <w:rPr>
                <w:rFonts w:cs="Arial"/>
                <w:color w:val="000000"/>
                <w:sz w:val="20"/>
                <w:lang w:eastAsia="es-MX"/>
              </w:rPr>
            </w:pPr>
            <w:r w:rsidRPr="007C2D83">
              <w:rPr>
                <w:rFonts w:cs="Arial"/>
                <w:color w:val="000000"/>
                <w:sz w:val="20"/>
                <w:lang w:eastAsia="es-MX"/>
              </w:rPr>
              <w:t>5 a 14 años</w:t>
            </w:r>
          </w:p>
        </w:tc>
        <w:tc>
          <w:tcPr>
            <w:tcW w:w="1740" w:type="dxa"/>
            <w:tcBorders>
              <w:top w:val="nil"/>
              <w:left w:val="nil"/>
              <w:bottom w:val="nil"/>
              <w:right w:val="nil"/>
            </w:tcBorders>
            <w:shd w:val="clear" w:color="auto" w:fill="CCE2E6"/>
            <w:vAlign w:val="center"/>
            <w:hideMark/>
          </w:tcPr>
          <w:p w14:paraId="5D1A7ACE" w14:textId="77777777" w:rsidR="00B84AFA" w:rsidRPr="007C2D83" w:rsidRDefault="00B84AFA" w:rsidP="00562DA7">
            <w:pPr>
              <w:widowControl/>
              <w:jc w:val="center"/>
              <w:rPr>
                <w:rFonts w:cs="Arial"/>
                <w:color w:val="000000"/>
                <w:sz w:val="20"/>
                <w:lang w:eastAsia="es-MX"/>
              </w:rPr>
            </w:pPr>
            <w:r w:rsidRPr="007C2D83">
              <w:rPr>
                <w:rFonts w:cs="Arial"/>
                <w:color w:val="000000"/>
                <w:sz w:val="20"/>
                <w:lang w:eastAsia="es-MX"/>
              </w:rPr>
              <w:t>4.3</w:t>
            </w:r>
          </w:p>
        </w:tc>
        <w:tc>
          <w:tcPr>
            <w:tcW w:w="1740" w:type="dxa"/>
            <w:tcBorders>
              <w:top w:val="nil"/>
              <w:left w:val="nil"/>
              <w:bottom w:val="nil"/>
              <w:right w:val="nil"/>
            </w:tcBorders>
            <w:shd w:val="clear" w:color="auto" w:fill="CCE2E6"/>
            <w:vAlign w:val="center"/>
            <w:hideMark/>
          </w:tcPr>
          <w:p w14:paraId="5BE61FCE" w14:textId="77777777" w:rsidR="00B84AFA" w:rsidRPr="007C2D83" w:rsidRDefault="00B84AFA" w:rsidP="00562DA7">
            <w:pPr>
              <w:widowControl/>
              <w:jc w:val="center"/>
              <w:rPr>
                <w:rFonts w:cs="Arial"/>
                <w:color w:val="000000"/>
                <w:sz w:val="20"/>
                <w:lang w:eastAsia="es-MX"/>
              </w:rPr>
            </w:pPr>
            <w:r w:rsidRPr="007C2D83">
              <w:rPr>
                <w:rFonts w:cs="Arial"/>
                <w:color w:val="000000"/>
                <w:sz w:val="20"/>
                <w:lang w:eastAsia="es-MX"/>
              </w:rPr>
              <w:t>5.9</w:t>
            </w:r>
          </w:p>
        </w:tc>
        <w:tc>
          <w:tcPr>
            <w:tcW w:w="1740" w:type="dxa"/>
            <w:tcBorders>
              <w:top w:val="nil"/>
              <w:left w:val="nil"/>
              <w:bottom w:val="nil"/>
              <w:right w:val="nil"/>
            </w:tcBorders>
            <w:shd w:val="clear" w:color="auto" w:fill="CCE2E6"/>
            <w:vAlign w:val="center"/>
            <w:hideMark/>
          </w:tcPr>
          <w:p w14:paraId="265EFC0D" w14:textId="77777777" w:rsidR="00B84AFA" w:rsidRPr="007C2D83" w:rsidRDefault="00B84AFA" w:rsidP="00562DA7">
            <w:pPr>
              <w:widowControl/>
              <w:jc w:val="center"/>
              <w:rPr>
                <w:rFonts w:cs="Arial"/>
                <w:color w:val="000000"/>
                <w:sz w:val="20"/>
                <w:lang w:eastAsia="es-MX"/>
              </w:rPr>
            </w:pPr>
            <w:r w:rsidRPr="007C2D83">
              <w:rPr>
                <w:rFonts w:cs="Arial"/>
                <w:color w:val="000000"/>
                <w:sz w:val="20"/>
                <w:lang w:eastAsia="es-MX"/>
              </w:rPr>
              <w:t>2.6</w:t>
            </w:r>
          </w:p>
        </w:tc>
      </w:tr>
      <w:tr w:rsidR="00B84AFA" w:rsidRPr="007C2D83" w14:paraId="52339636" w14:textId="77777777" w:rsidTr="00562DA7">
        <w:trPr>
          <w:trHeight w:val="300"/>
        </w:trPr>
        <w:tc>
          <w:tcPr>
            <w:tcW w:w="220" w:type="dxa"/>
            <w:tcBorders>
              <w:top w:val="nil"/>
              <w:left w:val="nil"/>
              <w:bottom w:val="nil"/>
              <w:right w:val="nil"/>
            </w:tcBorders>
            <w:shd w:val="clear" w:color="auto" w:fill="CCE2E6"/>
            <w:noWrap/>
            <w:vAlign w:val="bottom"/>
            <w:hideMark/>
          </w:tcPr>
          <w:p w14:paraId="64A9F228" w14:textId="77777777" w:rsidR="00B84AFA" w:rsidRPr="007C2D83" w:rsidRDefault="00B84AFA" w:rsidP="00562DA7">
            <w:pPr>
              <w:widowControl/>
              <w:jc w:val="left"/>
              <w:rPr>
                <w:rFonts w:ascii="Times New Roman" w:hAnsi="Times New Roman"/>
                <w:color w:val="000000"/>
                <w:sz w:val="20"/>
                <w:lang w:eastAsia="es-MX"/>
              </w:rPr>
            </w:pPr>
            <w:r w:rsidRPr="007C2D83">
              <w:rPr>
                <w:rFonts w:ascii="Times New Roman" w:hAnsi="Times New Roman"/>
                <w:color w:val="000000"/>
                <w:sz w:val="20"/>
                <w:lang w:eastAsia="es-MX"/>
              </w:rPr>
              <w:t> </w:t>
            </w:r>
          </w:p>
        </w:tc>
        <w:tc>
          <w:tcPr>
            <w:tcW w:w="4560" w:type="dxa"/>
            <w:tcBorders>
              <w:top w:val="nil"/>
              <w:left w:val="nil"/>
              <w:bottom w:val="nil"/>
              <w:right w:val="nil"/>
            </w:tcBorders>
            <w:shd w:val="clear" w:color="auto" w:fill="CCE2E6"/>
            <w:vAlign w:val="center"/>
            <w:hideMark/>
          </w:tcPr>
          <w:p w14:paraId="66BBDEFE" w14:textId="77777777" w:rsidR="00B84AFA" w:rsidRPr="007C2D83" w:rsidRDefault="00B84AFA" w:rsidP="00562DA7">
            <w:pPr>
              <w:widowControl/>
              <w:jc w:val="left"/>
              <w:rPr>
                <w:rFonts w:cs="Arial"/>
                <w:color w:val="000000"/>
                <w:sz w:val="20"/>
                <w:lang w:eastAsia="es-MX"/>
              </w:rPr>
            </w:pPr>
            <w:r w:rsidRPr="007C2D83">
              <w:rPr>
                <w:rFonts w:cs="Arial"/>
                <w:color w:val="000000"/>
                <w:sz w:val="20"/>
                <w:lang w:eastAsia="es-MX"/>
              </w:rPr>
              <w:t>15 a 17 años</w:t>
            </w:r>
          </w:p>
        </w:tc>
        <w:tc>
          <w:tcPr>
            <w:tcW w:w="1740" w:type="dxa"/>
            <w:tcBorders>
              <w:top w:val="nil"/>
              <w:left w:val="nil"/>
              <w:bottom w:val="nil"/>
              <w:right w:val="nil"/>
            </w:tcBorders>
            <w:shd w:val="clear" w:color="auto" w:fill="CCE2E6"/>
            <w:vAlign w:val="center"/>
            <w:hideMark/>
          </w:tcPr>
          <w:p w14:paraId="506696C8" w14:textId="77777777" w:rsidR="00B84AFA" w:rsidRPr="007C2D83" w:rsidRDefault="00B84AFA" w:rsidP="00562DA7">
            <w:pPr>
              <w:widowControl/>
              <w:jc w:val="center"/>
              <w:rPr>
                <w:rFonts w:cs="Arial"/>
                <w:color w:val="000000"/>
                <w:sz w:val="20"/>
                <w:lang w:eastAsia="es-MX"/>
              </w:rPr>
            </w:pPr>
            <w:r w:rsidRPr="007C2D83">
              <w:rPr>
                <w:rFonts w:cs="Arial"/>
                <w:color w:val="000000"/>
                <w:sz w:val="20"/>
                <w:lang w:eastAsia="es-MX"/>
              </w:rPr>
              <w:t>17.2</w:t>
            </w:r>
          </w:p>
        </w:tc>
        <w:tc>
          <w:tcPr>
            <w:tcW w:w="1740" w:type="dxa"/>
            <w:tcBorders>
              <w:top w:val="nil"/>
              <w:left w:val="nil"/>
              <w:bottom w:val="nil"/>
              <w:right w:val="nil"/>
            </w:tcBorders>
            <w:shd w:val="clear" w:color="auto" w:fill="CCE2E6"/>
            <w:vAlign w:val="center"/>
            <w:hideMark/>
          </w:tcPr>
          <w:p w14:paraId="0AB34EB3" w14:textId="77777777" w:rsidR="00B84AFA" w:rsidRPr="007C2D83" w:rsidRDefault="00B84AFA" w:rsidP="00562DA7">
            <w:pPr>
              <w:widowControl/>
              <w:jc w:val="center"/>
              <w:rPr>
                <w:rFonts w:cs="Arial"/>
                <w:color w:val="000000"/>
                <w:sz w:val="20"/>
                <w:lang w:eastAsia="es-MX"/>
              </w:rPr>
            </w:pPr>
            <w:r w:rsidRPr="007C2D83">
              <w:rPr>
                <w:rFonts w:cs="Arial"/>
                <w:color w:val="000000"/>
                <w:sz w:val="20"/>
                <w:lang w:eastAsia="es-MX"/>
              </w:rPr>
              <w:t>25.1</w:t>
            </w:r>
          </w:p>
        </w:tc>
        <w:tc>
          <w:tcPr>
            <w:tcW w:w="1740" w:type="dxa"/>
            <w:tcBorders>
              <w:top w:val="nil"/>
              <w:left w:val="nil"/>
              <w:bottom w:val="nil"/>
              <w:right w:val="nil"/>
            </w:tcBorders>
            <w:shd w:val="clear" w:color="auto" w:fill="CCE2E6"/>
            <w:vAlign w:val="center"/>
            <w:hideMark/>
          </w:tcPr>
          <w:p w14:paraId="1BDEECEA" w14:textId="77777777" w:rsidR="00B84AFA" w:rsidRPr="007C2D83" w:rsidRDefault="00B84AFA" w:rsidP="00562DA7">
            <w:pPr>
              <w:widowControl/>
              <w:jc w:val="center"/>
              <w:rPr>
                <w:rFonts w:cs="Arial"/>
                <w:color w:val="000000"/>
                <w:sz w:val="20"/>
                <w:lang w:eastAsia="es-MX"/>
              </w:rPr>
            </w:pPr>
            <w:r w:rsidRPr="007C2D83">
              <w:rPr>
                <w:rFonts w:cs="Arial"/>
                <w:color w:val="000000"/>
                <w:sz w:val="20"/>
                <w:lang w:eastAsia="es-MX"/>
              </w:rPr>
              <w:t>9.3</w:t>
            </w:r>
          </w:p>
        </w:tc>
      </w:tr>
      <w:tr w:rsidR="00B84AFA" w:rsidRPr="007C2D83" w14:paraId="1D84C2AC" w14:textId="77777777" w:rsidTr="00562DA7">
        <w:trPr>
          <w:trHeight w:val="300"/>
        </w:trPr>
        <w:tc>
          <w:tcPr>
            <w:tcW w:w="4780" w:type="dxa"/>
            <w:gridSpan w:val="2"/>
            <w:tcBorders>
              <w:top w:val="nil"/>
              <w:left w:val="nil"/>
              <w:bottom w:val="nil"/>
              <w:right w:val="nil"/>
            </w:tcBorders>
            <w:shd w:val="clear" w:color="auto" w:fill="99C5CC"/>
            <w:vAlign w:val="center"/>
            <w:hideMark/>
          </w:tcPr>
          <w:p w14:paraId="20168137" w14:textId="77777777" w:rsidR="00B84AFA" w:rsidRPr="007C2D83" w:rsidRDefault="00B84AFA" w:rsidP="00562DA7">
            <w:pPr>
              <w:widowControl/>
              <w:jc w:val="left"/>
              <w:rPr>
                <w:rFonts w:cs="Arial"/>
                <w:b/>
                <w:bCs/>
                <w:color w:val="000000"/>
                <w:sz w:val="20"/>
                <w:lang w:eastAsia="es-MX"/>
              </w:rPr>
            </w:pPr>
            <w:r w:rsidRPr="007C2D83">
              <w:rPr>
                <w:rFonts w:cs="Arial"/>
                <w:b/>
                <w:bCs/>
                <w:color w:val="000000"/>
                <w:sz w:val="20"/>
                <w:lang w:eastAsia="es-MX"/>
              </w:rPr>
              <w:t>Asistencia escolar</w:t>
            </w:r>
          </w:p>
        </w:tc>
        <w:tc>
          <w:tcPr>
            <w:tcW w:w="1740" w:type="dxa"/>
            <w:tcBorders>
              <w:top w:val="nil"/>
              <w:left w:val="nil"/>
              <w:bottom w:val="nil"/>
              <w:right w:val="nil"/>
            </w:tcBorders>
            <w:shd w:val="clear" w:color="auto" w:fill="99C5CC"/>
            <w:vAlign w:val="center"/>
            <w:hideMark/>
          </w:tcPr>
          <w:p w14:paraId="1A67EE87" w14:textId="77777777" w:rsidR="00B84AFA" w:rsidRPr="007C2D83" w:rsidRDefault="00B84AFA" w:rsidP="00562DA7">
            <w:pPr>
              <w:widowControl/>
              <w:jc w:val="center"/>
              <w:rPr>
                <w:rFonts w:cs="Arial"/>
                <w:b/>
                <w:bCs/>
                <w:color w:val="000000"/>
                <w:sz w:val="20"/>
                <w:lang w:eastAsia="es-MX"/>
              </w:rPr>
            </w:pPr>
            <w:r w:rsidRPr="007C2D83">
              <w:rPr>
                <w:rFonts w:cs="Arial"/>
                <w:b/>
                <w:bCs/>
                <w:color w:val="000000"/>
                <w:sz w:val="20"/>
                <w:lang w:eastAsia="es-MX"/>
              </w:rPr>
              <w:t> </w:t>
            </w:r>
          </w:p>
        </w:tc>
        <w:tc>
          <w:tcPr>
            <w:tcW w:w="1740" w:type="dxa"/>
            <w:tcBorders>
              <w:top w:val="nil"/>
              <w:left w:val="nil"/>
              <w:bottom w:val="nil"/>
              <w:right w:val="nil"/>
            </w:tcBorders>
            <w:shd w:val="clear" w:color="auto" w:fill="99C5CC"/>
            <w:vAlign w:val="center"/>
            <w:hideMark/>
          </w:tcPr>
          <w:p w14:paraId="203678D4" w14:textId="77777777" w:rsidR="00B84AFA" w:rsidRPr="007C2D83" w:rsidRDefault="00B84AFA" w:rsidP="00562DA7">
            <w:pPr>
              <w:widowControl/>
              <w:jc w:val="center"/>
              <w:rPr>
                <w:rFonts w:cs="Arial"/>
                <w:b/>
                <w:bCs/>
                <w:color w:val="000000"/>
                <w:sz w:val="20"/>
                <w:lang w:eastAsia="es-MX"/>
              </w:rPr>
            </w:pPr>
            <w:r w:rsidRPr="007C2D83">
              <w:rPr>
                <w:rFonts w:cs="Arial"/>
                <w:b/>
                <w:bCs/>
                <w:color w:val="000000"/>
                <w:sz w:val="20"/>
                <w:lang w:eastAsia="es-MX"/>
              </w:rPr>
              <w:t> </w:t>
            </w:r>
          </w:p>
        </w:tc>
        <w:tc>
          <w:tcPr>
            <w:tcW w:w="1740" w:type="dxa"/>
            <w:tcBorders>
              <w:top w:val="nil"/>
              <w:left w:val="nil"/>
              <w:bottom w:val="nil"/>
              <w:right w:val="nil"/>
            </w:tcBorders>
            <w:shd w:val="clear" w:color="auto" w:fill="99C5CC"/>
            <w:vAlign w:val="center"/>
            <w:hideMark/>
          </w:tcPr>
          <w:p w14:paraId="64C610F0" w14:textId="77777777" w:rsidR="00B84AFA" w:rsidRPr="007C2D83" w:rsidRDefault="00B84AFA" w:rsidP="00562DA7">
            <w:pPr>
              <w:widowControl/>
              <w:jc w:val="center"/>
              <w:rPr>
                <w:rFonts w:cs="Arial"/>
                <w:b/>
                <w:bCs/>
                <w:color w:val="000000"/>
                <w:sz w:val="20"/>
                <w:lang w:eastAsia="es-MX"/>
              </w:rPr>
            </w:pPr>
            <w:r w:rsidRPr="007C2D83">
              <w:rPr>
                <w:rFonts w:cs="Arial"/>
                <w:b/>
                <w:bCs/>
                <w:color w:val="000000"/>
                <w:sz w:val="20"/>
                <w:lang w:eastAsia="es-MX"/>
              </w:rPr>
              <w:t> </w:t>
            </w:r>
          </w:p>
        </w:tc>
      </w:tr>
      <w:tr w:rsidR="00B84AFA" w:rsidRPr="007C2D83" w14:paraId="6CA47748" w14:textId="77777777" w:rsidTr="00562DA7">
        <w:trPr>
          <w:trHeight w:val="300"/>
        </w:trPr>
        <w:tc>
          <w:tcPr>
            <w:tcW w:w="220" w:type="dxa"/>
            <w:tcBorders>
              <w:top w:val="nil"/>
              <w:left w:val="nil"/>
              <w:bottom w:val="nil"/>
              <w:right w:val="nil"/>
            </w:tcBorders>
            <w:shd w:val="clear" w:color="auto" w:fill="CCE2E6"/>
            <w:noWrap/>
            <w:vAlign w:val="bottom"/>
            <w:hideMark/>
          </w:tcPr>
          <w:p w14:paraId="092D0127" w14:textId="77777777" w:rsidR="00B84AFA" w:rsidRPr="007C2D83" w:rsidRDefault="00B84AFA" w:rsidP="00562DA7">
            <w:pPr>
              <w:widowControl/>
              <w:jc w:val="left"/>
              <w:rPr>
                <w:rFonts w:ascii="Times New Roman" w:hAnsi="Times New Roman"/>
                <w:color w:val="000000"/>
                <w:sz w:val="20"/>
                <w:lang w:eastAsia="es-MX"/>
              </w:rPr>
            </w:pPr>
            <w:r w:rsidRPr="007C2D83">
              <w:rPr>
                <w:rFonts w:ascii="Times New Roman" w:hAnsi="Times New Roman"/>
                <w:color w:val="000000"/>
                <w:sz w:val="20"/>
                <w:lang w:eastAsia="es-MX"/>
              </w:rPr>
              <w:t> </w:t>
            </w:r>
          </w:p>
        </w:tc>
        <w:tc>
          <w:tcPr>
            <w:tcW w:w="4560" w:type="dxa"/>
            <w:tcBorders>
              <w:top w:val="nil"/>
              <w:left w:val="nil"/>
              <w:bottom w:val="nil"/>
              <w:right w:val="nil"/>
            </w:tcBorders>
            <w:shd w:val="clear" w:color="auto" w:fill="CCE2E6"/>
            <w:vAlign w:val="center"/>
            <w:hideMark/>
          </w:tcPr>
          <w:p w14:paraId="1E91DF48" w14:textId="77777777" w:rsidR="00B84AFA" w:rsidRPr="007C2D83" w:rsidRDefault="00B84AFA" w:rsidP="00562DA7">
            <w:pPr>
              <w:widowControl/>
              <w:jc w:val="left"/>
              <w:rPr>
                <w:rFonts w:cs="Arial"/>
                <w:color w:val="000000"/>
                <w:sz w:val="20"/>
                <w:lang w:eastAsia="es-MX"/>
              </w:rPr>
            </w:pPr>
            <w:r w:rsidRPr="007C2D83">
              <w:rPr>
                <w:rFonts w:cs="Arial"/>
                <w:color w:val="000000"/>
                <w:sz w:val="20"/>
                <w:lang w:eastAsia="es-MX"/>
              </w:rPr>
              <w:t>Asiste</w:t>
            </w:r>
          </w:p>
        </w:tc>
        <w:tc>
          <w:tcPr>
            <w:tcW w:w="1740" w:type="dxa"/>
            <w:tcBorders>
              <w:top w:val="nil"/>
              <w:left w:val="nil"/>
              <w:bottom w:val="nil"/>
              <w:right w:val="nil"/>
            </w:tcBorders>
            <w:shd w:val="clear" w:color="auto" w:fill="CCE2E6"/>
            <w:vAlign w:val="center"/>
            <w:hideMark/>
          </w:tcPr>
          <w:p w14:paraId="5D2F83C7" w14:textId="77777777" w:rsidR="00B84AFA" w:rsidRPr="007C2D83" w:rsidRDefault="00B84AFA" w:rsidP="00562DA7">
            <w:pPr>
              <w:widowControl/>
              <w:jc w:val="center"/>
              <w:rPr>
                <w:rFonts w:cs="Arial"/>
                <w:color w:val="000000"/>
                <w:sz w:val="20"/>
                <w:lang w:eastAsia="es-MX"/>
              </w:rPr>
            </w:pPr>
            <w:r w:rsidRPr="007C2D83">
              <w:rPr>
                <w:rFonts w:cs="Arial"/>
                <w:color w:val="000000"/>
                <w:sz w:val="20"/>
                <w:lang w:eastAsia="es-MX"/>
              </w:rPr>
              <w:t>4.9</w:t>
            </w:r>
          </w:p>
        </w:tc>
        <w:tc>
          <w:tcPr>
            <w:tcW w:w="1740" w:type="dxa"/>
            <w:tcBorders>
              <w:top w:val="nil"/>
              <w:left w:val="nil"/>
              <w:bottom w:val="nil"/>
              <w:right w:val="nil"/>
            </w:tcBorders>
            <w:shd w:val="clear" w:color="auto" w:fill="CCE2E6"/>
            <w:vAlign w:val="center"/>
            <w:hideMark/>
          </w:tcPr>
          <w:p w14:paraId="02DF5319" w14:textId="77777777" w:rsidR="00B84AFA" w:rsidRPr="007C2D83" w:rsidRDefault="00B84AFA" w:rsidP="00562DA7">
            <w:pPr>
              <w:widowControl/>
              <w:jc w:val="center"/>
              <w:rPr>
                <w:rFonts w:cs="Arial"/>
                <w:color w:val="000000"/>
                <w:sz w:val="20"/>
                <w:lang w:eastAsia="es-MX"/>
              </w:rPr>
            </w:pPr>
            <w:r w:rsidRPr="007C2D83">
              <w:rPr>
                <w:rFonts w:cs="Arial"/>
                <w:color w:val="000000"/>
                <w:sz w:val="20"/>
                <w:lang w:eastAsia="es-MX"/>
              </w:rPr>
              <w:t>6.6</w:t>
            </w:r>
          </w:p>
        </w:tc>
        <w:tc>
          <w:tcPr>
            <w:tcW w:w="1740" w:type="dxa"/>
            <w:tcBorders>
              <w:top w:val="nil"/>
              <w:left w:val="nil"/>
              <w:bottom w:val="nil"/>
              <w:right w:val="nil"/>
            </w:tcBorders>
            <w:shd w:val="clear" w:color="auto" w:fill="CCE2E6"/>
            <w:vAlign w:val="center"/>
            <w:hideMark/>
          </w:tcPr>
          <w:p w14:paraId="4C83857A" w14:textId="77777777" w:rsidR="00B84AFA" w:rsidRPr="007C2D83" w:rsidRDefault="00B84AFA" w:rsidP="00562DA7">
            <w:pPr>
              <w:widowControl/>
              <w:jc w:val="center"/>
              <w:rPr>
                <w:rFonts w:cs="Arial"/>
                <w:color w:val="000000"/>
                <w:sz w:val="20"/>
                <w:lang w:eastAsia="es-MX"/>
              </w:rPr>
            </w:pPr>
            <w:r w:rsidRPr="007C2D83">
              <w:rPr>
                <w:rFonts w:cs="Arial"/>
                <w:color w:val="000000"/>
                <w:sz w:val="20"/>
                <w:lang w:eastAsia="es-MX"/>
              </w:rPr>
              <w:t>3.1</w:t>
            </w:r>
          </w:p>
        </w:tc>
      </w:tr>
      <w:tr w:rsidR="00B84AFA" w:rsidRPr="007C2D83" w14:paraId="1B6AD61E" w14:textId="77777777" w:rsidTr="00562DA7">
        <w:trPr>
          <w:trHeight w:val="300"/>
        </w:trPr>
        <w:tc>
          <w:tcPr>
            <w:tcW w:w="220" w:type="dxa"/>
            <w:tcBorders>
              <w:top w:val="nil"/>
              <w:left w:val="nil"/>
              <w:bottom w:val="nil"/>
              <w:right w:val="nil"/>
            </w:tcBorders>
            <w:shd w:val="clear" w:color="auto" w:fill="CCE2E6"/>
            <w:noWrap/>
            <w:vAlign w:val="bottom"/>
            <w:hideMark/>
          </w:tcPr>
          <w:p w14:paraId="7C80ED74" w14:textId="77777777" w:rsidR="00B84AFA" w:rsidRPr="007C2D83" w:rsidRDefault="00B84AFA" w:rsidP="00562DA7">
            <w:pPr>
              <w:widowControl/>
              <w:jc w:val="left"/>
              <w:rPr>
                <w:rFonts w:ascii="Times New Roman" w:hAnsi="Times New Roman"/>
                <w:color w:val="000000"/>
                <w:sz w:val="20"/>
                <w:lang w:eastAsia="es-MX"/>
              </w:rPr>
            </w:pPr>
            <w:r w:rsidRPr="007C2D83">
              <w:rPr>
                <w:rFonts w:ascii="Times New Roman" w:hAnsi="Times New Roman"/>
                <w:color w:val="000000"/>
                <w:sz w:val="20"/>
                <w:lang w:eastAsia="es-MX"/>
              </w:rPr>
              <w:t> </w:t>
            </w:r>
          </w:p>
        </w:tc>
        <w:tc>
          <w:tcPr>
            <w:tcW w:w="4560" w:type="dxa"/>
            <w:tcBorders>
              <w:top w:val="nil"/>
              <w:left w:val="nil"/>
              <w:bottom w:val="nil"/>
              <w:right w:val="nil"/>
            </w:tcBorders>
            <w:shd w:val="clear" w:color="auto" w:fill="CCE2E6"/>
            <w:vAlign w:val="center"/>
            <w:hideMark/>
          </w:tcPr>
          <w:p w14:paraId="79227558" w14:textId="77777777" w:rsidR="00B84AFA" w:rsidRPr="007C2D83" w:rsidRDefault="00B84AFA" w:rsidP="00562DA7">
            <w:pPr>
              <w:widowControl/>
              <w:jc w:val="left"/>
              <w:rPr>
                <w:rFonts w:cs="Arial"/>
                <w:color w:val="000000"/>
                <w:sz w:val="20"/>
                <w:lang w:eastAsia="es-MX"/>
              </w:rPr>
            </w:pPr>
            <w:r w:rsidRPr="007C2D83">
              <w:rPr>
                <w:rFonts w:cs="Arial"/>
                <w:color w:val="000000"/>
                <w:sz w:val="20"/>
                <w:lang w:eastAsia="es-MX"/>
              </w:rPr>
              <w:t>No asiste</w:t>
            </w:r>
          </w:p>
        </w:tc>
        <w:tc>
          <w:tcPr>
            <w:tcW w:w="1740" w:type="dxa"/>
            <w:tcBorders>
              <w:top w:val="nil"/>
              <w:left w:val="nil"/>
              <w:bottom w:val="nil"/>
              <w:right w:val="nil"/>
            </w:tcBorders>
            <w:shd w:val="clear" w:color="auto" w:fill="CCE2E6"/>
            <w:vAlign w:val="center"/>
            <w:hideMark/>
          </w:tcPr>
          <w:p w14:paraId="39FCBB10" w14:textId="77777777" w:rsidR="00B84AFA" w:rsidRPr="007C2D83" w:rsidRDefault="00B84AFA" w:rsidP="00562DA7">
            <w:pPr>
              <w:widowControl/>
              <w:jc w:val="center"/>
              <w:rPr>
                <w:rFonts w:cs="Arial"/>
                <w:color w:val="000000"/>
                <w:sz w:val="20"/>
                <w:lang w:eastAsia="es-MX"/>
              </w:rPr>
            </w:pPr>
            <w:r w:rsidRPr="007C2D83">
              <w:rPr>
                <w:rFonts w:cs="Arial"/>
                <w:color w:val="000000"/>
                <w:sz w:val="20"/>
                <w:lang w:eastAsia="es-MX"/>
              </w:rPr>
              <w:t>39.6</w:t>
            </w:r>
          </w:p>
        </w:tc>
        <w:tc>
          <w:tcPr>
            <w:tcW w:w="1740" w:type="dxa"/>
            <w:tcBorders>
              <w:top w:val="nil"/>
              <w:left w:val="nil"/>
              <w:bottom w:val="nil"/>
              <w:right w:val="nil"/>
            </w:tcBorders>
            <w:shd w:val="clear" w:color="auto" w:fill="CCE2E6"/>
            <w:vAlign w:val="center"/>
            <w:hideMark/>
          </w:tcPr>
          <w:p w14:paraId="2FA125A9" w14:textId="77777777" w:rsidR="00B84AFA" w:rsidRPr="007C2D83" w:rsidRDefault="00B84AFA" w:rsidP="00562DA7">
            <w:pPr>
              <w:widowControl/>
              <w:jc w:val="center"/>
              <w:rPr>
                <w:rFonts w:cs="Arial"/>
                <w:color w:val="000000"/>
                <w:sz w:val="20"/>
                <w:lang w:eastAsia="es-MX"/>
              </w:rPr>
            </w:pPr>
            <w:r w:rsidRPr="007C2D83">
              <w:rPr>
                <w:rFonts w:cs="Arial"/>
                <w:color w:val="000000"/>
                <w:sz w:val="20"/>
                <w:lang w:eastAsia="es-MX"/>
              </w:rPr>
              <w:t>55.1</w:t>
            </w:r>
          </w:p>
        </w:tc>
        <w:tc>
          <w:tcPr>
            <w:tcW w:w="1740" w:type="dxa"/>
            <w:tcBorders>
              <w:top w:val="nil"/>
              <w:left w:val="nil"/>
              <w:bottom w:val="nil"/>
              <w:right w:val="nil"/>
            </w:tcBorders>
            <w:shd w:val="clear" w:color="auto" w:fill="CCE2E6"/>
            <w:vAlign w:val="center"/>
            <w:hideMark/>
          </w:tcPr>
          <w:p w14:paraId="542E9DDC" w14:textId="77777777" w:rsidR="00B84AFA" w:rsidRPr="007C2D83" w:rsidRDefault="00B84AFA" w:rsidP="00562DA7">
            <w:pPr>
              <w:widowControl/>
              <w:jc w:val="center"/>
              <w:rPr>
                <w:rFonts w:cs="Arial"/>
                <w:color w:val="000000"/>
                <w:sz w:val="20"/>
                <w:lang w:eastAsia="es-MX"/>
              </w:rPr>
            </w:pPr>
            <w:r w:rsidRPr="007C2D83">
              <w:rPr>
                <w:rFonts w:cs="Arial"/>
                <w:color w:val="000000"/>
                <w:sz w:val="20"/>
                <w:lang w:eastAsia="es-MX"/>
              </w:rPr>
              <w:t>20.5</w:t>
            </w:r>
          </w:p>
        </w:tc>
      </w:tr>
      <w:tr w:rsidR="00B84AFA" w:rsidRPr="007C2D83" w14:paraId="50FBE539" w14:textId="77777777" w:rsidTr="00562DA7">
        <w:trPr>
          <w:trHeight w:val="300"/>
        </w:trPr>
        <w:tc>
          <w:tcPr>
            <w:tcW w:w="4780" w:type="dxa"/>
            <w:gridSpan w:val="2"/>
            <w:tcBorders>
              <w:top w:val="nil"/>
              <w:left w:val="nil"/>
              <w:bottom w:val="nil"/>
              <w:right w:val="nil"/>
            </w:tcBorders>
            <w:shd w:val="clear" w:color="auto" w:fill="99C5CC"/>
            <w:vAlign w:val="center"/>
            <w:hideMark/>
          </w:tcPr>
          <w:p w14:paraId="6CA50487" w14:textId="77777777" w:rsidR="00B84AFA" w:rsidRPr="007C2D83" w:rsidRDefault="00B84AFA" w:rsidP="00562DA7">
            <w:pPr>
              <w:widowControl/>
              <w:jc w:val="left"/>
              <w:rPr>
                <w:rFonts w:cs="Arial"/>
                <w:b/>
                <w:bCs/>
                <w:color w:val="000000"/>
                <w:sz w:val="20"/>
                <w:lang w:eastAsia="es-MX"/>
              </w:rPr>
            </w:pPr>
            <w:r w:rsidRPr="007C2D83">
              <w:rPr>
                <w:rFonts w:cs="Arial"/>
                <w:b/>
                <w:bCs/>
                <w:color w:val="000000"/>
                <w:sz w:val="20"/>
                <w:lang w:eastAsia="es-MX"/>
              </w:rPr>
              <w:t>Tipo de localidad</w:t>
            </w:r>
          </w:p>
        </w:tc>
        <w:tc>
          <w:tcPr>
            <w:tcW w:w="1740" w:type="dxa"/>
            <w:tcBorders>
              <w:top w:val="nil"/>
              <w:left w:val="nil"/>
              <w:bottom w:val="nil"/>
              <w:right w:val="nil"/>
            </w:tcBorders>
            <w:shd w:val="clear" w:color="auto" w:fill="99C5CC"/>
            <w:vAlign w:val="center"/>
            <w:hideMark/>
          </w:tcPr>
          <w:p w14:paraId="11ABA1C3" w14:textId="77777777" w:rsidR="00B84AFA" w:rsidRPr="007C2D83" w:rsidRDefault="00B84AFA" w:rsidP="00562DA7">
            <w:pPr>
              <w:widowControl/>
              <w:jc w:val="center"/>
              <w:rPr>
                <w:rFonts w:cs="Arial"/>
                <w:b/>
                <w:bCs/>
                <w:color w:val="000000"/>
                <w:sz w:val="20"/>
                <w:lang w:eastAsia="es-MX"/>
              </w:rPr>
            </w:pPr>
            <w:r w:rsidRPr="007C2D83">
              <w:rPr>
                <w:rFonts w:cs="Arial"/>
                <w:b/>
                <w:bCs/>
                <w:color w:val="000000"/>
                <w:sz w:val="20"/>
                <w:lang w:eastAsia="es-MX"/>
              </w:rPr>
              <w:t> </w:t>
            </w:r>
          </w:p>
        </w:tc>
        <w:tc>
          <w:tcPr>
            <w:tcW w:w="1740" w:type="dxa"/>
            <w:tcBorders>
              <w:top w:val="nil"/>
              <w:left w:val="nil"/>
              <w:bottom w:val="nil"/>
              <w:right w:val="nil"/>
            </w:tcBorders>
            <w:shd w:val="clear" w:color="auto" w:fill="99C5CC"/>
            <w:vAlign w:val="center"/>
            <w:hideMark/>
          </w:tcPr>
          <w:p w14:paraId="00696CEB" w14:textId="77777777" w:rsidR="00B84AFA" w:rsidRPr="007C2D83" w:rsidRDefault="00B84AFA" w:rsidP="00562DA7">
            <w:pPr>
              <w:widowControl/>
              <w:jc w:val="center"/>
              <w:rPr>
                <w:rFonts w:cs="Arial"/>
                <w:b/>
                <w:bCs/>
                <w:color w:val="000000"/>
                <w:sz w:val="20"/>
                <w:lang w:eastAsia="es-MX"/>
              </w:rPr>
            </w:pPr>
            <w:r w:rsidRPr="007C2D83">
              <w:rPr>
                <w:rFonts w:cs="Arial"/>
                <w:b/>
                <w:bCs/>
                <w:color w:val="000000"/>
                <w:sz w:val="20"/>
                <w:lang w:eastAsia="es-MX"/>
              </w:rPr>
              <w:t> </w:t>
            </w:r>
          </w:p>
        </w:tc>
        <w:tc>
          <w:tcPr>
            <w:tcW w:w="1740" w:type="dxa"/>
            <w:tcBorders>
              <w:top w:val="nil"/>
              <w:left w:val="nil"/>
              <w:bottom w:val="nil"/>
              <w:right w:val="nil"/>
            </w:tcBorders>
            <w:shd w:val="clear" w:color="auto" w:fill="99C5CC"/>
            <w:vAlign w:val="center"/>
            <w:hideMark/>
          </w:tcPr>
          <w:p w14:paraId="678413E3" w14:textId="77777777" w:rsidR="00B84AFA" w:rsidRPr="007C2D83" w:rsidRDefault="00B84AFA" w:rsidP="00562DA7">
            <w:pPr>
              <w:widowControl/>
              <w:jc w:val="center"/>
              <w:rPr>
                <w:rFonts w:cs="Arial"/>
                <w:b/>
                <w:bCs/>
                <w:color w:val="000000"/>
                <w:sz w:val="20"/>
                <w:lang w:eastAsia="es-MX"/>
              </w:rPr>
            </w:pPr>
            <w:r w:rsidRPr="007C2D83">
              <w:rPr>
                <w:rFonts w:cs="Arial"/>
                <w:b/>
                <w:bCs/>
                <w:color w:val="000000"/>
                <w:sz w:val="20"/>
                <w:lang w:eastAsia="es-MX"/>
              </w:rPr>
              <w:t> </w:t>
            </w:r>
          </w:p>
        </w:tc>
      </w:tr>
      <w:tr w:rsidR="00B84AFA" w:rsidRPr="007C2D83" w14:paraId="6B789CB2" w14:textId="77777777" w:rsidTr="00562DA7">
        <w:trPr>
          <w:trHeight w:val="300"/>
        </w:trPr>
        <w:tc>
          <w:tcPr>
            <w:tcW w:w="220" w:type="dxa"/>
            <w:tcBorders>
              <w:top w:val="nil"/>
              <w:left w:val="nil"/>
              <w:right w:val="nil"/>
            </w:tcBorders>
            <w:shd w:val="clear" w:color="auto" w:fill="CCE2E6"/>
            <w:noWrap/>
            <w:vAlign w:val="bottom"/>
            <w:hideMark/>
          </w:tcPr>
          <w:p w14:paraId="6A95AA4D" w14:textId="77777777" w:rsidR="00B84AFA" w:rsidRPr="007C2D83" w:rsidRDefault="00B84AFA" w:rsidP="00562DA7">
            <w:pPr>
              <w:widowControl/>
              <w:jc w:val="left"/>
              <w:rPr>
                <w:rFonts w:ascii="Times New Roman" w:hAnsi="Times New Roman"/>
                <w:color w:val="000000"/>
                <w:sz w:val="20"/>
                <w:lang w:eastAsia="es-MX"/>
              </w:rPr>
            </w:pPr>
            <w:r w:rsidRPr="007C2D83">
              <w:rPr>
                <w:rFonts w:ascii="Times New Roman" w:hAnsi="Times New Roman" w:cs="Arial"/>
                <w:color w:val="000000"/>
                <w:sz w:val="20"/>
                <w:lang w:eastAsia="es-MX"/>
              </w:rPr>
              <w:t> </w:t>
            </w:r>
          </w:p>
        </w:tc>
        <w:tc>
          <w:tcPr>
            <w:tcW w:w="4560" w:type="dxa"/>
            <w:tcBorders>
              <w:top w:val="nil"/>
              <w:left w:val="nil"/>
              <w:right w:val="nil"/>
            </w:tcBorders>
            <w:shd w:val="clear" w:color="auto" w:fill="CCE2E6"/>
            <w:vAlign w:val="center"/>
            <w:hideMark/>
          </w:tcPr>
          <w:p w14:paraId="0AB329B6" w14:textId="77777777" w:rsidR="00B84AFA" w:rsidRPr="007C2D83" w:rsidRDefault="00B84AFA" w:rsidP="00562DA7">
            <w:pPr>
              <w:widowControl/>
              <w:jc w:val="left"/>
              <w:rPr>
                <w:rFonts w:cs="Arial"/>
                <w:color w:val="000000"/>
                <w:sz w:val="20"/>
                <w:lang w:eastAsia="es-MX"/>
              </w:rPr>
            </w:pPr>
            <w:r w:rsidRPr="007C2D83">
              <w:rPr>
                <w:rFonts w:cs="Arial"/>
                <w:sz w:val="20"/>
                <w:lang w:eastAsia="es-MX"/>
              </w:rPr>
              <w:t>Áreas más urbanizadas</w:t>
            </w:r>
            <w:r w:rsidRPr="007C2D83">
              <w:rPr>
                <w:rFonts w:cs="Arial"/>
                <w:color w:val="000000"/>
                <w:sz w:val="20"/>
                <w:vertAlign w:val="superscript"/>
                <w:lang w:eastAsia="es-MX"/>
              </w:rPr>
              <w:t>1</w:t>
            </w:r>
          </w:p>
        </w:tc>
        <w:tc>
          <w:tcPr>
            <w:tcW w:w="1740" w:type="dxa"/>
            <w:tcBorders>
              <w:top w:val="nil"/>
              <w:left w:val="nil"/>
              <w:right w:val="nil"/>
            </w:tcBorders>
            <w:shd w:val="clear" w:color="auto" w:fill="CCE2E6"/>
            <w:vAlign w:val="center"/>
            <w:hideMark/>
          </w:tcPr>
          <w:p w14:paraId="1653E783" w14:textId="77777777" w:rsidR="00B84AFA" w:rsidRPr="007C2D83" w:rsidRDefault="00B84AFA" w:rsidP="00562DA7">
            <w:pPr>
              <w:widowControl/>
              <w:jc w:val="center"/>
              <w:rPr>
                <w:rFonts w:cs="Arial"/>
                <w:color w:val="000000"/>
                <w:sz w:val="20"/>
                <w:lang w:eastAsia="es-MX"/>
              </w:rPr>
            </w:pPr>
            <w:r w:rsidRPr="007C2D83">
              <w:rPr>
                <w:rFonts w:cs="Arial"/>
                <w:color w:val="000000"/>
                <w:sz w:val="20"/>
                <w:lang w:eastAsia="es-MX"/>
              </w:rPr>
              <w:t>4.1</w:t>
            </w:r>
          </w:p>
        </w:tc>
        <w:tc>
          <w:tcPr>
            <w:tcW w:w="1740" w:type="dxa"/>
            <w:tcBorders>
              <w:top w:val="nil"/>
              <w:left w:val="nil"/>
              <w:right w:val="nil"/>
            </w:tcBorders>
            <w:shd w:val="clear" w:color="auto" w:fill="CCE2E6"/>
            <w:vAlign w:val="center"/>
            <w:hideMark/>
          </w:tcPr>
          <w:p w14:paraId="2BE54F81" w14:textId="77777777" w:rsidR="00B84AFA" w:rsidRPr="007C2D83" w:rsidRDefault="00B84AFA" w:rsidP="00562DA7">
            <w:pPr>
              <w:widowControl/>
              <w:jc w:val="center"/>
              <w:rPr>
                <w:rFonts w:cs="Arial"/>
                <w:color w:val="000000"/>
                <w:sz w:val="20"/>
                <w:lang w:eastAsia="es-MX"/>
              </w:rPr>
            </w:pPr>
            <w:r w:rsidRPr="007C2D83">
              <w:rPr>
                <w:rFonts w:cs="Arial"/>
                <w:color w:val="000000"/>
                <w:sz w:val="20"/>
                <w:lang w:eastAsia="es-MX"/>
              </w:rPr>
              <w:t>5.4</w:t>
            </w:r>
          </w:p>
        </w:tc>
        <w:tc>
          <w:tcPr>
            <w:tcW w:w="1740" w:type="dxa"/>
            <w:tcBorders>
              <w:top w:val="nil"/>
              <w:left w:val="nil"/>
              <w:right w:val="nil"/>
            </w:tcBorders>
            <w:shd w:val="clear" w:color="auto" w:fill="CCE2E6"/>
            <w:vAlign w:val="center"/>
            <w:hideMark/>
          </w:tcPr>
          <w:p w14:paraId="1727C336" w14:textId="77777777" w:rsidR="00B84AFA" w:rsidRPr="007C2D83" w:rsidRDefault="00B84AFA" w:rsidP="00562DA7">
            <w:pPr>
              <w:widowControl/>
              <w:jc w:val="center"/>
              <w:rPr>
                <w:rFonts w:cs="Arial"/>
                <w:color w:val="000000"/>
                <w:sz w:val="20"/>
                <w:lang w:eastAsia="es-MX"/>
              </w:rPr>
            </w:pPr>
            <w:r w:rsidRPr="007C2D83">
              <w:rPr>
                <w:rFonts w:cs="Arial"/>
                <w:color w:val="000000"/>
                <w:sz w:val="20"/>
                <w:lang w:eastAsia="es-MX"/>
              </w:rPr>
              <w:t>2.7</w:t>
            </w:r>
          </w:p>
        </w:tc>
      </w:tr>
      <w:tr w:rsidR="00B84AFA" w:rsidRPr="007C2D83" w14:paraId="7434E026" w14:textId="77777777" w:rsidTr="00562DA7">
        <w:trPr>
          <w:trHeight w:val="300"/>
        </w:trPr>
        <w:tc>
          <w:tcPr>
            <w:tcW w:w="220" w:type="dxa"/>
            <w:tcBorders>
              <w:top w:val="nil"/>
              <w:left w:val="nil"/>
              <w:right w:val="nil"/>
            </w:tcBorders>
            <w:shd w:val="clear" w:color="auto" w:fill="CCE2E6"/>
            <w:vAlign w:val="center"/>
            <w:hideMark/>
          </w:tcPr>
          <w:p w14:paraId="0D204DB5" w14:textId="77777777" w:rsidR="00B84AFA" w:rsidRPr="007C2D83" w:rsidRDefault="00B84AFA" w:rsidP="00562DA7">
            <w:pPr>
              <w:widowControl/>
              <w:jc w:val="left"/>
              <w:rPr>
                <w:rFonts w:ascii="Times New Roman" w:hAnsi="Times New Roman"/>
                <w:color w:val="000000"/>
                <w:sz w:val="20"/>
                <w:lang w:eastAsia="es-MX"/>
              </w:rPr>
            </w:pPr>
            <w:r w:rsidRPr="007C2D83">
              <w:rPr>
                <w:rFonts w:ascii="Times New Roman" w:hAnsi="Times New Roman" w:cs="Arial"/>
                <w:color w:val="000000"/>
                <w:sz w:val="20"/>
                <w:lang w:eastAsia="es-MX"/>
              </w:rPr>
              <w:t> </w:t>
            </w:r>
          </w:p>
        </w:tc>
        <w:tc>
          <w:tcPr>
            <w:tcW w:w="4560" w:type="dxa"/>
            <w:tcBorders>
              <w:top w:val="nil"/>
              <w:left w:val="nil"/>
              <w:right w:val="nil"/>
            </w:tcBorders>
            <w:shd w:val="clear" w:color="auto" w:fill="CCE2E6"/>
            <w:vAlign w:val="center"/>
            <w:hideMark/>
          </w:tcPr>
          <w:p w14:paraId="2B51C1BE" w14:textId="77777777" w:rsidR="00B84AFA" w:rsidRPr="007C2D83" w:rsidRDefault="00B84AFA" w:rsidP="00562DA7">
            <w:pPr>
              <w:widowControl/>
              <w:jc w:val="left"/>
              <w:rPr>
                <w:rFonts w:cs="Arial"/>
                <w:color w:val="000000"/>
                <w:sz w:val="20"/>
                <w:lang w:eastAsia="es-MX"/>
              </w:rPr>
            </w:pPr>
            <w:r w:rsidRPr="007C2D83">
              <w:rPr>
                <w:rFonts w:cs="Arial"/>
                <w:sz w:val="20"/>
                <w:lang w:eastAsia="es-MX"/>
              </w:rPr>
              <w:t>Áreas menos urbanizadas</w:t>
            </w:r>
            <w:r w:rsidRPr="007C2D83">
              <w:rPr>
                <w:rFonts w:cs="Arial"/>
                <w:color w:val="000000"/>
                <w:sz w:val="20"/>
                <w:vertAlign w:val="superscript"/>
                <w:lang w:eastAsia="es-MX"/>
              </w:rPr>
              <w:t>2</w:t>
            </w:r>
          </w:p>
        </w:tc>
        <w:tc>
          <w:tcPr>
            <w:tcW w:w="1740" w:type="dxa"/>
            <w:tcBorders>
              <w:top w:val="nil"/>
              <w:left w:val="nil"/>
              <w:right w:val="nil"/>
            </w:tcBorders>
            <w:shd w:val="clear" w:color="auto" w:fill="CCE2E6"/>
            <w:vAlign w:val="center"/>
            <w:hideMark/>
          </w:tcPr>
          <w:p w14:paraId="7A825735" w14:textId="77777777" w:rsidR="00B84AFA" w:rsidRPr="007C2D83" w:rsidRDefault="00B84AFA" w:rsidP="00562DA7">
            <w:pPr>
              <w:widowControl/>
              <w:jc w:val="center"/>
              <w:rPr>
                <w:rFonts w:cs="Arial"/>
                <w:color w:val="000000"/>
                <w:sz w:val="20"/>
                <w:lang w:eastAsia="es-MX"/>
              </w:rPr>
            </w:pPr>
            <w:r w:rsidRPr="007C2D83">
              <w:rPr>
                <w:rFonts w:cs="Arial"/>
                <w:color w:val="000000"/>
                <w:sz w:val="20"/>
                <w:lang w:eastAsia="es-MX"/>
              </w:rPr>
              <w:t>9.9</w:t>
            </w:r>
          </w:p>
        </w:tc>
        <w:tc>
          <w:tcPr>
            <w:tcW w:w="1740" w:type="dxa"/>
            <w:tcBorders>
              <w:top w:val="nil"/>
              <w:left w:val="nil"/>
              <w:right w:val="nil"/>
            </w:tcBorders>
            <w:shd w:val="clear" w:color="auto" w:fill="CCE2E6"/>
            <w:vAlign w:val="center"/>
            <w:hideMark/>
          </w:tcPr>
          <w:p w14:paraId="75588D81" w14:textId="77777777" w:rsidR="00B84AFA" w:rsidRPr="007C2D83" w:rsidRDefault="00B84AFA" w:rsidP="00562DA7">
            <w:pPr>
              <w:widowControl/>
              <w:jc w:val="center"/>
              <w:rPr>
                <w:rFonts w:cs="Arial"/>
                <w:color w:val="000000"/>
                <w:sz w:val="20"/>
                <w:lang w:eastAsia="es-MX"/>
              </w:rPr>
            </w:pPr>
            <w:r w:rsidRPr="007C2D83">
              <w:rPr>
                <w:rFonts w:cs="Arial"/>
                <w:color w:val="000000"/>
                <w:sz w:val="20"/>
                <w:lang w:eastAsia="es-MX"/>
              </w:rPr>
              <w:t>14.2</w:t>
            </w:r>
          </w:p>
        </w:tc>
        <w:tc>
          <w:tcPr>
            <w:tcW w:w="1740" w:type="dxa"/>
            <w:tcBorders>
              <w:top w:val="nil"/>
              <w:left w:val="nil"/>
              <w:right w:val="nil"/>
            </w:tcBorders>
            <w:shd w:val="clear" w:color="auto" w:fill="CCE2E6"/>
            <w:vAlign w:val="center"/>
            <w:hideMark/>
          </w:tcPr>
          <w:p w14:paraId="61397470" w14:textId="77777777" w:rsidR="00B84AFA" w:rsidRPr="007C2D83" w:rsidRDefault="00B84AFA" w:rsidP="00562DA7">
            <w:pPr>
              <w:widowControl/>
              <w:jc w:val="center"/>
              <w:rPr>
                <w:rFonts w:cs="Arial"/>
                <w:color w:val="000000"/>
                <w:sz w:val="20"/>
                <w:lang w:eastAsia="es-MX"/>
              </w:rPr>
            </w:pPr>
            <w:r w:rsidRPr="007C2D83">
              <w:rPr>
                <w:rFonts w:cs="Arial"/>
                <w:color w:val="000000"/>
                <w:sz w:val="20"/>
                <w:lang w:eastAsia="es-MX"/>
              </w:rPr>
              <w:t>5.4</w:t>
            </w:r>
          </w:p>
        </w:tc>
      </w:tr>
    </w:tbl>
    <w:p w14:paraId="2B880E7D" w14:textId="61273155" w:rsidR="00B84AFA" w:rsidRPr="00CD6FE9" w:rsidRDefault="00C56872" w:rsidP="00B84AFA">
      <w:pPr>
        <w:widowControl/>
        <w:autoSpaceDE w:val="0"/>
        <w:autoSpaceDN w:val="0"/>
        <w:adjustRightInd w:val="0"/>
        <w:rPr>
          <w:rFonts w:cs="Arial"/>
          <w:color w:val="000000" w:themeColor="text1"/>
          <w:sz w:val="16"/>
          <w:szCs w:val="16"/>
        </w:rPr>
      </w:pPr>
      <w:r>
        <w:rPr>
          <w:rFonts w:cs="Arial"/>
          <w:color w:val="000000" w:themeColor="text1"/>
          <w:sz w:val="16"/>
          <w:szCs w:val="16"/>
          <w:vertAlign w:val="superscript"/>
        </w:rPr>
        <w:t xml:space="preserve">  </w:t>
      </w:r>
      <w:r w:rsidR="00B84AFA" w:rsidRPr="00CD6FE9">
        <w:rPr>
          <w:rFonts w:cs="Arial"/>
          <w:color w:val="000000" w:themeColor="text1"/>
          <w:sz w:val="16"/>
          <w:szCs w:val="16"/>
          <w:vertAlign w:val="superscript"/>
        </w:rPr>
        <w:t>1</w:t>
      </w:r>
      <w:r w:rsidR="00B84AFA" w:rsidRPr="00CD6FE9">
        <w:rPr>
          <w:rFonts w:cs="Arial"/>
          <w:color w:val="000000" w:themeColor="text1"/>
          <w:sz w:val="16"/>
          <w:szCs w:val="16"/>
        </w:rPr>
        <w:t xml:space="preserve"> </w:t>
      </w:r>
      <w:r w:rsidR="007841FA">
        <w:rPr>
          <w:rFonts w:cs="Arial"/>
          <w:color w:val="000000" w:themeColor="text1"/>
          <w:sz w:val="16"/>
          <w:szCs w:val="16"/>
        </w:rPr>
        <w:t xml:space="preserve">          </w:t>
      </w:r>
      <w:proofErr w:type="gramStart"/>
      <w:r w:rsidR="00B84AFA" w:rsidRPr="00CD6FE9">
        <w:rPr>
          <w:rFonts w:cs="Arial"/>
          <w:color w:val="000000" w:themeColor="text1"/>
          <w:sz w:val="16"/>
          <w:szCs w:val="16"/>
        </w:rPr>
        <w:t>Localidades</w:t>
      </w:r>
      <w:proofErr w:type="gramEnd"/>
      <w:r w:rsidR="00B84AFA" w:rsidRPr="00CD6FE9">
        <w:rPr>
          <w:rFonts w:cs="Arial"/>
          <w:color w:val="000000" w:themeColor="text1"/>
          <w:sz w:val="16"/>
          <w:szCs w:val="16"/>
        </w:rPr>
        <w:t xml:space="preserve"> de 100 mil y más habitantes.</w:t>
      </w:r>
    </w:p>
    <w:p w14:paraId="1DA08E7B" w14:textId="71BDF9A5" w:rsidR="00B84AFA" w:rsidRPr="009135F6" w:rsidRDefault="00C56872" w:rsidP="00B84AFA">
      <w:pPr>
        <w:widowControl/>
        <w:autoSpaceDE w:val="0"/>
        <w:autoSpaceDN w:val="0"/>
        <w:adjustRightInd w:val="0"/>
        <w:rPr>
          <w:rFonts w:cs="Arial"/>
          <w:color w:val="000000" w:themeColor="text1"/>
          <w:sz w:val="16"/>
          <w:szCs w:val="16"/>
          <w:lang w:val="pt-PT"/>
        </w:rPr>
      </w:pPr>
      <w:r w:rsidRPr="00533F36">
        <w:rPr>
          <w:rFonts w:cs="Arial"/>
          <w:color w:val="000000" w:themeColor="text1"/>
          <w:sz w:val="16"/>
          <w:szCs w:val="16"/>
          <w:vertAlign w:val="superscript"/>
        </w:rPr>
        <w:t xml:space="preserve">  </w:t>
      </w:r>
      <w:r w:rsidR="00B84AFA" w:rsidRPr="009135F6">
        <w:rPr>
          <w:rFonts w:cs="Arial"/>
          <w:color w:val="000000" w:themeColor="text1"/>
          <w:sz w:val="16"/>
          <w:szCs w:val="16"/>
          <w:vertAlign w:val="superscript"/>
          <w:lang w:val="pt-PT"/>
        </w:rPr>
        <w:t>2</w:t>
      </w:r>
      <w:r w:rsidR="00B84AFA" w:rsidRPr="009135F6">
        <w:rPr>
          <w:rFonts w:cs="Arial"/>
          <w:color w:val="000000" w:themeColor="text1"/>
          <w:sz w:val="16"/>
          <w:szCs w:val="16"/>
          <w:lang w:val="pt-PT"/>
        </w:rPr>
        <w:t xml:space="preserve"> </w:t>
      </w:r>
      <w:r w:rsidR="007841FA">
        <w:rPr>
          <w:rFonts w:cs="Arial"/>
          <w:color w:val="000000" w:themeColor="text1"/>
          <w:sz w:val="16"/>
          <w:szCs w:val="16"/>
          <w:lang w:val="pt-PT"/>
        </w:rPr>
        <w:t xml:space="preserve">          </w:t>
      </w:r>
      <w:r w:rsidR="00B84AFA" w:rsidRPr="009135F6">
        <w:rPr>
          <w:rFonts w:cs="Arial"/>
          <w:color w:val="000000" w:themeColor="text1"/>
          <w:sz w:val="16"/>
          <w:szCs w:val="16"/>
          <w:lang w:val="pt-PT"/>
        </w:rPr>
        <w:t>Localidades menores de 100 mil habitantes.</w:t>
      </w:r>
    </w:p>
    <w:p w14:paraId="3386B996" w14:textId="77777777" w:rsidR="00B84AFA" w:rsidRDefault="00B84AFA" w:rsidP="00B84AFA">
      <w:pPr>
        <w:widowControl/>
        <w:autoSpaceDE w:val="0"/>
        <w:autoSpaceDN w:val="0"/>
        <w:adjustRightInd w:val="0"/>
        <w:rPr>
          <w:rFonts w:cs="Arial"/>
          <w:szCs w:val="24"/>
        </w:rPr>
      </w:pPr>
      <w:r w:rsidRPr="00CD6FE9">
        <w:rPr>
          <w:rFonts w:cs="Arial"/>
          <w:color w:val="000000" w:themeColor="text1"/>
          <w:sz w:val="16"/>
          <w:szCs w:val="16"/>
        </w:rPr>
        <w:t>Fuente: INEGI, ENTI. 2022.</w:t>
      </w:r>
    </w:p>
    <w:p w14:paraId="0F3C25AA" w14:textId="77777777" w:rsidR="00B84AFA" w:rsidRDefault="00B84AFA" w:rsidP="009E43F3">
      <w:pPr>
        <w:widowControl/>
        <w:autoSpaceDE w:val="0"/>
        <w:autoSpaceDN w:val="0"/>
        <w:adjustRightInd w:val="0"/>
        <w:rPr>
          <w:rFonts w:cs="Arial"/>
          <w:szCs w:val="24"/>
        </w:rPr>
      </w:pPr>
    </w:p>
    <w:p w14:paraId="2CE5C56E" w14:textId="325C0518" w:rsidR="00791592" w:rsidRPr="0037646C" w:rsidRDefault="00791592" w:rsidP="0032199D">
      <w:pPr>
        <w:widowControl/>
        <w:autoSpaceDE w:val="0"/>
        <w:autoSpaceDN w:val="0"/>
        <w:adjustRightInd w:val="0"/>
        <w:ind w:right="51"/>
        <w:rPr>
          <w:rFonts w:cs="Arial"/>
          <w:color w:val="000000"/>
          <w:szCs w:val="24"/>
        </w:rPr>
      </w:pPr>
      <w:r>
        <w:rPr>
          <w:rFonts w:cs="Arial"/>
          <w:szCs w:val="24"/>
        </w:rPr>
        <w:t>En las áreas más urbanizadas (localidades de 100 mil y más habitantes)</w:t>
      </w:r>
      <w:r w:rsidR="00E15E27">
        <w:rPr>
          <w:rFonts w:cs="Arial"/>
          <w:szCs w:val="24"/>
        </w:rPr>
        <w:t>,</w:t>
      </w:r>
      <w:r>
        <w:rPr>
          <w:rFonts w:cs="Arial"/>
          <w:szCs w:val="24"/>
        </w:rPr>
        <w:t xml:space="preserve"> la tasa de ocupación no permitida fue de</w:t>
      </w:r>
      <w:r w:rsidRPr="0037646C">
        <w:rPr>
          <w:rFonts w:cs="Arial"/>
          <w:color w:val="000000"/>
          <w:szCs w:val="24"/>
        </w:rPr>
        <w:t xml:space="preserve"> </w:t>
      </w:r>
      <w:r>
        <w:rPr>
          <w:rFonts w:cs="Arial"/>
          <w:color w:val="000000"/>
          <w:szCs w:val="24"/>
        </w:rPr>
        <w:t>4.1</w:t>
      </w:r>
      <w:r w:rsidRPr="0037646C">
        <w:rPr>
          <w:rFonts w:cs="Arial"/>
          <w:color w:val="000000"/>
          <w:szCs w:val="24"/>
        </w:rPr>
        <w:t xml:space="preserve"> </w:t>
      </w:r>
      <w:r w:rsidR="000602A9">
        <w:rPr>
          <w:rFonts w:cs="Arial"/>
          <w:color w:val="000000"/>
          <w:szCs w:val="24"/>
        </w:rPr>
        <w:t>por ciento. A las niñas les correspondió una tasa de 2.7 % y a</w:t>
      </w:r>
      <w:r w:rsidRPr="0037646C">
        <w:rPr>
          <w:rFonts w:cs="Arial"/>
          <w:color w:val="000000"/>
          <w:szCs w:val="24"/>
        </w:rPr>
        <w:t xml:space="preserve"> los niños</w:t>
      </w:r>
      <w:r w:rsidR="000602A9">
        <w:rPr>
          <w:rFonts w:cs="Arial"/>
          <w:color w:val="000000"/>
          <w:szCs w:val="24"/>
        </w:rPr>
        <w:t xml:space="preserve">, </w:t>
      </w:r>
      <w:r w:rsidRPr="0037646C">
        <w:rPr>
          <w:rFonts w:cs="Arial"/>
          <w:color w:val="000000"/>
          <w:szCs w:val="24"/>
        </w:rPr>
        <w:t xml:space="preserve">de </w:t>
      </w:r>
      <w:r>
        <w:rPr>
          <w:rFonts w:cs="Arial"/>
          <w:color w:val="000000"/>
          <w:szCs w:val="24"/>
        </w:rPr>
        <w:t>5.4</w:t>
      </w:r>
      <w:r w:rsidRPr="0037646C">
        <w:rPr>
          <w:rFonts w:cs="Arial"/>
          <w:color w:val="000000"/>
          <w:szCs w:val="24"/>
        </w:rPr>
        <w:t xml:space="preserve"> por ciento</w:t>
      </w:r>
      <w:r>
        <w:rPr>
          <w:rFonts w:cs="Arial"/>
          <w:color w:val="000000"/>
          <w:szCs w:val="24"/>
        </w:rPr>
        <w:t>.</w:t>
      </w:r>
      <w:r w:rsidR="004C2194">
        <w:rPr>
          <w:rFonts w:cs="Arial"/>
          <w:szCs w:val="24"/>
        </w:rPr>
        <w:t xml:space="preserve"> </w:t>
      </w:r>
      <w:r>
        <w:rPr>
          <w:rFonts w:cs="Arial"/>
          <w:szCs w:val="24"/>
        </w:rPr>
        <w:t xml:space="preserve">En las áreas menos urbanizadas (localidades menores de 100 mil habitantes) </w:t>
      </w:r>
      <w:r w:rsidR="00FD55B7">
        <w:rPr>
          <w:rFonts w:cs="Arial"/>
          <w:szCs w:val="24"/>
        </w:rPr>
        <w:t>l</w:t>
      </w:r>
      <w:r>
        <w:rPr>
          <w:rFonts w:cs="Arial"/>
          <w:szCs w:val="24"/>
        </w:rPr>
        <w:t>a tasa de ocupación no permitida fue de</w:t>
      </w:r>
      <w:r w:rsidRPr="0037646C">
        <w:rPr>
          <w:rFonts w:cs="Arial"/>
          <w:color w:val="000000"/>
          <w:szCs w:val="24"/>
        </w:rPr>
        <w:t xml:space="preserve"> </w:t>
      </w:r>
      <w:r>
        <w:rPr>
          <w:rFonts w:cs="Arial"/>
          <w:color w:val="000000"/>
          <w:szCs w:val="24"/>
        </w:rPr>
        <w:t>9.9</w:t>
      </w:r>
      <w:r w:rsidRPr="0037646C">
        <w:rPr>
          <w:rFonts w:cs="Arial"/>
          <w:color w:val="000000"/>
          <w:szCs w:val="24"/>
        </w:rPr>
        <w:t xml:space="preserve"> %</w:t>
      </w:r>
      <w:r w:rsidR="000602A9">
        <w:rPr>
          <w:rFonts w:cs="Arial"/>
          <w:color w:val="000000"/>
          <w:szCs w:val="24"/>
        </w:rPr>
        <w:t>; una tasa de 5.4 % para las niñas y</w:t>
      </w:r>
      <w:r w:rsidRPr="0037646C">
        <w:rPr>
          <w:rFonts w:cs="Arial"/>
          <w:color w:val="000000"/>
          <w:szCs w:val="24"/>
        </w:rPr>
        <w:t xml:space="preserve"> de </w:t>
      </w:r>
      <w:r>
        <w:rPr>
          <w:rFonts w:cs="Arial"/>
          <w:color w:val="000000"/>
          <w:szCs w:val="24"/>
        </w:rPr>
        <w:t>14.2</w:t>
      </w:r>
      <w:r w:rsidRPr="0037646C">
        <w:rPr>
          <w:rFonts w:cs="Arial"/>
          <w:color w:val="000000"/>
          <w:szCs w:val="24"/>
        </w:rPr>
        <w:t xml:space="preserve"> % </w:t>
      </w:r>
      <w:r w:rsidR="00FE34C8">
        <w:rPr>
          <w:rFonts w:cs="Arial"/>
          <w:color w:val="000000"/>
          <w:szCs w:val="24"/>
        </w:rPr>
        <w:t>para los niños.</w:t>
      </w:r>
    </w:p>
    <w:p w14:paraId="05D3D186" w14:textId="77777777" w:rsidR="00791592" w:rsidRDefault="00791592" w:rsidP="0032199D">
      <w:pPr>
        <w:widowControl/>
        <w:autoSpaceDE w:val="0"/>
        <w:autoSpaceDN w:val="0"/>
        <w:adjustRightInd w:val="0"/>
        <w:ind w:right="51"/>
        <w:rPr>
          <w:rFonts w:cs="Arial"/>
          <w:color w:val="000000"/>
          <w:szCs w:val="24"/>
        </w:rPr>
      </w:pPr>
    </w:p>
    <w:p w14:paraId="2DEEEC05" w14:textId="21BAFA2B" w:rsidR="00791592" w:rsidRPr="00A93979" w:rsidRDefault="00791592" w:rsidP="0032199D">
      <w:pPr>
        <w:widowControl/>
        <w:autoSpaceDE w:val="0"/>
        <w:autoSpaceDN w:val="0"/>
        <w:adjustRightInd w:val="0"/>
        <w:ind w:right="51"/>
        <w:rPr>
          <w:rFonts w:cs="Arial"/>
          <w:color w:val="000000"/>
          <w:szCs w:val="24"/>
        </w:rPr>
      </w:pPr>
      <w:r w:rsidRPr="00A93979">
        <w:rPr>
          <w:rFonts w:cs="Arial"/>
          <w:color w:val="000000"/>
          <w:szCs w:val="24"/>
        </w:rPr>
        <w:t>De acuerdo con el nivel de instrucción, al concluir la educación primaria o la educación secundaria, se incorpor</w:t>
      </w:r>
      <w:r w:rsidR="00A53C9D" w:rsidRPr="00A93979">
        <w:rPr>
          <w:rFonts w:cs="Arial"/>
          <w:color w:val="000000"/>
          <w:szCs w:val="24"/>
        </w:rPr>
        <w:t>ó</w:t>
      </w:r>
      <w:r w:rsidRPr="00A93979">
        <w:rPr>
          <w:rFonts w:cs="Arial"/>
          <w:color w:val="000000"/>
          <w:szCs w:val="24"/>
        </w:rPr>
        <w:t xml:space="preserve"> una mayor proporción de </w:t>
      </w:r>
      <w:r w:rsidR="00D92FDD" w:rsidRPr="00A93979">
        <w:rPr>
          <w:rFonts w:cs="Arial"/>
          <w:color w:val="000000"/>
          <w:szCs w:val="24"/>
        </w:rPr>
        <w:t>población de 5 a 17 años</w:t>
      </w:r>
      <w:r w:rsidRPr="00A93979">
        <w:rPr>
          <w:rFonts w:cs="Arial"/>
          <w:color w:val="000000"/>
          <w:szCs w:val="24"/>
        </w:rPr>
        <w:t xml:space="preserve"> en </w:t>
      </w:r>
      <w:r w:rsidR="00A53C9D" w:rsidRPr="00A93979">
        <w:rPr>
          <w:rFonts w:cs="Arial"/>
          <w:color w:val="000000"/>
          <w:szCs w:val="24"/>
        </w:rPr>
        <w:t xml:space="preserve">la </w:t>
      </w:r>
      <w:r w:rsidRPr="00A93979">
        <w:rPr>
          <w:rFonts w:cs="Arial"/>
          <w:color w:val="000000"/>
          <w:szCs w:val="24"/>
        </w:rPr>
        <w:t>ocupación no permitida</w:t>
      </w:r>
      <w:r w:rsidR="00FD3AF6" w:rsidRPr="00A93979">
        <w:rPr>
          <w:rFonts w:cs="Arial"/>
          <w:color w:val="000000"/>
          <w:szCs w:val="24"/>
        </w:rPr>
        <w:t>.</w:t>
      </w:r>
      <w:r w:rsidRPr="00A93979">
        <w:rPr>
          <w:rFonts w:cs="Arial"/>
          <w:color w:val="000000"/>
          <w:szCs w:val="24"/>
        </w:rPr>
        <w:t xml:space="preserve"> </w:t>
      </w:r>
      <w:r w:rsidR="00FD3AF6" w:rsidRPr="00A93979">
        <w:rPr>
          <w:rFonts w:cs="Arial"/>
          <w:color w:val="000000"/>
          <w:szCs w:val="24"/>
        </w:rPr>
        <w:t>E</w:t>
      </w:r>
      <w:r w:rsidR="00FD55B7" w:rsidRPr="00A93979">
        <w:rPr>
          <w:rFonts w:cs="Arial"/>
          <w:color w:val="000000"/>
          <w:szCs w:val="24"/>
        </w:rPr>
        <w:t>n concreto,</w:t>
      </w:r>
      <w:r w:rsidRPr="00A93979">
        <w:rPr>
          <w:rFonts w:cs="Arial"/>
          <w:color w:val="000000"/>
          <w:szCs w:val="24"/>
        </w:rPr>
        <w:t xml:space="preserve"> 13.3 % de </w:t>
      </w:r>
      <w:r w:rsidR="00FD3AF6" w:rsidRPr="00A93979">
        <w:rPr>
          <w:rFonts w:cs="Arial"/>
          <w:color w:val="000000"/>
          <w:szCs w:val="24"/>
        </w:rPr>
        <w:t xml:space="preserve">quienes contaban con </w:t>
      </w:r>
      <w:r w:rsidRPr="00A93979">
        <w:rPr>
          <w:rFonts w:cs="Arial"/>
          <w:color w:val="000000"/>
          <w:szCs w:val="24"/>
        </w:rPr>
        <w:t xml:space="preserve">primaria </w:t>
      </w:r>
      <w:r w:rsidR="00FD3AF6" w:rsidRPr="00A93979">
        <w:rPr>
          <w:rFonts w:cs="Arial"/>
          <w:color w:val="000000"/>
          <w:szCs w:val="24"/>
        </w:rPr>
        <w:t xml:space="preserve">completa </w:t>
      </w:r>
      <w:r w:rsidRPr="00A93979">
        <w:rPr>
          <w:rFonts w:cs="Arial"/>
          <w:color w:val="000000"/>
          <w:szCs w:val="24"/>
        </w:rPr>
        <w:t>y 18.9</w:t>
      </w:r>
      <w:r w:rsidR="00E41298" w:rsidRPr="00A93979">
        <w:rPr>
          <w:rFonts w:cs="Arial"/>
          <w:color w:val="000000"/>
          <w:szCs w:val="24"/>
        </w:rPr>
        <w:t xml:space="preserve"> </w:t>
      </w:r>
      <w:r w:rsidRPr="00A93979">
        <w:rPr>
          <w:rFonts w:cs="Arial"/>
          <w:color w:val="000000"/>
          <w:szCs w:val="24"/>
        </w:rPr>
        <w:t xml:space="preserve">% de </w:t>
      </w:r>
      <w:r w:rsidR="00FD3AF6" w:rsidRPr="00A93979">
        <w:rPr>
          <w:rFonts w:cs="Arial"/>
          <w:color w:val="000000"/>
          <w:szCs w:val="24"/>
        </w:rPr>
        <w:t>quienes tenían</w:t>
      </w:r>
      <w:r w:rsidRPr="00A93979">
        <w:rPr>
          <w:rFonts w:cs="Arial"/>
          <w:color w:val="000000"/>
          <w:szCs w:val="24"/>
        </w:rPr>
        <w:t xml:space="preserve"> secundaria</w:t>
      </w:r>
      <w:r w:rsidR="00FD3AF6" w:rsidRPr="00A93979">
        <w:rPr>
          <w:rFonts w:cs="Arial"/>
          <w:color w:val="000000"/>
          <w:szCs w:val="24"/>
        </w:rPr>
        <w:t xml:space="preserve"> completa se encontraban en alguna ocupación no permitida</w:t>
      </w:r>
      <w:r w:rsidR="00A53C9D" w:rsidRPr="00A93979">
        <w:rPr>
          <w:rFonts w:cs="Arial"/>
          <w:color w:val="000000"/>
          <w:szCs w:val="24"/>
        </w:rPr>
        <w:t>.</w:t>
      </w:r>
      <w:r w:rsidR="004C2194" w:rsidRPr="00A93979">
        <w:rPr>
          <w:rFonts w:cs="Arial"/>
          <w:color w:val="000000"/>
          <w:szCs w:val="24"/>
        </w:rPr>
        <w:t xml:space="preserve"> </w:t>
      </w:r>
      <w:r w:rsidRPr="00A93979">
        <w:rPr>
          <w:rFonts w:cs="Arial"/>
          <w:color w:val="000000"/>
          <w:szCs w:val="24"/>
        </w:rPr>
        <w:t xml:space="preserve">La situación </w:t>
      </w:r>
      <w:r w:rsidR="00FD3AF6" w:rsidRPr="00A93979">
        <w:rPr>
          <w:rFonts w:cs="Arial"/>
          <w:color w:val="000000"/>
          <w:szCs w:val="24"/>
        </w:rPr>
        <w:t>es similar entre</w:t>
      </w:r>
      <w:r w:rsidRPr="00A93979">
        <w:rPr>
          <w:rFonts w:cs="Arial"/>
          <w:color w:val="000000"/>
          <w:szCs w:val="24"/>
        </w:rPr>
        <w:t xml:space="preserve"> las niñas y los niños, pero la participación de los niños con primaria completa (19.1 %) y secundaria completa (27.3 %) </w:t>
      </w:r>
      <w:r w:rsidR="00A53C9D" w:rsidRPr="00A93979">
        <w:rPr>
          <w:rFonts w:cs="Arial"/>
          <w:color w:val="000000"/>
          <w:szCs w:val="24"/>
        </w:rPr>
        <w:t>fue</w:t>
      </w:r>
      <w:r w:rsidRPr="00A93979">
        <w:rPr>
          <w:rFonts w:cs="Arial"/>
          <w:color w:val="000000"/>
          <w:szCs w:val="24"/>
        </w:rPr>
        <w:t xml:space="preserve"> significativamente más alta que la de las niñas,</w:t>
      </w:r>
      <w:r w:rsidR="00FE34C8" w:rsidRPr="00A93979">
        <w:rPr>
          <w:rFonts w:cs="Arial"/>
          <w:color w:val="000000"/>
          <w:szCs w:val="24"/>
        </w:rPr>
        <w:t xml:space="preserve"> con</w:t>
      </w:r>
      <w:r w:rsidRPr="00A93979">
        <w:rPr>
          <w:rFonts w:cs="Arial"/>
          <w:color w:val="000000"/>
          <w:szCs w:val="24"/>
        </w:rPr>
        <w:t xml:space="preserve"> 6.9 y 10.3 %, respectivamente</w:t>
      </w:r>
      <w:r w:rsidR="0032199D">
        <w:rPr>
          <w:rFonts w:cs="Arial"/>
          <w:color w:val="000000"/>
          <w:szCs w:val="24"/>
        </w:rPr>
        <w:t>. P</w:t>
      </w:r>
      <w:r w:rsidR="001E3935" w:rsidRPr="00A93979">
        <w:rPr>
          <w:rFonts w:cs="Arial"/>
          <w:color w:val="000000"/>
          <w:szCs w:val="24"/>
        </w:rPr>
        <w:t>ara mayor desglose ver el cuadro 7</w:t>
      </w:r>
      <w:r w:rsidRPr="00A93979">
        <w:rPr>
          <w:rFonts w:cs="Arial"/>
          <w:color w:val="000000"/>
          <w:szCs w:val="24"/>
        </w:rPr>
        <w:t>.</w:t>
      </w:r>
    </w:p>
    <w:p w14:paraId="41E14A44" w14:textId="77777777" w:rsidR="00791592" w:rsidRDefault="00791592" w:rsidP="009E43F3">
      <w:pPr>
        <w:widowControl/>
        <w:autoSpaceDE w:val="0"/>
        <w:autoSpaceDN w:val="0"/>
        <w:adjustRightInd w:val="0"/>
        <w:spacing w:line="276" w:lineRule="auto"/>
        <w:rPr>
          <w:rFonts w:cs="Arial"/>
          <w:color w:val="000000"/>
          <w:szCs w:val="24"/>
        </w:rPr>
      </w:pPr>
    </w:p>
    <w:p w14:paraId="4F9E5F2E" w14:textId="050223CB" w:rsidR="00E009ED" w:rsidRDefault="00E009ED" w:rsidP="00E630A5">
      <w:pPr>
        <w:widowControl/>
        <w:autoSpaceDE w:val="0"/>
        <w:autoSpaceDN w:val="0"/>
        <w:adjustRightInd w:val="0"/>
        <w:spacing w:line="276" w:lineRule="auto"/>
        <w:jc w:val="center"/>
        <w:rPr>
          <w:rFonts w:cs="Arial"/>
          <w:color w:val="000000"/>
          <w:szCs w:val="24"/>
        </w:rPr>
      </w:pPr>
    </w:p>
    <w:p w14:paraId="76F3AFA0" w14:textId="77777777" w:rsidR="00DF1DE1" w:rsidRDefault="00DF1DE1" w:rsidP="00E630A5">
      <w:pPr>
        <w:widowControl/>
        <w:autoSpaceDE w:val="0"/>
        <w:autoSpaceDN w:val="0"/>
        <w:adjustRightInd w:val="0"/>
        <w:spacing w:line="276" w:lineRule="auto"/>
        <w:jc w:val="center"/>
        <w:rPr>
          <w:rFonts w:cs="Arial"/>
          <w:color w:val="000000"/>
          <w:szCs w:val="24"/>
        </w:rPr>
      </w:pPr>
    </w:p>
    <w:p w14:paraId="3E23E2BC" w14:textId="77777777" w:rsidR="001E3935" w:rsidRDefault="001E3935" w:rsidP="00E630A5">
      <w:pPr>
        <w:widowControl/>
        <w:autoSpaceDE w:val="0"/>
        <w:autoSpaceDN w:val="0"/>
        <w:adjustRightInd w:val="0"/>
        <w:spacing w:line="276" w:lineRule="auto"/>
        <w:jc w:val="center"/>
        <w:rPr>
          <w:rFonts w:cs="Arial"/>
          <w:color w:val="000000"/>
          <w:szCs w:val="24"/>
        </w:rPr>
      </w:pPr>
    </w:p>
    <w:p w14:paraId="549E4EDB" w14:textId="77777777" w:rsidR="0032199D" w:rsidRDefault="0032199D" w:rsidP="00E630A5">
      <w:pPr>
        <w:widowControl/>
        <w:autoSpaceDE w:val="0"/>
        <w:autoSpaceDN w:val="0"/>
        <w:adjustRightInd w:val="0"/>
        <w:spacing w:line="276" w:lineRule="auto"/>
        <w:jc w:val="center"/>
        <w:rPr>
          <w:rFonts w:cs="Arial"/>
          <w:color w:val="000000"/>
          <w:szCs w:val="24"/>
        </w:rPr>
      </w:pPr>
    </w:p>
    <w:p w14:paraId="759FDB3A" w14:textId="77777777" w:rsidR="00DC67FA" w:rsidRDefault="00DC67FA" w:rsidP="00B84AFA">
      <w:pPr>
        <w:widowControl/>
        <w:autoSpaceDE w:val="0"/>
        <w:autoSpaceDN w:val="0"/>
        <w:adjustRightInd w:val="0"/>
        <w:spacing w:line="276" w:lineRule="auto"/>
        <w:jc w:val="center"/>
        <w:rPr>
          <w:rFonts w:cs="Arial"/>
          <w:color w:val="000000"/>
          <w:szCs w:val="24"/>
        </w:rPr>
      </w:pPr>
    </w:p>
    <w:p w14:paraId="5DFFA70D" w14:textId="77777777" w:rsidR="00B84AFA" w:rsidRPr="0032199D" w:rsidRDefault="00B84AFA" w:rsidP="0032199D">
      <w:pPr>
        <w:widowControl/>
        <w:autoSpaceDE w:val="0"/>
        <w:autoSpaceDN w:val="0"/>
        <w:adjustRightInd w:val="0"/>
        <w:jc w:val="center"/>
        <w:rPr>
          <w:rFonts w:cs="Arial"/>
          <w:color w:val="000000"/>
          <w:sz w:val="20"/>
        </w:rPr>
      </w:pPr>
      <w:r w:rsidRPr="0032199D">
        <w:rPr>
          <w:rFonts w:cs="Arial"/>
          <w:color w:val="000000"/>
          <w:sz w:val="20"/>
        </w:rPr>
        <w:lastRenderedPageBreak/>
        <w:t>Cuadro 7</w:t>
      </w:r>
    </w:p>
    <w:p w14:paraId="33B89070" w14:textId="77777777" w:rsidR="00B84AFA" w:rsidRPr="0032199D" w:rsidRDefault="00B84AFA" w:rsidP="0032199D">
      <w:pPr>
        <w:widowControl/>
        <w:autoSpaceDE w:val="0"/>
        <w:autoSpaceDN w:val="0"/>
        <w:adjustRightInd w:val="0"/>
        <w:ind w:right="51"/>
        <w:jc w:val="center"/>
        <w:rPr>
          <w:rFonts w:cs="Arial"/>
          <w:b/>
          <w:smallCaps/>
          <w:sz w:val="22"/>
          <w:szCs w:val="22"/>
        </w:rPr>
      </w:pPr>
      <w:r w:rsidRPr="0032199D">
        <w:rPr>
          <w:rFonts w:cs="Arial"/>
          <w:b/>
          <w:smallCaps/>
          <w:sz w:val="22"/>
          <w:szCs w:val="22"/>
        </w:rPr>
        <w:t>Tasas de ocupación no permitida por nivel de instrucción según sexo</w:t>
      </w:r>
    </w:p>
    <w:p w14:paraId="4A89F60C" w14:textId="3BEBC9DC" w:rsidR="00B84AFA" w:rsidRPr="00FC665E" w:rsidRDefault="00B84AFA" w:rsidP="0032199D">
      <w:pPr>
        <w:widowControl/>
        <w:autoSpaceDE w:val="0"/>
        <w:autoSpaceDN w:val="0"/>
        <w:adjustRightInd w:val="0"/>
        <w:ind w:right="51"/>
        <w:jc w:val="center"/>
        <w:rPr>
          <w:rFonts w:cs="Arial"/>
          <w:bCs/>
          <w:sz w:val="18"/>
          <w:szCs w:val="18"/>
        </w:rPr>
      </w:pPr>
      <w:r w:rsidRPr="00FC665E">
        <w:rPr>
          <w:rFonts w:cs="Arial"/>
          <w:bCs/>
          <w:sz w:val="18"/>
          <w:szCs w:val="18"/>
        </w:rPr>
        <w:t>(</w:t>
      </w:r>
      <w:r w:rsidR="00FD3AF6">
        <w:rPr>
          <w:rFonts w:cs="Arial"/>
          <w:bCs/>
          <w:sz w:val="18"/>
          <w:szCs w:val="18"/>
        </w:rPr>
        <w:t>p</w:t>
      </w:r>
      <w:r w:rsidRPr="00FC665E">
        <w:rPr>
          <w:rFonts w:cs="Arial"/>
          <w:bCs/>
          <w:sz w:val="18"/>
          <w:szCs w:val="18"/>
        </w:rPr>
        <w:t>orcentaje respecto a la población de</w:t>
      </w:r>
      <w:r>
        <w:rPr>
          <w:rFonts w:cs="Arial"/>
          <w:bCs/>
          <w:sz w:val="18"/>
          <w:szCs w:val="18"/>
        </w:rPr>
        <w:t xml:space="preserve"> cada categoría</w:t>
      </w:r>
      <w:r w:rsidRPr="00FC665E">
        <w:rPr>
          <w:rFonts w:cs="Arial"/>
          <w:bCs/>
          <w:sz w:val="18"/>
          <w:szCs w:val="18"/>
        </w:rPr>
        <w:t>)</w:t>
      </w:r>
    </w:p>
    <w:tbl>
      <w:tblPr>
        <w:tblW w:w="10000" w:type="dxa"/>
        <w:tblCellMar>
          <w:left w:w="70" w:type="dxa"/>
          <w:right w:w="70" w:type="dxa"/>
        </w:tblCellMar>
        <w:tblLook w:val="04A0" w:firstRow="1" w:lastRow="0" w:firstColumn="1" w:lastColumn="0" w:noHBand="0" w:noVBand="1"/>
      </w:tblPr>
      <w:tblGrid>
        <w:gridCol w:w="220"/>
        <w:gridCol w:w="4560"/>
        <w:gridCol w:w="1740"/>
        <w:gridCol w:w="1740"/>
        <w:gridCol w:w="1740"/>
      </w:tblGrid>
      <w:tr w:rsidR="00B84AFA" w:rsidRPr="009D4133" w14:paraId="16B4E897" w14:textId="77777777" w:rsidTr="00562DA7">
        <w:trPr>
          <w:trHeight w:val="315"/>
        </w:trPr>
        <w:tc>
          <w:tcPr>
            <w:tcW w:w="4780" w:type="dxa"/>
            <w:gridSpan w:val="2"/>
            <w:tcBorders>
              <w:top w:val="nil"/>
              <w:left w:val="nil"/>
              <w:bottom w:val="nil"/>
              <w:right w:val="nil"/>
            </w:tcBorders>
            <w:shd w:val="clear" w:color="auto" w:fill="338B99"/>
            <w:vAlign w:val="center"/>
            <w:hideMark/>
          </w:tcPr>
          <w:p w14:paraId="29B110A3" w14:textId="77777777" w:rsidR="00B84AFA" w:rsidRPr="009D4133" w:rsidRDefault="00B84AFA" w:rsidP="00562DA7">
            <w:pPr>
              <w:widowControl/>
              <w:jc w:val="left"/>
              <w:rPr>
                <w:rFonts w:cs="Arial"/>
                <w:b/>
                <w:bCs/>
                <w:color w:val="FFFFFF"/>
                <w:sz w:val="20"/>
                <w:lang w:eastAsia="es-MX"/>
              </w:rPr>
            </w:pPr>
            <w:r w:rsidRPr="009D4133">
              <w:rPr>
                <w:rFonts w:cs="Arial"/>
                <w:b/>
                <w:bCs/>
                <w:color w:val="FFFFFF"/>
                <w:sz w:val="20"/>
                <w:lang w:eastAsia="es-MX"/>
              </w:rPr>
              <w:t>Nivel de instrucción</w:t>
            </w:r>
          </w:p>
        </w:tc>
        <w:tc>
          <w:tcPr>
            <w:tcW w:w="1740" w:type="dxa"/>
            <w:tcBorders>
              <w:top w:val="nil"/>
              <w:left w:val="nil"/>
              <w:bottom w:val="nil"/>
              <w:right w:val="nil"/>
            </w:tcBorders>
            <w:shd w:val="clear" w:color="auto" w:fill="338B99"/>
            <w:vAlign w:val="center"/>
            <w:hideMark/>
          </w:tcPr>
          <w:p w14:paraId="08D814BC" w14:textId="77777777" w:rsidR="00B84AFA" w:rsidRPr="009D4133" w:rsidRDefault="00B84AFA" w:rsidP="00562DA7">
            <w:pPr>
              <w:widowControl/>
              <w:jc w:val="center"/>
              <w:rPr>
                <w:rFonts w:cs="Arial"/>
                <w:b/>
                <w:bCs/>
                <w:color w:val="FFFFFF"/>
                <w:sz w:val="20"/>
                <w:lang w:eastAsia="es-MX"/>
              </w:rPr>
            </w:pPr>
            <w:r w:rsidRPr="009D4133">
              <w:rPr>
                <w:rFonts w:cs="Arial"/>
                <w:b/>
                <w:bCs/>
                <w:color w:val="FFFFFF"/>
                <w:sz w:val="20"/>
                <w:lang w:eastAsia="es-MX"/>
              </w:rPr>
              <w:t>Total</w:t>
            </w:r>
          </w:p>
        </w:tc>
        <w:tc>
          <w:tcPr>
            <w:tcW w:w="1740" w:type="dxa"/>
            <w:tcBorders>
              <w:top w:val="nil"/>
              <w:left w:val="nil"/>
              <w:bottom w:val="nil"/>
              <w:right w:val="nil"/>
            </w:tcBorders>
            <w:shd w:val="clear" w:color="auto" w:fill="338B99"/>
            <w:vAlign w:val="center"/>
            <w:hideMark/>
          </w:tcPr>
          <w:p w14:paraId="64A029C4" w14:textId="77777777" w:rsidR="00B84AFA" w:rsidRPr="009D4133" w:rsidRDefault="00B84AFA" w:rsidP="00562DA7">
            <w:pPr>
              <w:widowControl/>
              <w:jc w:val="center"/>
              <w:rPr>
                <w:rFonts w:cs="Arial"/>
                <w:b/>
                <w:bCs/>
                <w:color w:val="FFFFFF"/>
                <w:sz w:val="20"/>
                <w:lang w:eastAsia="es-MX"/>
              </w:rPr>
            </w:pPr>
            <w:r w:rsidRPr="009D4133">
              <w:rPr>
                <w:rFonts w:cs="Arial"/>
                <w:b/>
                <w:bCs/>
                <w:color w:val="FFFFFF"/>
                <w:sz w:val="20"/>
                <w:lang w:eastAsia="es-MX"/>
              </w:rPr>
              <w:t>Niños</w:t>
            </w:r>
          </w:p>
        </w:tc>
        <w:tc>
          <w:tcPr>
            <w:tcW w:w="1740" w:type="dxa"/>
            <w:tcBorders>
              <w:top w:val="nil"/>
              <w:left w:val="nil"/>
              <w:bottom w:val="nil"/>
              <w:right w:val="nil"/>
            </w:tcBorders>
            <w:shd w:val="clear" w:color="auto" w:fill="338B99"/>
            <w:vAlign w:val="center"/>
            <w:hideMark/>
          </w:tcPr>
          <w:p w14:paraId="6F6F2A41" w14:textId="77777777" w:rsidR="00B84AFA" w:rsidRPr="009D4133" w:rsidRDefault="00B84AFA" w:rsidP="00562DA7">
            <w:pPr>
              <w:widowControl/>
              <w:jc w:val="center"/>
              <w:rPr>
                <w:rFonts w:cs="Arial"/>
                <w:b/>
                <w:bCs/>
                <w:color w:val="FFFFFF"/>
                <w:sz w:val="20"/>
                <w:lang w:eastAsia="es-MX"/>
              </w:rPr>
            </w:pPr>
            <w:r w:rsidRPr="009D4133">
              <w:rPr>
                <w:rFonts w:cs="Arial"/>
                <w:b/>
                <w:bCs/>
                <w:color w:val="FFFFFF"/>
                <w:sz w:val="20"/>
                <w:lang w:eastAsia="es-MX"/>
              </w:rPr>
              <w:t>Niñas</w:t>
            </w:r>
          </w:p>
        </w:tc>
      </w:tr>
      <w:tr w:rsidR="00B84AFA" w:rsidRPr="009D4133" w14:paraId="1AA417DE" w14:textId="77777777" w:rsidTr="00562DA7">
        <w:trPr>
          <w:trHeight w:val="300"/>
        </w:trPr>
        <w:tc>
          <w:tcPr>
            <w:tcW w:w="4780" w:type="dxa"/>
            <w:gridSpan w:val="2"/>
            <w:tcBorders>
              <w:top w:val="nil"/>
              <w:left w:val="nil"/>
              <w:bottom w:val="nil"/>
              <w:right w:val="nil"/>
            </w:tcBorders>
            <w:shd w:val="clear" w:color="auto" w:fill="66A8B3"/>
            <w:vAlign w:val="center"/>
            <w:hideMark/>
          </w:tcPr>
          <w:p w14:paraId="354BAEC4" w14:textId="77777777" w:rsidR="00B84AFA" w:rsidRPr="009D4133" w:rsidRDefault="00B84AFA" w:rsidP="00562DA7">
            <w:pPr>
              <w:widowControl/>
              <w:jc w:val="left"/>
              <w:rPr>
                <w:rFonts w:cs="Arial"/>
                <w:b/>
                <w:bCs/>
                <w:color w:val="000000"/>
                <w:sz w:val="20"/>
                <w:lang w:eastAsia="es-MX"/>
              </w:rPr>
            </w:pPr>
            <w:r w:rsidRPr="009D4133">
              <w:rPr>
                <w:rFonts w:cs="Arial"/>
                <w:b/>
                <w:bCs/>
                <w:color w:val="000000"/>
                <w:sz w:val="20"/>
                <w:lang w:eastAsia="es-MX"/>
              </w:rPr>
              <w:t>Ocupación no permitida</w:t>
            </w:r>
          </w:p>
        </w:tc>
        <w:tc>
          <w:tcPr>
            <w:tcW w:w="1740" w:type="dxa"/>
            <w:tcBorders>
              <w:top w:val="nil"/>
              <w:left w:val="nil"/>
              <w:bottom w:val="nil"/>
              <w:right w:val="nil"/>
            </w:tcBorders>
            <w:shd w:val="clear" w:color="auto" w:fill="66A8B3"/>
            <w:vAlign w:val="center"/>
            <w:hideMark/>
          </w:tcPr>
          <w:p w14:paraId="337C5ABD" w14:textId="77777777" w:rsidR="00B84AFA" w:rsidRPr="009D4133" w:rsidRDefault="00B84AFA" w:rsidP="00562DA7">
            <w:pPr>
              <w:widowControl/>
              <w:jc w:val="center"/>
              <w:rPr>
                <w:rFonts w:cs="Arial"/>
                <w:b/>
                <w:bCs/>
                <w:color w:val="000000"/>
                <w:sz w:val="20"/>
                <w:lang w:eastAsia="es-MX"/>
              </w:rPr>
            </w:pPr>
            <w:r w:rsidRPr="009D4133">
              <w:rPr>
                <w:rFonts w:cs="Arial"/>
                <w:b/>
                <w:bCs/>
                <w:color w:val="000000"/>
                <w:sz w:val="20"/>
                <w:lang w:eastAsia="es-MX"/>
              </w:rPr>
              <w:t>7.5</w:t>
            </w:r>
          </w:p>
        </w:tc>
        <w:tc>
          <w:tcPr>
            <w:tcW w:w="1740" w:type="dxa"/>
            <w:tcBorders>
              <w:top w:val="nil"/>
              <w:left w:val="nil"/>
              <w:bottom w:val="nil"/>
              <w:right w:val="nil"/>
            </w:tcBorders>
            <w:shd w:val="clear" w:color="auto" w:fill="66A8B3"/>
            <w:vAlign w:val="center"/>
            <w:hideMark/>
          </w:tcPr>
          <w:p w14:paraId="44B1CDB7" w14:textId="77777777" w:rsidR="00B84AFA" w:rsidRPr="009D4133" w:rsidRDefault="00B84AFA" w:rsidP="00562DA7">
            <w:pPr>
              <w:widowControl/>
              <w:jc w:val="center"/>
              <w:rPr>
                <w:rFonts w:cs="Arial"/>
                <w:b/>
                <w:bCs/>
                <w:color w:val="000000"/>
                <w:sz w:val="20"/>
                <w:lang w:eastAsia="es-MX"/>
              </w:rPr>
            </w:pPr>
            <w:r w:rsidRPr="009D4133">
              <w:rPr>
                <w:rFonts w:cs="Arial"/>
                <w:b/>
                <w:bCs/>
                <w:color w:val="000000"/>
                <w:sz w:val="20"/>
                <w:lang w:eastAsia="es-MX"/>
              </w:rPr>
              <w:t>10.6</w:t>
            </w:r>
          </w:p>
        </w:tc>
        <w:tc>
          <w:tcPr>
            <w:tcW w:w="1740" w:type="dxa"/>
            <w:tcBorders>
              <w:top w:val="nil"/>
              <w:left w:val="nil"/>
              <w:bottom w:val="nil"/>
              <w:right w:val="nil"/>
            </w:tcBorders>
            <w:shd w:val="clear" w:color="auto" w:fill="66A8B3"/>
            <w:vAlign w:val="center"/>
            <w:hideMark/>
          </w:tcPr>
          <w:p w14:paraId="742DC323" w14:textId="77777777" w:rsidR="00B84AFA" w:rsidRPr="009D4133" w:rsidRDefault="00B84AFA" w:rsidP="00562DA7">
            <w:pPr>
              <w:widowControl/>
              <w:jc w:val="center"/>
              <w:rPr>
                <w:rFonts w:cs="Arial"/>
                <w:b/>
                <w:bCs/>
                <w:color w:val="000000"/>
                <w:sz w:val="20"/>
                <w:lang w:eastAsia="es-MX"/>
              </w:rPr>
            </w:pPr>
            <w:r w:rsidRPr="009D4133">
              <w:rPr>
                <w:rFonts w:cs="Arial"/>
                <w:b/>
                <w:bCs/>
                <w:color w:val="000000"/>
                <w:sz w:val="20"/>
                <w:lang w:eastAsia="es-MX"/>
              </w:rPr>
              <w:t>4.3</w:t>
            </w:r>
          </w:p>
        </w:tc>
      </w:tr>
      <w:tr w:rsidR="00B84AFA" w:rsidRPr="009D4133" w14:paraId="0740E31F" w14:textId="77777777" w:rsidTr="00562DA7">
        <w:trPr>
          <w:trHeight w:val="300"/>
        </w:trPr>
        <w:tc>
          <w:tcPr>
            <w:tcW w:w="220" w:type="dxa"/>
            <w:tcBorders>
              <w:top w:val="nil"/>
              <w:left w:val="nil"/>
              <w:bottom w:val="nil"/>
              <w:right w:val="nil"/>
            </w:tcBorders>
            <w:shd w:val="clear" w:color="auto" w:fill="CCE2E6"/>
            <w:noWrap/>
            <w:vAlign w:val="bottom"/>
            <w:hideMark/>
          </w:tcPr>
          <w:p w14:paraId="243466C2" w14:textId="77777777" w:rsidR="00B84AFA" w:rsidRPr="009D4133" w:rsidRDefault="00B84AFA" w:rsidP="00562DA7">
            <w:pPr>
              <w:widowControl/>
              <w:jc w:val="left"/>
              <w:rPr>
                <w:rFonts w:ascii="Times New Roman" w:hAnsi="Times New Roman"/>
                <w:color w:val="000000"/>
                <w:sz w:val="20"/>
                <w:lang w:eastAsia="es-MX"/>
              </w:rPr>
            </w:pPr>
            <w:r w:rsidRPr="009D4133">
              <w:rPr>
                <w:rFonts w:ascii="Times New Roman" w:hAnsi="Times New Roman"/>
                <w:color w:val="000000"/>
                <w:sz w:val="20"/>
                <w:lang w:eastAsia="es-MX"/>
              </w:rPr>
              <w:t> </w:t>
            </w:r>
          </w:p>
        </w:tc>
        <w:tc>
          <w:tcPr>
            <w:tcW w:w="4560" w:type="dxa"/>
            <w:tcBorders>
              <w:top w:val="nil"/>
              <w:left w:val="nil"/>
              <w:bottom w:val="nil"/>
              <w:right w:val="nil"/>
            </w:tcBorders>
            <w:shd w:val="clear" w:color="auto" w:fill="CCE2E6"/>
            <w:vAlign w:val="center"/>
            <w:hideMark/>
          </w:tcPr>
          <w:p w14:paraId="0956E26B" w14:textId="77777777" w:rsidR="00B84AFA" w:rsidRPr="009D4133" w:rsidRDefault="00B84AFA" w:rsidP="00562DA7">
            <w:pPr>
              <w:widowControl/>
              <w:jc w:val="left"/>
              <w:rPr>
                <w:rFonts w:cs="Arial"/>
                <w:color w:val="000000"/>
                <w:sz w:val="20"/>
                <w:lang w:eastAsia="es-MX"/>
              </w:rPr>
            </w:pPr>
            <w:r w:rsidRPr="009D4133">
              <w:rPr>
                <w:rFonts w:cs="Arial"/>
                <w:sz w:val="20"/>
                <w:lang w:eastAsia="es-MX"/>
              </w:rPr>
              <w:t>Sin instrucción</w:t>
            </w:r>
          </w:p>
        </w:tc>
        <w:tc>
          <w:tcPr>
            <w:tcW w:w="1740" w:type="dxa"/>
            <w:tcBorders>
              <w:top w:val="nil"/>
              <w:left w:val="nil"/>
              <w:bottom w:val="nil"/>
              <w:right w:val="nil"/>
            </w:tcBorders>
            <w:shd w:val="clear" w:color="auto" w:fill="CCE2E6"/>
            <w:vAlign w:val="center"/>
            <w:hideMark/>
          </w:tcPr>
          <w:p w14:paraId="6538D05A" w14:textId="77777777" w:rsidR="00B84AFA" w:rsidRPr="009D4133" w:rsidRDefault="00B84AFA" w:rsidP="00562DA7">
            <w:pPr>
              <w:widowControl/>
              <w:jc w:val="center"/>
              <w:rPr>
                <w:rFonts w:cs="Arial"/>
                <w:color w:val="000000"/>
                <w:sz w:val="20"/>
                <w:lang w:eastAsia="es-MX"/>
              </w:rPr>
            </w:pPr>
            <w:r w:rsidRPr="009D4133">
              <w:rPr>
                <w:rFonts w:cs="Arial"/>
                <w:sz w:val="20"/>
                <w:lang w:eastAsia="es-MX"/>
              </w:rPr>
              <w:t>0.8</w:t>
            </w:r>
          </w:p>
        </w:tc>
        <w:tc>
          <w:tcPr>
            <w:tcW w:w="1740" w:type="dxa"/>
            <w:tcBorders>
              <w:top w:val="nil"/>
              <w:left w:val="nil"/>
              <w:bottom w:val="nil"/>
              <w:right w:val="nil"/>
            </w:tcBorders>
            <w:shd w:val="clear" w:color="auto" w:fill="CCE2E6"/>
            <w:vAlign w:val="center"/>
            <w:hideMark/>
          </w:tcPr>
          <w:p w14:paraId="4F9DF059" w14:textId="77777777" w:rsidR="00B84AFA" w:rsidRPr="009D4133" w:rsidRDefault="00B84AFA" w:rsidP="00562DA7">
            <w:pPr>
              <w:widowControl/>
              <w:jc w:val="center"/>
              <w:rPr>
                <w:rFonts w:cs="Arial"/>
                <w:color w:val="000000"/>
                <w:sz w:val="20"/>
                <w:lang w:eastAsia="es-MX"/>
              </w:rPr>
            </w:pPr>
            <w:r w:rsidRPr="009D4133">
              <w:rPr>
                <w:rFonts w:cs="Arial"/>
                <w:sz w:val="20"/>
                <w:lang w:eastAsia="es-MX"/>
              </w:rPr>
              <w:t>1.1</w:t>
            </w:r>
          </w:p>
        </w:tc>
        <w:tc>
          <w:tcPr>
            <w:tcW w:w="1740" w:type="dxa"/>
            <w:tcBorders>
              <w:top w:val="nil"/>
              <w:left w:val="nil"/>
              <w:bottom w:val="nil"/>
              <w:right w:val="nil"/>
            </w:tcBorders>
            <w:shd w:val="clear" w:color="auto" w:fill="CCE2E6"/>
            <w:vAlign w:val="center"/>
            <w:hideMark/>
          </w:tcPr>
          <w:p w14:paraId="791A767F" w14:textId="77777777" w:rsidR="00B84AFA" w:rsidRPr="009D4133" w:rsidRDefault="00B84AFA" w:rsidP="00562DA7">
            <w:pPr>
              <w:widowControl/>
              <w:jc w:val="center"/>
              <w:rPr>
                <w:rFonts w:cs="Arial"/>
                <w:color w:val="000000"/>
                <w:sz w:val="20"/>
                <w:lang w:eastAsia="es-MX"/>
              </w:rPr>
            </w:pPr>
            <w:r w:rsidRPr="009D4133">
              <w:rPr>
                <w:rFonts w:cs="Arial"/>
                <w:sz w:val="20"/>
                <w:lang w:eastAsia="es-MX"/>
              </w:rPr>
              <w:t>0.6</w:t>
            </w:r>
          </w:p>
        </w:tc>
      </w:tr>
      <w:tr w:rsidR="00B84AFA" w:rsidRPr="009D4133" w14:paraId="5D4D59FD" w14:textId="77777777" w:rsidTr="00562DA7">
        <w:trPr>
          <w:trHeight w:val="300"/>
        </w:trPr>
        <w:tc>
          <w:tcPr>
            <w:tcW w:w="220" w:type="dxa"/>
            <w:tcBorders>
              <w:top w:val="nil"/>
              <w:left w:val="nil"/>
              <w:bottom w:val="nil"/>
              <w:right w:val="nil"/>
            </w:tcBorders>
            <w:shd w:val="clear" w:color="auto" w:fill="CCE2E6"/>
            <w:noWrap/>
            <w:vAlign w:val="bottom"/>
            <w:hideMark/>
          </w:tcPr>
          <w:p w14:paraId="5F55CED6" w14:textId="77777777" w:rsidR="00B84AFA" w:rsidRPr="009D4133" w:rsidRDefault="00B84AFA" w:rsidP="00562DA7">
            <w:pPr>
              <w:widowControl/>
              <w:jc w:val="left"/>
              <w:rPr>
                <w:rFonts w:ascii="Times New Roman" w:hAnsi="Times New Roman"/>
                <w:color w:val="000000"/>
                <w:sz w:val="20"/>
                <w:lang w:eastAsia="es-MX"/>
              </w:rPr>
            </w:pPr>
            <w:r w:rsidRPr="009D4133">
              <w:rPr>
                <w:rFonts w:ascii="Times New Roman" w:hAnsi="Times New Roman"/>
                <w:color w:val="000000"/>
                <w:sz w:val="20"/>
                <w:lang w:eastAsia="es-MX"/>
              </w:rPr>
              <w:t> </w:t>
            </w:r>
          </w:p>
        </w:tc>
        <w:tc>
          <w:tcPr>
            <w:tcW w:w="4560" w:type="dxa"/>
            <w:tcBorders>
              <w:top w:val="nil"/>
              <w:left w:val="nil"/>
              <w:bottom w:val="nil"/>
              <w:right w:val="nil"/>
            </w:tcBorders>
            <w:shd w:val="clear" w:color="auto" w:fill="CCE2E6"/>
            <w:vAlign w:val="center"/>
            <w:hideMark/>
          </w:tcPr>
          <w:p w14:paraId="79ECD8E1" w14:textId="77777777" w:rsidR="00B84AFA" w:rsidRPr="009D4133" w:rsidRDefault="00B84AFA" w:rsidP="00562DA7">
            <w:pPr>
              <w:widowControl/>
              <w:jc w:val="left"/>
              <w:rPr>
                <w:rFonts w:cs="Arial"/>
                <w:color w:val="000000"/>
                <w:sz w:val="20"/>
                <w:lang w:eastAsia="es-MX"/>
              </w:rPr>
            </w:pPr>
            <w:r w:rsidRPr="009D4133">
              <w:rPr>
                <w:rFonts w:cs="Arial"/>
                <w:sz w:val="20"/>
                <w:lang w:eastAsia="es-MX"/>
              </w:rPr>
              <w:t>Primaria incompleta</w:t>
            </w:r>
          </w:p>
        </w:tc>
        <w:tc>
          <w:tcPr>
            <w:tcW w:w="1740" w:type="dxa"/>
            <w:tcBorders>
              <w:top w:val="nil"/>
              <w:left w:val="nil"/>
              <w:bottom w:val="nil"/>
              <w:right w:val="nil"/>
            </w:tcBorders>
            <w:shd w:val="clear" w:color="auto" w:fill="CCE2E6"/>
            <w:vAlign w:val="center"/>
            <w:hideMark/>
          </w:tcPr>
          <w:p w14:paraId="0E493A95" w14:textId="77777777" w:rsidR="00B84AFA" w:rsidRPr="009D4133" w:rsidRDefault="00B84AFA" w:rsidP="00562DA7">
            <w:pPr>
              <w:widowControl/>
              <w:jc w:val="center"/>
              <w:rPr>
                <w:rFonts w:cs="Arial"/>
                <w:color w:val="000000"/>
                <w:sz w:val="20"/>
                <w:lang w:eastAsia="es-MX"/>
              </w:rPr>
            </w:pPr>
            <w:r w:rsidRPr="009D4133">
              <w:rPr>
                <w:rFonts w:cs="Arial"/>
                <w:sz w:val="20"/>
                <w:lang w:eastAsia="es-MX"/>
              </w:rPr>
              <w:t>3.6</w:t>
            </w:r>
          </w:p>
        </w:tc>
        <w:tc>
          <w:tcPr>
            <w:tcW w:w="1740" w:type="dxa"/>
            <w:tcBorders>
              <w:top w:val="nil"/>
              <w:left w:val="nil"/>
              <w:bottom w:val="nil"/>
              <w:right w:val="nil"/>
            </w:tcBorders>
            <w:shd w:val="clear" w:color="auto" w:fill="CCE2E6"/>
            <w:vAlign w:val="center"/>
            <w:hideMark/>
          </w:tcPr>
          <w:p w14:paraId="2A592FEF" w14:textId="77777777" w:rsidR="00B84AFA" w:rsidRPr="009D4133" w:rsidRDefault="00B84AFA" w:rsidP="00562DA7">
            <w:pPr>
              <w:widowControl/>
              <w:jc w:val="center"/>
              <w:rPr>
                <w:rFonts w:cs="Arial"/>
                <w:color w:val="000000"/>
                <w:sz w:val="20"/>
                <w:lang w:eastAsia="es-MX"/>
              </w:rPr>
            </w:pPr>
            <w:r w:rsidRPr="009D4133">
              <w:rPr>
                <w:rFonts w:cs="Arial"/>
                <w:sz w:val="20"/>
                <w:lang w:eastAsia="es-MX"/>
              </w:rPr>
              <w:t>4.9</w:t>
            </w:r>
          </w:p>
        </w:tc>
        <w:tc>
          <w:tcPr>
            <w:tcW w:w="1740" w:type="dxa"/>
            <w:tcBorders>
              <w:top w:val="nil"/>
              <w:left w:val="nil"/>
              <w:bottom w:val="nil"/>
              <w:right w:val="nil"/>
            </w:tcBorders>
            <w:shd w:val="clear" w:color="auto" w:fill="CCE2E6"/>
            <w:vAlign w:val="center"/>
            <w:hideMark/>
          </w:tcPr>
          <w:p w14:paraId="3A90BA71" w14:textId="77777777" w:rsidR="00B84AFA" w:rsidRPr="009D4133" w:rsidRDefault="00B84AFA" w:rsidP="00562DA7">
            <w:pPr>
              <w:widowControl/>
              <w:jc w:val="center"/>
              <w:rPr>
                <w:rFonts w:cs="Arial"/>
                <w:color w:val="000000"/>
                <w:sz w:val="20"/>
                <w:lang w:eastAsia="es-MX"/>
              </w:rPr>
            </w:pPr>
            <w:r w:rsidRPr="009D4133">
              <w:rPr>
                <w:rFonts w:cs="Arial"/>
                <w:sz w:val="20"/>
                <w:lang w:eastAsia="es-MX"/>
              </w:rPr>
              <w:t>2.2</w:t>
            </w:r>
          </w:p>
        </w:tc>
      </w:tr>
      <w:tr w:rsidR="00B84AFA" w:rsidRPr="009D4133" w14:paraId="490176DC" w14:textId="77777777" w:rsidTr="00562DA7">
        <w:trPr>
          <w:trHeight w:val="300"/>
        </w:trPr>
        <w:tc>
          <w:tcPr>
            <w:tcW w:w="220" w:type="dxa"/>
            <w:tcBorders>
              <w:top w:val="nil"/>
              <w:left w:val="nil"/>
              <w:bottom w:val="nil"/>
              <w:right w:val="nil"/>
            </w:tcBorders>
            <w:shd w:val="clear" w:color="auto" w:fill="CCE2E6"/>
            <w:noWrap/>
            <w:vAlign w:val="bottom"/>
            <w:hideMark/>
          </w:tcPr>
          <w:p w14:paraId="7B82300C" w14:textId="77777777" w:rsidR="00B84AFA" w:rsidRPr="009D4133" w:rsidRDefault="00B84AFA" w:rsidP="00562DA7">
            <w:pPr>
              <w:widowControl/>
              <w:jc w:val="left"/>
              <w:rPr>
                <w:rFonts w:ascii="Times New Roman" w:hAnsi="Times New Roman"/>
                <w:color w:val="000000"/>
                <w:sz w:val="20"/>
                <w:lang w:eastAsia="es-MX"/>
              </w:rPr>
            </w:pPr>
            <w:r w:rsidRPr="009D4133">
              <w:rPr>
                <w:rFonts w:ascii="Times New Roman" w:hAnsi="Times New Roman"/>
                <w:color w:val="000000"/>
                <w:sz w:val="20"/>
                <w:lang w:eastAsia="es-MX"/>
              </w:rPr>
              <w:t> </w:t>
            </w:r>
          </w:p>
        </w:tc>
        <w:tc>
          <w:tcPr>
            <w:tcW w:w="4560" w:type="dxa"/>
            <w:tcBorders>
              <w:top w:val="nil"/>
              <w:left w:val="nil"/>
              <w:bottom w:val="nil"/>
              <w:right w:val="nil"/>
            </w:tcBorders>
            <w:shd w:val="clear" w:color="auto" w:fill="CCE2E6"/>
            <w:vAlign w:val="center"/>
            <w:hideMark/>
          </w:tcPr>
          <w:p w14:paraId="4C7A4733" w14:textId="77777777" w:rsidR="00B84AFA" w:rsidRPr="009D4133" w:rsidRDefault="00B84AFA" w:rsidP="00562DA7">
            <w:pPr>
              <w:widowControl/>
              <w:jc w:val="left"/>
              <w:rPr>
                <w:rFonts w:cs="Arial"/>
                <w:color w:val="000000"/>
                <w:sz w:val="20"/>
                <w:lang w:eastAsia="es-MX"/>
              </w:rPr>
            </w:pPr>
            <w:r w:rsidRPr="009D4133">
              <w:rPr>
                <w:rFonts w:cs="Arial"/>
                <w:sz w:val="20"/>
                <w:lang w:eastAsia="es-MX"/>
              </w:rPr>
              <w:t>Primaria completa</w:t>
            </w:r>
          </w:p>
        </w:tc>
        <w:tc>
          <w:tcPr>
            <w:tcW w:w="1740" w:type="dxa"/>
            <w:tcBorders>
              <w:top w:val="nil"/>
              <w:left w:val="nil"/>
              <w:bottom w:val="nil"/>
              <w:right w:val="nil"/>
            </w:tcBorders>
            <w:shd w:val="clear" w:color="auto" w:fill="CCE2E6"/>
            <w:vAlign w:val="center"/>
            <w:hideMark/>
          </w:tcPr>
          <w:p w14:paraId="0A0A5FB3" w14:textId="77777777" w:rsidR="00B84AFA" w:rsidRPr="009D4133" w:rsidRDefault="00B84AFA" w:rsidP="00562DA7">
            <w:pPr>
              <w:widowControl/>
              <w:jc w:val="center"/>
              <w:rPr>
                <w:rFonts w:cs="Arial"/>
                <w:color w:val="000000"/>
                <w:sz w:val="20"/>
                <w:lang w:eastAsia="es-MX"/>
              </w:rPr>
            </w:pPr>
            <w:r w:rsidRPr="009D4133">
              <w:rPr>
                <w:rFonts w:cs="Arial"/>
                <w:sz w:val="20"/>
                <w:lang w:eastAsia="es-MX"/>
              </w:rPr>
              <w:t>13.3</w:t>
            </w:r>
          </w:p>
        </w:tc>
        <w:tc>
          <w:tcPr>
            <w:tcW w:w="1740" w:type="dxa"/>
            <w:tcBorders>
              <w:top w:val="nil"/>
              <w:left w:val="nil"/>
              <w:bottom w:val="nil"/>
              <w:right w:val="nil"/>
            </w:tcBorders>
            <w:shd w:val="clear" w:color="auto" w:fill="CCE2E6"/>
            <w:vAlign w:val="center"/>
            <w:hideMark/>
          </w:tcPr>
          <w:p w14:paraId="4B060648" w14:textId="77777777" w:rsidR="00B84AFA" w:rsidRPr="009D4133" w:rsidRDefault="00B84AFA" w:rsidP="00562DA7">
            <w:pPr>
              <w:widowControl/>
              <w:jc w:val="center"/>
              <w:rPr>
                <w:rFonts w:cs="Arial"/>
                <w:color w:val="000000"/>
                <w:sz w:val="20"/>
                <w:lang w:eastAsia="es-MX"/>
              </w:rPr>
            </w:pPr>
            <w:r w:rsidRPr="009D4133">
              <w:rPr>
                <w:rFonts w:cs="Arial"/>
                <w:sz w:val="20"/>
                <w:lang w:eastAsia="es-MX"/>
              </w:rPr>
              <w:t>19.1</w:t>
            </w:r>
          </w:p>
        </w:tc>
        <w:tc>
          <w:tcPr>
            <w:tcW w:w="1740" w:type="dxa"/>
            <w:tcBorders>
              <w:top w:val="nil"/>
              <w:left w:val="nil"/>
              <w:bottom w:val="nil"/>
              <w:right w:val="nil"/>
            </w:tcBorders>
            <w:shd w:val="clear" w:color="auto" w:fill="CCE2E6"/>
            <w:vAlign w:val="center"/>
            <w:hideMark/>
          </w:tcPr>
          <w:p w14:paraId="412BD119" w14:textId="77777777" w:rsidR="00B84AFA" w:rsidRPr="009D4133" w:rsidRDefault="00B84AFA" w:rsidP="00562DA7">
            <w:pPr>
              <w:widowControl/>
              <w:jc w:val="center"/>
              <w:rPr>
                <w:rFonts w:cs="Arial"/>
                <w:color w:val="000000"/>
                <w:sz w:val="20"/>
                <w:lang w:eastAsia="es-MX"/>
              </w:rPr>
            </w:pPr>
            <w:r w:rsidRPr="009D4133">
              <w:rPr>
                <w:rFonts w:cs="Arial"/>
                <w:sz w:val="20"/>
                <w:lang w:eastAsia="es-MX"/>
              </w:rPr>
              <w:t>6.9</w:t>
            </w:r>
          </w:p>
        </w:tc>
      </w:tr>
      <w:tr w:rsidR="00B84AFA" w:rsidRPr="009D4133" w14:paraId="0A19FD53" w14:textId="77777777" w:rsidTr="00562DA7">
        <w:trPr>
          <w:trHeight w:val="300"/>
        </w:trPr>
        <w:tc>
          <w:tcPr>
            <w:tcW w:w="220" w:type="dxa"/>
            <w:tcBorders>
              <w:top w:val="nil"/>
              <w:left w:val="nil"/>
              <w:bottom w:val="nil"/>
              <w:right w:val="nil"/>
            </w:tcBorders>
            <w:shd w:val="clear" w:color="auto" w:fill="CCE2E6"/>
            <w:noWrap/>
            <w:vAlign w:val="bottom"/>
            <w:hideMark/>
          </w:tcPr>
          <w:p w14:paraId="5839BA66" w14:textId="77777777" w:rsidR="00B84AFA" w:rsidRPr="009D4133" w:rsidRDefault="00B84AFA" w:rsidP="00562DA7">
            <w:pPr>
              <w:widowControl/>
              <w:jc w:val="left"/>
              <w:rPr>
                <w:rFonts w:ascii="Times New Roman" w:hAnsi="Times New Roman"/>
                <w:color w:val="000000"/>
                <w:sz w:val="20"/>
                <w:lang w:eastAsia="es-MX"/>
              </w:rPr>
            </w:pPr>
            <w:r w:rsidRPr="009D4133">
              <w:rPr>
                <w:rFonts w:ascii="Times New Roman" w:hAnsi="Times New Roman"/>
                <w:color w:val="000000"/>
                <w:sz w:val="20"/>
                <w:lang w:eastAsia="es-MX"/>
              </w:rPr>
              <w:t> </w:t>
            </w:r>
          </w:p>
        </w:tc>
        <w:tc>
          <w:tcPr>
            <w:tcW w:w="4560" w:type="dxa"/>
            <w:tcBorders>
              <w:top w:val="nil"/>
              <w:left w:val="nil"/>
              <w:bottom w:val="nil"/>
              <w:right w:val="nil"/>
            </w:tcBorders>
            <w:shd w:val="clear" w:color="auto" w:fill="CCE2E6"/>
            <w:vAlign w:val="center"/>
            <w:hideMark/>
          </w:tcPr>
          <w:p w14:paraId="39B0CB26" w14:textId="77777777" w:rsidR="00B84AFA" w:rsidRPr="009D4133" w:rsidRDefault="00B84AFA" w:rsidP="00562DA7">
            <w:pPr>
              <w:widowControl/>
              <w:jc w:val="left"/>
              <w:rPr>
                <w:rFonts w:cs="Arial"/>
                <w:color w:val="000000"/>
                <w:sz w:val="20"/>
                <w:lang w:eastAsia="es-MX"/>
              </w:rPr>
            </w:pPr>
            <w:r w:rsidRPr="009D4133">
              <w:rPr>
                <w:rFonts w:cs="Arial"/>
                <w:sz w:val="20"/>
                <w:lang w:eastAsia="es-MX"/>
              </w:rPr>
              <w:t>Secundaria incompleta</w:t>
            </w:r>
          </w:p>
        </w:tc>
        <w:tc>
          <w:tcPr>
            <w:tcW w:w="1740" w:type="dxa"/>
            <w:tcBorders>
              <w:top w:val="nil"/>
              <w:left w:val="nil"/>
              <w:bottom w:val="nil"/>
              <w:right w:val="nil"/>
            </w:tcBorders>
            <w:shd w:val="clear" w:color="auto" w:fill="CCE2E6"/>
            <w:vAlign w:val="center"/>
            <w:hideMark/>
          </w:tcPr>
          <w:p w14:paraId="4E6E4074" w14:textId="77777777" w:rsidR="00B84AFA" w:rsidRPr="009D4133" w:rsidRDefault="00B84AFA" w:rsidP="00562DA7">
            <w:pPr>
              <w:widowControl/>
              <w:jc w:val="center"/>
              <w:rPr>
                <w:rFonts w:cs="Arial"/>
                <w:color w:val="000000"/>
                <w:sz w:val="20"/>
                <w:lang w:eastAsia="es-MX"/>
              </w:rPr>
            </w:pPr>
            <w:r w:rsidRPr="009D4133">
              <w:rPr>
                <w:rFonts w:cs="Arial"/>
                <w:sz w:val="20"/>
                <w:lang w:eastAsia="es-MX"/>
              </w:rPr>
              <w:t>9.2</w:t>
            </w:r>
          </w:p>
        </w:tc>
        <w:tc>
          <w:tcPr>
            <w:tcW w:w="1740" w:type="dxa"/>
            <w:tcBorders>
              <w:top w:val="nil"/>
              <w:left w:val="nil"/>
              <w:bottom w:val="nil"/>
              <w:right w:val="nil"/>
            </w:tcBorders>
            <w:shd w:val="clear" w:color="auto" w:fill="CCE2E6"/>
            <w:vAlign w:val="center"/>
            <w:hideMark/>
          </w:tcPr>
          <w:p w14:paraId="76AB7F33" w14:textId="77777777" w:rsidR="00B84AFA" w:rsidRPr="009D4133" w:rsidRDefault="00B84AFA" w:rsidP="00562DA7">
            <w:pPr>
              <w:widowControl/>
              <w:jc w:val="center"/>
              <w:rPr>
                <w:rFonts w:cs="Arial"/>
                <w:color w:val="000000"/>
                <w:sz w:val="20"/>
                <w:lang w:eastAsia="es-MX"/>
              </w:rPr>
            </w:pPr>
            <w:r w:rsidRPr="009D4133">
              <w:rPr>
                <w:rFonts w:cs="Arial"/>
                <w:sz w:val="20"/>
                <w:lang w:eastAsia="es-MX"/>
              </w:rPr>
              <w:t>13.2</w:t>
            </w:r>
          </w:p>
        </w:tc>
        <w:tc>
          <w:tcPr>
            <w:tcW w:w="1740" w:type="dxa"/>
            <w:tcBorders>
              <w:top w:val="nil"/>
              <w:left w:val="nil"/>
              <w:bottom w:val="nil"/>
              <w:right w:val="nil"/>
            </w:tcBorders>
            <w:shd w:val="clear" w:color="auto" w:fill="CCE2E6"/>
            <w:vAlign w:val="center"/>
            <w:hideMark/>
          </w:tcPr>
          <w:p w14:paraId="2C3BB84C" w14:textId="77777777" w:rsidR="00B84AFA" w:rsidRPr="009D4133" w:rsidRDefault="00B84AFA" w:rsidP="00562DA7">
            <w:pPr>
              <w:widowControl/>
              <w:jc w:val="center"/>
              <w:rPr>
                <w:rFonts w:cs="Arial"/>
                <w:color w:val="000000"/>
                <w:sz w:val="20"/>
                <w:lang w:eastAsia="es-MX"/>
              </w:rPr>
            </w:pPr>
            <w:r w:rsidRPr="009D4133">
              <w:rPr>
                <w:rFonts w:cs="Arial"/>
                <w:sz w:val="20"/>
                <w:lang w:eastAsia="es-MX"/>
              </w:rPr>
              <w:t>5.1</w:t>
            </w:r>
          </w:p>
        </w:tc>
      </w:tr>
      <w:tr w:rsidR="00B84AFA" w:rsidRPr="009D4133" w14:paraId="5271DEBD" w14:textId="77777777" w:rsidTr="00562DA7">
        <w:trPr>
          <w:trHeight w:val="300"/>
        </w:trPr>
        <w:tc>
          <w:tcPr>
            <w:tcW w:w="220" w:type="dxa"/>
            <w:tcBorders>
              <w:top w:val="nil"/>
              <w:left w:val="nil"/>
              <w:right w:val="nil"/>
            </w:tcBorders>
            <w:shd w:val="clear" w:color="auto" w:fill="CCE2E6"/>
            <w:noWrap/>
            <w:vAlign w:val="bottom"/>
            <w:hideMark/>
          </w:tcPr>
          <w:p w14:paraId="22181818" w14:textId="77777777" w:rsidR="00B84AFA" w:rsidRPr="009D4133" w:rsidRDefault="00B84AFA" w:rsidP="00562DA7">
            <w:pPr>
              <w:widowControl/>
              <w:jc w:val="left"/>
              <w:rPr>
                <w:rFonts w:ascii="Times New Roman" w:hAnsi="Times New Roman"/>
                <w:color w:val="000000"/>
                <w:sz w:val="20"/>
                <w:lang w:eastAsia="es-MX"/>
              </w:rPr>
            </w:pPr>
            <w:r w:rsidRPr="009D4133">
              <w:rPr>
                <w:rFonts w:ascii="Times New Roman" w:hAnsi="Times New Roman" w:cs="Arial"/>
                <w:color w:val="000000"/>
                <w:sz w:val="20"/>
                <w:lang w:eastAsia="es-MX"/>
              </w:rPr>
              <w:t> </w:t>
            </w:r>
          </w:p>
        </w:tc>
        <w:tc>
          <w:tcPr>
            <w:tcW w:w="4560" w:type="dxa"/>
            <w:tcBorders>
              <w:top w:val="nil"/>
              <w:left w:val="nil"/>
              <w:right w:val="nil"/>
            </w:tcBorders>
            <w:shd w:val="clear" w:color="auto" w:fill="CCE2E6"/>
            <w:vAlign w:val="center"/>
            <w:hideMark/>
          </w:tcPr>
          <w:p w14:paraId="11611A60" w14:textId="77777777" w:rsidR="00B84AFA" w:rsidRPr="009D4133" w:rsidRDefault="00B84AFA" w:rsidP="00562DA7">
            <w:pPr>
              <w:widowControl/>
              <w:jc w:val="left"/>
              <w:rPr>
                <w:rFonts w:cs="Arial"/>
                <w:color w:val="000000"/>
                <w:sz w:val="20"/>
                <w:lang w:eastAsia="es-MX"/>
              </w:rPr>
            </w:pPr>
            <w:r w:rsidRPr="009D4133">
              <w:rPr>
                <w:rFonts w:cs="Arial"/>
                <w:sz w:val="20"/>
                <w:lang w:eastAsia="es-MX"/>
              </w:rPr>
              <w:t>Secundaria completa</w:t>
            </w:r>
          </w:p>
        </w:tc>
        <w:tc>
          <w:tcPr>
            <w:tcW w:w="1740" w:type="dxa"/>
            <w:tcBorders>
              <w:top w:val="nil"/>
              <w:left w:val="nil"/>
              <w:right w:val="nil"/>
            </w:tcBorders>
            <w:shd w:val="clear" w:color="auto" w:fill="CCE2E6"/>
            <w:vAlign w:val="center"/>
            <w:hideMark/>
          </w:tcPr>
          <w:p w14:paraId="553D9D8E" w14:textId="77777777" w:rsidR="00B84AFA" w:rsidRPr="009D4133" w:rsidRDefault="00B84AFA" w:rsidP="00562DA7">
            <w:pPr>
              <w:widowControl/>
              <w:jc w:val="center"/>
              <w:rPr>
                <w:rFonts w:cs="Arial"/>
                <w:color w:val="000000"/>
                <w:sz w:val="20"/>
                <w:lang w:eastAsia="es-MX"/>
              </w:rPr>
            </w:pPr>
            <w:r w:rsidRPr="009D4133">
              <w:rPr>
                <w:rFonts w:cs="Arial"/>
                <w:sz w:val="20"/>
                <w:lang w:eastAsia="es-MX"/>
              </w:rPr>
              <w:t>18.9</w:t>
            </w:r>
          </w:p>
        </w:tc>
        <w:tc>
          <w:tcPr>
            <w:tcW w:w="1740" w:type="dxa"/>
            <w:tcBorders>
              <w:top w:val="nil"/>
              <w:left w:val="nil"/>
              <w:right w:val="nil"/>
            </w:tcBorders>
            <w:shd w:val="clear" w:color="auto" w:fill="CCE2E6"/>
            <w:vAlign w:val="center"/>
            <w:hideMark/>
          </w:tcPr>
          <w:p w14:paraId="37D231C5" w14:textId="77777777" w:rsidR="00B84AFA" w:rsidRPr="009D4133" w:rsidRDefault="00B84AFA" w:rsidP="00562DA7">
            <w:pPr>
              <w:widowControl/>
              <w:jc w:val="center"/>
              <w:rPr>
                <w:rFonts w:cs="Arial"/>
                <w:color w:val="000000"/>
                <w:sz w:val="20"/>
                <w:lang w:eastAsia="es-MX"/>
              </w:rPr>
            </w:pPr>
            <w:r w:rsidRPr="009D4133">
              <w:rPr>
                <w:rFonts w:cs="Arial"/>
                <w:sz w:val="20"/>
                <w:lang w:eastAsia="es-MX"/>
              </w:rPr>
              <w:t>27.3</w:t>
            </w:r>
          </w:p>
        </w:tc>
        <w:tc>
          <w:tcPr>
            <w:tcW w:w="1740" w:type="dxa"/>
            <w:tcBorders>
              <w:top w:val="nil"/>
              <w:left w:val="nil"/>
              <w:right w:val="nil"/>
            </w:tcBorders>
            <w:shd w:val="clear" w:color="auto" w:fill="CCE2E6"/>
            <w:vAlign w:val="center"/>
            <w:hideMark/>
          </w:tcPr>
          <w:p w14:paraId="15CC1C99" w14:textId="77777777" w:rsidR="00B84AFA" w:rsidRPr="009D4133" w:rsidRDefault="00B84AFA" w:rsidP="00562DA7">
            <w:pPr>
              <w:widowControl/>
              <w:jc w:val="center"/>
              <w:rPr>
                <w:rFonts w:cs="Arial"/>
                <w:color w:val="000000"/>
                <w:sz w:val="20"/>
                <w:lang w:eastAsia="es-MX"/>
              </w:rPr>
            </w:pPr>
            <w:r w:rsidRPr="009D4133">
              <w:rPr>
                <w:rFonts w:cs="Arial"/>
                <w:sz w:val="20"/>
                <w:lang w:eastAsia="es-MX"/>
              </w:rPr>
              <w:t>10.3</w:t>
            </w:r>
          </w:p>
        </w:tc>
      </w:tr>
      <w:tr w:rsidR="00B84AFA" w:rsidRPr="009D4133" w14:paraId="26C4B35E" w14:textId="77777777" w:rsidTr="00562DA7">
        <w:trPr>
          <w:trHeight w:val="300"/>
        </w:trPr>
        <w:tc>
          <w:tcPr>
            <w:tcW w:w="220" w:type="dxa"/>
            <w:tcBorders>
              <w:top w:val="nil"/>
              <w:left w:val="nil"/>
              <w:right w:val="nil"/>
            </w:tcBorders>
            <w:shd w:val="clear" w:color="auto" w:fill="CCE2E6"/>
            <w:vAlign w:val="center"/>
            <w:hideMark/>
          </w:tcPr>
          <w:p w14:paraId="757AEB99" w14:textId="77777777" w:rsidR="00B84AFA" w:rsidRPr="009D4133" w:rsidRDefault="00B84AFA" w:rsidP="00562DA7">
            <w:pPr>
              <w:widowControl/>
              <w:jc w:val="left"/>
              <w:rPr>
                <w:rFonts w:ascii="Times New Roman" w:hAnsi="Times New Roman"/>
                <w:color w:val="000000"/>
                <w:sz w:val="20"/>
                <w:lang w:eastAsia="es-MX"/>
              </w:rPr>
            </w:pPr>
            <w:r w:rsidRPr="009D4133">
              <w:rPr>
                <w:rFonts w:ascii="Times New Roman" w:hAnsi="Times New Roman" w:cs="Arial"/>
                <w:color w:val="000000"/>
                <w:sz w:val="20"/>
                <w:lang w:eastAsia="es-MX"/>
              </w:rPr>
              <w:t> </w:t>
            </w:r>
          </w:p>
        </w:tc>
        <w:tc>
          <w:tcPr>
            <w:tcW w:w="4560" w:type="dxa"/>
            <w:tcBorders>
              <w:top w:val="nil"/>
              <w:left w:val="nil"/>
              <w:right w:val="nil"/>
            </w:tcBorders>
            <w:shd w:val="clear" w:color="auto" w:fill="CCE2E6"/>
            <w:vAlign w:val="center"/>
            <w:hideMark/>
          </w:tcPr>
          <w:p w14:paraId="07AD3EDA" w14:textId="77777777" w:rsidR="00B84AFA" w:rsidRPr="009D4133" w:rsidRDefault="00B84AFA" w:rsidP="00562DA7">
            <w:pPr>
              <w:widowControl/>
              <w:jc w:val="left"/>
              <w:rPr>
                <w:rFonts w:cs="Arial"/>
                <w:color w:val="000000"/>
                <w:sz w:val="20"/>
                <w:lang w:eastAsia="es-MX"/>
              </w:rPr>
            </w:pPr>
            <w:r w:rsidRPr="009D4133">
              <w:rPr>
                <w:rFonts w:cs="Arial"/>
                <w:sz w:val="20"/>
                <w:lang w:eastAsia="es-MX"/>
              </w:rPr>
              <w:t>Algún año de bachillerato o equivalente y más</w:t>
            </w:r>
          </w:p>
        </w:tc>
        <w:tc>
          <w:tcPr>
            <w:tcW w:w="1740" w:type="dxa"/>
            <w:tcBorders>
              <w:top w:val="nil"/>
              <w:left w:val="nil"/>
              <w:right w:val="nil"/>
            </w:tcBorders>
            <w:shd w:val="clear" w:color="auto" w:fill="CCE2E6"/>
            <w:vAlign w:val="center"/>
            <w:hideMark/>
          </w:tcPr>
          <w:p w14:paraId="1C50E4D3" w14:textId="77777777" w:rsidR="00B84AFA" w:rsidRPr="009D4133" w:rsidRDefault="00B84AFA" w:rsidP="00562DA7">
            <w:pPr>
              <w:widowControl/>
              <w:jc w:val="center"/>
              <w:rPr>
                <w:rFonts w:cs="Arial"/>
                <w:color w:val="000000"/>
                <w:sz w:val="20"/>
                <w:lang w:eastAsia="es-MX"/>
              </w:rPr>
            </w:pPr>
            <w:r w:rsidRPr="009D4133">
              <w:rPr>
                <w:rFonts w:cs="Arial"/>
                <w:sz w:val="20"/>
                <w:lang w:eastAsia="es-MX"/>
              </w:rPr>
              <w:t>10.7</w:t>
            </w:r>
          </w:p>
        </w:tc>
        <w:tc>
          <w:tcPr>
            <w:tcW w:w="1740" w:type="dxa"/>
            <w:tcBorders>
              <w:top w:val="nil"/>
              <w:left w:val="nil"/>
              <w:right w:val="nil"/>
            </w:tcBorders>
            <w:shd w:val="clear" w:color="auto" w:fill="CCE2E6"/>
            <w:vAlign w:val="center"/>
            <w:hideMark/>
          </w:tcPr>
          <w:p w14:paraId="66672BE5" w14:textId="77777777" w:rsidR="00B84AFA" w:rsidRPr="009D4133" w:rsidRDefault="00B84AFA" w:rsidP="00562DA7">
            <w:pPr>
              <w:widowControl/>
              <w:jc w:val="center"/>
              <w:rPr>
                <w:rFonts w:cs="Arial"/>
                <w:color w:val="000000"/>
                <w:sz w:val="20"/>
                <w:lang w:eastAsia="es-MX"/>
              </w:rPr>
            </w:pPr>
            <w:r w:rsidRPr="009D4133">
              <w:rPr>
                <w:rFonts w:cs="Arial"/>
                <w:sz w:val="20"/>
                <w:lang w:eastAsia="es-MX"/>
              </w:rPr>
              <w:t>15.2</w:t>
            </w:r>
          </w:p>
        </w:tc>
        <w:tc>
          <w:tcPr>
            <w:tcW w:w="1740" w:type="dxa"/>
            <w:tcBorders>
              <w:top w:val="nil"/>
              <w:left w:val="nil"/>
              <w:right w:val="nil"/>
            </w:tcBorders>
            <w:shd w:val="clear" w:color="auto" w:fill="CCE2E6"/>
            <w:vAlign w:val="center"/>
            <w:hideMark/>
          </w:tcPr>
          <w:p w14:paraId="1F0BE7B4" w14:textId="77777777" w:rsidR="00B84AFA" w:rsidRPr="009D4133" w:rsidRDefault="00B84AFA" w:rsidP="00562DA7">
            <w:pPr>
              <w:widowControl/>
              <w:jc w:val="center"/>
              <w:rPr>
                <w:rFonts w:cs="Arial"/>
                <w:color w:val="000000"/>
                <w:sz w:val="20"/>
                <w:lang w:eastAsia="es-MX"/>
              </w:rPr>
            </w:pPr>
            <w:r w:rsidRPr="009D4133">
              <w:rPr>
                <w:rFonts w:cs="Arial"/>
                <w:sz w:val="20"/>
                <w:lang w:eastAsia="es-MX"/>
              </w:rPr>
              <w:t>6.7</w:t>
            </w:r>
          </w:p>
        </w:tc>
      </w:tr>
    </w:tbl>
    <w:p w14:paraId="6321E1DB" w14:textId="77777777" w:rsidR="00B84AFA" w:rsidRPr="00CD6FE9" w:rsidRDefault="00B84AFA" w:rsidP="00B84AFA">
      <w:pPr>
        <w:widowControl/>
        <w:autoSpaceDE w:val="0"/>
        <w:autoSpaceDN w:val="0"/>
        <w:adjustRightInd w:val="0"/>
        <w:rPr>
          <w:rFonts w:cs="Arial"/>
          <w:sz w:val="16"/>
          <w:szCs w:val="16"/>
        </w:rPr>
      </w:pPr>
      <w:r w:rsidRPr="00CD6FE9">
        <w:rPr>
          <w:rFonts w:cs="Arial"/>
          <w:color w:val="000000" w:themeColor="text1"/>
          <w:sz w:val="16"/>
          <w:szCs w:val="16"/>
        </w:rPr>
        <w:t>Fuente: INEGI, ENTI. 2022.</w:t>
      </w:r>
    </w:p>
    <w:p w14:paraId="25E27E0E" w14:textId="77777777" w:rsidR="00B84AFA" w:rsidRDefault="00B84AFA" w:rsidP="00B84AFA">
      <w:pPr>
        <w:widowControl/>
        <w:autoSpaceDE w:val="0"/>
        <w:autoSpaceDN w:val="0"/>
        <w:adjustRightInd w:val="0"/>
        <w:rPr>
          <w:rFonts w:cs="Arial"/>
          <w:color w:val="000000"/>
          <w:szCs w:val="24"/>
        </w:rPr>
      </w:pPr>
    </w:p>
    <w:p w14:paraId="159977AF" w14:textId="77777777" w:rsidR="000D354F" w:rsidRDefault="000D354F" w:rsidP="00FE34C8">
      <w:pPr>
        <w:widowControl/>
        <w:autoSpaceDE w:val="0"/>
        <w:autoSpaceDN w:val="0"/>
        <w:adjustRightInd w:val="0"/>
        <w:rPr>
          <w:rFonts w:cs="Arial"/>
          <w:color w:val="000000"/>
          <w:szCs w:val="24"/>
        </w:rPr>
      </w:pPr>
    </w:p>
    <w:p w14:paraId="0952B9F3" w14:textId="0107F7F5" w:rsidR="000D354F" w:rsidRDefault="00FD3AF6" w:rsidP="0032199D">
      <w:pPr>
        <w:widowControl/>
        <w:autoSpaceDE w:val="0"/>
        <w:autoSpaceDN w:val="0"/>
        <w:adjustRightInd w:val="0"/>
        <w:ind w:right="51"/>
        <w:rPr>
          <w:rFonts w:cs="Arial"/>
          <w:color w:val="000000"/>
          <w:szCs w:val="24"/>
        </w:rPr>
      </w:pPr>
      <w:r>
        <w:rPr>
          <w:rFonts w:cs="Arial"/>
          <w:color w:val="000000"/>
          <w:szCs w:val="24"/>
        </w:rPr>
        <w:t xml:space="preserve">Entre 2007 y 2022 la población de niñas, niños y adolescentes en </w:t>
      </w:r>
      <w:r w:rsidR="000D354F">
        <w:rPr>
          <w:rFonts w:cs="Arial"/>
          <w:color w:val="000000"/>
          <w:szCs w:val="24"/>
        </w:rPr>
        <w:t>ocupación no permitida</w:t>
      </w:r>
      <w:r w:rsidR="000D354F" w:rsidRPr="0037646C">
        <w:rPr>
          <w:rFonts w:cs="Arial"/>
          <w:color w:val="000000"/>
          <w:szCs w:val="24"/>
        </w:rPr>
        <w:t xml:space="preserve"> disminuyó </w:t>
      </w:r>
      <w:r w:rsidR="00363F7D">
        <w:rPr>
          <w:rFonts w:cs="Arial"/>
          <w:color w:val="000000"/>
          <w:szCs w:val="24"/>
        </w:rPr>
        <w:t xml:space="preserve">en </w:t>
      </w:r>
      <w:r w:rsidR="000D354F" w:rsidRPr="0037646C">
        <w:rPr>
          <w:rFonts w:cs="Arial"/>
          <w:color w:val="000000"/>
          <w:szCs w:val="24"/>
        </w:rPr>
        <w:t>1.4 mill</w:t>
      </w:r>
      <w:r w:rsidR="000D354F">
        <w:rPr>
          <w:rFonts w:cs="Arial"/>
          <w:color w:val="000000"/>
          <w:szCs w:val="24"/>
        </w:rPr>
        <w:t>ones.</w:t>
      </w:r>
      <w:r w:rsidR="00363F7D">
        <w:rPr>
          <w:rFonts w:cs="Arial"/>
          <w:color w:val="000000"/>
          <w:szCs w:val="24"/>
        </w:rPr>
        <w:t xml:space="preserve"> De manera específica</w:t>
      </w:r>
      <w:r w:rsidR="000D354F">
        <w:rPr>
          <w:rFonts w:cs="Arial"/>
          <w:color w:val="000000"/>
          <w:szCs w:val="24"/>
        </w:rPr>
        <w:t xml:space="preserve"> </w:t>
      </w:r>
      <w:r w:rsidR="00363F7D">
        <w:rPr>
          <w:rFonts w:cs="Arial"/>
          <w:color w:val="000000"/>
          <w:szCs w:val="24"/>
        </w:rPr>
        <w:t>p</w:t>
      </w:r>
      <w:r w:rsidR="000D354F">
        <w:rPr>
          <w:rFonts w:cs="Arial"/>
          <w:color w:val="000000"/>
          <w:szCs w:val="24"/>
        </w:rPr>
        <w:t>asó</w:t>
      </w:r>
      <w:r w:rsidR="000D354F" w:rsidRPr="0037646C">
        <w:rPr>
          <w:rFonts w:cs="Arial"/>
          <w:color w:val="000000"/>
          <w:szCs w:val="24"/>
        </w:rPr>
        <w:t xml:space="preserve"> de 3.5</w:t>
      </w:r>
      <w:r w:rsidR="00363F7D">
        <w:rPr>
          <w:rFonts w:cs="Arial"/>
          <w:color w:val="000000"/>
          <w:szCs w:val="24"/>
        </w:rPr>
        <w:t xml:space="preserve"> en 2007</w:t>
      </w:r>
      <w:r w:rsidR="000D354F" w:rsidRPr="0037646C">
        <w:rPr>
          <w:rFonts w:cs="Arial"/>
          <w:color w:val="000000"/>
          <w:szCs w:val="24"/>
        </w:rPr>
        <w:t xml:space="preserve"> a 2.1 millones </w:t>
      </w:r>
      <w:r w:rsidR="00363F7D">
        <w:rPr>
          <w:rFonts w:cs="Arial"/>
          <w:color w:val="000000"/>
          <w:szCs w:val="24"/>
        </w:rPr>
        <w:t>en</w:t>
      </w:r>
      <w:r w:rsidR="000D354F" w:rsidRPr="0037646C">
        <w:rPr>
          <w:rFonts w:cs="Arial"/>
          <w:color w:val="000000"/>
          <w:szCs w:val="24"/>
        </w:rPr>
        <w:t xml:space="preserve"> 2022</w:t>
      </w:r>
      <w:r w:rsidR="000D354F">
        <w:rPr>
          <w:rFonts w:cs="Arial"/>
          <w:color w:val="000000"/>
          <w:szCs w:val="24"/>
        </w:rPr>
        <w:t xml:space="preserve">. En </w:t>
      </w:r>
      <w:r w:rsidR="00363F7D">
        <w:rPr>
          <w:rFonts w:cs="Arial"/>
          <w:color w:val="000000"/>
          <w:szCs w:val="24"/>
        </w:rPr>
        <w:t>los últimos cinco años, entre 2017 y 2022</w:t>
      </w:r>
      <w:r w:rsidR="000D354F">
        <w:rPr>
          <w:rFonts w:cs="Arial"/>
          <w:color w:val="000000"/>
          <w:szCs w:val="24"/>
        </w:rPr>
        <w:t xml:space="preserve">, la ocupación no permitida se estabilizó en alrededor de 2 millones de niñas y niños </w:t>
      </w:r>
      <w:r w:rsidR="000D354F">
        <w:rPr>
          <w:rFonts w:cs="Arial"/>
          <w:szCs w:val="24"/>
        </w:rPr>
        <w:t>(ver gráfica 7)</w:t>
      </w:r>
      <w:r w:rsidR="000D354F">
        <w:rPr>
          <w:rFonts w:cs="Arial"/>
          <w:color w:val="000000"/>
          <w:szCs w:val="24"/>
        </w:rPr>
        <w:t>.</w:t>
      </w:r>
    </w:p>
    <w:p w14:paraId="38085CB0" w14:textId="77777777" w:rsidR="00DC67FA" w:rsidRDefault="00DC67FA" w:rsidP="000D354F">
      <w:pPr>
        <w:widowControl/>
        <w:jc w:val="left"/>
        <w:rPr>
          <w:rFonts w:cs="Arial"/>
          <w:b/>
          <w:bCs/>
          <w:color w:val="000000"/>
          <w:szCs w:val="24"/>
        </w:rPr>
      </w:pPr>
    </w:p>
    <w:p w14:paraId="33DCF082" w14:textId="5F830DAA" w:rsidR="000D354F" w:rsidRPr="0032199D" w:rsidRDefault="000D354F" w:rsidP="0032199D">
      <w:pPr>
        <w:widowControl/>
        <w:autoSpaceDE w:val="0"/>
        <w:autoSpaceDN w:val="0"/>
        <w:adjustRightInd w:val="0"/>
        <w:jc w:val="center"/>
        <w:rPr>
          <w:rFonts w:cs="Arial"/>
          <w:color w:val="000000"/>
          <w:sz w:val="20"/>
        </w:rPr>
      </w:pPr>
      <w:r w:rsidRPr="0032199D">
        <w:rPr>
          <w:rFonts w:cs="Arial"/>
          <w:color w:val="000000"/>
          <w:sz w:val="20"/>
        </w:rPr>
        <w:t>Gráfica 7</w:t>
      </w:r>
    </w:p>
    <w:p w14:paraId="3E0377BB" w14:textId="77777777" w:rsidR="000D354F" w:rsidRPr="0032199D" w:rsidRDefault="000D354F" w:rsidP="0032199D">
      <w:pPr>
        <w:widowControl/>
        <w:autoSpaceDE w:val="0"/>
        <w:autoSpaceDN w:val="0"/>
        <w:adjustRightInd w:val="0"/>
        <w:jc w:val="center"/>
        <w:rPr>
          <w:rFonts w:cs="Arial"/>
          <w:b/>
          <w:bCs/>
          <w:smallCaps/>
          <w:color w:val="000000"/>
          <w:sz w:val="22"/>
          <w:szCs w:val="22"/>
        </w:rPr>
      </w:pPr>
      <w:r w:rsidRPr="0032199D">
        <w:rPr>
          <w:rFonts w:cs="Arial"/>
          <w:b/>
          <w:bCs/>
          <w:smallCaps/>
          <w:color w:val="000000"/>
          <w:sz w:val="22"/>
          <w:szCs w:val="22"/>
        </w:rPr>
        <w:t>Personas en alguna ocupación no permitida, 2007-2022</w:t>
      </w:r>
    </w:p>
    <w:p w14:paraId="261505DF" w14:textId="77777777" w:rsidR="000D354F" w:rsidRPr="0003346F" w:rsidRDefault="000D354F" w:rsidP="0032199D">
      <w:pPr>
        <w:widowControl/>
        <w:autoSpaceDE w:val="0"/>
        <w:autoSpaceDN w:val="0"/>
        <w:adjustRightInd w:val="0"/>
        <w:ind w:right="51"/>
        <w:jc w:val="center"/>
        <w:rPr>
          <w:rFonts w:cs="Arial"/>
          <w:bCs/>
          <w:sz w:val="18"/>
          <w:szCs w:val="18"/>
        </w:rPr>
      </w:pPr>
      <w:r w:rsidRPr="0003346F">
        <w:rPr>
          <w:rFonts w:cs="Arial"/>
          <w:bCs/>
          <w:sz w:val="18"/>
          <w:szCs w:val="18"/>
        </w:rPr>
        <w:t>(millones de personas)</w:t>
      </w:r>
    </w:p>
    <w:p w14:paraId="0F8EF3B0" w14:textId="24AB3E9F" w:rsidR="000D354F" w:rsidRPr="003D1932" w:rsidRDefault="006710AB" w:rsidP="000D354F">
      <w:pPr>
        <w:widowControl/>
        <w:jc w:val="center"/>
        <w:rPr>
          <w:rFonts w:ascii="Times New Roman" w:hAnsi="Times New Roman"/>
          <w:szCs w:val="24"/>
          <w:lang w:eastAsia="es-MX"/>
        </w:rPr>
      </w:pPr>
      <w:r>
        <w:rPr>
          <w:noProof/>
        </w:rPr>
        <w:drawing>
          <wp:inline distT="0" distB="0" distL="0" distR="0" wp14:anchorId="596D9B9F" wp14:editId="292572B8">
            <wp:extent cx="6333490" cy="2935605"/>
            <wp:effectExtent l="0" t="0" r="0" b="0"/>
            <wp:docPr id="1512514530" name="Gráfico 1">
              <a:extLst xmlns:a="http://schemas.openxmlformats.org/drawingml/2006/main">
                <a:ext uri="{FF2B5EF4-FFF2-40B4-BE49-F238E27FC236}">
                  <a16:creationId xmlns:a16="http://schemas.microsoft.com/office/drawing/2014/main" id="{E8FA440E-28D8-4A12-81A5-95844B2B8D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7A2758D6" w14:textId="4C66920D" w:rsidR="000D354F" w:rsidRDefault="00C56872" w:rsidP="000D354F">
      <w:pPr>
        <w:widowControl/>
        <w:autoSpaceDE w:val="0"/>
        <w:autoSpaceDN w:val="0"/>
        <w:adjustRightInd w:val="0"/>
        <w:spacing w:line="276" w:lineRule="auto"/>
        <w:rPr>
          <w:rFonts w:cs="Arial"/>
          <w:color w:val="000000"/>
          <w:szCs w:val="24"/>
        </w:rPr>
      </w:pPr>
      <w:r>
        <w:rPr>
          <w:rFonts w:cs="Arial"/>
          <w:color w:val="000000" w:themeColor="text1"/>
          <w:sz w:val="16"/>
          <w:szCs w:val="16"/>
        </w:rPr>
        <w:t xml:space="preserve"> </w:t>
      </w:r>
      <w:r w:rsidR="000D354F" w:rsidRPr="00CD6FE9">
        <w:rPr>
          <w:rFonts w:cs="Arial"/>
          <w:color w:val="000000" w:themeColor="text1"/>
          <w:sz w:val="16"/>
          <w:szCs w:val="16"/>
        </w:rPr>
        <w:t>Fuente:</w:t>
      </w:r>
      <w:r w:rsidR="003F0D0C">
        <w:rPr>
          <w:rFonts w:cs="Arial"/>
          <w:color w:val="000000" w:themeColor="text1"/>
          <w:sz w:val="16"/>
          <w:szCs w:val="16"/>
        </w:rPr>
        <w:t xml:space="preserve"> </w:t>
      </w:r>
      <w:r w:rsidR="000D354F" w:rsidRPr="00CD6FE9">
        <w:rPr>
          <w:rFonts w:cs="Arial"/>
          <w:color w:val="000000" w:themeColor="text1"/>
          <w:sz w:val="16"/>
          <w:szCs w:val="16"/>
        </w:rPr>
        <w:t>INEGI, MTI. 2</w:t>
      </w:r>
      <w:r w:rsidR="000D354F">
        <w:rPr>
          <w:rFonts w:cs="Arial"/>
          <w:color w:val="000000" w:themeColor="text1"/>
          <w:sz w:val="16"/>
          <w:szCs w:val="16"/>
        </w:rPr>
        <w:t>015 a 2017</w:t>
      </w:r>
      <w:r w:rsidR="000D354F" w:rsidRPr="00CD6FE9">
        <w:rPr>
          <w:rFonts w:cs="Arial"/>
          <w:color w:val="000000" w:themeColor="text1"/>
          <w:sz w:val="16"/>
          <w:szCs w:val="16"/>
        </w:rPr>
        <w:t>. ENTI</w:t>
      </w:r>
      <w:r w:rsidR="008F58D8">
        <w:rPr>
          <w:rFonts w:cs="Arial"/>
          <w:color w:val="000000" w:themeColor="text1"/>
          <w:sz w:val="16"/>
          <w:szCs w:val="16"/>
        </w:rPr>
        <w:t>.</w:t>
      </w:r>
      <w:r w:rsidR="000D354F" w:rsidRPr="00CD6FE9">
        <w:rPr>
          <w:rFonts w:cs="Arial"/>
          <w:color w:val="000000" w:themeColor="text1"/>
          <w:sz w:val="16"/>
          <w:szCs w:val="16"/>
        </w:rPr>
        <w:t xml:space="preserve"> 2019 y 2022.</w:t>
      </w:r>
    </w:p>
    <w:p w14:paraId="528808E5" w14:textId="77777777" w:rsidR="000D354F" w:rsidRDefault="000D354F" w:rsidP="000D354F">
      <w:pPr>
        <w:widowControl/>
        <w:autoSpaceDE w:val="0"/>
        <w:autoSpaceDN w:val="0"/>
        <w:adjustRightInd w:val="0"/>
        <w:rPr>
          <w:rFonts w:cs="Arial"/>
          <w:color w:val="000000" w:themeColor="text1"/>
          <w:szCs w:val="24"/>
        </w:rPr>
      </w:pPr>
    </w:p>
    <w:p w14:paraId="47CA1C79" w14:textId="7DA57CC4" w:rsidR="000D354F" w:rsidRDefault="000D354F" w:rsidP="0032199D">
      <w:pPr>
        <w:widowControl/>
        <w:autoSpaceDE w:val="0"/>
        <w:autoSpaceDN w:val="0"/>
        <w:adjustRightInd w:val="0"/>
        <w:ind w:right="51"/>
        <w:rPr>
          <w:rFonts w:cs="Arial"/>
          <w:color w:val="000000"/>
          <w:szCs w:val="24"/>
        </w:rPr>
      </w:pPr>
      <w:r>
        <w:rPr>
          <w:rFonts w:cs="Arial"/>
          <w:color w:val="000000" w:themeColor="text1"/>
          <w:szCs w:val="24"/>
        </w:rPr>
        <w:t>De 2007 a 2022, l</w:t>
      </w:r>
      <w:r w:rsidRPr="0037646C">
        <w:rPr>
          <w:rFonts w:cs="Arial"/>
          <w:color w:val="000000" w:themeColor="text1"/>
          <w:szCs w:val="24"/>
        </w:rPr>
        <w:t xml:space="preserve">a tasa de ocupación </w:t>
      </w:r>
      <w:r>
        <w:rPr>
          <w:rFonts w:cs="Arial"/>
          <w:color w:val="000000" w:themeColor="text1"/>
          <w:szCs w:val="24"/>
        </w:rPr>
        <w:t>no permitida</w:t>
      </w:r>
      <w:r w:rsidRPr="0037646C">
        <w:rPr>
          <w:rFonts w:cs="Arial"/>
          <w:color w:val="000000" w:themeColor="text1"/>
          <w:szCs w:val="24"/>
        </w:rPr>
        <w:t xml:space="preserve"> descendió </w:t>
      </w:r>
      <w:r>
        <w:rPr>
          <w:rFonts w:cs="Arial"/>
          <w:color w:val="000000" w:themeColor="text1"/>
          <w:szCs w:val="24"/>
        </w:rPr>
        <w:t>cuatro</w:t>
      </w:r>
      <w:r w:rsidRPr="0037646C">
        <w:rPr>
          <w:rFonts w:cs="Arial"/>
          <w:color w:val="000000" w:themeColor="text1"/>
          <w:szCs w:val="24"/>
        </w:rPr>
        <w:t xml:space="preserve"> puntos porcentuales</w:t>
      </w:r>
      <w:r>
        <w:rPr>
          <w:rFonts w:cs="Arial"/>
          <w:color w:val="000000" w:themeColor="text1"/>
          <w:szCs w:val="24"/>
        </w:rPr>
        <w:t>:</w:t>
      </w:r>
      <w:r w:rsidRPr="0037646C">
        <w:rPr>
          <w:rFonts w:cs="Arial"/>
          <w:color w:val="000000" w:themeColor="text1"/>
          <w:szCs w:val="24"/>
        </w:rPr>
        <w:t xml:space="preserve"> </w:t>
      </w:r>
      <w:r>
        <w:rPr>
          <w:rFonts w:cs="Arial"/>
          <w:color w:val="000000" w:themeColor="text1"/>
          <w:szCs w:val="24"/>
        </w:rPr>
        <w:br/>
      </w:r>
      <w:r w:rsidRPr="0037646C">
        <w:rPr>
          <w:rFonts w:cs="Arial"/>
          <w:color w:val="000000" w:themeColor="text1"/>
          <w:szCs w:val="24"/>
        </w:rPr>
        <w:t>11.5 %</w:t>
      </w:r>
      <w:r>
        <w:rPr>
          <w:rFonts w:cs="Arial"/>
          <w:color w:val="000000" w:themeColor="text1"/>
          <w:szCs w:val="24"/>
        </w:rPr>
        <w:t>,</w:t>
      </w:r>
      <w:r w:rsidRPr="0037646C">
        <w:rPr>
          <w:rFonts w:cs="Arial"/>
          <w:color w:val="000000" w:themeColor="text1"/>
          <w:szCs w:val="24"/>
        </w:rPr>
        <w:t xml:space="preserve"> </w:t>
      </w:r>
      <w:r>
        <w:rPr>
          <w:rFonts w:cs="Arial"/>
          <w:color w:val="000000" w:themeColor="text1"/>
          <w:szCs w:val="24"/>
        </w:rPr>
        <w:t xml:space="preserve">en 2007 y </w:t>
      </w:r>
      <w:r w:rsidRPr="0037646C">
        <w:rPr>
          <w:rFonts w:cs="Arial"/>
          <w:color w:val="000000" w:themeColor="text1"/>
          <w:szCs w:val="24"/>
        </w:rPr>
        <w:t>7.5 %</w:t>
      </w:r>
      <w:r>
        <w:rPr>
          <w:rFonts w:cs="Arial"/>
          <w:color w:val="000000" w:themeColor="text1"/>
          <w:szCs w:val="24"/>
        </w:rPr>
        <w:t>, en 2022</w:t>
      </w:r>
      <w:r w:rsidRPr="0037646C">
        <w:rPr>
          <w:rFonts w:cs="Arial"/>
          <w:color w:val="000000" w:themeColor="text1"/>
          <w:szCs w:val="24"/>
        </w:rPr>
        <w:t>.</w:t>
      </w:r>
      <w:r>
        <w:rPr>
          <w:rFonts w:cs="Arial"/>
          <w:color w:val="000000"/>
          <w:szCs w:val="24"/>
        </w:rPr>
        <w:t xml:space="preserve"> El comportamiento fue descendente de 2007 a 2017, aumentó en 2019 y repuntó en los últimos tres años del periodo </w:t>
      </w:r>
      <w:r>
        <w:rPr>
          <w:rFonts w:cs="Arial"/>
          <w:szCs w:val="24"/>
        </w:rPr>
        <w:t>(ver gráfica 8)</w:t>
      </w:r>
      <w:r>
        <w:rPr>
          <w:rFonts w:cs="Arial"/>
          <w:color w:val="000000"/>
          <w:szCs w:val="24"/>
        </w:rPr>
        <w:t>.</w:t>
      </w:r>
    </w:p>
    <w:p w14:paraId="06D9B307" w14:textId="77777777" w:rsidR="0032199D" w:rsidRDefault="0032199D" w:rsidP="0032199D">
      <w:pPr>
        <w:widowControl/>
        <w:autoSpaceDE w:val="0"/>
        <w:autoSpaceDN w:val="0"/>
        <w:adjustRightInd w:val="0"/>
        <w:ind w:right="51"/>
        <w:rPr>
          <w:rFonts w:cs="Arial"/>
          <w:color w:val="000000"/>
          <w:szCs w:val="24"/>
        </w:rPr>
      </w:pPr>
    </w:p>
    <w:p w14:paraId="1F730A12" w14:textId="77777777" w:rsidR="0032199D" w:rsidRDefault="0032199D" w:rsidP="0032199D">
      <w:pPr>
        <w:widowControl/>
        <w:autoSpaceDE w:val="0"/>
        <w:autoSpaceDN w:val="0"/>
        <w:adjustRightInd w:val="0"/>
        <w:ind w:right="51"/>
        <w:rPr>
          <w:rFonts w:cs="Arial"/>
          <w:color w:val="000000"/>
          <w:szCs w:val="24"/>
        </w:rPr>
      </w:pPr>
    </w:p>
    <w:p w14:paraId="2FB31B49" w14:textId="77777777" w:rsidR="000D354F" w:rsidRDefault="000D354F" w:rsidP="000D354F">
      <w:pPr>
        <w:widowControl/>
        <w:autoSpaceDE w:val="0"/>
        <w:autoSpaceDN w:val="0"/>
        <w:adjustRightInd w:val="0"/>
        <w:spacing w:line="276" w:lineRule="auto"/>
        <w:rPr>
          <w:rFonts w:cs="Arial"/>
          <w:color w:val="000000"/>
          <w:szCs w:val="24"/>
        </w:rPr>
      </w:pPr>
    </w:p>
    <w:p w14:paraId="4B25544E" w14:textId="1C2A80E0" w:rsidR="000D354F" w:rsidRPr="0032199D" w:rsidRDefault="000D354F" w:rsidP="0032199D">
      <w:pPr>
        <w:widowControl/>
        <w:autoSpaceDE w:val="0"/>
        <w:autoSpaceDN w:val="0"/>
        <w:adjustRightInd w:val="0"/>
        <w:jc w:val="center"/>
        <w:rPr>
          <w:rFonts w:cs="Arial"/>
          <w:color w:val="000000"/>
          <w:sz w:val="20"/>
        </w:rPr>
      </w:pPr>
      <w:r w:rsidRPr="0032199D">
        <w:rPr>
          <w:rFonts w:cs="Arial"/>
          <w:color w:val="000000"/>
          <w:sz w:val="20"/>
        </w:rPr>
        <w:lastRenderedPageBreak/>
        <w:t>Gráfica 8</w:t>
      </w:r>
    </w:p>
    <w:p w14:paraId="722010B8" w14:textId="77777777" w:rsidR="000D354F" w:rsidRPr="0032199D" w:rsidRDefault="000D354F" w:rsidP="0032199D">
      <w:pPr>
        <w:widowControl/>
        <w:autoSpaceDE w:val="0"/>
        <w:autoSpaceDN w:val="0"/>
        <w:adjustRightInd w:val="0"/>
        <w:ind w:left="709" w:right="616" w:hanging="709"/>
        <w:jc w:val="center"/>
        <w:rPr>
          <w:rFonts w:cs="Arial"/>
          <w:b/>
          <w:bCs/>
          <w:smallCaps/>
          <w:color w:val="000000"/>
          <w:sz w:val="22"/>
          <w:szCs w:val="22"/>
        </w:rPr>
      </w:pPr>
      <w:r w:rsidRPr="0032199D">
        <w:rPr>
          <w:rFonts w:cs="Arial"/>
          <w:b/>
          <w:bCs/>
          <w:smallCaps/>
          <w:color w:val="000000"/>
          <w:sz w:val="22"/>
          <w:szCs w:val="22"/>
        </w:rPr>
        <w:t>Tasa de ocupación no permitida, 2007-2022</w:t>
      </w:r>
    </w:p>
    <w:p w14:paraId="532E619F" w14:textId="2E9FF66F" w:rsidR="000D354F" w:rsidRPr="0003346F" w:rsidRDefault="000D354F" w:rsidP="0032199D">
      <w:pPr>
        <w:widowControl/>
        <w:autoSpaceDE w:val="0"/>
        <w:autoSpaceDN w:val="0"/>
        <w:adjustRightInd w:val="0"/>
        <w:ind w:left="709" w:right="616" w:hanging="709"/>
        <w:jc w:val="center"/>
        <w:rPr>
          <w:rFonts w:cs="Arial"/>
          <w:color w:val="000000"/>
          <w:sz w:val="18"/>
          <w:szCs w:val="18"/>
        </w:rPr>
      </w:pPr>
      <w:r w:rsidRPr="0003346F">
        <w:rPr>
          <w:rFonts w:cs="Arial"/>
          <w:color w:val="000000"/>
          <w:sz w:val="18"/>
          <w:szCs w:val="18"/>
        </w:rPr>
        <w:t>(</w:t>
      </w:r>
      <w:r w:rsidR="00363F7D">
        <w:rPr>
          <w:rFonts w:cs="Arial"/>
          <w:color w:val="000000"/>
          <w:sz w:val="18"/>
          <w:szCs w:val="18"/>
        </w:rPr>
        <w:t>p</w:t>
      </w:r>
      <w:r w:rsidRPr="0003346F">
        <w:rPr>
          <w:rFonts w:cs="Arial"/>
          <w:color w:val="000000"/>
          <w:sz w:val="18"/>
          <w:szCs w:val="18"/>
        </w:rPr>
        <w:t xml:space="preserve">orcentaje respecto a la población de 5 a 17 años) </w:t>
      </w:r>
    </w:p>
    <w:p w14:paraId="3563F77D" w14:textId="529884CB" w:rsidR="000D354F" w:rsidRDefault="00DC67FA" w:rsidP="000D354F">
      <w:pPr>
        <w:widowControl/>
        <w:autoSpaceDE w:val="0"/>
        <w:autoSpaceDN w:val="0"/>
        <w:adjustRightInd w:val="0"/>
        <w:spacing w:line="276" w:lineRule="auto"/>
        <w:ind w:left="709" w:right="616" w:hanging="709"/>
        <w:jc w:val="center"/>
        <w:rPr>
          <w:rFonts w:cs="Arial"/>
          <w:color w:val="000000"/>
          <w:szCs w:val="24"/>
        </w:rPr>
      </w:pPr>
      <w:r>
        <w:rPr>
          <w:noProof/>
        </w:rPr>
        <w:drawing>
          <wp:inline distT="0" distB="0" distL="0" distR="0" wp14:anchorId="402B30E5" wp14:editId="0EB9C1B8">
            <wp:extent cx="6333490" cy="3116911"/>
            <wp:effectExtent l="0" t="0" r="0" b="0"/>
            <wp:docPr id="272485062" name="Gráfico 1">
              <a:extLst xmlns:a="http://schemas.openxmlformats.org/drawingml/2006/main">
                <a:ext uri="{FF2B5EF4-FFF2-40B4-BE49-F238E27FC236}">
                  <a16:creationId xmlns:a16="http://schemas.microsoft.com/office/drawing/2014/main" id="{BA4A6CF0-16CC-4CDD-9B17-8D55ED11C7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571A515F" w14:textId="08249CDC" w:rsidR="000D354F" w:rsidRPr="00CD6FE9" w:rsidRDefault="000D354F" w:rsidP="000D354F">
      <w:pPr>
        <w:widowControl/>
        <w:autoSpaceDE w:val="0"/>
        <w:autoSpaceDN w:val="0"/>
        <w:adjustRightInd w:val="0"/>
        <w:spacing w:line="276" w:lineRule="auto"/>
        <w:ind w:left="709" w:hanging="709"/>
        <w:jc w:val="left"/>
        <w:rPr>
          <w:rFonts w:cs="Arial"/>
          <w:color w:val="000000"/>
          <w:sz w:val="16"/>
          <w:szCs w:val="16"/>
        </w:rPr>
      </w:pPr>
      <w:r w:rsidRPr="00CD6FE9">
        <w:rPr>
          <w:rFonts w:cs="Arial"/>
          <w:color w:val="000000" w:themeColor="text1"/>
          <w:sz w:val="16"/>
          <w:szCs w:val="16"/>
        </w:rPr>
        <w:t>Fuente:</w:t>
      </w:r>
      <w:r w:rsidR="00CD4946">
        <w:rPr>
          <w:rFonts w:cs="Arial"/>
          <w:color w:val="000000" w:themeColor="text1"/>
          <w:sz w:val="16"/>
          <w:szCs w:val="16"/>
        </w:rPr>
        <w:t xml:space="preserve"> </w:t>
      </w:r>
      <w:r w:rsidRPr="00CD6FE9">
        <w:rPr>
          <w:rFonts w:cs="Arial"/>
          <w:color w:val="000000" w:themeColor="text1"/>
          <w:sz w:val="16"/>
          <w:szCs w:val="16"/>
        </w:rPr>
        <w:t>INEGI, MTI. 2</w:t>
      </w:r>
      <w:r>
        <w:rPr>
          <w:rFonts w:cs="Arial"/>
          <w:color w:val="000000" w:themeColor="text1"/>
          <w:sz w:val="16"/>
          <w:szCs w:val="16"/>
        </w:rPr>
        <w:t>015 a 2017</w:t>
      </w:r>
      <w:r w:rsidRPr="00CD6FE9">
        <w:rPr>
          <w:rFonts w:cs="Arial"/>
          <w:color w:val="000000" w:themeColor="text1"/>
          <w:sz w:val="16"/>
          <w:szCs w:val="16"/>
        </w:rPr>
        <w:t>. ENTI</w:t>
      </w:r>
      <w:r w:rsidR="008F58D8">
        <w:rPr>
          <w:rFonts w:cs="Arial"/>
          <w:color w:val="000000" w:themeColor="text1"/>
          <w:sz w:val="16"/>
          <w:szCs w:val="16"/>
        </w:rPr>
        <w:t>.</w:t>
      </w:r>
      <w:r w:rsidRPr="00CD6FE9">
        <w:rPr>
          <w:rFonts w:cs="Arial"/>
          <w:color w:val="000000" w:themeColor="text1"/>
          <w:sz w:val="16"/>
          <w:szCs w:val="16"/>
        </w:rPr>
        <w:t xml:space="preserve"> 2019 y 2022.</w:t>
      </w:r>
    </w:p>
    <w:p w14:paraId="466AC6A0" w14:textId="77777777" w:rsidR="000D354F" w:rsidRDefault="000D354F" w:rsidP="00FE34C8">
      <w:pPr>
        <w:widowControl/>
        <w:autoSpaceDE w:val="0"/>
        <w:autoSpaceDN w:val="0"/>
        <w:adjustRightInd w:val="0"/>
        <w:rPr>
          <w:rFonts w:cs="Arial"/>
          <w:color w:val="000000"/>
          <w:szCs w:val="24"/>
        </w:rPr>
      </w:pPr>
    </w:p>
    <w:p w14:paraId="729743D4" w14:textId="55F816E1" w:rsidR="00791592" w:rsidRPr="00E5073C" w:rsidRDefault="00791592" w:rsidP="0032199D">
      <w:pPr>
        <w:widowControl/>
        <w:autoSpaceDE w:val="0"/>
        <w:autoSpaceDN w:val="0"/>
        <w:adjustRightInd w:val="0"/>
        <w:ind w:right="51"/>
        <w:rPr>
          <w:rFonts w:cs="Arial"/>
          <w:color w:val="000000"/>
          <w:szCs w:val="24"/>
        </w:rPr>
      </w:pPr>
      <w:r w:rsidRPr="0037646C">
        <w:rPr>
          <w:rFonts w:cs="Arial"/>
          <w:color w:val="000000"/>
          <w:szCs w:val="24"/>
        </w:rPr>
        <w:t xml:space="preserve">La </w:t>
      </w:r>
      <w:r w:rsidR="00363F7D">
        <w:rPr>
          <w:rFonts w:cs="Arial"/>
          <w:color w:val="000000"/>
          <w:szCs w:val="24"/>
        </w:rPr>
        <w:t>información para las</w:t>
      </w:r>
      <w:r w:rsidRPr="0037646C">
        <w:rPr>
          <w:rFonts w:cs="Arial"/>
          <w:color w:val="000000"/>
          <w:szCs w:val="24"/>
        </w:rPr>
        <w:t xml:space="preserve"> entidad</w:t>
      </w:r>
      <w:r w:rsidR="00363F7D">
        <w:rPr>
          <w:rFonts w:cs="Arial"/>
          <w:color w:val="000000"/>
          <w:szCs w:val="24"/>
        </w:rPr>
        <w:t>es</w:t>
      </w:r>
      <w:r w:rsidRPr="0037646C">
        <w:rPr>
          <w:rFonts w:cs="Arial"/>
          <w:color w:val="000000"/>
          <w:szCs w:val="24"/>
        </w:rPr>
        <w:t xml:space="preserve"> federativa</w:t>
      </w:r>
      <w:r w:rsidR="00363F7D">
        <w:rPr>
          <w:rFonts w:cs="Arial"/>
          <w:color w:val="000000"/>
          <w:szCs w:val="24"/>
        </w:rPr>
        <w:t>s</w:t>
      </w:r>
      <w:r w:rsidRPr="0037646C">
        <w:rPr>
          <w:rFonts w:cs="Arial"/>
          <w:color w:val="000000"/>
          <w:szCs w:val="24"/>
        </w:rPr>
        <w:t xml:space="preserve"> m</w:t>
      </w:r>
      <w:r w:rsidR="00A53C9D">
        <w:rPr>
          <w:rFonts w:cs="Arial"/>
          <w:color w:val="000000"/>
          <w:szCs w:val="24"/>
        </w:rPr>
        <w:t>o</w:t>
      </w:r>
      <w:r w:rsidRPr="0037646C">
        <w:rPr>
          <w:rFonts w:cs="Arial"/>
          <w:color w:val="000000"/>
          <w:szCs w:val="24"/>
        </w:rPr>
        <w:t>str</w:t>
      </w:r>
      <w:r w:rsidR="00A53C9D">
        <w:rPr>
          <w:rFonts w:cs="Arial"/>
          <w:color w:val="000000"/>
          <w:szCs w:val="24"/>
        </w:rPr>
        <w:t>ó</w:t>
      </w:r>
      <w:r w:rsidRPr="0037646C">
        <w:rPr>
          <w:rFonts w:cs="Arial"/>
          <w:color w:val="000000"/>
          <w:szCs w:val="24"/>
        </w:rPr>
        <w:t xml:space="preserve"> </w:t>
      </w:r>
      <w:r w:rsidR="00A53C9D" w:rsidRPr="0037646C">
        <w:rPr>
          <w:rFonts w:cs="Arial"/>
          <w:color w:val="000000"/>
          <w:szCs w:val="24"/>
        </w:rPr>
        <w:t>que,</w:t>
      </w:r>
      <w:r w:rsidRPr="0037646C">
        <w:rPr>
          <w:rFonts w:cs="Arial"/>
          <w:color w:val="000000"/>
          <w:szCs w:val="24"/>
        </w:rPr>
        <w:t xml:space="preserve"> en 2022</w:t>
      </w:r>
      <w:r w:rsidR="00E01A01">
        <w:rPr>
          <w:rFonts w:cs="Arial"/>
          <w:color w:val="000000"/>
          <w:szCs w:val="24"/>
        </w:rPr>
        <w:t>,</w:t>
      </w:r>
      <w:r w:rsidRPr="0037646C">
        <w:rPr>
          <w:rFonts w:cs="Arial"/>
          <w:color w:val="000000"/>
          <w:szCs w:val="24"/>
        </w:rPr>
        <w:t xml:space="preserve"> la tasa de ocupación no permitida más alta la </w:t>
      </w:r>
      <w:r w:rsidRPr="00E5073C">
        <w:rPr>
          <w:rFonts w:cs="Arial"/>
          <w:color w:val="000000"/>
          <w:szCs w:val="24"/>
        </w:rPr>
        <w:t xml:space="preserve">reportaron Guerrero (15.2 %), Chiapas (13.5 %) y Nayarit (12.6 %). Por su parte, los estados con las tasas de ocupación no permitida más bajas fueron Ciudad de México </w:t>
      </w:r>
      <w:r w:rsidR="00FE34C8" w:rsidRPr="00E5073C">
        <w:rPr>
          <w:rFonts w:cs="Arial"/>
          <w:color w:val="000000"/>
          <w:szCs w:val="24"/>
        </w:rPr>
        <w:t>(</w:t>
      </w:r>
      <w:r w:rsidRPr="00E5073C">
        <w:rPr>
          <w:rFonts w:cs="Arial"/>
          <w:color w:val="000000"/>
          <w:szCs w:val="24"/>
        </w:rPr>
        <w:t>2.5 %</w:t>
      </w:r>
      <w:r w:rsidR="00FE34C8" w:rsidRPr="00E5073C">
        <w:rPr>
          <w:rFonts w:cs="Arial"/>
          <w:color w:val="000000"/>
          <w:szCs w:val="24"/>
        </w:rPr>
        <w:t>)</w:t>
      </w:r>
      <w:r w:rsidRPr="00E5073C">
        <w:rPr>
          <w:rFonts w:cs="Arial"/>
          <w:color w:val="000000"/>
          <w:szCs w:val="24"/>
        </w:rPr>
        <w:t xml:space="preserve">, Baja California </w:t>
      </w:r>
      <w:r w:rsidR="00FE34C8" w:rsidRPr="00E5073C">
        <w:rPr>
          <w:rFonts w:cs="Arial"/>
          <w:color w:val="000000"/>
          <w:szCs w:val="24"/>
        </w:rPr>
        <w:t>(</w:t>
      </w:r>
      <w:r w:rsidRPr="00E5073C">
        <w:rPr>
          <w:rFonts w:cs="Arial"/>
          <w:color w:val="000000"/>
          <w:szCs w:val="24"/>
        </w:rPr>
        <w:t>3.4 %</w:t>
      </w:r>
      <w:r w:rsidR="00FE34C8" w:rsidRPr="00E5073C">
        <w:rPr>
          <w:rFonts w:cs="Arial"/>
          <w:color w:val="000000"/>
          <w:szCs w:val="24"/>
        </w:rPr>
        <w:t>)</w:t>
      </w:r>
      <w:r w:rsidRPr="00E5073C">
        <w:rPr>
          <w:rFonts w:cs="Arial"/>
          <w:color w:val="000000"/>
          <w:szCs w:val="24"/>
        </w:rPr>
        <w:t xml:space="preserve"> y Coahuila de Zaragoza </w:t>
      </w:r>
      <w:r w:rsidR="00FE34C8" w:rsidRPr="00E5073C">
        <w:rPr>
          <w:rFonts w:cs="Arial"/>
          <w:color w:val="000000"/>
          <w:szCs w:val="24"/>
        </w:rPr>
        <w:t>(</w:t>
      </w:r>
      <w:r w:rsidRPr="00E5073C">
        <w:rPr>
          <w:rFonts w:cs="Arial"/>
          <w:color w:val="000000"/>
          <w:szCs w:val="24"/>
        </w:rPr>
        <w:t xml:space="preserve">3.9 </w:t>
      </w:r>
      <w:r w:rsidR="00FE34C8" w:rsidRPr="00E5073C">
        <w:rPr>
          <w:rFonts w:cs="Arial"/>
          <w:color w:val="000000"/>
          <w:szCs w:val="24"/>
        </w:rPr>
        <w:t>%)</w:t>
      </w:r>
      <w:r w:rsidR="001E3935">
        <w:rPr>
          <w:rFonts w:cs="Arial"/>
          <w:color w:val="000000"/>
          <w:szCs w:val="24"/>
        </w:rPr>
        <w:t xml:space="preserve"> </w:t>
      </w:r>
      <w:r w:rsidR="001E3935">
        <w:rPr>
          <w:rFonts w:cs="Arial"/>
          <w:szCs w:val="24"/>
        </w:rPr>
        <w:t xml:space="preserve">(ver gráfica </w:t>
      </w:r>
      <w:r w:rsidR="000D354F">
        <w:rPr>
          <w:rFonts w:cs="Arial"/>
          <w:szCs w:val="24"/>
        </w:rPr>
        <w:t>9</w:t>
      </w:r>
      <w:r w:rsidR="001E3935">
        <w:rPr>
          <w:rFonts w:cs="Arial"/>
          <w:szCs w:val="24"/>
        </w:rPr>
        <w:t>)</w:t>
      </w:r>
      <w:r w:rsidRPr="00E5073C">
        <w:rPr>
          <w:rFonts w:cs="Arial"/>
          <w:color w:val="000000"/>
          <w:szCs w:val="24"/>
        </w:rPr>
        <w:t>.</w:t>
      </w:r>
    </w:p>
    <w:p w14:paraId="301210AE" w14:textId="77777777" w:rsidR="00791592" w:rsidRPr="00E5073C" w:rsidRDefault="00791592" w:rsidP="00FE34C8">
      <w:pPr>
        <w:widowControl/>
        <w:rPr>
          <w:rFonts w:cs="Arial"/>
          <w:color w:val="000000" w:themeColor="text1"/>
          <w:szCs w:val="24"/>
        </w:rPr>
      </w:pPr>
    </w:p>
    <w:p w14:paraId="68A107E1" w14:textId="77777777" w:rsidR="00FE34C8" w:rsidRDefault="00FE34C8" w:rsidP="00FE34C8">
      <w:pPr>
        <w:widowControl/>
        <w:autoSpaceDE w:val="0"/>
        <w:autoSpaceDN w:val="0"/>
        <w:adjustRightInd w:val="0"/>
        <w:jc w:val="center"/>
        <w:rPr>
          <w:rFonts w:cs="Arial"/>
          <w:sz w:val="20"/>
        </w:rPr>
      </w:pPr>
    </w:p>
    <w:p w14:paraId="792054D1" w14:textId="77777777" w:rsidR="00FE34C8" w:rsidRDefault="00FE34C8" w:rsidP="00FE34C8">
      <w:pPr>
        <w:widowControl/>
        <w:autoSpaceDE w:val="0"/>
        <w:autoSpaceDN w:val="0"/>
        <w:adjustRightInd w:val="0"/>
        <w:jc w:val="center"/>
        <w:rPr>
          <w:rFonts w:cs="Arial"/>
          <w:sz w:val="20"/>
        </w:rPr>
      </w:pPr>
    </w:p>
    <w:p w14:paraId="54436C2E" w14:textId="77777777" w:rsidR="00FE34C8" w:rsidRDefault="00FE34C8" w:rsidP="00FE34C8">
      <w:pPr>
        <w:widowControl/>
        <w:autoSpaceDE w:val="0"/>
        <w:autoSpaceDN w:val="0"/>
        <w:adjustRightInd w:val="0"/>
        <w:jc w:val="center"/>
        <w:rPr>
          <w:rFonts w:cs="Arial"/>
          <w:sz w:val="20"/>
        </w:rPr>
      </w:pPr>
    </w:p>
    <w:p w14:paraId="739CFAEA" w14:textId="77777777" w:rsidR="00FE34C8" w:rsidRDefault="00FE34C8" w:rsidP="00FE34C8">
      <w:pPr>
        <w:widowControl/>
        <w:autoSpaceDE w:val="0"/>
        <w:autoSpaceDN w:val="0"/>
        <w:adjustRightInd w:val="0"/>
        <w:jc w:val="center"/>
        <w:rPr>
          <w:rFonts w:cs="Arial"/>
          <w:sz w:val="20"/>
        </w:rPr>
      </w:pPr>
    </w:p>
    <w:p w14:paraId="5A672C09" w14:textId="77777777" w:rsidR="00FE34C8" w:rsidRDefault="00FE34C8" w:rsidP="00FE34C8">
      <w:pPr>
        <w:widowControl/>
        <w:autoSpaceDE w:val="0"/>
        <w:autoSpaceDN w:val="0"/>
        <w:adjustRightInd w:val="0"/>
        <w:jc w:val="center"/>
        <w:rPr>
          <w:rFonts w:cs="Arial"/>
          <w:sz w:val="20"/>
        </w:rPr>
      </w:pPr>
    </w:p>
    <w:p w14:paraId="004E26C1" w14:textId="77777777" w:rsidR="00FE34C8" w:rsidRDefault="00FE34C8" w:rsidP="00FE34C8">
      <w:pPr>
        <w:widowControl/>
        <w:autoSpaceDE w:val="0"/>
        <w:autoSpaceDN w:val="0"/>
        <w:adjustRightInd w:val="0"/>
        <w:jc w:val="center"/>
        <w:rPr>
          <w:rFonts w:cs="Arial"/>
          <w:sz w:val="20"/>
        </w:rPr>
      </w:pPr>
    </w:p>
    <w:p w14:paraId="71ED249C" w14:textId="77777777" w:rsidR="00FE34C8" w:rsidRDefault="00FE34C8" w:rsidP="00FE34C8">
      <w:pPr>
        <w:widowControl/>
        <w:autoSpaceDE w:val="0"/>
        <w:autoSpaceDN w:val="0"/>
        <w:adjustRightInd w:val="0"/>
        <w:jc w:val="center"/>
        <w:rPr>
          <w:rFonts w:cs="Arial"/>
          <w:sz w:val="20"/>
        </w:rPr>
      </w:pPr>
    </w:p>
    <w:p w14:paraId="0E1E4E6F" w14:textId="77777777" w:rsidR="00FE34C8" w:rsidRDefault="00FE34C8" w:rsidP="00FE34C8">
      <w:pPr>
        <w:widowControl/>
        <w:autoSpaceDE w:val="0"/>
        <w:autoSpaceDN w:val="0"/>
        <w:adjustRightInd w:val="0"/>
        <w:jc w:val="center"/>
        <w:rPr>
          <w:rFonts w:cs="Arial"/>
          <w:sz w:val="20"/>
        </w:rPr>
      </w:pPr>
    </w:p>
    <w:p w14:paraId="16BA7FBD" w14:textId="77777777" w:rsidR="00FE34C8" w:rsidRDefault="00FE34C8" w:rsidP="00FE34C8">
      <w:pPr>
        <w:widowControl/>
        <w:autoSpaceDE w:val="0"/>
        <w:autoSpaceDN w:val="0"/>
        <w:adjustRightInd w:val="0"/>
        <w:jc w:val="center"/>
        <w:rPr>
          <w:rFonts w:cs="Arial"/>
          <w:sz w:val="20"/>
        </w:rPr>
      </w:pPr>
    </w:p>
    <w:p w14:paraId="11855275" w14:textId="77777777" w:rsidR="00FE34C8" w:rsidRDefault="00FE34C8" w:rsidP="00FE34C8">
      <w:pPr>
        <w:widowControl/>
        <w:autoSpaceDE w:val="0"/>
        <w:autoSpaceDN w:val="0"/>
        <w:adjustRightInd w:val="0"/>
        <w:jc w:val="center"/>
        <w:rPr>
          <w:rFonts w:cs="Arial"/>
          <w:sz w:val="20"/>
        </w:rPr>
      </w:pPr>
    </w:p>
    <w:p w14:paraId="3629E37F" w14:textId="77777777" w:rsidR="00FE34C8" w:rsidRDefault="00FE34C8" w:rsidP="00FE34C8">
      <w:pPr>
        <w:widowControl/>
        <w:autoSpaceDE w:val="0"/>
        <w:autoSpaceDN w:val="0"/>
        <w:adjustRightInd w:val="0"/>
        <w:jc w:val="center"/>
        <w:rPr>
          <w:rFonts w:cs="Arial"/>
          <w:sz w:val="20"/>
        </w:rPr>
      </w:pPr>
    </w:p>
    <w:p w14:paraId="11D21F35" w14:textId="77777777" w:rsidR="00FE34C8" w:rsidRDefault="00FE34C8" w:rsidP="00FE34C8">
      <w:pPr>
        <w:widowControl/>
        <w:autoSpaceDE w:val="0"/>
        <w:autoSpaceDN w:val="0"/>
        <w:adjustRightInd w:val="0"/>
        <w:jc w:val="center"/>
        <w:rPr>
          <w:rFonts w:cs="Arial"/>
          <w:sz w:val="20"/>
        </w:rPr>
      </w:pPr>
    </w:p>
    <w:p w14:paraId="6AB378DC" w14:textId="77777777" w:rsidR="00FE34C8" w:rsidRDefault="00FE34C8" w:rsidP="00FE34C8">
      <w:pPr>
        <w:widowControl/>
        <w:autoSpaceDE w:val="0"/>
        <w:autoSpaceDN w:val="0"/>
        <w:adjustRightInd w:val="0"/>
        <w:jc w:val="center"/>
        <w:rPr>
          <w:rFonts w:cs="Arial"/>
          <w:sz w:val="20"/>
        </w:rPr>
      </w:pPr>
    </w:p>
    <w:p w14:paraId="118C6F88" w14:textId="77777777" w:rsidR="00FE34C8" w:rsidRDefault="00FE34C8" w:rsidP="00FE34C8">
      <w:pPr>
        <w:widowControl/>
        <w:autoSpaceDE w:val="0"/>
        <w:autoSpaceDN w:val="0"/>
        <w:adjustRightInd w:val="0"/>
        <w:jc w:val="center"/>
        <w:rPr>
          <w:rFonts w:cs="Arial"/>
          <w:sz w:val="20"/>
        </w:rPr>
      </w:pPr>
    </w:p>
    <w:p w14:paraId="5F52BABE" w14:textId="77777777" w:rsidR="00FE34C8" w:rsidRDefault="00FE34C8" w:rsidP="00FE34C8">
      <w:pPr>
        <w:widowControl/>
        <w:autoSpaceDE w:val="0"/>
        <w:autoSpaceDN w:val="0"/>
        <w:adjustRightInd w:val="0"/>
        <w:jc w:val="center"/>
        <w:rPr>
          <w:rFonts w:cs="Arial"/>
          <w:sz w:val="20"/>
        </w:rPr>
      </w:pPr>
    </w:p>
    <w:p w14:paraId="6B0FC42B" w14:textId="77777777" w:rsidR="00FE34C8" w:rsidRDefault="00FE34C8" w:rsidP="00FE34C8">
      <w:pPr>
        <w:widowControl/>
        <w:autoSpaceDE w:val="0"/>
        <w:autoSpaceDN w:val="0"/>
        <w:adjustRightInd w:val="0"/>
        <w:jc w:val="center"/>
        <w:rPr>
          <w:rFonts w:cs="Arial"/>
          <w:sz w:val="20"/>
        </w:rPr>
      </w:pPr>
    </w:p>
    <w:p w14:paraId="68DA544D" w14:textId="3F4CA8D5" w:rsidR="005A5538" w:rsidRDefault="005A5538">
      <w:pPr>
        <w:widowControl/>
        <w:jc w:val="left"/>
        <w:rPr>
          <w:rFonts w:cs="Arial"/>
          <w:sz w:val="20"/>
        </w:rPr>
      </w:pPr>
      <w:r>
        <w:rPr>
          <w:rFonts w:cs="Arial"/>
          <w:sz w:val="20"/>
        </w:rPr>
        <w:br w:type="page"/>
      </w:r>
    </w:p>
    <w:p w14:paraId="3175413C" w14:textId="575FEBF4" w:rsidR="00E630A5" w:rsidRPr="0032199D" w:rsidRDefault="00E630A5" w:rsidP="0032199D">
      <w:pPr>
        <w:widowControl/>
        <w:autoSpaceDE w:val="0"/>
        <w:autoSpaceDN w:val="0"/>
        <w:adjustRightInd w:val="0"/>
        <w:jc w:val="center"/>
        <w:rPr>
          <w:rFonts w:cs="Arial"/>
          <w:sz w:val="20"/>
        </w:rPr>
      </w:pPr>
      <w:r w:rsidRPr="0032199D">
        <w:rPr>
          <w:rFonts w:cs="Arial"/>
          <w:sz w:val="20"/>
        </w:rPr>
        <w:lastRenderedPageBreak/>
        <w:t xml:space="preserve">Gráfica </w:t>
      </w:r>
      <w:r w:rsidR="000D354F" w:rsidRPr="0032199D">
        <w:rPr>
          <w:rFonts w:cs="Arial"/>
          <w:sz w:val="20"/>
        </w:rPr>
        <w:t>9</w:t>
      </w:r>
    </w:p>
    <w:p w14:paraId="7A547190" w14:textId="77777777" w:rsidR="00E630A5" w:rsidRPr="0032199D" w:rsidRDefault="00E630A5" w:rsidP="0032199D">
      <w:pPr>
        <w:widowControl/>
        <w:autoSpaceDE w:val="0"/>
        <w:autoSpaceDN w:val="0"/>
        <w:adjustRightInd w:val="0"/>
        <w:jc w:val="center"/>
        <w:rPr>
          <w:rFonts w:cs="Arial"/>
          <w:b/>
          <w:bCs/>
          <w:smallCaps/>
          <w:sz w:val="22"/>
          <w:szCs w:val="22"/>
        </w:rPr>
      </w:pPr>
      <w:r w:rsidRPr="0032199D">
        <w:rPr>
          <w:rFonts w:cs="Arial"/>
          <w:b/>
          <w:bCs/>
          <w:smallCaps/>
          <w:sz w:val="22"/>
          <w:szCs w:val="22"/>
        </w:rPr>
        <w:t>Tasa de ocupación no permitida por entidad federativa, 2019 y 2022</w:t>
      </w:r>
    </w:p>
    <w:p w14:paraId="47968269" w14:textId="78332012" w:rsidR="00E630A5" w:rsidRDefault="00E630A5" w:rsidP="0032199D">
      <w:pPr>
        <w:widowControl/>
        <w:autoSpaceDE w:val="0"/>
        <w:autoSpaceDN w:val="0"/>
        <w:adjustRightInd w:val="0"/>
        <w:jc w:val="center"/>
        <w:rPr>
          <w:rFonts w:cs="Arial"/>
          <w:szCs w:val="24"/>
        </w:rPr>
      </w:pPr>
      <w:r w:rsidRPr="0003346F">
        <w:rPr>
          <w:rFonts w:cs="Arial"/>
          <w:sz w:val="18"/>
          <w:szCs w:val="18"/>
        </w:rPr>
        <w:t>(</w:t>
      </w:r>
      <w:r w:rsidR="00363F7D">
        <w:rPr>
          <w:rFonts w:cs="Arial"/>
          <w:sz w:val="18"/>
          <w:szCs w:val="18"/>
        </w:rPr>
        <w:t>p</w:t>
      </w:r>
      <w:r w:rsidRPr="0003346F">
        <w:rPr>
          <w:rFonts w:cs="Arial"/>
          <w:sz w:val="18"/>
          <w:szCs w:val="18"/>
        </w:rPr>
        <w:t>orcentaje respecto a la población de 5 a 17 años)</w:t>
      </w:r>
      <w:r w:rsidRPr="0003346F">
        <w:rPr>
          <w:noProof/>
          <w:sz w:val="18"/>
          <w:szCs w:val="18"/>
        </w:rPr>
        <w:t xml:space="preserve"> </w:t>
      </w:r>
      <w:r w:rsidR="00CF2281">
        <w:rPr>
          <w:noProof/>
        </w:rPr>
        <w:drawing>
          <wp:inline distT="0" distB="0" distL="0" distR="0" wp14:anchorId="26BA31F1" wp14:editId="5B41C182">
            <wp:extent cx="5476875" cy="7380000"/>
            <wp:effectExtent l="0" t="0" r="9525" b="11430"/>
            <wp:docPr id="274752938" name="Gráfico 1">
              <a:extLst xmlns:a="http://schemas.openxmlformats.org/drawingml/2006/main">
                <a:ext uri="{FF2B5EF4-FFF2-40B4-BE49-F238E27FC236}">
                  <a16:creationId xmlns:a16="http://schemas.microsoft.com/office/drawing/2014/main" id="{D5BE9AAE-A085-4656-AD8F-2984515634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7415E257" w14:textId="3A51E084" w:rsidR="00E630A5" w:rsidRPr="00CD6FE9" w:rsidRDefault="00C56872" w:rsidP="0032199D">
      <w:pPr>
        <w:widowControl/>
        <w:autoSpaceDE w:val="0"/>
        <w:autoSpaceDN w:val="0"/>
        <w:adjustRightInd w:val="0"/>
        <w:spacing w:line="276" w:lineRule="auto"/>
        <w:ind w:left="709"/>
        <w:jc w:val="left"/>
        <w:rPr>
          <w:rFonts w:cs="Arial"/>
          <w:color w:val="000000"/>
          <w:sz w:val="16"/>
          <w:szCs w:val="16"/>
        </w:rPr>
      </w:pPr>
      <w:r>
        <w:rPr>
          <w:rFonts w:cs="Arial"/>
          <w:color w:val="000000" w:themeColor="text1"/>
          <w:sz w:val="16"/>
          <w:szCs w:val="16"/>
        </w:rPr>
        <w:t xml:space="preserve"> </w:t>
      </w:r>
      <w:r w:rsidR="00E630A5" w:rsidRPr="00CD6FE9">
        <w:rPr>
          <w:rFonts w:cs="Arial"/>
          <w:color w:val="000000" w:themeColor="text1"/>
          <w:sz w:val="16"/>
          <w:szCs w:val="16"/>
        </w:rPr>
        <w:t>Fuente:</w:t>
      </w:r>
      <w:r w:rsidR="0032199D">
        <w:rPr>
          <w:rFonts w:cs="Arial"/>
          <w:color w:val="000000" w:themeColor="text1"/>
          <w:sz w:val="16"/>
          <w:szCs w:val="16"/>
        </w:rPr>
        <w:t xml:space="preserve"> </w:t>
      </w:r>
      <w:r w:rsidR="00E630A5" w:rsidRPr="00CD6FE9">
        <w:rPr>
          <w:rFonts w:cs="Arial"/>
          <w:color w:val="000000" w:themeColor="text1"/>
          <w:sz w:val="16"/>
          <w:szCs w:val="16"/>
        </w:rPr>
        <w:t>INEGI, ENTI</w:t>
      </w:r>
      <w:r w:rsidR="008F58D8">
        <w:rPr>
          <w:rFonts w:cs="Arial"/>
          <w:color w:val="000000" w:themeColor="text1"/>
          <w:sz w:val="16"/>
          <w:szCs w:val="16"/>
        </w:rPr>
        <w:t>.</w:t>
      </w:r>
      <w:r w:rsidR="00E630A5" w:rsidRPr="00CD6FE9">
        <w:rPr>
          <w:rFonts w:cs="Arial"/>
          <w:color w:val="000000" w:themeColor="text1"/>
          <w:sz w:val="16"/>
          <w:szCs w:val="16"/>
        </w:rPr>
        <w:t xml:space="preserve"> 2019 y 2022.</w:t>
      </w:r>
    </w:p>
    <w:p w14:paraId="0A05CCA1" w14:textId="4E7AECEF" w:rsidR="00791592" w:rsidRPr="00820B16" w:rsidRDefault="00791592" w:rsidP="00E336D6">
      <w:pPr>
        <w:pStyle w:val="Prrafodelista"/>
        <w:widowControl/>
        <w:numPr>
          <w:ilvl w:val="1"/>
          <w:numId w:val="9"/>
        </w:numPr>
        <w:autoSpaceDE w:val="0"/>
        <w:autoSpaceDN w:val="0"/>
        <w:adjustRightInd w:val="0"/>
        <w:ind w:left="851" w:hanging="567"/>
        <w:jc w:val="left"/>
        <w:rPr>
          <w:rFonts w:cs="Arial"/>
          <w:b/>
          <w:bCs/>
          <w:color w:val="000000"/>
          <w:szCs w:val="24"/>
        </w:rPr>
      </w:pPr>
      <w:r w:rsidRPr="00820B16">
        <w:rPr>
          <w:rFonts w:cs="Arial"/>
          <w:b/>
          <w:bCs/>
          <w:color w:val="000000"/>
          <w:szCs w:val="24"/>
        </w:rPr>
        <w:lastRenderedPageBreak/>
        <w:t>Características laborales de la ocupación no permitida</w:t>
      </w:r>
    </w:p>
    <w:p w14:paraId="1B87F4D6" w14:textId="77777777" w:rsidR="00791592" w:rsidRDefault="00791592" w:rsidP="00D61482">
      <w:pPr>
        <w:widowControl/>
        <w:autoSpaceDE w:val="0"/>
        <w:autoSpaceDN w:val="0"/>
        <w:adjustRightInd w:val="0"/>
        <w:rPr>
          <w:rFonts w:cs="Arial"/>
          <w:color w:val="000000" w:themeColor="text1"/>
          <w:szCs w:val="24"/>
        </w:rPr>
      </w:pPr>
    </w:p>
    <w:p w14:paraId="49C87FFF" w14:textId="7C0AE52C" w:rsidR="00791592" w:rsidRDefault="00363F7D" w:rsidP="0032199D">
      <w:pPr>
        <w:widowControl/>
        <w:autoSpaceDE w:val="0"/>
        <w:autoSpaceDN w:val="0"/>
        <w:adjustRightInd w:val="0"/>
        <w:ind w:right="51"/>
        <w:rPr>
          <w:rFonts w:cs="Arial"/>
          <w:color w:val="000000" w:themeColor="text1"/>
          <w:szCs w:val="24"/>
        </w:rPr>
      </w:pPr>
      <w:r>
        <w:rPr>
          <w:rFonts w:cs="Arial"/>
          <w:color w:val="000000" w:themeColor="text1"/>
          <w:szCs w:val="24"/>
        </w:rPr>
        <w:t>La información de</w:t>
      </w:r>
      <w:r w:rsidR="00791592">
        <w:rPr>
          <w:rFonts w:cs="Arial"/>
          <w:color w:val="000000" w:themeColor="text1"/>
          <w:szCs w:val="24"/>
        </w:rPr>
        <w:t>l panorama ocupacional y laboral de la población de 5 a 17 años en ocupaci</w:t>
      </w:r>
      <w:r w:rsidR="00EE53E5">
        <w:rPr>
          <w:rFonts w:cs="Arial"/>
          <w:color w:val="000000" w:themeColor="text1"/>
          <w:szCs w:val="24"/>
        </w:rPr>
        <w:t>ón no pe</w:t>
      </w:r>
      <w:r w:rsidR="00791592">
        <w:rPr>
          <w:rFonts w:cs="Arial"/>
          <w:color w:val="000000" w:themeColor="text1"/>
          <w:szCs w:val="24"/>
        </w:rPr>
        <w:t xml:space="preserve">rmitida </w:t>
      </w:r>
      <w:r w:rsidR="002C2B77">
        <w:rPr>
          <w:rFonts w:cs="Arial"/>
          <w:color w:val="000000" w:themeColor="text1"/>
          <w:szCs w:val="24"/>
        </w:rPr>
        <w:t xml:space="preserve">indicó </w:t>
      </w:r>
      <w:r w:rsidR="00791592">
        <w:rPr>
          <w:rFonts w:cs="Arial"/>
          <w:color w:val="000000" w:themeColor="text1"/>
          <w:szCs w:val="24"/>
        </w:rPr>
        <w:t>que, en 2022,</w:t>
      </w:r>
      <w:r w:rsidR="00EE53E5">
        <w:rPr>
          <w:rFonts w:cs="Arial"/>
          <w:color w:val="000000" w:themeColor="text1"/>
          <w:szCs w:val="24"/>
        </w:rPr>
        <w:t xml:space="preserve"> </w:t>
      </w:r>
      <w:r w:rsidR="00791592">
        <w:rPr>
          <w:rFonts w:cs="Arial"/>
          <w:color w:val="000000" w:themeColor="text1"/>
          <w:szCs w:val="24"/>
        </w:rPr>
        <w:t>58.1</w:t>
      </w:r>
      <w:r w:rsidR="00D61482">
        <w:rPr>
          <w:rFonts w:cs="Arial"/>
          <w:color w:val="000000" w:themeColor="text1"/>
          <w:szCs w:val="24"/>
        </w:rPr>
        <w:t xml:space="preserve"> </w:t>
      </w:r>
      <w:r w:rsidR="00791592">
        <w:rPr>
          <w:rFonts w:cs="Arial"/>
          <w:color w:val="000000" w:themeColor="text1"/>
          <w:szCs w:val="24"/>
        </w:rPr>
        <w:t xml:space="preserve">% </w:t>
      </w:r>
      <w:r w:rsidR="00D61482">
        <w:rPr>
          <w:rFonts w:cs="Arial"/>
          <w:color w:val="000000" w:themeColor="text1"/>
          <w:szCs w:val="24"/>
        </w:rPr>
        <w:t>fue</w:t>
      </w:r>
      <w:r w:rsidR="0090228F">
        <w:rPr>
          <w:rFonts w:cs="Arial"/>
          <w:color w:val="000000" w:themeColor="text1"/>
          <w:szCs w:val="24"/>
        </w:rPr>
        <w:t xml:space="preserve"> </w:t>
      </w:r>
      <w:r w:rsidR="0090228F" w:rsidRPr="00FC6DD3">
        <w:rPr>
          <w:rFonts w:cs="Arial"/>
          <w:color w:val="000000" w:themeColor="text1"/>
          <w:szCs w:val="24"/>
        </w:rPr>
        <w:t>trabajador subordinad</w:t>
      </w:r>
      <w:r w:rsidR="00C161E5">
        <w:rPr>
          <w:rFonts w:cs="Arial"/>
          <w:color w:val="000000" w:themeColor="text1"/>
          <w:szCs w:val="24"/>
        </w:rPr>
        <w:t>o</w:t>
      </w:r>
      <w:r w:rsidR="0090228F" w:rsidRPr="00FC6DD3">
        <w:rPr>
          <w:rFonts w:cs="Arial"/>
          <w:color w:val="000000" w:themeColor="text1"/>
          <w:szCs w:val="24"/>
        </w:rPr>
        <w:t xml:space="preserve"> y remunerado</w:t>
      </w:r>
      <w:r w:rsidR="00C161E5">
        <w:rPr>
          <w:rFonts w:cs="Arial"/>
          <w:color w:val="000000" w:themeColor="text1"/>
          <w:szCs w:val="24"/>
        </w:rPr>
        <w:t>;</w:t>
      </w:r>
      <w:r w:rsidR="00791592">
        <w:rPr>
          <w:rFonts w:cs="Arial"/>
          <w:color w:val="000000" w:themeColor="text1"/>
          <w:szCs w:val="24"/>
        </w:rPr>
        <w:t xml:space="preserve"> 37.4 %</w:t>
      </w:r>
      <w:r w:rsidR="00C161E5">
        <w:rPr>
          <w:rFonts w:cs="Arial"/>
          <w:color w:val="000000" w:themeColor="text1"/>
          <w:szCs w:val="24"/>
        </w:rPr>
        <w:t>,</w:t>
      </w:r>
      <w:r w:rsidR="00791592">
        <w:rPr>
          <w:rFonts w:cs="Arial"/>
          <w:color w:val="000000" w:themeColor="text1"/>
          <w:szCs w:val="24"/>
        </w:rPr>
        <w:t xml:space="preserve"> </w:t>
      </w:r>
      <w:r w:rsidR="00D61482">
        <w:rPr>
          <w:rFonts w:cs="Arial"/>
          <w:color w:val="000000" w:themeColor="text1"/>
          <w:szCs w:val="24"/>
        </w:rPr>
        <w:t>trabajador no</w:t>
      </w:r>
      <w:r w:rsidR="00791592">
        <w:rPr>
          <w:rFonts w:cs="Arial"/>
          <w:color w:val="000000" w:themeColor="text1"/>
          <w:szCs w:val="24"/>
        </w:rPr>
        <w:t xml:space="preserve"> remunera</w:t>
      </w:r>
      <w:r w:rsidR="00D61482">
        <w:rPr>
          <w:rFonts w:cs="Arial"/>
          <w:color w:val="000000" w:themeColor="text1"/>
          <w:szCs w:val="24"/>
        </w:rPr>
        <w:t>do</w:t>
      </w:r>
      <w:r w:rsidR="00791592">
        <w:rPr>
          <w:rFonts w:cs="Arial"/>
          <w:color w:val="000000" w:themeColor="text1"/>
          <w:szCs w:val="24"/>
        </w:rPr>
        <w:t xml:space="preserve"> y</w:t>
      </w:r>
      <w:r w:rsidR="000F0275">
        <w:rPr>
          <w:rFonts w:cs="Arial"/>
          <w:color w:val="000000" w:themeColor="text1"/>
          <w:szCs w:val="24"/>
        </w:rPr>
        <w:t xml:space="preserve"> </w:t>
      </w:r>
      <w:r w:rsidR="00791592">
        <w:rPr>
          <w:rFonts w:cs="Arial"/>
          <w:color w:val="000000" w:themeColor="text1"/>
          <w:szCs w:val="24"/>
        </w:rPr>
        <w:t>4.3 %</w:t>
      </w:r>
      <w:r w:rsidR="001744BF">
        <w:rPr>
          <w:rFonts w:cs="Arial"/>
          <w:color w:val="000000" w:themeColor="text1"/>
          <w:szCs w:val="24"/>
        </w:rPr>
        <w:t>,</w:t>
      </w:r>
      <w:r w:rsidR="00791592">
        <w:rPr>
          <w:rFonts w:cs="Arial"/>
          <w:color w:val="000000" w:themeColor="text1"/>
          <w:szCs w:val="24"/>
        </w:rPr>
        <w:t xml:space="preserve"> </w:t>
      </w:r>
      <w:r w:rsidR="00791592" w:rsidRPr="00E5073C">
        <w:rPr>
          <w:rFonts w:cs="Arial"/>
          <w:color w:val="000000" w:themeColor="text1"/>
          <w:szCs w:val="24"/>
        </w:rPr>
        <w:t>trabaj</w:t>
      </w:r>
      <w:r w:rsidR="00D61482" w:rsidRPr="00E5073C">
        <w:rPr>
          <w:rFonts w:cs="Arial"/>
          <w:color w:val="000000" w:themeColor="text1"/>
          <w:szCs w:val="24"/>
        </w:rPr>
        <w:t>ador</w:t>
      </w:r>
      <w:r w:rsidR="00791592" w:rsidRPr="00E5073C">
        <w:rPr>
          <w:rFonts w:cs="Arial"/>
          <w:color w:val="000000" w:themeColor="text1"/>
          <w:szCs w:val="24"/>
        </w:rPr>
        <w:t xml:space="preserve"> cuenta</w:t>
      </w:r>
      <w:r w:rsidR="00D61482" w:rsidRPr="00E5073C">
        <w:rPr>
          <w:rFonts w:cs="Arial"/>
          <w:color w:val="000000" w:themeColor="text1"/>
          <w:szCs w:val="24"/>
        </w:rPr>
        <w:t xml:space="preserve"> propia</w:t>
      </w:r>
      <w:r w:rsidR="001E3935">
        <w:rPr>
          <w:rFonts w:cs="Arial"/>
          <w:color w:val="000000" w:themeColor="text1"/>
          <w:szCs w:val="24"/>
        </w:rPr>
        <w:t xml:space="preserve"> </w:t>
      </w:r>
      <w:r w:rsidR="001E3935">
        <w:rPr>
          <w:rFonts w:cs="Arial"/>
          <w:szCs w:val="24"/>
        </w:rPr>
        <w:t>(ver cuadro 8)</w:t>
      </w:r>
      <w:r w:rsidR="00D53FBE">
        <w:rPr>
          <w:rFonts w:cs="Arial"/>
          <w:color w:val="000000" w:themeColor="text1"/>
          <w:szCs w:val="24"/>
        </w:rPr>
        <w:t>.</w:t>
      </w:r>
    </w:p>
    <w:p w14:paraId="6BF38C51" w14:textId="77777777" w:rsidR="00D53FBE" w:rsidRDefault="00D53FBE" w:rsidP="00D61482">
      <w:pPr>
        <w:widowControl/>
        <w:autoSpaceDE w:val="0"/>
        <w:autoSpaceDN w:val="0"/>
        <w:adjustRightInd w:val="0"/>
        <w:rPr>
          <w:rFonts w:cs="Arial"/>
          <w:color w:val="000000" w:themeColor="text1"/>
          <w:szCs w:val="24"/>
        </w:rPr>
      </w:pPr>
    </w:p>
    <w:p w14:paraId="3F7B6718" w14:textId="77777777" w:rsidR="00B84AFA" w:rsidRPr="0032199D" w:rsidRDefault="00B84AFA" w:rsidP="0032199D">
      <w:pPr>
        <w:widowControl/>
        <w:autoSpaceDE w:val="0"/>
        <w:autoSpaceDN w:val="0"/>
        <w:adjustRightInd w:val="0"/>
        <w:jc w:val="center"/>
        <w:rPr>
          <w:rFonts w:cs="Arial"/>
          <w:color w:val="000000" w:themeColor="text1"/>
          <w:sz w:val="20"/>
        </w:rPr>
      </w:pPr>
      <w:r w:rsidRPr="0032199D">
        <w:rPr>
          <w:rFonts w:cs="Arial"/>
          <w:color w:val="000000" w:themeColor="text1"/>
          <w:sz w:val="20"/>
        </w:rPr>
        <w:t>Cuadro 8</w:t>
      </w:r>
    </w:p>
    <w:p w14:paraId="7C2EDC48" w14:textId="77777777" w:rsidR="00B84AFA" w:rsidRPr="0032199D" w:rsidRDefault="00B84AFA" w:rsidP="0032199D">
      <w:pPr>
        <w:widowControl/>
        <w:autoSpaceDE w:val="0"/>
        <w:autoSpaceDN w:val="0"/>
        <w:adjustRightInd w:val="0"/>
        <w:jc w:val="center"/>
        <w:rPr>
          <w:rFonts w:cs="Arial"/>
          <w:b/>
          <w:bCs/>
          <w:smallCaps/>
          <w:color w:val="000000" w:themeColor="text1"/>
          <w:sz w:val="22"/>
          <w:szCs w:val="22"/>
        </w:rPr>
      </w:pPr>
      <w:r w:rsidRPr="0032199D">
        <w:rPr>
          <w:rFonts w:cs="Arial"/>
          <w:b/>
          <w:bCs/>
          <w:smallCaps/>
          <w:color w:val="000000"/>
          <w:sz w:val="22"/>
          <w:szCs w:val="22"/>
        </w:rPr>
        <w:t>Personas en alguna o</w:t>
      </w:r>
      <w:r w:rsidRPr="0032199D">
        <w:rPr>
          <w:rFonts w:cs="Arial"/>
          <w:b/>
          <w:bCs/>
          <w:smallCaps/>
          <w:color w:val="000000" w:themeColor="text1"/>
          <w:sz w:val="22"/>
          <w:szCs w:val="22"/>
        </w:rPr>
        <w:t>cupación no permitida por posición en la ocupación según sexo</w:t>
      </w:r>
    </w:p>
    <w:p w14:paraId="2CC5AAD2" w14:textId="77777777" w:rsidR="00B84AFA" w:rsidRPr="005E25D0" w:rsidRDefault="00B84AFA" w:rsidP="0032199D">
      <w:pPr>
        <w:widowControl/>
        <w:autoSpaceDE w:val="0"/>
        <w:autoSpaceDN w:val="0"/>
        <w:adjustRightInd w:val="0"/>
        <w:ind w:left="851" w:right="1183"/>
        <w:jc w:val="center"/>
        <w:rPr>
          <w:rFonts w:cs="Arial"/>
          <w:bCs/>
          <w:sz w:val="18"/>
          <w:szCs w:val="18"/>
        </w:rPr>
      </w:pPr>
      <w:r w:rsidRPr="005E25D0">
        <w:rPr>
          <w:rFonts w:cs="Arial"/>
          <w:bCs/>
          <w:sz w:val="18"/>
          <w:szCs w:val="18"/>
        </w:rPr>
        <w:t>(distribución porcentual)</w:t>
      </w:r>
    </w:p>
    <w:tbl>
      <w:tblPr>
        <w:tblW w:w="10000" w:type="dxa"/>
        <w:tblCellMar>
          <w:left w:w="70" w:type="dxa"/>
          <w:right w:w="70" w:type="dxa"/>
        </w:tblCellMar>
        <w:tblLook w:val="04A0" w:firstRow="1" w:lastRow="0" w:firstColumn="1" w:lastColumn="0" w:noHBand="0" w:noVBand="1"/>
      </w:tblPr>
      <w:tblGrid>
        <w:gridCol w:w="220"/>
        <w:gridCol w:w="4560"/>
        <w:gridCol w:w="1740"/>
        <w:gridCol w:w="1740"/>
        <w:gridCol w:w="1740"/>
      </w:tblGrid>
      <w:tr w:rsidR="00B84AFA" w:rsidRPr="00441509" w14:paraId="49F8CFD3" w14:textId="77777777" w:rsidTr="00562DA7">
        <w:trPr>
          <w:trHeight w:val="315"/>
        </w:trPr>
        <w:tc>
          <w:tcPr>
            <w:tcW w:w="4780" w:type="dxa"/>
            <w:gridSpan w:val="2"/>
            <w:tcBorders>
              <w:top w:val="nil"/>
              <w:left w:val="nil"/>
              <w:bottom w:val="nil"/>
              <w:right w:val="nil"/>
            </w:tcBorders>
            <w:shd w:val="clear" w:color="auto" w:fill="338B99"/>
            <w:vAlign w:val="center"/>
            <w:hideMark/>
          </w:tcPr>
          <w:p w14:paraId="36370D16" w14:textId="77777777" w:rsidR="00B84AFA" w:rsidRPr="00441509" w:rsidRDefault="00B84AFA" w:rsidP="00562DA7">
            <w:pPr>
              <w:widowControl/>
              <w:jc w:val="left"/>
              <w:rPr>
                <w:rFonts w:cs="Arial"/>
                <w:b/>
                <w:bCs/>
                <w:color w:val="FFFFFF"/>
                <w:sz w:val="20"/>
                <w:lang w:eastAsia="es-MX"/>
              </w:rPr>
            </w:pPr>
            <w:r w:rsidRPr="00441509">
              <w:rPr>
                <w:rFonts w:cs="Arial"/>
                <w:b/>
                <w:bCs/>
                <w:color w:val="FFFFFF"/>
                <w:sz w:val="20"/>
                <w:lang w:eastAsia="es-MX"/>
              </w:rPr>
              <w:t>Posición en la ocupación</w:t>
            </w:r>
          </w:p>
        </w:tc>
        <w:tc>
          <w:tcPr>
            <w:tcW w:w="1740" w:type="dxa"/>
            <w:tcBorders>
              <w:top w:val="nil"/>
              <w:left w:val="nil"/>
              <w:bottom w:val="nil"/>
              <w:right w:val="nil"/>
            </w:tcBorders>
            <w:shd w:val="clear" w:color="auto" w:fill="338B99"/>
            <w:vAlign w:val="center"/>
            <w:hideMark/>
          </w:tcPr>
          <w:p w14:paraId="78FDD3D0" w14:textId="77777777" w:rsidR="00B84AFA" w:rsidRPr="00441509" w:rsidRDefault="00B84AFA" w:rsidP="00562DA7">
            <w:pPr>
              <w:widowControl/>
              <w:jc w:val="center"/>
              <w:rPr>
                <w:rFonts w:cs="Arial"/>
                <w:b/>
                <w:bCs/>
                <w:color w:val="FFFFFF"/>
                <w:sz w:val="20"/>
                <w:lang w:eastAsia="es-MX"/>
              </w:rPr>
            </w:pPr>
            <w:r w:rsidRPr="00441509">
              <w:rPr>
                <w:rFonts w:cs="Arial"/>
                <w:b/>
                <w:bCs/>
                <w:color w:val="FFFFFF"/>
                <w:sz w:val="20"/>
                <w:lang w:eastAsia="es-MX"/>
              </w:rPr>
              <w:t>Total</w:t>
            </w:r>
          </w:p>
        </w:tc>
        <w:tc>
          <w:tcPr>
            <w:tcW w:w="1740" w:type="dxa"/>
            <w:tcBorders>
              <w:top w:val="nil"/>
              <w:left w:val="nil"/>
              <w:bottom w:val="nil"/>
              <w:right w:val="nil"/>
            </w:tcBorders>
            <w:shd w:val="clear" w:color="auto" w:fill="338B99"/>
            <w:vAlign w:val="center"/>
            <w:hideMark/>
          </w:tcPr>
          <w:p w14:paraId="3CB3D610" w14:textId="77777777" w:rsidR="00B84AFA" w:rsidRPr="00441509" w:rsidRDefault="00B84AFA" w:rsidP="00562DA7">
            <w:pPr>
              <w:widowControl/>
              <w:jc w:val="center"/>
              <w:rPr>
                <w:rFonts w:cs="Arial"/>
                <w:b/>
                <w:bCs/>
                <w:color w:val="FFFFFF"/>
                <w:sz w:val="20"/>
                <w:lang w:eastAsia="es-MX"/>
              </w:rPr>
            </w:pPr>
            <w:r w:rsidRPr="00441509">
              <w:rPr>
                <w:rFonts w:cs="Arial"/>
                <w:b/>
                <w:bCs/>
                <w:color w:val="FFFFFF"/>
                <w:sz w:val="20"/>
                <w:lang w:eastAsia="es-MX"/>
              </w:rPr>
              <w:t>Niños</w:t>
            </w:r>
          </w:p>
        </w:tc>
        <w:tc>
          <w:tcPr>
            <w:tcW w:w="1740" w:type="dxa"/>
            <w:tcBorders>
              <w:top w:val="nil"/>
              <w:left w:val="nil"/>
              <w:bottom w:val="nil"/>
              <w:right w:val="nil"/>
            </w:tcBorders>
            <w:shd w:val="clear" w:color="auto" w:fill="338B99"/>
            <w:vAlign w:val="center"/>
            <w:hideMark/>
          </w:tcPr>
          <w:p w14:paraId="5A27F542" w14:textId="77777777" w:rsidR="00B84AFA" w:rsidRPr="00441509" w:rsidRDefault="00B84AFA" w:rsidP="00562DA7">
            <w:pPr>
              <w:widowControl/>
              <w:jc w:val="center"/>
              <w:rPr>
                <w:rFonts w:cs="Arial"/>
                <w:b/>
                <w:bCs/>
                <w:color w:val="FFFFFF"/>
                <w:sz w:val="20"/>
                <w:lang w:eastAsia="es-MX"/>
              </w:rPr>
            </w:pPr>
            <w:r w:rsidRPr="00441509">
              <w:rPr>
                <w:rFonts w:cs="Arial"/>
                <w:b/>
                <w:bCs/>
                <w:color w:val="FFFFFF"/>
                <w:sz w:val="20"/>
                <w:lang w:eastAsia="es-MX"/>
              </w:rPr>
              <w:t>Niñas</w:t>
            </w:r>
          </w:p>
        </w:tc>
      </w:tr>
      <w:tr w:rsidR="00B84AFA" w:rsidRPr="00441509" w14:paraId="7A816C40" w14:textId="77777777" w:rsidTr="00562DA7">
        <w:trPr>
          <w:trHeight w:val="300"/>
        </w:trPr>
        <w:tc>
          <w:tcPr>
            <w:tcW w:w="4780" w:type="dxa"/>
            <w:gridSpan w:val="2"/>
            <w:tcBorders>
              <w:top w:val="nil"/>
              <w:left w:val="nil"/>
              <w:bottom w:val="nil"/>
              <w:right w:val="nil"/>
            </w:tcBorders>
            <w:shd w:val="clear" w:color="auto" w:fill="66A8B3"/>
            <w:vAlign w:val="center"/>
            <w:hideMark/>
          </w:tcPr>
          <w:p w14:paraId="6949AC3D" w14:textId="77777777" w:rsidR="00B84AFA" w:rsidRPr="00441509" w:rsidRDefault="00B84AFA" w:rsidP="00562DA7">
            <w:pPr>
              <w:widowControl/>
              <w:jc w:val="left"/>
              <w:rPr>
                <w:rFonts w:cs="Arial"/>
                <w:b/>
                <w:bCs/>
                <w:color w:val="000000"/>
                <w:sz w:val="20"/>
                <w:lang w:eastAsia="es-MX"/>
              </w:rPr>
            </w:pPr>
            <w:r w:rsidRPr="00441509">
              <w:rPr>
                <w:rFonts w:cs="Arial"/>
                <w:b/>
                <w:bCs/>
                <w:color w:val="000000"/>
                <w:sz w:val="20"/>
                <w:lang w:eastAsia="es-MX"/>
              </w:rPr>
              <w:t>Ocupación no permitida</w:t>
            </w:r>
          </w:p>
        </w:tc>
        <w:tc>
          <w:tcPr>
            <w:tcW w:w="1740" w:type="dxa"/>
            <w:tcBorders>
              <w:top w:val="nil"/>
              <w:left w:val="nil"/>
              <w:bottom w:val="nil"/>
              <w:right w:val="nil"/>
            </w:tcBorders>
            <w:shd w:val="clear" w:color="auto" w:fill="66A8B3"/>
            <w:vAlign w:val="center"/>
            <w:hideMark/>
          </w:tcPr>
          <w:p w14:paraId="4A619127" w14:textId="77777777" w:rsidR="00B84AFA" w:rsidRPr="00441509" w:rsidRDefault="00B84AFA" w:rsidP="00562DA7">
            <w:pPr>
              <w:widowControl/>
              <w:jc w:val="center"/>
              <w:rPr>
                <w:rFonts w:cs="Arial"/>
                <w:b/>
                <w:bCs/>
                <w:color w:val="000000"/>
                <w:sz w:val="20"/>
                <w:lang w:eastAsia="es-MX"/>
              </w:rPr>
            </w:pPr>
            <w:r w:rsidRPr="00441509">
              <w:rPr>
                <w:rFonts w:cs="Arial"/>
                <w:b/>
                <w:bCs/>
                <w:sz w:val="20"/>
                <w:lang w:eastAsia="es-MX"/>
              </w:rPr>
              <w:t>100.0</w:t>
            </w:r>
          </w:p>
        </w:tc>
        <w:tc>
          <w:tcPr>
            <w:tcW w:w="1740" w:type="dxa"/>
            <w:tcBorders>
              <w:top w:val="nil"/>
              <w:left w:val="nil"/>
              <w:bottom w:val="nil"/>
              <w:right w:val="nil"/>
            </w:tcBorders>
            <w:shd w:val="clear" w:color="auto" w:fill="66A8B3"/>
            <w:vAlign w:val="center"/>
            <w:hideMark/>
          </w:tcPr>
          <w:p w14:paraId="1C0A5BB6" w14:textId="77777777" w:rsidR="00B84AFA" w:rsidRPr="00441509" w:rsidRDefault="00B84AFA" w:rsidP="00562DA7">
            <w:pPr>
              <w:widowControl/>
              <w:jc w:val="center"/>
              <w:rPr>
                <w:rFonts w:cs="Arial"/>
                <w:b/>
                <w:bCs/>
                <w:color w:val="000000"/>
                <w:sz w:val="20"/>
                <w:lang w:eastAsia="es-MX"/>
              </w:rPr>
            </w:pPr>
            <w:r w:rsidRPr="00441509">
              <w:rPr>
                <w:rFonts w:cs="Arial"/>
                <w:b/>
                <w:bCs/>
                <w:sz w:val="20"/>
                <w:lang w:eastAsia="es-MX"/>
              </w:rPr>
              <w:t>100.0</w:t>
            </w:r>
          </w:p>
        </w:tc>
        <w:tc>
          <w:tcPr>
            <w:tcW w:w="1740" w:type="dxa"/>
            <w:tcBorders>
              <w:top w:val="nil"/>
              <w:left w:val="nil"/>
              <w:bottom w:val="nil"/>
              <w:right w:val="nil"/>
            </w:tcBorders>
            <w:shd w:val="clear" w:color="auto" w:fill="66A8B3"/>
            <w:vAlign w:val="center"/>
            <w:hideMark/>
          </w:tcPr>
          <w:p w14:paraId="546D2716" w14:textId="77777777" w:rsidR="00B84AFA" w:rsidRPr="00441509" w:rsidRDefault="00B84AFA" w:rsidP="00562DA7">
            <w:pPr>
              <w:widowControl/>
              <w:jc w:val="center"/>
              <w:rPr>
                <w:rFonts w:cs="Arial"/>
                <w:b/>
                <w:bCs/>
                <w:color w:val="000000"/>
                <w:sz w:val="20"/>
                <w:lang w:eastAsia="es-MX"/>
              </w:rPr>
            </w:pPr>
            <w:r w:rsidRPr="00441509">
              <w:rPr>
                <w:rFonts w:cs="Arial"/>
                <w:b/>
                <w:bCs/>
                <w:sz w:val="20"/>
                <w:lang w:eastAsia="es-MX"/>
              </w:rPr>
              <w:t>100.0</w:t>
            </w:r>
          </w:p>
        </w:tc>
      </w:tr>
      <w:tr w:rsidR="00B84AFA" w:rsidRPr="00441509" w14:paraId="6674B593" w14:textId="77777777" w:rsidTr="00562DA7">
        <w:trPr>
          <w:trHeight w:val="300"/>
        </w:trPr>
        <w:tc>
          <w:tcPr>
            <w:tcW w:w="220" w:type="dxa"/>
            <w:tcBorders>
              <w:top w:val="nil"/>
              <w:left w:val="nil"/>
              <w:bottom w:val="nil"/>
              <w:right w:val="nil"/>
            </w:tcBorders>
            <w:shd w:val="clear" w:color="auto" w:fill="CCE2E6"/>
            <w:noWrap/>
            <w:vAlign w:val="bottom"/>
            <w:hideMark/>
          </w:tcPr>
          <w:p w14:paraId="5222DDB7" w14:textId="77777777" w:rsidR="00B84AFA" w:rsidRPr="00441509" w:rsidRDefault="00B84AFA" w:rsidP="00562DA7">
            <w:pPr>
              <w:widowControl/>
              <w:jc w:val="left"/>
              <w:rPr>
                <w:rFonts w:ascii="Times New Roman" w:hAnsi="Times New Roman"/>
                <w:color w:val="000000"/>
                <w:sz w:val="20"/>
                <w:lang w:eastAsia="es-MX"/>
              </w:rPr>
            </w:pPr>
            <w:r w:rsidRPr="00441509">
              <w:rPr>
                <w:rFonts w:ascii="Times New Roman" w:hAnsi="Times New Roman"/>
                <w:color w:val="000000"/>
                <w:sz w:val="20"/>
                <w:lang w:eastAsia="es-MX"/>
              </w:rPr>
              <w:t> </w:t>
            </w:r>
          </w:p>
        </w:tc>
        <w:tc>
          <w:tcPr>
            <w:tcW w:w="4560" w:type="dxa"/>
            <w:tcBorders>
              <w:top w:val="nil"/>
              <w:left w:val="nil"/>
              <w:bottom w:val="nil"/>
              <w:right w:val="nil"/>
            </w:tcBorders>
            <w:shd w:val="clear" w:color="auto" w:fill="CCE2E6"/>
            <w:vAlign w:val="center"/>
            <w:hideMark/>
          </w:tcPr>
          <w:p w14:paraId="1EA0A919" w14:textId="77777777" w:rsidR="00B84AFA" w:rsidRPr="00441509" w:rsidRDefault="00B84AFA" w:rsidP="00562DA7">
            <w:pPr>
              <w:widowControl/>
              <w:jc w:val="left"/>
              <w:rPr>
                <w:rFonts w:cs="Arial"/>
                <w:color w:val="000000"/>
                <w:sz w:val="20"/>
                <w:lang w:eastAsia="es-MX"/>
              </w:rPr>
            </w:pPr>
            <w:r w:rsidRPr="00441509">
              <w:rPr>
                <w:rFonts w:cs="Arial"/>
                <w:sz w:val="20"/>
                <w:lang w:eastAsia="es-MX"/>
              </w:rPr>
              <w:t>Trabajadores subordinados y remunerados</w:t>
            </w:r>
          </w:p>
        </w:tc>
        <w:tc>
          <w:tcPr>
            <w:tcW w:w="1740" w:type="dxa"/>
            <w:tcBorders>
              <w:top w:val="nil"/>
              <w:left w:val="nil"/>
              <w:bottom w:val="nil"/>
              <w:right w:val="nil"/>
            </w:tcBorders>
            <w:shd w:val="clear" w:color="auto" w:fill="CCE2E6"/>
            <w:vAlign w:val="center"/>
            <w:hideMark/>
          </w:tcPr>
          <w:p w14:paraId="1483E1FA" w14:textId="77777777" w:rsidR="00B84AFA" w:rsidRPr="00441509" w:rsidRDefault="00B84AFA" w:rsidP="00562DA7">
            <w:pPr>
              <w:widowControl/>
              <w:jc w:val="center"/>
              <w:rPr>
                <w:rFonts w:cs="Arial"/>
                <w:color w:val="000000"/>
                <w:sz w:val="20"/>
                <w:lang w:eastAsia="es-MX"/>
              </w:rPr>
            </w:pPr>
            <w:r w:rsidRPr="00441509">
              <w:rPr>
                <w:rFonts w:cs="Arial"/>
                <w:sz w:val="20"/>
                <w:lang w:eastAsia="es-MX"/>
              </w:rPr>
              <w:t>58.1</w:t>
            </w:r>
          </w:p>
        </w:tc>
        <w:tc>
          <w:tcPr>
            <w:tcW w:w="1740" w:type="dxa"/>
            <w:tcBorders>
              <w:top w:val="nil"/>
              <w:left w:val="nil"/>
              <w:bottom w:val="nil"/>
              <w:right w:val="nil"/>
            </w:tcBorders>
            <w:shd w:val="clear" w:color="auto" w:fill="CCE2E6"/>
            <w:vAlign w:val="center"/>
            <w:hideMark/>
          </w:tcPr>
          <w:p w14:paraId="2280E8A6" w14:textId="77777777" w:rsidR="00B84AFA" w:rsidRPr="00441509" w:rsidRDefault="00B84AFA" w:rsidP="00562DA7">
            <w:pPr>
              <w:widowControl/>
              <w:jc w:val="center"/>
              <w:rPr>
                <w:rFonts w:cs="Arial"/>
                <w:color w:val="000000"/>
                <w:sz w:val="20"/>
                <w:lang w:eastAsia="es-MX"/>
              </w:rPr>
            </w:pPr>
            <w:r w:rsidRPr="00441509">
              <w:rPr>
                <w:rFonts w:cs="Arial"/>
                <w:sz w:val="20"/>
                <w:lang w:eastAsia="es-MX"/>
              </w:rPr>
              <w:t>59.5</w:t>
            </w:r>
          </w:p>
        </w:tc>
        <w:tc>
          <w:tcPr>
            <w:tcW w:w="1740" w:type="dxa"/>
            <w:tcBorders>
              <w:top w:val="nil"/>
              <w:left w:val="nil"/>
              <w:bottom w:val="nil"/>
              <w:right w:val="nil"/>
            </w:tcBorders>
            <w:shd w:val="clear" w:color="auto" w:fill="CCE2E6"/>
            <w:vAlign w:val="center"/>
            <w:hideMark/>
          </w:tcPr>
          <w:p w14:paraId="4669DDF4" w14:textId="77777777" w:rsidR="00B84AFA" w:rsidRPr="00441509" w:rsidRDefault="00B84AFA" w:rsidP="00562DA7">
            <w:pPr>
              <w:widowControl/>
              <w:jc w:val="center"/>
              <w:rPr>
                <w:rFonts w:cs="Arial"/>
                <w:color w:val="000000"/>
                <w:sz w:val="20"/>
                <w:lang w:eastAsia="es-MX"/>
              </w:rPr>
            </w:pPr>
            <w:r w:rsidRPr="00441509">
              <w:rPr>
                <w:rFonts w:cs="Arial"/>
                <w:sz w:val="20"/>
                <w:lang w:eastAsia="es-MX"/>
              </w:rPr>
              <w:t>54.5</w:t>
            </w:r>
          </w:p>
        </w:tc>
      </w:tr>
      <w:tr w:rsidR="00B84AFA" w:rsidRPr="00441509" w14:paraId="38388395" w14:textId="77777777" w:rsidTr="00562DA7">
        <w:trPr>
          <w:trHeight w:val="300"/>
        </w:trPr>
        <w:tc>
          <w:tcPr>
            <w:tcW w:w="220" w:type="dxa"/>
            <w:tcBorders>
              <w:top w:val="nil"/>
              <w:left w:val="nil"/>
              <w:bottom w:val="nil"/>
              <w:right w:val="nil"/>
            </w:tcBorders>
            <w:shd w:val="clear" w:color="auto" w:fill="CCE2E6"/>
            <w:noWrap/>
            <w:vAlign w:val="bottom"/>
            <w:hideMark/>
          </w:tcPr>
          <w:p w14:paraId="2666C3BC" w14:textId="77777777" w:rsidR="00B84AFA" w:rsidRPr="00441509" w:rsidRDefault="00B84AFA" w:rsidP="00562DA7">
            <w:pPr>
              <w:widowControl/>
              <w:jc w:val="left"/>
              <w:rPr>
                <w:rFonts w:ascii="Times New Roman" w:hAnsi="Times New Roman"/>
                <w:color w:val="000000"/>
                <w:sz w:val="20"/>
                <w:lang w:eastAsia="es-MX"/>
              </w:rPr>
            </w:pPr>
            <w:r w:rsidRPr="00441509">
              <w:rPr>
                <w:rFonts w:ascii="Times New Roman" w:hAnsi="Times New Roman"/>
                <w:color w:val="000000"/>
                <w:sz w:val="20"/>
                <w:lang w:eastAsia="es-MX"/>
              </w:rPr>
              <w:t> </w:t>
            </w:r>
          </w:p>
        </w:tc>
        <w:tc>
          <w:tcPr>
            <w:tcW w:w="4560" w:type="dxa"/>
            <w:tcBorders>
              <w:top w:val="nil"/>
              <w:left w:val="nil"/>
              <w:bottom w:val="nil"/>
              <w:right w:val="nil"/>
            </w:tcBorders>
            <w:shd w:val="clear" w:color="auto" w:fill="CCE2E6"/>
            <w:vAlign w:val="center"/>
            <w:hideMark/>
          </w:tcPr>
          <w:p w14:paraId="4F6FDC63" w14:textId="77777777" w:rsidR="00B84AFA" w:rsidRPr="00441509" w:rsidRDefault="00B84AFA" w:rsidP="00562DA7">
            <w:pPr>
              <w:widowControl/>
              <w:jc w:val="left"/>
              <w:rPr>
                <w:rFonts w:cs="Arial"/>
                <w:color w:val="000000"/>
                <w:sz w:val="20"/>
                <w:lang w:eastAsia="es-MX"/>
              </w:rPr>
            </w:pPr>
            <w:r w:rsidRPr="00441509">
              <w:rPr>
                <w:rFonts w:cs="Arial"/>
                <w:sz w:val="20"/>
                <w:lang w:eastAsia="es-MX"/>
              </w:rPr>
              <w:t>Trabajadores por cuenta propia</w:t>
            </w:r>
          </w:p>
        </w:tc>
        <w:tc>
          <w:tcPr>
            <w:tcW w:w="1740" w:type="dxa"/>
            <w:tcBorders>
              <w:top w:val="nil"/>
              <w:left w:val="nil"/>
              <w:bottom w:val="nil"/>
              <w:right w:val="nil"/>
            </w:tcBorders>
            <w:shd w:val="clear" w:color="auto" w:fill="CCE2E6"/>
            <w:vAlign w:val="center"/>
            <w:hideMark/>
          </w:tcPr>
          <w:p w14:paraId="11669AAF" w14:textId="77777777" w:rsidR="00B84AFA" w:rsidRPr="00441509" w:rsidRDefault="00B84AFA" w:rsidP="00562DA7">
            <w:pPr>
              <w:widowControl/>
              <w:jc w:val="center"/>
              <w:rPr>
                <w:rFonts w:cs="Arial"/>
                <w:color w:val="000000"/>
                <w:sz w:val="20"/>
                <w:lang w:eastAsia="es-MX"/>
              </w:rPr>
            </w:pPr>
            <w:r w:rsidRPr="00441509">
              <w:rPr>
                <w:rFonts w:cs="Arial"/>
                <w:sz w:val="20"/>
                <w:lang w:eastAsia="es-MX"/>
              </w:rPr>
              <w:t>4.3</w:t>
            </w:r>
          </w:p>
        </w:tc>
        <w:tc>
          <w:tcPr>
            <w:tcW w:w="1740" w:type="dxa"/>
            <w:tcBorders>
              <w:top w:val="nil"/>
              <w:left w:val="nil"/>
              <w:bottom w:val="nil"/>
              <w:right w:val="nil"/>
            </w:tcBorders>
            <w:shd w:val="clear" w:color="auto" w:fill="CCE2E6"/>
            <w:vAlign w:val="center"/>
            <w:hideMark/>
          </w:tcPr>
          <w:p w14:paraId="2848E173" w14:textId="77777777" w:rsidR="00B84AFA" w:rsidRPr="00441509" w:rsidRDefault="00B84AFA" w:rsidP="00562DA7">
            <w:pPr>
              <w:widowControl/>
              <w:jc w:val="center"/>
              <w:rPr>
                <w:rFonts w:cs="Arial"/>
                <w:color w:val="000000"/>
                <w:sz w:val="20"/>
                <w:lang w:eastAsia="es-MX"/>
              </w:rPr>
            </w:pPr>
            <w:r w:rsidRPr="00441509">
              <w:rPr>
                <w:rFonts w:cs="Arial"/>
                <w:sz w:val="20"/>
                <w:lang w:eastAsia="es-MX"/>
              </w:rPr>
              <w:t>3.2</w:t>
            </w:r>
          </w:p>
        </w:tc>
        <w:tc>
          <w:tcPr>
            <w:tcW w:w="1740" w:type="dxa"/>
            <w:tcBorders>
              <w:top w:val="nil"/>
              <w:left w:val="nil"/>
              <w:bottom w:val="nil"/>
              <w:right w:val="nil"/>
            </w:tcBorders>
            <w:shd w:val="clear" w:color="auto" w:fill="CCE2E6"/>
            <w:vAlign w:val="center"/>
            <w:hideMark/>
          </w:tcPr>
          <w:p w14:paraId="0EFDC342" w14:textId="77777777" w:rsidR="00B84AFA" w:rsidRPr="00441509" w:rsidRDefault="00B84AFA" w:rsidP="00562DA7">
            <w:pPr>
              <w:widowControl/>
              <w:jc w:val="center"/>
              <w:rPr>
                <w:rFonts w:cs="Arial"/>
                <w:color w:val="000000"/>
                <w:sz w:val="20"/>
                <w:lang w:eastAsia="es-MX"/>
              </w:rPr>
            </w:pPr>
            <w:r w:rsidRPr="00441509">
              <w:rPr>
                <w:rFonts w:cs="Arial"/>
                <w:sz w:val="20"/>
                <w:lang w:eastAsia="es-MX"/>
              </w:rPr>
              <w:t>7.3</w:t>
            </w:r>
          </w:p>
        </w:tc>
      </w:tr>
      <w:tr w:rsidR="00B84AFA" w:rsidRPr="00441509" w14:paraId="6D800D68" w14:textId="77777777" w:rsidTr="00562DA7">
        <w:trPr>
          <w:trHeight w:val="300"/>
        </w:trPr>
        <w:tc>
          <w:tcPr>
            <w:tcW w:w="220" w:type="dxa"/>
            <w:tcBorders>
              <w:top w:val="nil"/>
              <w:left w:val="nil"/>
              <w:right w:val="nil"/>
            </w:tcBorders>
            <w:shd w:val="clear" w:color="auto" w:fill="CCE2E6"/>
            <w:noWrap/>
            <w:vAlign w:val="bottom"/>
            <w:hideMark/>
          </w:tcPr>
          <w:p w14:paraId="6B1CC557" w14:textId="77777777" w:rsidR="00B84AFA" w:rsidRPr="00441509" w:rsidRDefault="00B84AFA" w:rsidP="00562DA7">
            <w:pPr>
              <w:widowControl/>
              <w:jc w:val="left"/>
              <w:rPr>
                <w:rFonts w:ascii="Times New Roman" w:hAnsi="Times New Roman"/>
                <w:color w:val="000000"/>
                <w:sz w:val="20"/>
                <w:lang w:eastAsia="es-MX"/>
              </w:rPr>
            </w:pPr>
            <w:r w:rsidRPr="00441509">
              <w:rPr>
                <w:rFonts w:ascii="Times New Roman" w:hAnsi="Times New Roman"/>
                <w:color w:val="000000"/>
                <w:sz w:val="20"/>
                <w:lang w:eastAsia="es-MX"/>
              </w:rPr>
              <w:t> </w:t>
            </w:r>
          </w:p>
        </w:tc>
        <w:tc>
          <w:tcPr>
            <w:tcW w:w="4560" w:type="dxa"/>
            <w:tcBorders>
              <w:top w:val="nil"/>
              <w:left w:val="nil"/>
              <w:right w:val="nil"/>
            </w:tcBorders>
            <w:shd w:val="clear" w:color="auto" w:fill="CCE2E6"/>
            <w:vAlign w:val="center"/>
            <w:hideMark/>
          </w:tcPr>
          <w:p w14:paraId="49CB8F1E" w14:textId="77777777" w:rsidR="00B84AFA" w:rsidRPr="00441509" w:rsidRDefault="00B84AFA" w:rsidP="00562DA7">
            <w:pPr>
              <w:widowControl/>
              <w:jc w:val="left"/>
              <w:rPr>
                <w:rFonts w:cs="Arial"/>
                <w:color w:val="000000"/>
                <w:sz w:val="20"/>
                <w:lang w:eastAsia="es-MX"/>
              </w:rPr>
            </w:pPr>
            <w:r w:rsidRPr="00441509">
              <w:rPr>
                <w:rFonts w:cs="Arial"/>
                <w:sz w:val="20"/>
                <w:lang w:eastAsia="es-MX"/>
              </w:rPr>
              <w:t>Trabajadores no remunerados</w:t>
            </w:r>
          </w:p>
        </w:tc>
        <w:tc>
          <w:tcPr>
            <w:tcW w:w="1740" w:type="dxa"/>
            <w:tcBorders>
              <w:top w:val="nil"/>
              <w:left w:val="nil"/>
              <w:right w:val="nil"/>
            </w:tcBorders>
            <w:shd w:val="clear" w:color="auto" w:fill="CCE2E6"/>
            <w:vAlign w:val="center"/>
            <w:hideMark/>
          </w:tcPr>
          <w:p w14:paraId="213E5D1F" w14:textId="77777777" w:rsidR="00B84AFA" w:rsidRPr="00441509" w:rsidRDefault="00B84AFA" w:rsidP="00562DA7">
            <w:pPr>
              <w:widowControl/>
              <w:jc w:val="center"/>
              <w:rPr>
                <w:rFonts w:cs="Arial"/>
                <w:color w:val="000000"/>
                <w:sz w:val="20"/>
                <w:lang w:eastAsia="es-MX"/>
              </w:rPr>
            </w:pPr>
            <w:r w:rsidRPr="00441509">
              <w:rPr>
                <w:rFonts w:cs="Arial"/>
                <w:sz w:val="20"/>
                <w:lang w:eastAsia="es-MX"/>
              </w:rPr>
              <w:t>37.4</w:t>
            </w:r>
          </w:p>
        </w:tc>
        <w:tc>
          <w:tcPr>
            <w:tcW w:w="1740" w:type="dxa"/>
            <w:tcBorders>
              <w:top w:val="nil"/>
              <w:left w:val="nil"/>
              <w:right w:val="nil"/>
            </w:tcBorders>
            <w:shd w:val="clear" w:color="auto" w:fill="CCE2E6"/>
            <w:vAlign w:val="center"/>
            <w:hideMark/>
          </w:tcPr>
          <w:p w14:paraId="70874553" w14:textId="77777777" w:rsidR="00B84AFA" w:rsidRPr="00441509" w:rsidRDefault="00B84AFA" w:rsidP="00562DA7">
            <w:pPr>
              <w:widowControl/>
              <w:jc w:val="center"/>
              <w:rPr>
                <w:rFonts w:cs="Arial"/>
                <w:color w:val="000000"/>
                <w:sz w:val="20"/>
                <w:lang w:eastAsia="es-MX"/>
              </w:rPr>
            </w:pPr>
            <w:r w:rsidRPr="00441509">
              <w:rPr>
                <w:rFonts w:cs="Arial"/>
                <w:sz w:val="20"/>
                <w:lang w:eastAsia="es-MX"/>
              </w:rPr>
              <w:t>37.1</w:t>
            </w:r>
          </w:p>
        </w:tc>
        <w:tc>
          <w:tcPr>
            <w:tcW w:w="1740" w:type="dxa"/>
            <w:tcBorders>
              <w:top w:val="nil"/>
              <w:left w:val="nil"/>
              <w:right w:val="nil"/>
            </w:tcBorders>
            <w:shd w:val="clear" w:color="auto" w:fill="CCE2E6"/>
            <w:vAlign w:val="center"/>
            <w:hideMark/>
          </w:tcPr>
          <w:p w14:paraId="107B83E8" w14:textId="77777777" w:rsidR="00B84AFA" w:rsidRPr="00441509" w:rsidRDefault="00B84AFA" w:rsidP="00562DA7">
            <w:pPr>
              <w:widowControl/>
              <w:jc w:val="center"/>
              <w:rPr>
                <w:rFonts w:cs="Arial"/>
                <w:color w:val="000000"/>
                <w:sz w:val="20"/>
                <w:lang w:eastAsia="es-MX"/>
              </w:rPr>
            </w:pPr>
            <w:r w:rsidRPr="00441509">
              <w:rPr>
                <w:rFonts w:cs="Arial"/>
                <w:sz w:val="20"/>
                <w:lang w:eastAsia="es-MX"/>
              </w:rPr>
              <w:t>38.2</w:t>
            </w:r>
          </w:p>
        </w:tc>
      </w:tr>
      <w:tr w:rsidR="00B84AFA" w:rsidRPr="00441509" w14:paraId="04A6966A" w14:textId="77777777" w:rsidTr="00562DA7">
        <w:trPr>
          <w:trHeight w:val="300"/>
        </w:trPr>
        <w:tc>
          <w:tcPr>
            <w:tcW w:w="220" w:type="dxa"/>
            <w:tcBorders>
              <w:top w:val="nil"/>
              <w:left w:val="nil"/>
              <w:right w:val="nil"/>
            </w:tcBorders>
            <w:shd w:val="clear" w:color="auto" w:fill="CCE2E6"/>
            <w:vAlign w:val="center"/>
            <w:hideMark/>
          </w:tcPr>
          <w:p w14:paraId="648F3C79" w14:textId="77777777" w:rsidR="00B84AFA" w:rsidRPr="00441509" w:rsidRDefault="00B84AFA" w:rsidP="00562DA7">
            <w:pPr>
              <w:widowControl/>
              <w:jc w:val="left"/>
              <w:rPr>
                <w:rFonts w:ascii="Times New Roman" w:hAnsi="Times New Roman"/>
                <w:color w:val="000000"/>
                <w:sz w:val="20"/>
                <w:lang w:eastAsia="es-MX"/>
              </w:rPr>
            </w:pPr>
            <w:r w:rsidRPr="00441509">
              <w:rPr>
                <w:rFonts w:ascii="Times New Roman" w:hAnsi="Times New Roman"/>
                <w:color w:val="000000"/>
                <w:sz w:val="20"/>
                <w:lang w:eastAsia="es-MX"/>
              </w:rPr>
              <w:t> </w:t>
            </w:r>
          </w:p>
        </w:tc>
        <w:tc>
          <w:tcPr>
            <w:tcW w:w="4560" w:type="dxa"/>
            <w:tcBorders>
              <w:top w:val="nil"/>
              <w:left w:val="nil"/>
              <w:right w:val="nil"/>
            </w:tcBorders>
            <w:shd w:val="clear" w:color="auto" w:fill="CCE2E6"/>
            <w:vAlign w:val="center"/>
            <w:hideMark/>
          </w:tcPr>
          <w:p w14:paraId="660FEB29" w14:textId="77777777" w:rsidR="00B84AFA" w:rsidRPr="00441509" w:rsidRDefault="00B84AFA" w:rsidP="00562DA7">
            <w:pPr>
              <w:widowControl/>
              <w:jc w:val="left"/>
              <w:rPr>
                <w:rFonts w:cs="Arial"/>
                <w:color w:val="000000"/>
                <w:sz w:val="20"/>
                <w:lang w:eastAsia="es-MX"/>
              </w:rPr>
            </w:pPr>
            <w:r w:rsidRPr="00441509">
              <w:rPr>
                <w:rFonts w:cs="Arial"/>
                <w:sz w:val="20"/>
                <w:lang w:eastAsia="es-MX"/>
              </w:rPr>
              <w:t>Otros trabajadores</w:t>
            </w:r>
          </w:p>
        </w:tc>
        <w:tc>
          <w:tcPr>
            <w:tcW w:w="1740" w:type="dxa"/>
            <w:tcBorders>
              <w:top w:val="nil"/>
              <w:left w:val="nil"/>
              <w:right w:val="nil"/>
            </w:tcBorders>
            <w:shd w:val="clear" w:color="auto" w:fill="CCE2E6"/>
            <w:vAlign w:val="center"/>
            <w:hideMark/>
          </w:tcPr>
          <w:p w14:paraId="0BBD71BE" w14:textId="77777777" w:rsidR="00B84AFA" w:rsidRPr="00441509" w:rsidRDefault="00B84AFA" w:rsidP="00562DA7">
            <w:pPr>
              <w:widowControl/>
              <w:jc w:val="center"/>
              <w:rPr>
                <w:rFonts w:cs="Arial"/>
                <w:color w:val="000000"/>
                <w:sz w:val="20"/>
                <w:lang w:eastAsia="es-MX"/>
              </w:rPr>
            </w:pPr>
            <w:r w:rsidRPr="00441509">
              <w:rPr>
                <w:rFonts w:cs="Arial"/>
                <w:sz w:val="20"/>
                <w:lang w:eastAsia="es-MX"/>
              </w:rPr>
              <w:t>0.2</w:t>
            </w:r>
          </w:p>
        </w:tc>
        <w:tc>
          <w:tcPr>
            <w:tcW w:w="1740" w:type="dxa"/>
            <w:tcBorders>
              <w:top w:val="nil"/>
              <w:left w:val="nil"/>
              <w:right w:val="nil"/>
            </w:tcBorders>
            <w:shd w:val="clear" w:color="auto" w:fill="CCE2E6"/>
            <w:vAlign w:val="center"/>
            <w:hideMark/>
          </w:tcPr>
          <w:p w14:paraId="7DC1446F" w14:textId="77777777" w:rsidR="00B84AFA" w:rsidRPr="00441509" w:rsidRDefault="00B84AFA" w:rsidP="00562DA7">
            <w:pPr>
              <w:widowControl/>
              <w:jc w:val="center"/>
              <w:rPr>
                <w:rFonts w:cs="Arial"/>
                <w:color w:val="000000"/>
                <w:sz w:val="20"/>
                <w:lang w:eastAsia="es-MX"/>
              </w:rPr>
            </w:pPr>
            <w:r w:rsidRPr="00441509">
              <w:rPr>
                <w:rFonts w:cs="Arial"/>
                <w:sz w:val="20"/>
                <w:lang w:eastAsia="es-MX"/>
              </w:rPr>
              <w:t>0.3</w:t>
            </w:r>
          </w:p>
        </w:tc>
        <w:tc>
          <w:tcPr>
            <w:tcW w:w="1740" w:type="dxa"/>
            <w:tcBorders>
              <w:top w:val="nil"/>
              <w:left w:val="nil"/>
              <w:right w:val="nil"/>
            </w:tcBorders>
            <w:shd w:val="clear" w:color="auto" w:fill="CCE2E6"/>
            <w:vAlign w:val="center"/>
            <w:hideMark/>
          </w:tcPr>
          <w:p w14:paraId="7A6B6249" w14:textId="77777777" w:rsidR="00B84AFA" w:rsidRPr="00441509" w:rsidRDefault="00B84AFA" w:rsidP="00562DA7">
            <w:pPr>
              <w:widowControl/>
              <w:jc w:val="center"/>
              <w:rPr>
                <w:rFonts w:cs="Arial"/>
                <w:color w:val="000000"/>
                <w:sz w:val="20"/>
                <w:lang w:eastAsia="es-MX"/>
              </w:rPr>
            </w:pPr>
            <w:r w:rsidRPr="00441509">
              <w:rPr>
                <w:rFonts w:cs="Arial"/>
                <w:sz w:val="20"/>
                <w:lang w:eastAsia="es-MX"/>
              </w:rPr>
              <w:t>0.0</w:t>
            </w:r>
          </w:p>
        </w:tc>
      </w:tr>
    </w:tbl>
    <w:p w14:paraId="05E518C8" w14:textId="4322D60C" w:rsidR="00B84AFA" w:rsidRPr="00CD6FE9" w:rsidRDefault="00B84AFA" w:rsidP="00B84AFA">
      <w:pPr>
        <w:widowControl/>
        <w:autoSpaceDE w:val="0"/>
        <w:autoSpaceDN w:val="0"/>
        <w:adjustRightInd w:val="0"/>
        <w:rPr>
          <w:rFonts w:cs="Arial"/>
          <w:sz w:val="16"/>
          <w:szCs w:val="16"/>
        </w:rPr>
      </w:pPr>
      <w:r w:rsidRPr="00CD6FE9">
        <w:rPr>
          <w:rFonts w:cs="Arial"/>
          <w:color w:val="000000" w:themeColor="text1"/>
          <w:sz w:val="16"/>
          <w:szCs w:val="16"/>
        </w:rPr>
        <w:t>Fuente: INEGI, ENTI. 2022.</w:t>
      </w:r>
    </w:p>
    <w:p w14:paraId="0EA9F169" w14:textId="77777777" w:rsidR="00791592" w:rsidRDefault="00791592" w:rsidP="009E43F3">
      <w:pPr>
        <w:widowControl/>
        <w:autoSpaceDE w:val="0"/>
        <w:autoSpaceDN w:val="0"/>
        <w:adjustRightInd w:val="0"/>
        <w:rPr>
          <w:rFonts w:cs="Arial"/>
          <w:color w:val="000000"/>
          <w:szCs w:val="24"/>
        </w:rPr>
      </w:pPr>
    </w:p>
    <w:p w14:paraId="289EFDAC" w14:textId="60041CD0" w:rsidR="00791592" w:rsidRPr="00E5073C" w:rsidRDefault="00791592" w:rsidP="0032199D">
      <w:pPr>
        <w:widowControl/>
        <w:autoSpaceDE w:val="0"/>
        <w:autoSpaceDN w:val="0"/>
        <w:adjustRightInd w:val="0"/>
        <w:ind w:right="51"/>
        <w:rPr>
          <w:rFonts w:cs="Arial"/>
          <w:color w:val="000000" w:themeColor="text1"/>
          <w:szCs w:val="24"/>
        </w:rPr>
      </w:pPr>
      <w:r>
        <w:rPr>
          <w:rFonts w:cs="Arial"/>
          <w:color w:val="000000" w:themeColor="text1"/>
          <w:szCs w:val="24"/>
        </w:rPr>
        <w:t xml:space="preserve">Los sectores </w:t>
      </w:r>
      <w:r w:rsidR="002C0695">
        <w:rPr>
          <w:rFonts w:cs="Arial"/>
          <w:color w:val="000000" w:themeColor="text1"/>
          <w:szCs w:val="24"/>
        </w:rPr>
        <w:t>económicos</w:t>
      </w:r>
      <w:r>
        <w:rPr>
          <w:rFonts w:cs="Arial"/>
          <w:color w:val="000000" w:themeColor="text1"/>
          <w:szCs w:val="24"/>
        </w:rPr>
        <w:t xml:space="preserve"> en </w:t>
      </w:r>
      <w:r w:rsidR="00BF2E1E">
        <w:rPr>
          <w:rFonts w:cs="Arial"/>
          <w:color w:val="000000" w:themeColor="text1"/>
          <w:szCs w:val="24"/>
        </w:rPr>
        <w:t xml:space="preserve">los que </w:t>
      </w:r>
      <w:r w:rsidR="002C0695">
        <w:rPr>
          <w:rFonts w:cs="Arial"/>
          <w:color w:val="000000" w:themeColor="text1"/>
          <w:szCs w:val="24"/>
        </w:rPr>
        <w:t xml:space="preserve">se </w:t>
      </w:r>
      <w:r>
        <w:rPr>
          <w:rFonts w:cs="Arial"/>
          <w:color w:val="000000" w:themeColor="text1"/>
          <w:szCs w:val="24"/>
        </w:rPr>
        <w:t xml:space="preserve">concentró la </w:t>
      </w:r>
      <w:r w:rsidR="00363F7D">
        <w:rPr>
          <w:rFonts w:cs="Arial"/>
          <w:color w:val="000000" w:themeColor="text1"/>
          <w:szCs w:val="24"/>
        </w:rPr>
        <w:t xml:space="preserve">población </w:t>
      </w:r>
      <w:r w:rsidR="005C4BD5">
        <w:rPr>
          <w:rFonts w:cs="Arial"/>
          <w:color w:val="000000" w:themeColor="text1"/>
          <w:szCs w:val="24"/>
        </w:rPr>
        <w:t>infantil</w:t>
      </w:r>
      <w:r>
        <w:rPr>
          <w:rFonts w:cs="Arial"/>
          <w:color w:val="000000" w:themeColor="text1"/>
          <w:szCs w:val="24"/>
        </w:rPr>
        <w:t xml:space="preserve"> </w:t>
      </w:r>
      <w:r w:rsidR="00363F7D">
        <w:rPr>
          <w:rFonts w:cs="Arial"/>
          <w:color w:val="000000" w:themeColor="text1"/>
          <w:szCs w:val="24"/>
        </w:rPr>
        <w:t xml:space="preserve">en ocupación </w:t>
      </w:r>
      <w:r>
        <w:rPr>
          <w:rFonts w:cs="Arial"/>
          <w:color w:val="000000" w:themeColor="text1"/>
          <w:szCs w:val="24"/>
        </w:rPr>
        <w:t xml:space="preserve">no permitida </w:t>
      </w:r>
      <w:r w:rsidRPr="00E5073C">
        <w:rPr>
          <w:rFonts w:cs="Arial"/>
          <w:color w:val="000000" w:themeColor="text1"/>
          <w:szCs w:val="24"/>
        </w:rPr>
        <w:t>fueron</w:t>
      </w:r>
      <w:r w:rsidR="00BF2E1E" w:rsidRPr="00E5073C">
        <w:rPr>
          <w:rFonts w:cs="Arial"/>
          <w:color w:val="000000" w:themeColor="text1"/>
          <w:szCs w:val="24"/>
        </w:rPr>
        <w:t>:</w:t>
      </w:r>
      <w:r w:rsidRPr="00E5073C">
        <w:rPr>
          <w:rFonts w:cs="Arial"/>
          <w:color w:val="000000" w:themeColor="text1"/>
          <w:szCs w:val="24"/>
        </w:rPr>
        <w:t xml:space="preserve"> </w:t>
      </w:r>
      <w:r w:rsidR="00D90F7F">
        <w:rPr>
          <w:rFonts w:cs="Arial"/>
          <w:color w:val="000000" w:themeColor="text1"/>
          <w:szCs w:val="24"/>
        </w:rPr>
        <w:t xml:space="preserve">el </w:t>
      </w:r>
      <w:r w:rsidR="00DC1FCD" w:rsidRPr="00C50525">
        <w:rPr>
          <w:rFonts w:cs="Arial"/>
          <w:color w:val="000000" w:themeColor="text1"/>
          <w:szCs w:val="24"/>
        </w:rPr>
        <w:t>a</w:t>
      </w:r>
      <w:r w:rsidRPr="00E5073C">
        <w:rPr>
          <w:rFonts w:cs="Arial"/>
          <w:color w:val="000000" w:themeColor="text1"/>
          <w:szCs w:val="24"/>
        </w:rPr>
        <w:t xml:space="preserve">gropecuario (33 %), </w:t>
      </w:r>
      <w:r w:rsidR="00D90F7F">
        <w:rPr>
          <w:rFonts w:cs="Arial"/>
          <w:color w:val="000000" w:themeColor="text1"/>
          <w:szCs w:val="24"/>
        </w:rPr>
        <w:t>el de s</w:t>
      </w:r>
      <w:r w:rsidRPr="00E5073C">
        <w:rPr>
          <w:rFonts w:cs="Arial"/>
          <w:color w:val="000000" w:themeColor="text1"/>
          <w:szCs w:val="24"/>
        </w:rPr>
        <w:t xml:space="preserve">ervicios (23.2 %) y </w:t>
      </w:r>
      <w:r w:rsidR="00D90F7F">
        <w:rPr>
          <w:rFonts w:cs="Arial"/>
          <w:color w:val="000000" w:themeColor="text1"/>
          <w:szCs w:val="24"/>
        </w:rPr>
        <w:t>c</w:t>
      </w:r>
      <w:r w:rsidRPr="00E5073C">
        <w:rPr>
          <w:rFonts w:cs="Arial"/>
          <w:color w:val="000000" w:themeColor="text1"/>
          <w:szCs w:val="24"/>
        </w:rPr>
        <w:t>omercio (21.5 %)</w:t>
      </w:r>
      <w:r w:rsidR="00D90F7F">
        <w:rPr>
          <w:rFonts w:cs="Arial"/>
          <w:color w:val="000000" w:themeColor="text1"/>
          <w:szCs w:val="24"/>
        </w:rPr>
        <w:t>.</w:t>
      </w:r>
      <w:r w:rsidR="00DA61D1">
        <w:rPr>
          <w:rFonts w:cs="Arial"/>
          <w:color w:val="000000" w:themeColor="text1"/>
          <w:szCs w:val="24"/>
        </w:rPr>
        <w:t xml:space="preserve"> El porcentaje de </w:t>
      </w:r>
      <w:r w:rsidRPr="00E5073C">
        <w:rPr>
          <w:rFonts w:cs="Arial"/>
          <w:color w:val="000000" w:themeColor="text1"/>
          <w:szCs w:val="24"/>
        </w:rPr>
        <w:t xml:space="preserve">niños </w:t>
      </w:r>
      <w:r w:rsidR="002C0695" w:rsidRPr="00E5073C">
        <w:rPr>
          <w:rFonts w:cs="Arial"/>
          <w:color w:val="000000" w:themeColor="text1"/>
          <w:szCs w:val="24"/>
        </w:rPr>
        <w:t xml:space="preserve">fue </w:t>
      </w:r>
      <w:r w:rsidRPr="00E5073C">
        <w:rPr>
          <w:rFonts w:cs="Arial"/>
          <w:color w:val="000000" w:themeColor="text1"/>
          <w:szCs w:val="24"/>
        </w:rPr>
        <w:t>más alto en</w:t>
      </w:r>
      <w:r w:rsidR="00DA61D1">
        <w:rPr>
          <w:rFonts w:cs="Arial"/>
          <w:color w:val="000000" w:themeColor="text1"/>
          <w:szCs w:val="24"/>
        </w:rPr>
        <w:t xml:space="preserve"> el sector</w:t>
      </w:r>
      <w:r w:rsidR="00AA3725">
        <w:rPr>
          <w:rFonts w:cs="Arial"/>
          <w:color w:val="000000" w:themeColor="text1"/>
          <w:szCs w:val="24"/>
        </w:rPr>
        <w:t xml:space="preserve"> a</w:t>
      </w:r>
      <w:r w:rsidRPr="00E5073C">
        <w:rPr>
          <w:rFonts w:cs="Arial"/>
          <w:color w:val="000000" w:themeColor="text1"/>
          <w:szCs w:val="24"/>
        </w:rPr>
        <w:t>gropecuario (39 %)</w:t>
      </w:r>
      <w:r w:rsidR="00AA3725">
        <w:rPr>
          <w:rFonts w:cs="Arial"/>
          <w:color w:val="000000" w:themeColor="text1"/>
          <w:szCs w:val="24"/>
        </w:rPr>
        <w:t xml:space="preserve">; el de las niñas, en </w:t>
      </w:r>
      <w:r w:rsidR="009E322F">
        <w:rPr>
          <w:rFonts w:cs="Arial"/>
          <w:color w:val="000000" w:themeColor="text1"/>
          <w:szCs w:val="24"/>
        </w:rPr>
        <w:t>el de c</w:t>
      </w:r>
      <w:r w:rsidRPr="00E5073C">
        <w:rPr>
          <w:rFonts w:cs="Arial"/>
          <w:color w:val="000000" w:themeColor="text1"/>
          <w:szCs w:val="24"/>
        </w:rPr>
        <w:t xml:space="preserve">omercio (32.3 %) y </w:t>
      </w:r>
      <w:r w:rsidR="009E322F">
        <w:rPr>
          <w:rFonts w:cs="Arial"/>
          <w:color w:val="000000" w:themeColor="text1"/>
          <w:szCs w:val="24"/>
        </w:rPr>
        <w:t>s</w:t>
      </w:r>
      <w:r w:rsidRPr="00E5073C">
        <w:rPr>
          <w:rFonts w:cs="Arial"/>
          <w:color w:val="000000" w:themeColor="text1"/>
          <w:szCs w:val="24"/>
        </w:rPr>
        <w:t>ervicios (32.2 %)</w:t>
      </w:r>
      <w:r w:rsidR="001E3935">
        <w:rPr>
          <w:rFonts w:cs="Arial"/>
          <w:color w:val="000000" w:themeColor="text1"/>
          <w:szCs w:val="24"/>
        </w:rPr>
        <w:t xml:space="preserve"> </w:t>
      </w:r>
      <w:r w:rsidR="001E3935">
        <w:rPr>
          <w:rFonts w:cs="Arial"/>
          <w:szCs w:val="24"/>
        </w:rPr>
        <w:t>(ver cuadro 9)</w:t>
      </w:r>
      <w:r w:rsidRPr="00E5073C">
        <w:rPr>
          <w:rFonts w:cs="Arial"/>
          <w:color w:val="000000" w:themeColor="text1"/>
          <w:szCs w:val="24"/>
        </w:rPr>
        <w:t>.</w:t>
      </w:r>
    </w:p>
    <w:p w14:paraId="76766F9F" w14:textId="77777777" w:rsidR="00791592" w:rsidRPr="00C50525" w:rsidRDefault="00791592" w:rsidP="009E43F3">
      <w:pPr>
        <w:widowControl/>
        <w:autoSpaceDE w:val="0"/>
        <w:autoSpaceDN w:val="0"/>
        <w:adjustRightInd w:val="0"/>
        <w:rPr>
          <w:rFonts w:cs="Arial"/>
          <w:color w:val="000000"/>
          <w:sz w:val="20"/>
        </w:rPr>
      </w:pPr>
    </w:p>
    <w:p w14:paraId="14E79184" w14:textId="77777777" w:rsidR="00B84AFA" w:rsidRPr="0032199D" w:rsidRDefault="00B84AFA" w:rsidP="0032199D">
      <w:pPr>
        <w:widowControl/>
        <w:autoSpaceDE w:val="0"/>
        <w:autoSpaceDN w:val="0"/>
        <w:adjustRightInd w:val="0"/>
        <w:jc w:val="center"/>
        <w:rPr>
          <w:rFonts w:cs="Arial"/>
          <w:color w:val="000000"/>
          <w:sz w:val="20"/>
        </w:rPr>
      </w:pPr>
      <w:r w:rsidRPr="0032199D">
        <w:rPr>
          <w:rFonts w:cs="Arial"/>
          <w:color w:val="000000"/>
          <w:sz w:val="20"/>
        </w:rPr>
        <w:t>Cuadro 9</w:t>
      </w:r>
    </w:p>
    <w:p w14:paraId="12C62EA7" w14:textId="77777777" w:rsidR="00B84AFA" w:rsidRPr="0032199D" w:rsidRDefault="00B84AFA" w:rsidP="0032199D">
      <w:pPr>
        <w:widowControl/>
        <w:autoSpaceDE w:val="0"/>
        <w:autoSpaceDN w:val="0"/>
        <w:adjustRightInd w:val="0"/>
        <w:jc w:val="center"/>
        <w:rPr>
          <w:rFonts w:cs="Arial"/>
          <w:b/>
          <w:bCs/>
          <w:smallCaps/>
          <w:color w:val="000000" w:themeColor="text1"/>
          <w:sz w:val="22"/>
          <w:szCs w:val="22"/>
        </w:rPr>
      </w:pPr>
      <w:r w:rsidRPr="0032199D">
        <w:rPr>
          <w:rFonts w:cs="Arial"/>
          <w:b/>
          <w:bCs/>
          <w:smallCaps/>
          <w:color w:val="000000"/>
          <w:sz w:val="22"/>
          <w:szCs w:val="22"/>
        </w:rPr>
        <w:t>Personas en alguna o</w:t>
      </w:r>
      <w:r w:rsidRPr="0032199D">
        <w:rPr>
          <w:rFonts w:cs="Arial"/>
          <w:b/>
          <w:bCs/>
          <w:smallCaps/>
          <w:color w:val="000000" w:themeColor="text1"/>
          <w:sz w:val="22"/>
          <w:szCs w:val="22"/>
        </w:rPr>
        <w:t>cupación no permitida por sector de actividad económica según sexo</w:t>
      </w:r>
    </w:p>
    <w:p w14:paraId="57F87666" w14:textId="77777777" w:rsidR="00B84AFA" w:rsidRDefault="00B84AFA" w:rsidP="0032199D">
      <w:pPr>
        <w:widowControl/>
        <w:autoSpaceDE w:val="0"/>
        <w:autoSpaceDN w:val="0"/>
        <w:adjustRightInd w:val="0"/>
        <w:ind w:left="851" w:right="1183"/>
        <w:jc w:val="center"/>
        <w:rPr>
          <w:rFonts w:cs="Arial"/>
          <w:b/>
          <w:bCs/>
          <w:color w:val="000000" w:themeColor="text1"/>
          <w:szCs w:val="24"/>
        </w:rPr>
      </w:pPr>
      <w:r w:rsidRPr="005E25D0">
        <w:rPr>
          <w:rFonts w:cs="Arial"/>
          <w:bCs/>
          <w:sz w:val="18"/>
          <w:szCs w:val="18"/>
        </w:rPr>
        <w:t>(distribución porcentual)</w:t>
      </w:r>
    </w:p>
    <w:tbl>
      <w:tblPr>
        <w:tblW w:w="10000" w:type="dxa"/>
        <w:tblCellMar>
          <w:left w:w="70" w:type="dxa"/>
          <w:right w:w="70" w:type="dxa"/>
        </w:tblCellMar>
        <w:tblLook w:val="04A0" w:firstRow="1" w:lastRow="0" w:firstColumn="1" w:lastColumn="0" w:noHBand="0" w:noVBand="1"/>
      </w:tblPr>
      <w:tblGrid>
        <w:gridCol w:w="220"/>
        <w:gridCol w:w="4560"/>
        <w:gridCol w:w="1740"/>
        <w:gridCol w:w="1740"/>
        <w:gridCol w:w="1740"/>
      </w:tblGrid>
      <w:tr w:rsidR="00B84AFA" w:rsidRPr="002E21AB" w14:paraId="3A919DD8" w14:textId="77777777" w:rsidTr="00562DA7">
        <w:trPr>
          <w:trHeight w:val="315"/>
        </w:trPr>
        <w:tc>
          <w:tcPr>
            <w:tcW w:w="4780" w:type="dxa"/>
            <w:gridSpan w:val="2"/>
            <w:tcBorders>
              <w:top w:val="nil"/>
              <w:left w:val="nil"/>
              <w:bottom w:val="nil"/>
              <w:right w:val="nil"/>
            </w:tcBorders>
            <w:shd w:val="clear" w:color="auto" w:fill="338B99"/>
            <w:vAlign w:val="center"/>
            <w:hideMark/>
          </w:tcPr>
          <w:p w14:paraId="71E31250" w14:textId="77777777" w:rsidR="00B84AFA" w:rsidRPr="002E21AB" w:rsidRDefault="00B84AFA" w:rsidP="00562DA7">
            <w:pPr>
              <w:widowControl/>
              <w:jc w:val="left"/>
              <w:rPr>
                <w:rFonts w:cs="Arial"/>
                <w:b/>
                <w:bCs/>
                <w:color w:val="FFFFFF"/>
                <w:sz w:val="20"/>
                <w:lang w:eastAsia="es-MX"/>
              </w:rPr>
            </w:pPr>
            <w:r w:rsidRPr="002E21AB">
              <w:rPr>
                <w:rFonts w:cs="Arial"/>
                <w:b/>
                <w:bCs/>
                <w:color w:val="FFFFFF" w:themeColor="background1"/>
                <w:sz w:val="20"/>
                <w:lang w:eastAsia="es-MX"/>
              </w:rPr>
              <w:t>Sector de actividad económica</w:t>
            </w:r>
          </w:p>
        </w:tc>
        <w:tc>
          <w:tcPr>
            <w:tcW w:w="1740" w:type="dxa"/>
            <w:tcBorders>
              <w:top w:val="nil"/>
              <w:left w:val="nil"/>
              <w:bottom w:val="nil"/>
              <w:right w:val="nil"/>
            </w:tcBorders>
            <w:shd w:val="clear" w:color="auto" w:fill="338B99"/>
            <w:vAlign w:val="center"/>
            <w:hideMark/>
          </w:tcPr>
          <w:p w14:paraId="2F4274C2" w14:textId="77777777" w:rsidR="00B84AFA" w:rsidRPr="002E21AB" w:rsidRDefault="00B84AFA" w:rsidP="00562DA7">
            <w:pPr>
              <w:widowControl/>
              <w:jc w:val="center"/>
              <w:rPr>
                <w:rFonts w:cs="Arial"/>
                <w:b/>
                <w:bCs/>
                <w:color w:val="FFFFFF"/>
                <w:sz w:val="20"/>
                <w:lang w:eastAsia="es-MX"/>
              </w:rPr>
            </w:pPr>
            <w:r w:rsidRPr="002E21AB">
              <w:rPr>
                <w:rFonts w:cs="Arial"/>
                <w:b/>
                <w:bCs/>
                <w:color w:val="FFFFFF"/>
                <w:sz w:val="20"/>
                <w:lang w:eastAsia="es-MX"/>
              </w:rPr>
              <w:t>Total</w:t>
            </w:r>
          </w:p>
        </w:tc>
        <w:tc>
          <w:tcPr>
            <w:tcW w:w="1740" w:type="dxa"/>
            <w:tcBorders>
              <w:top w:val="nil"/>
              <w:left w:val="nil"/>
              <w:bottom w:val="nil"/>
              <w:right w:val="nil"/>
            </w:tcBorders>
            <w:shd w:val="clear" w:color="auto" w:fill="338B99"/>
            <w:vAlign w:val="center"/>
            <w:hideMark/>
          </w:tcPr>
          <w:p w14:paraId="23860D52" w14:textId="77777777" w:rsidR="00B84AFA" w:rsidRPr="002E21AB" w:rsidRDefault="00B84AFA" w:rsidP="00562DA7">
            <w:pPr>
              <w:widowControl/>
              <w:jc w:val="center"/>
              <w:rPr>
                <w:rFonts w:cs="Arial"/>
                <w:b/>
                <w:bCs/>
                <w:color w:val="FFFFFF"/>
                <w:sz w:val="20"/>
                <w:lang w:eastAsia="es-MX"/>
              </w:rPr>
            </w:pPr>
            <w:r w:rsidRPr="002E21AB">
              <w:rPr>
                <w:rFonts w:cs="Arial"/>
                <w:b/>
                <w:bCs/>
                <w:color w:val="FFFFFF"/>
                <w:sz w:val="20"/>
                <w:lang w:eastAsia="es-MX"/>
              </w:rPr>
              <w:t>Niños</w:t>
            </w:r>
          </w:p>
        </w:tc>
        <w:tc>
          <w:tcPr>
            <w:tcW w:w="1740" w:type="dxa"/>
            <w:tcBorders>
              <w:top w:val="nil"/>
              <w:left w:val="nil"/>
              <w:bottom w:val="nil"/>
              <w:right w:val="nil"/>
            </w:tcBorders>
            <w:shd w:val="clear" w:color="auto" w:fill="338B99"/>
            <w:vAlign w:val="center"/>
            <w:hideMark/>
          </w:tcPr>
          <w:p w14:paraId="68B9CA45" w14:textId="77777777" w:rsidR="00B84AFA" w:rsidRPr="002E21AB" w:rsidRDefault="00B84AFA" w:rsidP="00562DA7">
            <w:pPr>
              <w:widowControl/>
              <w:jc w:val="center"/>
              <w:rPr>
                <w:rFonts w:cs="Arial"/>
                <w:b/>
                <w:bCs/>
                <w:color w:val="FFFFFF"/>
                <w:sz w:val="20"/>
                <w:lang w:eastAsia="es-MX"/>
              </w:rPr>
            </w:pPr>
            <w:r w:rsidRPr="002E21AB">
              <w:rPr>
                <w:rFonts w:cs="Arial"/>
                <w:b/>
                <w:bCs/>
                <w:color w:val="FFFFFF"/>
                <w:sz w:val="20"/>
                <w:lang w:eastAsia="es-MX"/>
              </w:rPr>
              <w:t>Niñas</w:t>
            </w:r>
          </w:p>
        </w:tc>
      </w:tr>
      <w:tr w:rsidR="00B84AFA" w:rsidRPr="002E21AB" w14:paraId="784BE804" w14:textId="77777777" w:rsidTr="00562DA7">
        <w:trPr>
          <w:trHeight w:val="300"/>
        </w:trPr>
        <w:tc>
          <w:tcPr>
            <w:tcW w:w="4780" w:type="dxa"/>
            <w:gridSpan w:val="2"/>
            <w:tcBorders>
              <w:top w:val="nil"/>
              <w:left w:val="nil"/>
              <w:bottom w:val="nil"/>
              <w:right w:val="nil"/>
            </w:tcBorders>
            <w:shd w:val="clear" w:color="auto" w:fill="66A8B3"/>
            <w:vAlign w:val="center"/>
            <w:hideMark/>
          </w:tcPr>
          <w:p w14:paraId="7F614D11" w14:textId="77777777" w:rsidR="00B84AFA" w:rsidRPr="002E21AB" w:rsidRDefault="00B84AFA" w:rsidP="00562DA7">
            <w:pPr>
              <w:widowControl/>
              <w:jc w:val="left"/>
              <w:rPr>
                <w:rFonts w:cs="Arial"/>
                <w:b/>
                <w:bCs/>
                <w:color w:val="000000"/>
                <w:sz w:val="20"/>
                <w:lang w:eastAsia="es-MX"/>
              </w:rPr>
            </w:pPr>
            <w:r w:rsidRPr="002E21AB">
              <w:rPr>
                <w:rFonts w:cs="Arial"/>
                <w:b/>
                <w:bCs/>
                <w:color w:val="000000"/>
                <w:sz w:val="20"/>
                <w:lang w:eastAsia="es-MX"/>
              </w:rPr>
              <w:t>Ocupación no permitida</w:t>
            </w:r>
          </w:p>
        </w:tc>
        <w:tc>
          <w:tcPr>
            <w:tcW w:w="1740" w:type="dxa"/>
            <w:tcBorders>
              <w:top w:val="nil"/>
              <w:left w:val="nil"/>
              <w:bottom w:val="nil"/>
              <w:right w:val="nil"/>
            </w:tcBorders>
            <w:shd w:val="clear" w:color="auto" w:fill="66A8B3"/>
            <w:vAlign w:val="center"/>
            <w:hideMark/>
          </w:tcPr>
          <w:p w14:paraId="52D69111" w14:textId="77777777" w:rsidR="00B84AFA" w:rsidRPr="002E21AB" w:rsidRDefault="00B84AFA" w:rsidP="00562DA7">
            <w:pPr>
              <w:widowControl/>
              <w:jc w:val="center"/>
              <w:rPr>
                <w:rFonts w:cs="Arial"/>
                <w:b/>
                <w:bCs/>
                <w:color w:val="000000"/>
                <w:sz w:val="20"/>
                <w:lang w:eastAsia="es-MX"/>
              </w:rPr>
            </w:pPr>
            <w:r w:rsidRPr="002E21AB">
              <w:rPr>
                <w:rFonts w:cs="Arial"/>
                <w:b/>
                <w:bCs/>
                <w:sz w:val="20"/>
                <w:lang w:eastAsia="es-MX"/>
              </w:rPr>
              <w:t>100.0</w:t>
            </w:r>
          </w:p>
        </w:tc>
        <w:tc>
          <w:tcPr>
            <w:tcW w:w="1740" w:type="dxa"/>
            <w:tcBorders>
              <w:top w:val="nil"/>
              <w:left w:val="nil"/>
              <w:bottom w:val="nil"/>
              <w:right w:val="nil"/>
            </w:tcBorders>
            <w:shd w:val="clear" w:color="auto" w:fill="66A8B3"/>
            <w:vAlign w:val="center"/>
            <w:hideMark/>
          </w:tcPr>
          <w:p w14:paraId="0C8817D0" w14:textId="77777777" w:rsidR="00B84AFA" w:rsidRPr="002E21AB" w:rsidRDefault="00B84AFA" w:rsidP="00562DA7">
            <w:pPr>
              <w:widowControl/>
              <w:jc w:val="center"/>
              <w:rPr>
                <w:rFonts w:cs="Arial"/>
                <w:b/>
                <w:bCs/>
                <w:color w:val="000000"/>
                <w:sz w:val="20"/>
                <w:lang w:eastAsia="es-MX"/>
              </w:rPr>
            </w:pPr>
            <w:r w:rsidRPr="002E21AB">
              <w:rPr>
                <w:rFonts w:cs="Arial"/>
                <w:b/>
                <w:bCs/>
                <w:sz w:val="20"/>
                <w:lang w:eastAsia="es-MX"/>
              </w:rPr>
              <w:t>100.0</w:t>
            </w:r>
          </w:p>
        </w:tc>
        <w:tc>
          <w:tcPr>
            <w:tcW w:w="1740" w:type="dxa"/>
            <w:tcBorders>
              <w:top w:val="nil"/>
              <w:left w:val="nil"/>
              <w:bottom w:val="nil"/>
              <w:right w:val="nil"/>
            </w:tcBorders>
            <w:shd w:val="clear" w:color="auto" w:fill="66A8B3"/>
            <w:vAlign w:val="center"/>
            <w:hideMark/>
          </w:tcPr>
          <w:p w14:paraId="5C0649D9" w14:textId="77777777" w:rsidR="00B84AFA" w:rsidRPr="002E21AB" w:rsidRDefault="00B84AFA" w:rsidP="00562DA7">
            <w:pPr>
              <w:widowControl/>
              <w:jc w:val="center"/>
              <w:rPr>
                <w:rFonts w:cs="Arial"/>
                <w:b/>
                <w:bCs/>
                <w:color w:val="000000"/>
                <w:sz w:val="20"/>
                <w:lang w:eastAsia="es-MX"/>
              </w:rPr>
            </w:pPr>
            <w:r w:rsidRPr="002E21AB">
              <w:rPr>
                <w:rFonts w:cs="Arial"/>
                <w:b/>
                <w:bCs/>
                <w:sz w:val="20"/>
                <w:lang w:eastAsia="es-MX"/>
              </w:rPr>
              <w:t>100.0</w:t>
            </w:r>
          </w:p>
        </w:tc>
      </w:tr>
      <w:tr w:rsidR="00B84AFA" w:rsidRPr="002E21AB" w14:paraId="4F4A6CDF" w14:textId="77777777" w:rsidTr="00562DA7">
        <w:trPr>
          <w:trHeight w:val="300"/>
        </w:trPr>
        <w:tc>
          <w:tcPr>
            <w:tcW w:w="220" w:type="dxa"/>
            <w:tcBorders>
              <w:top w:val="nil"/>
              <w:left w:val="nil"/>
              <w:bottom w:val="nil"/>
              <w:right w:val="nil"/>
            </w:tcBorders>
            <w:shd w:val="clear" w:color="auto" w:fill="CCE2E6"/>
            <w:noWrap/>
            <w:vAlign w:val="bottom"/>
            <w:hideMark/>
          </w:tcPr>
          <w:p w14:paraId="1310C7A9" w14:textId="77777777" w:rsidR="00B84AFA" w:rsidRPr="002E21AB" w:rsidRDefault="00B84AFA" w:rsidP="00562DA7">
            <w:pPr>
              <w:widowControl/>
              <w:jc w:val="left"/>
              <w:rPr>
                <w:rFonts w:ascii="Times New Roman" w:hAnsi="Times New Roman"/>
                <w:color w:val="000000"/>
                <w:sz w:val="20"/>
                <w:lang w:eastAsia="es-MX"/>
              </w:rPr>
            </w:pPr>
            <w:r w:rsidRPr="002E21AB">
              <w:rPr>
                <w:rFonts w:ascii="Times New Roman" w:hAnsi="Times New Roman"/>
                <w:color w:val="000000"/>
                <w:sz w:val="20"/>
                <w:lang w:eastAsia="es-MX"/>
              </w:rPr>
              <w:t> </w:t>
            </w:r>
          </w:p>
        </w:tc>
        <w:tc>
          <w:tcPr>
            <w:tcW w:w="4560" w:type="dxa"/>
            <w:tcBorders>
              <w:top w:val="nil"/>
              <w:left w:val="nil"/>
              <w:bottom w:val="nil"/>
              <w:right w:val="nil"/>
            </w:tcBorders>
            <w:shd w:val="clear" w:color="auto" w:fill="CCE2E6"/>
            <w:vAlign w:val="center"/>
            <w:hideMark/>
          </w:tcPr>
          <w:p w14:paraId="05C84895" w14:textId="77777777" w:rsidR="00B84AFA" w:rsidRPr="002E21AB" w:rsidRDefault="00B84AFA" w:rsidP="00562DA7">
            <w:pPr>
              <w:widowControl/>
              <w:jc w:val="left"/>
              <w:rPr>
                <w:rFonts w:cs="Arial"/>
                <w:color w:val="000000"/>
                <w:sz w:val="20"/>
                <w:lang w:eastAsia="es-MX"/>
              </w:rPr>
            </w:pPr>
            <w:r w:rsidRPr="002E21AB">
              <w:rPr>
                <w:rFonts w:cs="Arial"/>
                <w:sz w:val="20"/>
                <w:lang w:eastAsia="es-MX"/>
              </w:rPr>
              <w:t>Agropecuario</w:t>
            </w:r>
          </w:p>
        </w:tc>
        <w:tc>
          <w:tcPr>
            <w:tcW w:w="1740" w:type="dxa"/>
            <w:tcBorders>
              <w:top w:val="nil"/>
              <w:left w:val="nil"/>
              <w:bottom w:val="nil"/>
              <w:right w:val="nil"/>
            </w:tcBorders>
            <w:shd w:val="clear" w:color="auto" w:fill="CCE2E6"/>
            <w:vAlign w:val="center"/>
            <w:hideMark/>
          </w:tcPr>
          <w:p w14:paraId="6F9539B8" w14:textId="77777777" w:rsidR="00B84AFA" w:rsidRPr="002E21AB" w:rsidRDefault="00B84AFA" w:rsidP="00562DA7">
            <w:pPr>
              <w:widowControl/>
              <w:jc w:val="center"/>
              <w:rPr>
                <w:rFonts w:cs="Arial"/>
                <w:color w:val="000000"/>
                <w:sz w:val="20"/>
                <w:lang w:eastAsia="es-MX"/>
              </w:rPr>
            </w:pPr>
            <w:r w:rsidRPr="002E21AB">
              <w:rPr>
                <w:rFonts w:cs="Arial"/>
                <w:sz w:val="20"/>
                <w:lang w:eastAsia="es-MX"/>
              </w:rPr>
              <w:t>33.0</w:t>
            </w:r>
          </w:p>
        </w:tc>
        <w:tc>
          <w:tcPr>
            <w:tcW w:w="1740" w:type="dxa"/>
            <w:tcBorders>
              <w:top w:val="nil"/>
              <w:left w:val="nil"/>
              <w:bottom w:val="nil"/>
              <w:right w:val="nil"/>
            </w:tcBorders>
            <w:shd w:val="clear" w:color="auto" w:fill="CCE2E6"/>
            <w:vAlign w:val="center"/>
            <w:hideMark/>
          </w:tcPr>
          <w:p w14:paraId="4AD42D85" w14:textId="77777777" w:rsidR="00B84AFA" w:rsidRPr="002E21AB" w:rsidRDefault="00B84AFA" w:rsidP="00562DA7">
            <w:pPr>
              <w:widowControl/>
              <w:jc w:val="center"/>
              <w:rPr>
                <w:rFonts w:cs="Arial"/>
                <w:color w:val="000000"/>
                <w:sz w:val="20"/>
                <w:lang w:eastAsia="es-MX"/>
              </w:rPr>
            </w:pPr>
            <w:r w:rsidRPr="002E21AB">
              <w:rPr>
                <w:rFonts w:cs="Arial"/>
                <w:sz w:val="20"/>
                <w:lang w:eastAsia="es-MX"/>
              </w:rPr>
              <w:t>39.0</w:t>
            </w:r>
          </w:p>
        </w:tc>
        <w:tc>
          <w:tcPr>
            <w:tcW w:w="1740" w:type="dxa"/>
            <w:tcBorders>
              <w:top w:val="nil"/>
              <w:left w:val="nil"/>
              <w:bottom w:val="nil"/>
              <w:right w:val="nil"/>
            </w:tcBorders>
            <w:shd w:val="clear" w:color="auto" w:fill="CCE2E6"/>
            <w:vAlign w:val="center"/>
            <w:hideMark/>
          </w:tcPr>
          <w:p w14:paraId="48E333E3" w14:textId="77777777" w:rsidR="00B84AFA" w:rsidRPr="002E21AB" w:rsidRDefault="00B84AFA" w:rsidP="00562DA7">
            <w:pPr>
              <w:widowControl/>
              <w:jc w:val="center"/>
              <w:rPr>
                <w:rFonts w:cs="Arial"/>
                <w:color w:val="000000"/>
                <w:sz w:val="20"/>
                <w:lang w:eastAsia="es-MX"/>
              </w:rPr>
            </w:pPr>
            <w:r w:rsidRPr="002E21AB">
              <w:rPr>
                <w:rFonts w:cs="Arial"/>
                <w:sz w:val="20"/>
                <w:lang w:eastAsia="es-MX"/>
              </w:rPr>
              <w:t>17.7</w:t>
            </w:r>
          </w:p>
        </w:tc>
      </w:tr>
      <w:tr w:rsidR="00B84AFA" w:rsidRPr="002E21AB" w14:paraId="3BBA7C9C" w14:textId="77777777" w:rsidTr="00562DA7">
        <w:trPr>
          <w:trHeight w:val="510"/>
        </w:trPr>
        <w:tc>
          <w:tcPr>
            <w:tcW w:w="220" w:type="dxa"/>
            <w:tcBorders>
              <w:top w:val="nil"/>
              <w:left w:val="nil"/>
              <w:bottom w:val="nil"/>
              <w:right w:val="nil"/>
            </w:tcBorders>
            <w:shd w:val="clear" w:color="auto" w:fill="CCE2E6"/>
            <w:noWrap/>
            <w:vAlign w:val="bottom"/>
            <w:hideMark/>
          </w:tcPr>
          <w:p w14:paraId="753F85F1" w14:textId="77777777" w:rsidR="00B84AFA" w:rsidRPr="002E21AB" w:rsidRDefault="00B84AFA" w:rsidP="00562DA7">
            <w:pPr>
              <w:widowControl/>
              <w:jc w:val="left"/>
              <w:rPr>
                <w:rFonts w:ascii="Times New Roman" w:hAnsi="Times New Roman"/>
                <w:color w:val="000000"/>
                <w:sz w:val="20"/>
                <w:lang w:eastAsia="es-MX"/>
              </w:rPr>
            </w:pPr>
            <w:r w:rsidRPr="002E21AB">
              <w:rPr>
                <w:rFonts w:ascii="Times New Roman" w:hAnsi="Times New Roman"/>
                <w:color w:val="000000"/>
                <w:sz w:val="20"/>
                <w:lang w:eastAsia="es-MX"/>
              </w:rPr>
              <w:t> </w:t>
            </w:r>
          </w:p>
        </w:tc>
        <w:tc>
          <w:tcPr>
            <w:tcW w:w="4560" w:type="dxa"/>
            <w:tcBorders>
              <w:top w:val="nil"/>
              <w:left w:val="nil"/>
              <w:bottom w:val="nil"/>
              <w:right w:val="nil"/>
            </w:tcBorders>
            <w:shd w:val="clear" w:color="auto" w:fill="CCE2E6"/>
            <w:vAlign w:val="center"/>
            <w:hideMark/>
          </w:tcPr>
          <w:p w14:paraId="21027413" w14:textId="77777777" w:rsidR="00B84AFA" w:rsidRPr="002E21AB" w:rsidRDefault="00B84AFA" w:rsidP="00562DA7">
            <w:pPr>
              <w:widowControl/>
              <w:jc w:val="left"/>
              <w:rPr>
                <w:rFonts w:cs="Arial"/>
                <w:color w:val="000000"/>
                <w:sz w:val="20"/>
                <w:lang w:eastAsia="es-MX"/>
              </w:rPr>
            </w:pPr>
            <w:r w:rsidRPr="002E21AB">
              <w:rPr>
                <w:rFonts w:cs="Arial"/>
                <w:sz w:val="20"/>
                <w:lang w:eastAsia="es-MX"/>
              </w:rPr>
              <w:t>Industria manufacturera, extractiva, electricidad, gas y agua</w:t>
            </w:r>
          </w:p>
        </w:tc>
        <w:tc>
          <w:tcPr>
            <w:tcW w:w="1740" w:type="dxa"/>
            <w:tcBorders>
              <w:top w:val="nil"/>
              <w:left w:val="nil"/>
              <w:bottom w:val="nil"/>
              <w:right w:val="nil"/>
            </w:tcBorders>
            <w:shd w:val="clear" w:color="auto" w:fill="CCE2E6"/>
            <w:vAlign w:val="center"/>
            <w:hideMark/>
          </w:tcPr>
          <w:p w14:paraId="762BCAC0" w14:textId="77777777" w:rsidR="00B84AFA" w:rsidRPr="002E21AB" w:rsidRDefault="00B84AFA" w:rsidP="00562DA7">
            <w:pPr>
              <w:widowControl/>
              <w:jc w:val="center"/>
              <w:rPr>
                <w:rFonts w:cs="Arial"/>
                <w:color w:val="000000"/>
                <w:sz w:val="20"/>
                <w:lang w:eastAsia="es-MX"/>
              </w:rPr>
            </w:pPr>
            <w:r w:rsidRPr="002E21AB">
              <w:rPr>
                <w:rFonts w:cs="Arial"/>
                <w:sz w:val="20"/>
                <w:lang w:eastAsia="es-MX"/>
              </w:rPr>
              <w:t>12.5</w:t>
            </w:r>
          </w:p>
        </w:tc>
        <w:tc>
          <w:tcPr>
            <w:tcW w:w="1740" w:type="dxa"/>
            <w:tcBorders>
              <w:top w:val="nil"/>
              <w:left w:val="nil"/>
              <w:bottom w:val="nil"/>
              <w:right w:val="nil"/>
            </w:tcBorders>
            <w:shd w:val="clear" w:color="auto" w:fill="CCE2E6"/>
            <w:vAlign w:val="center"/>
            <w:hideMark/>
          </w:tcPr>
          <w:p w14:paraId="090E1D64" w14:textId="77777777" w:rsidR="00B84AFA" w:rsidRPr="002E21AB" w:rsidRDefault="00B84AFA" w:rsidP="00562DA7">
            <w:pPr>
              <w:widowControl/>
              <w:jc w:val="center"/>
              <w:rPr>
                <w:rFonts w:cs="Arial"/>
                <w:color w:val="000000"/>
                <w:sz w:val="20"/>
                <w:lang w:eastAsia="es-MX"/>
              </w:rPr>
            </w:pPr>
            <w:r w:rsidRPr="002E21AB">
              <w:rPr>
                <w:rFonts w:cs="Arial"/>
                <w:sz w:val="20"/>
                <w:lang w:eastAsia="es-MX"/>
              </w:rPr>
              <w:t>11.1</w:t>
            </w:r>
          </w:p>
        </w:tc>
        <w:tc>
          <w:tcPr>
            <w:tcW w:w="1740" w:type="dxa"/>
            <w:tcBorders>
              <w:top w:val="nil"/>
              <w:left w:val="nil"/>
              <w:bottom w:val="nil"/>
              <w:right w:val="nil"/>
            </w:tcBorders>
            <w:shd w:val="clear" w:color="auto" w:fill="CCE2E6"/>
            <w:vAlign w:val="center"/>
            <w:hideMark/>
          </w:tcPr>
          <w:p w14:paraId="7D8A3FB2" w14:textId="77777777" w:rsidR="00B84AFA" w:rsidRPr="002E21AB" w:rsidRDefault="00B84AFA" w:rsidP="00562DA7">
            <w:pPr>
              <w:widowControl/>
              <w:jc w:val="center"/>
              <w:rPr>
                <w:rFonts w:cs="Arial"/>
                <w:color w:val="000000"/>
                <w:sz w:val="20"/>
                <w:lang w:eastAsia="es-MX"/>
              </w:rPr>
            </w:pPr>
            <w:r w:rsidRPr="002E21AB">
              <w:rPr>
                <w:rFonts w:cs="Arial"/>
                <w:sz w:val="20"/>
                <w:lang w:eastAsia="es-MX"/>
              </w:rPr>
              <w:t>15.8</w:t>
            </w:r>
          </w:p>
        </w:tc>
      </w:tr>
      <w:tr w:rsidR="00B84AFA" w:rsidRPr="002E21AB" w14:paraId="321C1D57" w14:textId="77777777" w:rsidTr="00562DA7">
        <w:trPr>
          <w:trHeight w:val="300"/>
        </w:trPr>
        <w:tc>
          <w:tcPr>
            <w:tcW w:w="220" w:type="dxa"/>
            <w:tcBorders>
              <w:top w:val="nil"/>
              <w:left w:val="nil"/>
              <w:bottom w:val="nil"/>
              <w:right w:val="nil"/>
            </w:tcBorders>
            <w:shd w:val="clear" w:color="auto" w:fill="CCE2E6"/>
            <w:noWrap/>
            <w:vAlign w:val="bottom"/>
            <w:hideMark/>
          </w:tcPr>
          <w:p w14:paraId="7C4B4AB4" w14:textId="77777777" w:rsidR="00B84AFA" w:rsidRPr="002E21AB" w:rsidRDefault="00B84AFA" w:rsidP="00562DA7">
            <w:pPr>
              <w:widowControl/>
              <w:jc w:val="left"/>
              <w:rPr>
                <w:rFonts w:ascii="Times New Roman" w:hAnsi="Times New Roman"/>
                <w:color w:val="000000"/>
                <w:sz w:val="20"/>
                <w:lang w:eastAsia="es-MX"/>
              </w:rPr>
            </w:pPr>
            <w:r w:rsidRPr="002E21AB">
              <w:rPr>
                <w:rFonts w:ascii="Times New Roman" w:hAnsi="Times New Roman"/>
                <w:color w:val="000000"/>
                <w:sz w:val="20"/>
                <w:lang w:eastAsia="es-MX"/>
              </w:rPr>
              <w:t> </w:t>
            </w:r>
          </w:p>
        </w:tc>
        <w:tc>
          <w:tcPr>
            <w:tcW w:w="4560" w:type="dxa"/>
            <w:tcBorders>
              <w:top w:val="nil"/>
              <w:left w:val="nil"/>
              <w:bottom w:val="nil"/>
              <w:right w:val="nil"/>
            </w:tcBorders>
            <w:shd w:val="clear" w:color="auto" w:fill="CCE2E6"/>
            <w:vAlign w:val="center"/>
            <w:hideMark/>
          </w:tcPr>
          <w:p w14:paraId="6F7DDA04" w14:textId="77777777" w:rsidR="00B84AFA" w:rsidRPr="002E21AB" w:rsidRDefault="00B84AFA" w:rsidP="00562DA7">
            <w:pPr>
              <w:widowControl/>
              <w:jc w:val="left"/>
              <w:rPr>
                <w:rFonts w:cs="Arial"/>
                <w:color w:val="000000"/>
                <w:sz w:val="20"/>
                <w:lang w:eastAsia="es-MX"/>
              </w:rPr>
            </w:pPr>
            <w:r w:rsidRPr="002E21AB">
              <w:rPr>
                <w:rFonts w:cs="Arial"/>
                <w:sz w:val="20"/>
                <w:lang w:eastAsia="es-MX"/>
              </w:rPr>
              <w:t>Construcción</w:t>
            </w:r>
          </w:p>
        </w:tc>
        <w:tc>
          <w:tcPr>
            <w:tcW w:w="1740" w:type="dxa"/>
            <w:tcBorders>
              <w:top w:val="nil"/>
              <w:left w:val="nil"/>
              <w:bottom w:val="nil"/>
              <w:right w:val="nil"/>
            </w:tcBorders>
            <w:shd w:val="clear" w:color="auto" w:fill="CCE2E6"/>
            <w:vAlign w:val="center"/>
            <w:hideMark/>
          </w:tcPr>
          <w:p w14:paraId="4A21CAC2" w14:textId="77777777" w:rsidR="00B84AFA" w:rsidRPr="002E21AB" w:rsidRDefault="00B84AFA" w:rsidP="00562DA7">
            <w:pPr>
              <w:widowControl/>
              <w:jc w:val="center"/>
              <w:rPr>
                <w:rFonts w:cs="Arial"/>
                <w:color w:val="000000"/>
                <w:sz w:val="20"/>
                <w:lang w:eastAsia="es-MX"/>
              </w:rPr>
            </w:pPr>
            <w:r w:rsidRPr="002E21AB">
              <w:rPr>
                <w:rFonts w:cs="Arial"/>
                <w:sz w:val="20"/>
                <w:lang w:eastAsia="es-MX"/>
              </w:rPr>
              <w:t>7.0</w:t>
            </w:r>
          </w:p>
        </w:tc>
        <w:tc>
          <w:tcPr>
            <w:tcW w:w="1740" w:type="dxa"/>
            <w:tcBorders>
              <w:top w:val="nil"/>
              <w:left w:val="nil"/>
              <w:bottom w:val="nil"/>
              <w:right w:val="nil"/>
            </w:tcBorders>
            <w:shd w:val="clear" w:color="auto" w:fill="CCE2E6"/>
            <w:vAlign w:val="center"/>
            <w:hideMark/>
          </w:tcPr>
          <w:p w14:paraId="0D6C3F55" w14:textId="77777777" w:rsidR="00B84AFA" w:rsidRPr="002E21AB" w:rsidRDefault="00B84AFA" w:rsidP="00562DA7">
            <w:pPr>
              <w:widowControl/>
              <w:jc w:val="center"/>
              <w:rPr>
                <w:rFonts w:cs="Arial"/>
                <w:color w:val="000000"/>
                <w:sz w:val="20"/>
                <w:lang w:eastAsia="es-MX"/>
              </w:rPr>
            </w:pPr>
            <w:r w:rsidRPr="002E21AB">
              <w:rPr>
                <w:rFonts w:cs="Arial"/>
                <w:sz w:val="20"/>
                <w:lang w:eastAsia="es-MX"/>
              </w:rPr>
              <w:t>9.6</w:t>
            </w:r>
          </w:p>
        </w:tc>
        <w:tc>
          <w:tcPr>
            <w:tcW w:w="1740" w:type="dxa"/>
            <w:tcBorders>
              <w:top w:val="nil"/>
              <w:left w:val="nil"/>
              <w:bottom w:val="nil"/>
              <w:right w:val="nil"/>
            </w:tcBorders>
            <w:shd w:val="clear" w:color="auto" w:fill="CCE2E6"/>
            <w:vAlign w:val="center"/>
            <w:hideMark/>
          </w:tcPr>
          <w:p w14:paraId="0CC664F7" w14:textId="77777777" w:rsidR="00B84AFA" w:rsidRPr="002E21AB" w:rsidRDefault="00B84AFA" w:rsidP="00562DA7">
            <w:pPr>
              <w:widowControl/>
              <w:jc w:val="center"/>
              <w:rPr>
                <w:rFonts w:cs="Arial"/>
                <w:color w:val="000000"/>
                <w:sz w:val="20"/>
                <w:lang w:eastAsia="es-MX"/>
              </w:rPr>
            </w:pPr>
            <w:r w:rsidRPr="002E21AB">
              <w:rPr>
                <w:rFonts w:cs="Arial"/>
                <w:sz w:val="20"/>
                <w:lang w:eastAsia="es-MX"/>
              </w:rPr>
              <w:t>0.2</w:t>
            </w:r>
          </w:p>
        </w:tc>
      </w:tr>
      <w:tr w:rsidR="00B84AFA" w:rsidRPr="002E21AB" w14:paraId="451E2601" w14:textId="77777777" w:rsidTr="00562DA7">
        <w:trPr>
          <w:trHeight w:val="300"/>
        </w:trPr>
        <w:tc>
          <w:tcPr>
            <w:tcW w:w="220" w:type="dxa"/>
            <w:tcBorders>
              <w:top w:val="nil"/>
              <w:left w:val="nil"/>
              <w:bottom w:val="nil"/>
              <w:right w:val="nil"/>
            </w:tcBorders>
            <w:shd w:val="clear" w:color="auto" w:fill="CCE2E6"/>
            <w:noWrap/>
            <w:vAlign w:val="bottom"/>
            <w:hideMark/>
          </w:tcPr>
          <w:p w14:paraId="7B9E62A0" w14:textId="77777777" w:rsidR="00B84AFA" w:rsidRPr="002E21AB" w:rsidRDefault="00B84AFA" w:rsidP="00562DA7">
            <w:pPr>
              <w:widowControl/>
              <w:jc w:val="left"/>
              <w:rPr>
                <w:rFonts w:ascii="Times New Roman" w:hAnsi="Times New Roman"/>
                <w:color w:val="000000"/>
                <w:sz w:val="20"/>
                <w:lang w:eastAsia="es-MX"/>
              </w:rPr>
            </w:pPr>
            <w:r w:rsidRPr="002E21AB">
              <w:rPr>
                <w:rFonts w:ascii="Times New Roman" w:hAnsi="Times New Roman"/>
                <w:color w:val="000000"/>
                <w:sz w:val="20"/>
                <w:lang w:eastAsia="es-MX"/>
              </w:rPr>
              <w:t> </w:t>
            </w:r>
          </w:p>
        </w:tc>
        <w:tc>
          <w:tcPr>
            <w:tcW w:w="4560" w:type="dxa"/>
            <w:tcBorders>
              <w:top w:val="nil"/>
              <w:left w:val="nil"/>
              <w:bottom w:val="nil"/>
              <w:right w:val="nil"/>
            </w:tcBorders>
            <w:shd w:val="clear" w:color="auto" w:fill="CCE2E6"/>
            <w:vAlign w:val="center"/>
            <w:hideMark/>
          </w:tcPr>
          <w:p w14:paraId="063A9408" w14:textId="77777777" w:rsidR="00B84AFA" w:rsidRPr="002E21AB" w:rsidRDefault="00B84AFA" w:rsidP="00562DA7">
            <w:pPr>
              <w:widowControl/>
              <w:jc w:val="left"/>
              <w:rPr>
                <w:rFonts w:cs="Arial"/>
                <w:color w:val="000000"/>
                <w:sz w:val="20"/>
                <w:lang w:eastAsia="es-MX"/>
              </w:rPr>
            </w:pPr>
            <w:r w:rsidRPr="002E21AB">
              <w:rPr>
                <w:rFonts w:cs="Arial"/>
                <w:sz w:val="20"/>
                <w:lang w:eastAsia="es-MX"/>
              </w:rPr>
              <w:t>Comercio</w:t>
            </w:r>
          </w:p>
        </w:tc>
        <w:tc>
          <w:tcPr>
            <w:tcW w:w="1740" w:type="dxa"/>
            <w:tcBorders>
              <w:top w:val="nil"/>
              <w:left w:val="nil"/>
              <w:bottom w:val="nil"/>
              <w:right w:val="nil"/>
            </w:tcBorders>
            <w:shd w:val="clear" w:color="auto" w:fill="CCE2E6"/>
            <w:vAlign w:val="center"/>
            <w:hideMark/>
          </w:tcPr>
          <w:p w14:paraId="104DACC8" w14:textId="77777777" w:rsidR="00B84AFA" w:rsidRPr="002E21AB" w:rsidRDefault="00B84AFA" w:rsidP="00562DA7">
            <w:pPr>
              <w:widowControl/>
              <w:jc w:val="center"/>
              <w:rPr>
                <w:rFonts w:cs="Arial"/>
                <w:color w:val="000000"/>
                <w:sz w:val="20"/>
                <w:lang w:eastAsia="es-MX"/>
              </w:rPr>
            </w:pPr>
            <w:r w:rsidRPr="002E21AB">
              <w:rPr>
                <w:rFonts w:cs="Arial"/>
                <w:sz w:val="20"/>
                <w:lang w:eastAsia="es-MX"/>
              </w:rPr>
              <w:t>21.5</w:t>
            </w:r>
          </w:p>
        </w:tc>
        <w:tc>
          <w:tcPr>
            <w:tcW w:w="1740" w:type="dxa"/>
            <w:tcBorders>
              <w:top w:val="nil"/>
              <w:left w:val="nil"/>
              <w:bottom w:val="nil"/>
              <w:right w:val="nil"/>
            </w:tcBorders>
            <w:shd w:val="clear" w:color="auto" w:fill="CCE2E6"/>
            <w:vAlign w:val="center"/>
            <w:hideMark/>
          </w:tcPr>
          <w:p w14:paraId="0EEA3F23" w14:textId="77777777" w:rsidR="00B84AFA" w:rsidRPr="002E21AB" w:rsidRDefault="00B84AFA" w:rsidP="00562DA7">
            <w:pPr>
              <w:widowControl/>
              <w:jc w:val="center"/>
              <w:rPr>
                <w:rFonts w:cs="Arial"/>
                <w:color w:val="000000"/>
                <w:sz w:val="20"/>
                <w:lang w:eastAsia="es-MX"/>
              </w:rPr>
            </w:pPr>
            <w:r w:rsidRPr="002E21AB">
              <w:rPr>
                <w:rFonts w:cs="Arial"/>
                <w:sz w:val="20"/>
                <w:lang w:eastAsia="es-MX"/>
              </w:rPr>
              <w:t>17.3</w:t>
            </w:r>
          </w:p>
        </w:tc>
        <w:tc>
          <w:tcPr>
            <w:tcW w:w="1740" w:type="dxa"/>
            <w:tcBorders>
              <w:top w:val="nil"/>
              <w:left w:val="nil"/>
              <w:bottom w:val="nil"/>
              <w:right w:val="nil"/>
            </w:tcBorders>
            <w:shd w:val="clear" w:color="auto" w:fill="CCE2E6"/>
            <w:vAlign w:val="center"/>
            <w:hideMark/>
          </w:tcPr>
          <w:p w14:paraId="4B84EA52" w14:textId="77777777" w:rsidR="00B84AFA" w:rsidRPr="002E21AB" w:rsidRDefault="00B84AFA" w:rsidP="00562DA7">
            <w:pPr>
              <w:widowControl/>
              <w:jc w:val="center"/>
              <w:rPr>
                <w:rFonts w:cs="Arial"/>
                <w:color w:val="000000"/>
                <w:sz w:val="20"/>
                <w:lang w:eastAsia="es-MX"/>
              </w:rPr>
            </w:pPr>
            <w:r w:rsidRPr="002E21AB">
              <w:rPr>
                <w:rFonts w:cs="Arial"/>
                <w:sz w:val="20"/>
                <w:lang w:eastAsia="es-MX"/>
              </w:rPr>
              <w:t>32.3</w:t>
            </w:r>
          </w:p>
        </w:tc>
      </w:tr>
      <w:tr w:rsidR="00B84AFA" w:rsidRPr="002E21AB" w14:paraId="2A6445D1" w14:textId="77777777" w:rsidTr="00562DA7">
        <w:trPr>
          <w:trHeight w:val="300"/>
        </w:trPr>
        <w:tc>
          <w:tcPr>
            <w:tcW w:w="220" w:type="dxa"/>
            <w:tcBorders>
              <w:top w:val="nil"/>
              <w:left w:val="nil"/>
              <w:right w:val="nil"/>
            </w:tcBorders>
            <w:shd w:val="clear" w:color="auto" w:fill="CCE2E6"/>
            <w:noWrap/>
            <w:vAlign w:val="bottom"/>
            <w:hideMark/>
          </w:tcPr>
          <w:p w14:paraId="30A4C284" w14:textId="77777777" w:rsidR="00B84AFA" w:rsidRPr="002E21AB" w:rsidRDefault="00B84AFA" w:rsidP="00562DA7">
            <w:pPr>
              <w:widowControl/>
              <w:jc w:val="left"/>
              <w:rPr>
                <w:rFonts w:ascii="Times New Roman" w:hAnsi="Times New Roman"/>
                <w:color w:val="000000"/>
                <w:sz w:val="20"/>
                <w:lang w:eastAsia="es-MX"/>
              </w:rPr>
            </w:pPr>
            <w:r w:rsidRPr="002E21AB">
              <w:rPr>
                <w:rFonts w:ascii="Times New Roman" w:hAnsi="Times New Roman" w:cs="Arial"/>
                <w:color w:val="000000"/>
                <w:sz w:val="20"/>
                <w:lang w:eastAsia="es-MX"/>
              </w:rPr>
              <w:t> </w:t>
            </w:r>
          </w:p>
        </w:tc>
        <w:tc>
          <w:tcPr>
            <w:tcW w:w="4560" w:type="dxa"/>
            <w:tcBorders>
              <w:top w:val="nil"/>
              <w:left w:val="nil"/>
              <w:right w:val="nil"/>
            </w:tcBorders>
            <w:shd w:val="clear" w:color="auto" w:fill="CCE2E6"/>
            <w:vAlign w:val="center"/>
            <w:hideMark/>
          </w:tcPr>
          <w:p w14:paraId="3BC706BD" w14:textId="77777777" w:rsidR="00B84AFA" w:rsidRPr="002E21AB" w:rsidRDefault="00B84AFA" w:rsidP="00562DA7">
            <w:pPr>
              <w:widowControl/>
              <w:jc w:val="left"/>
              <w:rPr>
                <w:rFonts w:cs="Arial"/>
                <w:color w:val="000000"/>
                <w:sz w:val="20"/>
                <w:lang w:eastAsia="es-MX"/>
              </w:rPr>
            </w:pPr>
            <w:r w:rsidRPr="002E21AB">
              <w:rPr>
                <w:rFonts w:cs="Arial"/>
                <w:sz w:val="20"/>
                <w:lang w:eastAsia="es-MX"/>
              </w:rPr>
              <w:t>Servicios</w:t>
            </w:r>
          </w:p>
        </w:tc>
        <w:tc>
          <w:tcPr>
            <w:tcW w:w="1740" w:type="dxa"/>
            <w:tcBorders>
              <w:top w:val="nil"/>
              <w:left w:val="nil"/>
              <w:right w:val="nil"/>
            </w:tcBorders>
            <w:shd w:val="clear" w:color="auto" w:fill="CCE2E6"/>
            <w:vAlign w:val="center"/>
            <w:hideMark/>
          </w:tcPr>
          <w:p w14:paraId="5D5A50C2" w14:textId="77777777" w:rsidR="00B84AFA" w:rsidRPr="002E21AB" w:rsidRDefault="00B84AFA" w:rsidP="00562DA7">
            <w:pPr>
              <w:widowControl/>
              <w:jc w:val="center"/>
              <w:rPr>
                <w:rFonts w:cs="Arial"/>
                <w:color w:val="000000"/>
                <w:sz w:val="20"/>
                <w:lang w:eastAsia="es-MX"/>
              </w:rPr>
            </w:pPr>
            <w:r w:rsidRPr="002E21AB">
              <w:rPr>
                <w:rFonts w:cs="Arial"/>
                <w:sz w:val="20"/>
                <w:lang w:eastAsia="es-MX"/>
              </w:rPr>
              <w:t>23.2</w:t>
            </w:r>
          </w:p>
        </w:tc>
        <w:tc>
          <w:tcPr>
            <w:tcW w:w="1740" w:type="dxa"/>
            <w:tcBorders>
              <w:top w:val="nil"/>
              <w:left w:val="nil"/>
              <w:right w:val="nil"/>
            </w:tcBorders>
            <w:shd w:val="clear" w:color="auto" w:fill="CCE2E6"/>
            <w:vAlign w:val="center"/>
            <w:hideMark/>
          </w:tcPr>
          <w:p w14:paraId="6CD902FB" w14:textId="77777777" w:rsidR="00B84AFA" w:rsidRPr="002E21AB" w:rsidRDefault="00B84AFA" w:rsidP="00562DA7">
            <w:pPr>
              <w:widowControl/>
              <w:jc w:val="center"/>
              <w:rPr>
                <w:rFonts w:cs="Arial"/>
                <w:color w:val="000000"/>
                <w:sz w:val="20"/>
                <w:lang w:eastAsia="es-MX"/>
              </w:rPr>
            </w:pPr>
            <w:r w:rsidRPr="002E21AB">
              <w:rPr>
                <w:rFonts w:cs="Arial"/>
                <w:sz w:val="20"/>
                <w:lang w:eastAsia="es-MX"/>
              </w:rPr>
              <w:t>19.7</w:t>
            </w:r>
          </w:p>
        </w:tc>
        <w:tc>
          <w:tcPr>
            <w:tcW w:w="1740" w:type="dxa"/>
            <w:tcBorders>
              <w:top w:val="nil"/>
              <w:left w:val="nil"/>
              <w:right w:val="nil"/>
            </w:tcBorders>
            <w:shd w:val="clear" w:color="auto" w:fill="CCE2E6"/>
            <w:vAlign w:val="center"/>
            <w:hideMark/>
          </w:tcPr>
          <w:p w14:paraId="5C545596" w14:textId="77777777" w:rsidR="00B84AFA" w:rsidRPr="002E21AB" w:rsidRDefault="00B84AFA" w:rsidP="00562DA7">
            <w:pPr>
              <w:widowControl/>
              <w:jc w:val="center"/>
              <w:rPr>
                <w:rFonts w:cs="Arial"/>
                <w:color w:val="000000"/>
                <w:sz w:val="20"/>
                <w:lang w:eastAsia="es-MX"/>
              </w:rPr>
            </w:pPr>
            <w:r w:rsidRPr="002E21AB">
              <w:rPr>
                <w:rFonts w:cs="Arial"/>
                <w:sz w:val="20"/>
                <w:lang w:eastAsia="es-MX"/>
              </w:rPr>
              <w:t>32.2</w:t>
            </w:r>
          </w:p>
        </w:tc>
      </w:tr>
      <w:tr w:rsidR="00B84AFA" w:rsidRPr="002E21AB" w14:paraId="71EF6F86" w14:textId="77777777" w:rsidTr="00562DA7">
        <w:trPr>
          <w:trHeight w:val="300"/>
        </w:trPr>
        <w:tc>
          <w:tcPr>
            <w:tcW w:w="220" w:type="dxa"/>
            <w:tcBorders>
              <w:top w:val="nil"/>
              <w:left w:val="nil"/>
              <w:right w:val="nil"/>
            </w:tcBorders>
            <w:shd w:val="clear" w:color="auto" w:fill="CCE2E6"/>
            <w:vAlign w:val="center"/>
            <w:hideMark/>
          </w:tcPr>
          <w:p w14:paraId="63D73319" w14:textId="77777777" w:rsidR="00B84AFA" w:rsidRPr="002E21AB" w:rsidRDefault="00B84AFA" w:rsidP="00562DA7">
            <w:pPr>
              <w:widowControl/>
              <w:jc w:val="left"/>
              <w:rPr>
                <w:rFonts w:ascii="Times New Roman" w:hAnsi="Times New Roman"/>
                <w:color w:val="000000"/>
                <w:sz w:val="20"/>
                <w:lang w:eastAsia="es-MX"/>
              </w:rPr>
            </w:pPr>
            <w:r w:rsidRPr="002E21AB">
              <w:rPr>
                <w:rFonts w:ascii="Times New Roman" w:hAnsi="Times New Roman" w:cs="Arial"/>
                <w:color w:val="000000"/>
                <w:sz w:val="20"/>
                <w:lang w:eastAsia="es-MX"/>
              </w:rPr>
              <w:t> </w:t>
            </w:r>
          </w:p>
        </w:tc>
        <w:tc>
          <w:tcPr>
            <w:tcW w:w="4560" w:type="dxa"/>
            <w:tcBorders>
              <w:top w:val="nil"/>
              <w:left w:val="nil"/>
              <w:right w:val="nil"/>
            </w:tcBorders>
            <w:shd w:val="clear" w:color="auto" w:fill="CCE2E6"/>
            <w:vAlign w:val="center"/>
            <w:hideMark/>
          </w:tcPr>
          <w:p w14:paraId="51D02D8F" w14:textId="77777777" w:rsidR="00B84AFA" w:rsidRPr="002E21AB" w:rsidRDefault="00B84AFA" w:rsidP="00562DA7">
            <w:pPr>
              <w:widowControl/>
              <w:jc w:val="left"/>
              <w:rPr>
                <w:rFonts w:cs="Arial"/>
                <w:color w:val="000000"/>
                <w:sz w:val="20"/>
                <w:lang w:eastAsia="es-MX"/>
              </w:rPr>
            </w:pPr>
            <w:r w:rsidRPr="002E21AB">
              <w:rPr>
                <w:rFonts w:cs="Arial"/>
                <w:sz w:val="20"/>
                <w:lang w:eastAsia="es-MX"/>
              </w:rPr>
              <w:t>No especificado</w:t>
            </w:r>
          </w:p>
        </w:tc>
        <w:tc>
          <w:tcPr>
            <w:tcW w:w="1740" w:type="dxa"/>
            <w:tcBorders>
              <w:top w:val="nil"/>
              <w:left w:val="nil"/>
              <w:right w:val="nil"/>
            </w:tcBorders>
            <w:shd w:val="clear" w:color="auto" w:fill="CCE2E6"/>
            <w:vAlign w:val="center"/>
            <w:hideMark/>
          </w:tcPr>
          <w:p w14:paraId="3A709ADF" w14:textId="77777777" w:rsidR="00B84AFA" w:rsidRPr="002E21AB" w:rsidRDefault="00B84AFA" w:rsidP="00562DA7">
            <w:pPr>
              <w:widowControl/>
              <w:jc w:val="center"/>
              <w:rPr>
                <w:rFonts w:cs="Arial"/>
                <w:color w:val="000000"/>
                <w:sz w:val="20"/>
                <w:lang w:eastAsia="es-MX"/>
              </w:rPr>
            </w:pPr>
            <w:r w:rsidRPr="002E21AB">
              <w:rPr>
                <w:rFonts w:cs="Arial"/>
                <w:sz w:val="20"/>
                <w:lang w:eastAsia="es-MX"/>
              </w:rPr>
              <w:t>2.9</w:t>
            </w:r>
          </w:p>
        </w:tc>
        <w:tc>
          <w:tcPr>
            <w:tcW w:w="1740" w:type="dxa"/>
            <w:tcBorders>
              <w:top w:val="nil"/>
              <w:left w:val="nil"/>
              <w:right w:val="nil"/>
            </w:tcBorders>
            <w:shd w:val="clear" w:color="auto" w:fill="CCE2E6"/>
            <w:vAlign w:val="center"/>
            <w:hideMark/>
          </w:tcPr>
          <w:p w14:paraId="0CF22146" w14:textId="77777777" w:rsidR="00B84AFA" w:rsidRPr="002E21AB" w:rsidRDefault="00B84AFA" w:rsidP="00562DA7">
            <w:pPr>
              <w:widowControl/>
              <w:jc w:val="center"/>
              <w:rPr>
                <w:rFonts w:cs="Arial"/>
                <w:color w:val="000000"/>
                <w:sz w:val="20"/>
                <w:lang w:eastAsia="es-MX"/>
              </w:rPr>
            </w:pPr>
            <w:r w:rsidRPr="002E21AB">
              <w:rPr>
                <w:rFonts w:cs="Arial"/>
                <w:sz w:val="20"/>
                <w:lang w:eastAsia="es-MX"/>
              </w:rPr>
              <w:t>3.3</w:t>
            </w:r>
          </w:p>
        </w:tc>
        <w:tc>
          <w:tcPr>
            <w:tcW w:w="1740" w:type="dxa"/>
            <w:tcBorders>
              <w:top w:val="nil"/>
              <w:left w:val="nil"/>
              <w:right w:val="nil"/>
            </w:tcBorders>
            <w:shd w:val="clear" w:color="auto" w:fill="CCE2E6"/>
            <w:vAlign w:val="center"/>
            <w:hideMark/>
          </w:tcPr>
          <w:p w14:paraId="3FF3401D" w14:textId="77777777" w:rsidR="00B84AFA" w:rsidRPr="002E21AB" w:rsidRDefault="00B84AFA" w:rsidP="00562DA7">
            <w:pPr>
              <w:widowControl/>
              <w:jc w:val="center"/>
              <w:rPr>
                <w:rFonts w:cs="Arial"/>
                <w:color w:val="000000"/>
                <w:sz w:val="20"/>
                <w:lang w:eastAsia="es-MX"/>
              </w:rPr>
            </w:pPr>
            <w:r w:rsidRPr="002E21AB">
              <w:rPr>
                <w:rFonts w:cs="Arial"/>
                <w:sz w:val="20"/>
                <w:lang w:eastAsia="es-MX"/>
              </w:rPr>
              <w:t>1.8</w:t>
            </w:r>
          </w:p>
        </w:tc>
      </w:tr>
    </w:tbl>
    <w:p w14:paraId="09966377" w14:textId="0CA57915" w:rsidR="00B84AFA" w:rsidRPr="00CD6FE9" w:rsidRDefault="00B84AFA" w:rsidP="00B84AFA">
      <w:pPr>
        <w:widowControl/>
        <w:autoSpaceDE w:val="0"/>
        <w:autoSpaceDN w:val="0"/>
        <w:adjustRightInd w:val="0"/>
        <w:rPr>
          <w:rFonts w:cs="Arial"/>
          <w:sz w:val="16"/>
          <w:szCs w:val="16"/>
        </w:rPr>
      </w:pPr>
      <w:r w:rsidRPr="00CD6FE9">
        <w:rPr>
          <w:rFonts w:cs="Arial"/>
          <w:color w:val="000000" w:themeColor="text1"/>
          <w:sz w:val="16"/>
          <w:szCs w:val="16"/>
        </w:rPr>
        <w:t>Fuente: INEGI, ENTI. 2022.</w:t>
      </w:r>
    </w:p>
    <w:p w14:paraId="630F685A" w14:textId="77777777" w:rsidR="00EE7EB4" w:rsidRDefault="00EE7EB4" w:rsidP="009E43F3">
      <w:pPr>
        <w:widowControl/>
        <w:autoSpaceDE w:val="0"/>
        <w:autoSpaceDN w:val="0"/>
        <w:adjustRightInd w:val="0"/>
        <w:rPr>
          <w:rFonts w:cs="Arial"/>
          <w:color w:val="000000" w:themeColor="text1"/>
          <w:szCs w:val="24"/>
        </w:rPr>
      </w:pPr>
    </w:p>
    <w:p w14:paraId="02FE0628" w14:textId="617115FC" w:rsidR="00147ADB" w:rsidRPr="00E5073C" w:rsidRDefault="003C3567" w:rsidP="0032199D">
      <w:pPr>
        <w:widowControl/>
        <w:autoSpaceDE w:val="0"/>
        <w:autoSpaceDN w:val="0"/>
        <w:adjustRightInd w:val="0"/>
        <w:ind w:right="51"/>
        <w:rPr>
          <w:rFonts w:cs="Arial"/>
          <w:color w:val="000000" w:themeColor="text1"/>
          <w:szCs w:val="24"/>
        </w:rPr>
      </w:pPr>
      <w:r w:rsidRPr="00E5073C">
        <w:rPr>
          <w:rFonts w:cs="Arial"/>
          <w:color w:val="000000" w:themeColor="text1"/>
          <w:szCs w:val="24"/>
        </w:rPr>
        <w:t>De</w:t>
      </w:r>
      <w:r w:rsidR="00147ADB" w:rsidRPr="00E5073C">
        <w:rPr>
          <w:rFonts w:cs="Arial"/>
          <w:color w:val="000000" w:themeColor="text1"/>
          <w:szCs w:val="24"/>
        </w:rPr>
        <w:t xml:space="preserve"> 201</w:t>
      </w:r>
      <w:r w:rsidRPr="00E5073C">
        <w:rPr>
          <w:rFonts w:cs="Arial"/>
          <w:color w:val="000000" w:themeColor="text1"/>
          <w:szCs w:val="24"/>
        </w:rPr>
        <w:t>9</w:t>
      </w:r>
      <w:r w:rsidR="00572CC0" w:rsidRPr="00E5073C">
        <w:rPr>
          <w:rFonts w:cs="Arial"/>
          <w:color w:val="000000" w:themeColor="text1"/>
          <w:szCs w:val="24"/>
        </w:rPr>
        <w:t xml:space="preserve"> a </w:t>
      </w:r>
      <w:r w:rsidR="00147ADB" w:rsidRPr="00E5073C">
        <w:rPr>
          <w:rFonts w:cs="Arial"/>
          <w:color w:val="000000" w:themeColor="text1"/>
          <w:szCs w:val="24"/>
        </w:rPr>
        <w:t xml:space="preserve">2022, la distribución sectorial de la ocupación no permitida </w:t>
      </w:r>
      <w:r w:rsidR="002A0E9E" w:rsidRPr="00E5073C">
        <w:rPr>
          <w:rFonts w:cs="Arial"/>
          <w:color w:val="000000" w:themeColor="text1"/>
          <w:szCs w:val="24"/>
        </w:rPr>
        <w:t xml:space="preserve">presentó </w:t>
      </w:r>
      <w:r w:rsidR="00363F7D">
        <w:rPr>
          <w:rFonts w:cs="Arial"/>
          <w:color w:val="000000" w:themeColor="text1"/>
          <w:szCs w:val="24"/>
        </w:rPr>
        <w:t xml:space="preserve">ligeros </w:t>
      </w:r>
      <w:r w:rsidR="00147ADB" w:rsidRPr="00E5073C">
        <w:rPr>
          <w:rFonts w:cs="Arial"/>
          <w:color w:val="000000" w:themeColor="text1"/>
          <w:szCs w:val="24"/>
        </w:rPr>
        <w:t>cambios</w:t>
      </w:r>
      <w:r w:rsidR="00363F7D">
        <w:rPr>
          <w:rFonts w:cs="Arial"/>
          <w:color w:val="000000" w:themeColor="text1"/>
          <w:szCs w:val="24"/>
        </w:rPr>
        <w:t>.</w:t>
      </w:r>
      <w:r w:rsidR="007B1EC0">
        <w:rPr>
          <w:rFonts w:cs="Arial"/>
          <w:color w:val="000000" w:themeColor="text1"/>
          <w:szCs w:val="24"/>
        </w:rPr>
        <w:t xml:space="preserve"> </w:t>
      </w:r>
      <w:r w:rsidR="00363F7D">
        <w:rPr>
          <w:rFonts w:cs="Arial"/>
          <w:color w:val="000000" w:themeColor="text1"/>
          <w:szCs w:val="24"/>
        </w:rPr>
        <w:t>E</w:t>
      </w:r>
      <w:r w:rsidR="007B1EC0">
        <w:rPr>
          <w:rFonts w:cs="Arial"/>
          <w:color w:val="000000" w:themeColor="text1"/>
          <w:szCs w:val="24"/>
        </w:rPr>
        <w:t>l porcentaje de</w:t>
      </w:r>
      <w:r w:rsidR="00D92FDD" w:rsidRPr="00E5073C">
        <w:rPr>
          <w:rFonts w:cs="Arial"/>
          <w:color w:val="000000" w:themeColor="text1"/>
          <w:szCs w:val="24"/>
        </w:rPr>
        <w:t xml:space="preserve"> niñas y los niños</w:t>
      </w:r>
      <w:r w:rsidR="00147ADB" w:rsidRPr="00E5073C">
        <w:rPr>
          <w:rFonts w:cs="Arial"/>
          <w:color w:val="000000" w:themeColor="text1"/>
          <w:szCs w:val="24"/>
        </w:rPr>
        <w:t xml:space="preserve"> en</w:t>
      </w:r>
      <w:r w:rsidR="0079208C">
        <w:rPr>
          <w:rFonts w:cs="Arial"/>
          <w:color w:val="000000" w:themeColor="text1"/>
          <w:szCs w:val="24"/>
        </w:rPr>
        <w:t xml:space="preserve"> la i</w:t>
      </w:r>
      <w:r w:rsidR="00147ADB" w:rsidRPr="00E5073C">
        <w:rPr>
          <w:rFonts w:cs="Arial"/>
          <w:color w:val="000000" w:themeColor="text1"/>
          <w:szCs w:val="24"/>
        </w:rPr>
        <w:t>ndustria manufacturera, extractiva, electricidad, gas y agua</w:t>
      </w:r>
      <w:r w:rsidRPr="00E5073C">
        <w:rPr>
          <w:rFonts w:cs="Arial"/>
          <w:color w:val="000000" w:themeColor="text1"/>
          <w:szCs w:val="24"/>
        </w:rPr>
        <w:t xml:space="preserve"> pas</w:t>
      </w:r>
      <w:r w:rsidR="007F599B">
        <w:rPr>
          <w:rFonts w:cs="Arial"/>
          <w:color w:val="000000" w:themeColor="text1"/>
          <w:szCs w:val="24"/>
        </w:rPr>
        <w:t>ó</w:t>
      </w:r>
      <w:r w:rsidR="00147ADB" w:rsidRPr="00E5073C">
        <w:rPr>
          <w:rFonts w:cs="Arial"/>
          <w:color w:val="000000" w:themeColor="text1"/>
          <w:szCs w:val="24"/>
        </w:rPr>
        <w:t xml:space="preserve"> de </w:t>
      </w:r>
      <w:r w:rsidRPr="00E5073C">
        <w:rPr>
          <w:rFonts w:cs="Arial"/>
          <w:color w:val="000000" w:themeColor="text1"/>
          <w:szCs w:val="24"/>
        </w:rPr>
        <w:t>13.1</w:t>
      </w:r>
      <w:r w:rsidR="00147ADB" w:rsidRPr="00E5073C">
        <w:rPr>
          <w:rFonts w:cs="Arial"/>
          <w:color w:val="000000" w:themeColor="text1"/>
          <w:szCs w:val="24"/>
        </w:rPr>
        <w:t xml:space="preserve"> a 12.5 </w:t>
      </w:r>
      <w:r w:rsidR="007F599B">
        <w:rPr>
          <w:rFonts w:cs="Arial"/>
          <w:color w:val="000000" w:themeColor="text1"/>
          <w:szCs w:val="24"/>
        </w:rPr>
        <w:t xml:space="preserve">por ciento. Por su parte, </w:t>
      </w:r>
      <w:r w:rsidR="00E13224" w:rsidRPr="00E5073C">
        <w:rPr>
          <w:rFonts w:cs="Arial"/>
          <w:color w:val="000000" w:themeColor="text1"/>
          <w:szCs w:val="24"/>
        </w:rPr>
        <w:t>e</w:t>
      </w:r>
      <w:r w:rsidR="00012D62" w:rsidRPr="00E5073C">
        <w:rPr>
          <w:rFonts w:cs="Arial"/>
          <w:color w:val="000000" w:themeColor="text1"/>
          <w:szCs w:val="24"/>
        </w:rPr>
        <w:t xml:space="preserve">n </w:t>
      </w:r>
      <w:r w:rsidR="00147ADB" w:rsidRPr="00E5073C">
        <w:rPr>
          <w:rFonts w:cs="Arial"/>
          <w:color w:val="000000" w:themeColor="text1"/>
          <w:szCs w:val="24"/>
        </w:rPr>
        <w:t xml:space="preserve">el sector </w:t>
      </w:r>
      <w:r w:rsidR="00783F4A">
        <w:rPr>
          <w:rFonts w:cs="Arial"/>
          <w:color w:val="000000" w:themeColor="text1"/>
          <w:szCs w:val="24"/>
        </w:rPr>
        <w:t>a</w:t>
      </w:r>
      <w:r w:rsidR="00147ADB" w:rsidRPr="00E5073C">
        <w:rPr>
          <w:rFonts w:cs="Arial"/>
          <w:color w:val="000000" w:themeColor="text1"/>
          <w:szCs w:val="24"/>
        </w:rPr>
        <w:t>gropecuario</w:t>
      </w:r>
      <w:r w:rsidR="00E13224" w:rsidRPr="00E5073C">
        <w:rPr>
          <w:rFonts w:cs="Arial"/>
          <w:color w:val="000000" w:themeColor="text1"/>
          <w:szCs w:val="24"/>
        </w:rPr>
        <w:t xml:space="preserve">, </w:t>
      </w:r>
      <w:r w:rsidR="007F599B">
        <w:rPr>
          <w:rFonts w:cs="Arial"/>
          <w:color w:val="000000" w:themeColor="text1"/>
          <w:szCs w:val="24"/>
        </w:rPr>
        <w:t xml:space="preserve">el cambio fue </w:t>
      </w:r>
      <w:r w:rsidR="00147ADB" w:rsidRPr="00E5073C">
        <w:rPr>
          <w:rFonts w:cs="Arial"/>
          <w:color w:val="000000" w:themeColor="text1"/>
          <w:szCs w:val="24"/>
        </w:rPr>
        <w:t xml:space="preserve">de </w:t>
      </w:r>
      <w:r w:rsidRPr="00E5073C">
        <w:rPr>
          <w:rFonts w:cs="Arial"/>
          <w:color w:val="000000" w:themeColor="text1"/>
          <w:szCs w:val="24"/>
        </w:rPr>
        <w:t>29.0</w:t>
      </w:r>
      <w:r w:rsidR="00147ADB" w:rsidRPr="00E5073C">
        <w:rPr>
          <w:rFonts w:cs="Arial"/>
          <w:color w:val="000000" w:themeColor="text1"/>
          <w:szCs w:val="24"/>
        </w:rPr>
        <w:t xml:space="preserve"> a 33</w:t>
      </w:r>
      <w:r w:rsidR="005073DE">
        <w:rPr>
          <w:rFonts w:cs="Arial"/>
          <w:color w:val="000000" w:themeColor="text1"/>
          <w:szCs w:val="24"/>
        </w:rPr>
        <w:t>.0</w:t>
      </w:r>
      <w:r w:rsidR="00147ADB" w:rsidRPr="00E5073C">
        <w:rPr>
          <w:rFonts w:cs="Arial"/>
          <w:color w:val="000000" w:themeColor="text1"/>
          <w:szCs w:val="24"/>
        </w:rPr>
        <w:t xml:space="preserve"> </w:t>
      </w:r>
      <w:r w:rsidR="007F599B">
        <w:rPr>
          <w:rFonts w:cs="Arial"/>
          <w:color w:val="000000" w:themeColor="text1"/>
          <w:szCs w:val="24"/>
        </w:rPr>
        <w:t xml:space="preserve">por ciento. </w:t>
      </w:r>
      <w:r w:rsidR="009F3EE3">
        <w:rPr>
          <w:rFonts w:cs="Arial"/>
          <w:color w:val="000000" w:themeColor="text1"/>
          <w:szCs w:val="24"/>
        </w:rPr>
        <w:t>E</w:t>
      </w:r>
      <w:r w:rsidR="00CC1DD8">
        <w:rPr>
          <w:rFonts w:cs="Arial"/>
          <w:color w:val="000000" w:themeColor="text1"/>
          <w:szCs w:val="24"/>
        </w:rPr>
        <w:t xml:space="preserve">l porcentaje </w:t>
      </w:r>
      <w:r w:rsidR="009F3EE3">
        <w:rPr>
          <w:rFonts w:cs="Arial"/>
          <w:color w:val="000000" w:themeColor="text1"/>
          <w:szCs w:val="24"/>
        </w:rPr>
        <w:t xml:space="preserve">del resto de los sectores </w:t>
      </w:r>
      <w:r w:rsidR="001E3935">
        <w:rPr>
          <w:rFonts w:cs="Arial"/>
          <w:color w:val="000000" w:themeColor="text1"/>
          <w:szCs w:val="24"/>
        </w:rPr>
        <w:t>se puede observar en la gráfica 10</w:t>
      </w:r>
      <w:r w:rsidR="0032199D">
        <w:rPr>
          <w:rFonts w:cs="Arial"/>
          <w:color w:val="000000" w:themeColor="text1"/>
          <w:szCs w:val="24"/>
        </w:rPr>
        <w:t>.</w:t>
      </w:r>
      <w:r w:rsidR="00363F7D">
        <w:rPr>
          <w:rStyle w:val="Refdenotaalpie"/>
          <w:color w:val="000000" w:themeColor="text1"/>
          <w:szCs w:val="24"/>
        </w:rPr>
        <w:footnoteReference w:id="11"/>
      </w:r>
    </w:p>
    <w:p w14:paraId="448678C5" w14:textId="77777777" w:rsidR="00A442D6" w:rsidRDefault="00A442D6" w:rsidP="009E43F3">
      <w:pPr>
        <w:widowControl/>
        <w:autoSpaceDE w:val="0"/>
        <w:autoSpaceDN w:val="0"/>
        <w:adjustRightInd w:val="0"/>
        <w:rPr>
          <w:rFonts w:cs="Arial"/>
          <w:color w:val="000000" w:themeColor="text1"/>
          <w:szCs w:val="24"/>
        </w:rPr>
      </w:pPr>
    </w:p>
    <w:p w14:paraId="2C58C822" w14:textId="77777777" w:rsidR="0032199D" w:rsidRDefault="0032199D" w:rsidP="009E43F3">
      <w:pPr>
        <w:widowControl/>
        <w:autoSpaceDE w:val="0"/>
        <w:autoSpaceDN w:val="0"/>
        <w:adjustRightInd w:val="0"/>
        <w:rPr>
          <w:rFonts w:cs="Arial"/>
          <w:color w:val="000000" w:themeColor="text1"/>
          <w:szCs w:val="24"/>
        </w:rPr>
      </w:pPr>
    </w:p>
    <w:p w14:paraId="2EF0A656" w14:textId="77777777" w:rsidR="0032199D" w:rsidRDefault="0032199D" w:rsidP="009E43F3">
      <w:pPr>
        <w:widowControl/>
        <w:autoSpaceDE w:val="0"/>
        <w:autoSpaceDN w:val="0"/>
        <w:adjustRightInd w:val="0"/>
        <w:rPr>
          <w:rFonts w:cs="Arial"/>
          <w:color w:val="000000" w:themeColor="text1"/>
          <w:szCs w:val="24"/>
        </w:rPr>
      </w:pPr>
    </w:p>
    <w:p w14:paraId="25093587" w14:textId="77777777" w:rsidR="0032199D" w:rsidRDefault="0032199D" w:rsidP="009E43F3">
      <w:pPr>
        <w:widowControl/>
        <w:autoSpaceDE w:val="0"/>
        <w:autoSpaceDN w:val="0"/>
        <w:adjustRightInd w:val="0"/>
        <w:rPr>
          <w:rFonts w:cs="Arial"/>
          <w:color w:val="000000" w:themeColor="text1"/>
          <w:szCs w:val="24"/>
        </w:rPr>
      </w:pPr>
    </w:p>
    <w:p w14:paraId="0F92E50C" w14:textId="77777777" w:rsidR="00B32D45" w:rsidRPr="0032199D" w:rsidRDefault="00B32D45" w:rsidP="0032199D">
      <w:pPr>
        <w:widowControl/>
        <w:autoSpaceDE w:val="0"/>
        <w:autoSpaceDN w:val="0"/>
        <w:adjustRightInd w:val="0"/>
        <w:spacing w:line="276" w:lineRule="auto"/>
        <w:ind w:right="51"/>
        <w:jc w:val="center"/>
        <w:rPr>
          <w:rFonts w:cs="Arial"/>
          <w:color w:val="000000"/>
          <w:sz w:val="20"/>
        </w:rPr>
      </w:pPr>
      <w:r w:rsidRPr="0032199D">
        <w:rPr>
          <w:rFonts w:cs="Arial"/>
          <w:color w:val="000000"/>
          <w:sz w:val="20"/>
        </w:rPr>
        <w:lastRenderedPageBreak/>
        <w:t>Gráfica 10</w:t>
      </w:r>
    </w:p>
    <w:p w14:paraId="1169AE5E" w14:textId="77777777" w:rsidR="00B32D45" w:rsidRPr="0032199D" w:rsidRDefault="00B32D45" w:rsidP="0032199D">
      <w:pPr>
        <w:widowControl/>
        <w:autoSpaceDE w:val="0"/>
        <w:autoSpaceDN w:val="0"/>
        <w:adjustRightInd w:val="0"/>
        <w:spacing w:line="276" w:lineRule="auto"/>
        <w:ind w:right="51"/>
        <w:jc w:val="center"/>
        <w:rPr>
          <w:rFonts w:cs="Arial"/>
          <w:b/>
          <w:bCs/>
          <w:smallCaps/>
          <w:color w:val="000000"/>
          <w:sz w:val="22"/>
          <w:szCs w:val="22"/>
        </w:rPr>
      </w:pPr>
      <w:r w:rsidRPr="0032199D">
        <w:rPr>
          <w:rFonts w:cs="Arial"/>
          <w:b/>
          <w:bCs/>
          <w:smallCaps/>
          <w:color w:val="000000"/>
          <w:sz w:val="22"/>
          <w:szCs w:val="22"/>
        </w:rPr>
        <w:t>Personas en alguna ocupación no permitida por sector de actividad, 2019 y 2022</w:t>
      </w:r>
    </w:p>
    <w:p w14:paraId="1E52F7AF" w14:textId="77777777" w:rsidR="00B32D45" w:rsidRPr="005E25D0" w:rsidRDefault="00B32D45" w:rsidP="0032199D">
      <w:pPr>
        <w:widowControl/>
        <w:autoSpaceDE w:val="0"/>
        <w:autoSpaceDN w:val="0"/>
        <w:adjustRightInd w:val="0"/>
        <w:ind w:left="851" w:right="51"/>
        <w:jc w:val="center"/>
        <w:rPr>
          <w:rFonts w:cs="Arial"/>
          <w:bCs/>
          <w:sz w:val="18"/>
          <w:szCs w:val="18"/>
        </w:rPr>
      </w:pPr>
      <w:r w:rsidRPr="005E25D0">
        <w:rPr>
          <w:rFonts w:cs="Arial"/>
          <w:bCs/>
          <w:sz w:val="18"/>
          <w:szCs w:val="18"/>
        </w:rPr>
        <w:t>(distribución porcentual)</w:t>
      </w:r>
    </w:p>
    <w:p w14:paraId="1AF08917" w14:textId="3DAAF9DF" w:rsidR="00B32D45" w:rsidRDefault="003A7B19" w:rsidP="00B32D45">
      <w:pPr>
        <w:widowControl/>
        <w:autoSpaceDE w:val="0"/>
        <w:autoSpaceDN w:val="0"/>
        <w:adjustRightInd w:val="0"/>
        <w:spacing w:line="276" w:lineRule="auto"/>
        <w:jc w:val="center"/>
        <w:rPr>
          <w:rFonts w:cs="Arial"/>
          <w:b/>
          <w:bCs/>
          <w:color w:val="000000"/>
          <w:szCs w:val="24"/>
        </w:rPr>
      </w:pPr>
      <w:r>
        <w:rPr>
          <w:noProof/>
        </w:rPr>
        <w:drawing>
          <wp:inline distT="0" distB="0" distL="0" distR="0" wp14:anchorId="6340A46B" wp14:editId="29AA32F5">
            <wp:extent cx="6333490" cy="2520000"/>
            <wp:effectExtent l="0" t="0" r="0" b="0"/>
            <wp:docPr id="1614155996" name="Gráfico 1">
              <a:extLst xmlns:a="http://schemas.openxmlformats.org/drawingml/2006/main">
                <a:ext uri="{FF2B5EF4-FFF2-40B4-BE49-F238E27FC236}">
                  <a16:creationId xmlns:a16="http://schemas.microsoft.com/office/drawing/2014/main" id="{CA655780-4BED-A947-AA5B-D774D84DE1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18C8044F" w14:textId="6BD615D3" w:rsidR="00B32D45" w:rsidRPr="00F11465" w:rsidRDefault="00583074" w:rsidP="00583074">
      <w:pPr>
        <w:widowControl/>
        <w:autoSpaceDE w:val="0"/>
        <w:autoSpaceDN w:val="0"/>
        <w:adjustRightInd w:val="0"/>
        <w:spacing w:line="276" w:lineRule="auto"/>
        <w:ind w:right="900"/>
        <w:rPr>
          <w:rFonts w:cs="Arial"/>
          <w:color w:val="000000"/>
          <w:sz w:val="16"/>
          <w:szCs w:val="16"/>
        </w:rPr>
      </w:pPr>
      <w:r>
        <w:rPr>
          <w:rFonts w:cs="Arial"/>
          <w:color w:val="000000"/>
          <w:sz w:val="16"/>
          <w:szCs w:val="16"/>
        </w:rPr>
        <w:t xml:space="preserve"> </w:t>
      </w:r>
      <w:r w:rsidR="00B32D45" w:rsidRPr="00F11465">
        <w:rPr>
          <w:rFonts w:cs="Arial"/>
          <w:color w:val="000000"/>
          <w:sz w:val="16"/>
          <w:szCs w:val="16"/>
        </w:rPr>
        <w:t xml:space="preserve">Nota: </w:t>
      </w:r>
      <w:r w:rsidR="0032199D">
        <w:rPr>
          <w:rFonts w:cs="Arial"/>
          <w:color w:val="000000"/>
          <w:sz w:val="16"/>
          <w:szCs w:val="16"/>
        </w:rPr>
        <w:t xml:space="preserve">    </w:t>
      </w:r>
      <w:r w:rsidR="00B32D45" w:rsidRPr="00F11465">
        <w:rPr>
          <w:rFonts w:cs="Arial"/>
          <w:color w:val="000000"/>
          <w:sz w:val="16"/>
          <w:szCs w:val="16"/>
        </w:rPr>
        <w:t xml:space="preserve">Los porcentajes no suman 100 % </w:t>
      </w:r>
      <w:r w:rsidR="00B32D45">
        <w:rPr>
          <w:rFonts w:cs="Arial"/>
          <w:color w:val="000000"/>
          <w:sz w:val="16"/>
          <w:szCs w:val="16"/>
        </w:rPr>
        <w:t xml:space="preserve">porque </w:t>
      </w:r>
      <w:r w:rsidR="00B32D45" w:rsidRPr="00F11465">
        <w:rPr>
          <w:rFonts w:cs="Arial"/>
          <w:color w:val="000000"/>
          <w:sz w:val="16"/>
          <w:szCs w:val="16"/>
        </w:rPr>
        <w:t xml:space="preserve">no se incluye el rubro </w:t>
      </w:r>
      <w:r w:rsidR="00B1333D">
        <w:rPr>
          <w:rFonts w:cs="Arial"/>
          <w:color w:val="4D5156"/>
          <w:sz w:val="21"/>
          <w:szCs w:val="21"/>
          <w:shd w:val="clear" w:color="auto" w:fill="FFFFFF"/>
        </w:rPr>
        <w:t>«</w:t>
      </w:r>
      <w:r w:rsidR="00B32D45" w:rsidRPr="00F11465">
        <w:rPr>
          <w:rFonts w:cs="Arial"/>
          <w:color w:val="000000"/>
          <w:sz w:val="16"/>
          <w:szCs w:val="16"/>
        </w:rPr>
        <w:t>No especificado</w:t>
      </w:r>
      <w:r w:rsidR="00B1333D">
        <w:rPr>
          <w:rFonts w:cs="Arial"/>
          <w:color w:val="4D5156"/>
          <w:sz w:val="21"/>
          <w:szCs w:val="21"/>
          <w:shd w:val="clear" w:color="auto" w:fill="FFFFFF"/>
        </w:rPr>
        <w:t>»</w:t>
      </w:r>
      <w:r w:rsidR="00B32D45" w:rsidRPr="00F11465">
        <w:rPr>
          <w:rFonts w:cs="Arial"/>
          <w:color w:val="000000"/>
          <w:sz w:val="16"/>
          <w:szCs w:val="16"/>
        </w:rPr>
        <w:t>.</w:t>
      </w:r>
    </w:p>
    <w:p w14:paraId="4C5A1314" w14:textId="53968EA6" w:rsidR="00B32D45" w:rsidRPr="00CD6FE9" w:rsidRDefault="00C8004B" w:rsidP="00C8004B">
      <w:pPr>
        <w:widowControl/>
        <w:autoSpaceDE w:val="0"/>
        <w:autoSpaceDN w:val="0"/>
        <w:adjustRightInd w:val="0"/>
        <w:spacing w:line="276" w:lineRule="auto"/>
        <w:jc w:val="left"/>
        <w:rPr>
          <w:rFonts w:cs="Arial"/>
          <w:color w:val="000000"/>
          <w:sz w:val="16"/>
          <w:szCs w:val="16"/>
        </w:rPr>
      </w:pPr>
      <w:r>
        <w:rPr>
          <w:rFonts w:cs="Arial"/>
          <w:color w:val="000000" w:themeColor="text1"/>
          <w:sz w:val="16"/>
          <w:szCs w:val="16"/>
        </w:rPr>
        <w:t xml:space="preserve"> </w:t>
      </w:r>
      <w:r w:rsidR="00B32D45" w:rsidRPr="00CD6FE9">
        <w:rPr>
          <w:rFonts w:cs="Arial"/>
          <w:color w:val="000000" w:themeColor="text1"/>
          <w:sz w:val="16"/>
          <w:szCs w:val="16"/>
        </w:rPr>
        <w:t>Fuente:</w:t>
      </w:r>
      <w:r>
        <w:rPr>
          <w:rFonts w:cs="Arial"/>
          <w:color w:val="000000" w:themeColor="text1"/>
          <w:sz w:val="16"/>
          <w:szCs w:val="16"/>
        </w:rPr>
        <w:t xml:space="preserve"> </w:t>
      </w:r>
      <w:r w:rsidR="00B32D45" w:rsidRPr="00CD6FE9">
        <w:rPr>
          <w:rFonts w:cs="Arial"/>
          <w:color w:val="000000" w:themeColor="text1"/>
          <w:sz w:val="16"/>
          <w:szCs w:val="16"/>
        </w:rPr>
        <w:t>INEGI, ENTI</w:t>
      </w:r>
      <w:r w:rsidR="00577B41">
        <w:rPr>
          <w:rFonts w:cs="Arial"/>
          <w:color w:val="000000" w:themeColor="text1"/>
          <w:sz w:val="16"/>
          <w:szCs w:val="16"/>
        </w:rPr>
        <w:t>.</w:t>
      </w:r>
      <w:r w:rsidR="00B32D45" w:rsidRPr="00CD6FE9">
        <w:rPr>
          <w:rFonts w:cs="Arial"/>
          <w:color w:val="000000" w:themeColor="text1"/>
          <w:sz w:val="16"/>
          <w:szCs w:val="16"/>
        </w:rPr>
        <w:t xml:space="preserve"> 2019 y 2022.</w:t>
      </w:r>
    </w:p>
    <w:p w14:paraId="5686A6ED" w14:textId="77777777" w:rsidR="00B30612" w:rsidRPr="00CE32D5" w:rsidRDefault="00B30612" w:rsidP="00E13224">
      <w:pPr>
        <w:widowControl/>
        <w:autoSpaceDE w:val="0"/>
        <w:autoSpaceDN w:val="0"/>
        <w:adjustRightInd w:val="0"/>
        <w:rPr>
          <w:rFonts w:cs="Arial"/>
          <w:color w:val="000000" w:themeColor="text1"/>
          <w:sz w:val="18"/>
          <w:szCs w:val="18"/>
        </w:rPr>
      </w:pPr>
    </w:p>
    <w:p w14:paraId="01A4B624" w14:textId="5B59D7F8" w:rsidR="00791592" w:rsidRDefault="00791592" w:rsidP="0032199D">
      <w:pPr>
        <w:widowControl/>
        <w:autoSpaceDE w:val="0"/>
        <w:autoSpaceDN w:val="0"/>
        <w:adjustRightInd w:val="0"/>
        <w:ind w:right="51"/>
        <w:rPr>
          <w:rFonts w:cs="Arial"/>
          <w:color w:val="000000" w:themeColor="text1"/>
          <w:szCs w:val="24"/>
        </w:rPr>
      </w:pPr>
      <w:r>
        <w:rPr>
          <w:rFonts w:cs="Arial"/>
          <w:color w:val="000000" w:themeColor="text1"/>
          <w:szCs w:val="24"/>
        </w:rPr>
        <w:t>L</w:t>
      </w:r>
      <w:r w:rsidR="00471B2B">
        <w:rPr>
          <w:rFonts w:cs="Arial"/>
          <w:color w:val="000000" w:themeColor="text1"/>
          <w:szCs w:val="24"/>
        </w:rPr>
        <w:t>a</w:t>
      </w:r>
      <w:r>
        <w:rPr>
          <w:rFonts w:cs="Arial"/>
          <w:color w:val="000000" w:themeColor="text1"/>
          <w:szCs w:val="24"/>
        </w:rPr>
        <w:t xml:space="preserve">s principales </w:t>
      </w:r>
      <w:r w:rsidR="00471B2B">
        <w:rPr>
          <w:rFonts w:cs="Arial"/>
          <w:color w:val="000000" w:themeColor="text1"/>
          <w:szCs w:val="24"/>
        </w:rPr>
        <w:t xml:space="preserve">actividades </w:t>
      </w:r>
      <w:r>
        <w:rPr>
          <w:rFonts w:cs="Arial"/>
          <w:color w:val="000000" w:themeColor="text1"/>
          <w:szCs w:val="24"/>
        </w:rPr>
        <w:t xml:space="preserve">que desempeñaron las </w:t>
      </w:r>
      <w:r w:rsidR="00191949">
        <w:rPr>
          <w:rFonts w:cs="Arial"/>
          <w:color w:val="000000" w:themeColor="text1"/>
          <w:szCs w:val="24"/>
        </w:rPr>
        <w:t xml:space="preserve">niñas, niños y adolescentes </w:t>
      </w:r>
      <w:r>
        <w:rPr>
          <w:rFonts w:cs="Arial"/>
          <w:color w:val="000000" w:themeColor="text1"/>
          <w:szCs w:val="24"/>
        </w:rPr>
        <w:t>de 5 a 17 años</w:t>
      </w:r>
      <w:r w:rsidR="00BD2D84">
        <w:rPr>
          <w:rFonts w:cs="Arial"/>
          <w:color w:val="000000" w:themeColor="text1"/>
          <w:szCs w:val="24"/>
        </w:rPr>
        <w:t>,</w:t>
      </w:r>
      <w:r>
        <w:rPr>
          <w:rFonts w:cs="Arial"/>
          <w:color w:val="000000" w:themeColor="text1"/>
          <w:szCs w:val="24"/>
        </w:rPr>
        <w:t xml:space="preserve"> </w:t>
      </w:r>
      <w:r w:rsidR="006E63C5">
        <w:rPr>
          <w:rFonts w:cs="Arial"/>
          <w:color w:val="000000" w:themeColor="text1"/>
          <w:szCs w:val="24"/>
        </w:rPr>
        <w:t>en ocupación no permitida</w:t>
      </w:r>
      <w:r w:rsidR="00BD2D84">
        <w:rPr>
          <w:rFonts w:cs="Arial"/>
          <w:color w:val="000000" w:themeColor="text1"/>
          <w:szCs w:val="24"/>
        </w:rPr>
        <w:t>,</w:t>
      </w:r>
      <w:r>
        <w:rPr>
          <w:rFonts w:cs="Arial"/>
          <w:color w:val="000000" w:themeColor="text1"/>
          <w:szCs w:val="24"/>
        </w:rPr>
        <w:t xml:space="preserve"> fueron</w:t>
      </w:r>
      <w:r w:rsidR="001D6723">
        <w:rPr>
          <w:rFonts w:cs="Arial"/>
          <w:color w:val="000000" w:themeColor="text1"/>
          <w:szCs w:val="24"/>
        </w:rPr>
        <w:t xml:space="preserve"> </w:t>
      </w:r>
      <w:r w:rsidR="001D6723" w:rsidRPr="00B1333D">
        <w:rPr>
          <w:rFonts w:cs="Arial"/>
          <w:color w:val="000000" w:themeColor="text1"/>
          <w:szCs w:val="24"/>
        </w:rPr>
        <w:t>trabaj</w:t>
      </w:r>
      <w:r w:rsidR="00033654">
        <w:rPr>
          <w:rFonts w:cs="Arial"/>
          <w:color w:val="000000" w:themeColor="text1"/>
          <w:szCs w:val="24"/>
        </w:rPr>
        <w:t>os</w:t>
      </w:r>
      <w:r w:rsidR="001D6723" w:rsidRPr="00B1333D">
        <w:rPr>
          <w:rFonts w:cs="Arial"/>
          <w:color w:val="000000" w:themeColor="text1"/>
          <w:szCs w:val="24"/>
        </w:rPr>
        <w:t xml:space="preserve"> de apoyo en actividades agrícolas, ganaderas, forestales, caza y pesca</w:t>
      </w:r>
      <w:r>
        <w:rPr>
          <w:rFonts w:cs="Arial"/>
          <w:color w:val="000000" w:themeColor="text1"/>
          <w:szCs w:val="24"/>
        </w:rPr>
        <w:t xml:space="preserve"> (33.3 %)</w:t>
      </w:r>
      <w:r w:rsidR="00451683">
        <w:rPr>
          <w:rFonts w:cs="Arial"/>
          <w:color w:val="000000" w:themeColor="text1"/>
          <w:szCs w:val="24"/>
        </w:rPr>
        <w:t>,</w:t>
      </w:r>
      <w:r>
        <w:rPr>
          <w:rFonts w:cs="Arial"/>
          <w:color w:val="000000" w:themeColor="text1"/>
          <w:szCs w:val="24"/>
        </w:rPr>
        <w:t xml:space="preserve"> ocupaciones relacionadas con </w:t>
      </w:r>
      <w:r w:rsidRPr="00033654">
        <w:rPr>
          <w:rFonts w:cs="Arial"/>
          <w:color w:val="000000" w:themeColor="text1"/>
          <w:szCs w:val="24"/>
        </w:rPr>
        <w:t>la</w:t>
      </w:r>
      <w:r w:rsidR="00033654" w:rsidRPr="00033654">
        <w:rPr>
          <w:rFonts w:cs="Arial"/>
          <w:color w:val="000000" w:themeColor="text1"/>
          <w:szCs w:val="24"/>
        </w:rPr>
        <w:t xml:space="preserve"> </w:t>
      </w:r>
      <w:r w:rsidR="00033654" w:rsidRPr="00B1333D">
        <w:rPr>
          <w:rFonts w:cs="Arial"/>
          <w:color w:val="000000" w:themeColor="text1"/>
          <w:szCs w:val="24"/>
        </w:rPr>
        <w:t>minería, construcción e industria</w:t>
      </w:r>
      <w:r w:rsidR="00033654" w:rsidRPr="00033654">
        <w:rPr>
          <w:rFonts w:cs="Arial"/>
          <w:color w:val="000000" w:themeColor="text1"/>
          <w:szCs w:val="24"/>
        </w:rPr>
        <w:t>»</w:t>
      </w:r>
      <w:r>
        <w:rPr>
          <w:rFonts w:cs="Arial"/>
          <w:color w:val="000000" w:themeColor="text1"/>
          <w:szCs w:val="24"/>
        </w:rPr>
        <w:t xml:space="preserve"> (25.</w:t>
      </w:r>
      <w:r w:rsidR="00BE3619">
        <w:rPr>
          <w:rFonts w:cs="Arial"/>
          <w:color w:val="000000" w:themeColor="text1"/>
          <w:szCs w:val="24"/>
        </w:rPr>
        <w:t>7</w:t>
      </w:r>
      <w:r>
        <w:rPr>
          <w:rFonts w:cs="Arial"/>
          <w:color w:val="000000" w:themeColor="text1"/>
          <w:szCs w:val="24"/>
        </w:rPr>
        <w:t xml:space="preserve"> %) y como </w:t>
      </w:r>
      <w:r w:rsidR="0037642D" w:rsidRPr="00B1333D">
        <w:rPr>
          <w:rFonts w:cs="Arial"/>
          <w:color w:val="000000" w:themeColor="text1"/>
          <w:szCs w:val="24"/>
        </w:rPr>
        <w:t>comerciantes o empleados en ventas</w:t>
      </w:r>
      <w:r>
        <w:rPr>
          <w:rFonts w:cs="Arial"/>
          <w:color w:val="000000" w:themeColor="text1"/>
          <w:szCs w:val="24"/>
        </w:rPr>
        <w:t xml:space="preserve"> (15.3 %)</w:t>
      </w:r>
      <w:r w:rsidR="00F51D3A">
        <w:rPr>
          <w:rFonts w:cs="Arial"/>
          <w:color w:val="000000" w:themeColor="text1"/>
          <w:szCs w:val="24"/>
        </w:rPr>
        <w:t>.</w:t>
      </w:r>
      <w:r>
        <w:rPr>
          <w:rFonts w:cs="Arial"/>
          <w:color w:val="000000" w:themeColor="text1"/>
          <w:szCs w:val="24"/>
        </w:rPr>
        <w:t xml:space="preserve"> </w:t>
      </w:r>
      <w:r w:rsidR="000E0852">
        <w:rPr>
          <w:rFonts w:cs="Arial"/>
          <w:color w:val="000000" w:themeColor="text1"/>
          <w:szCs w:val="24"/>
        </w:rPr>
        <w:t>L</w:t>
      </w:r>
      <w:r>
        <w:rPr>
          <w:rFonts w:cs="Arial"/>
          <w:color w:val="000000" w:themeColor="text1"/>
          <w:szCs w:val="24"/>
        </w:rPr>
        <w:t xml:space="preserve">os niños </w:t>
      </w:r>
      <w:r w:rsidR="000E0852">
        <w:rPr>
          <w:rFonts w:cs="Arial"/>
          <w:color w:val="000000" w:themeColor="text1"/>
          <w:szCs w:val="24"/>
        </w:rPr>
        <w:t xml:space="preserve">tuvieron una mayor </w:t>
      </w:r>
      <w:r w:rsidR="00B03861">
        <w:rPr>
          <w:rFonts w:cs="Arial"/>
          <w:color w:val="000000" w:themeColor="text1"/>
          <w:szCs w:val="24"/>
        </w:rPr>
        <w:t xml:space="preserve">participación </w:t>
      </w:r>
      <w:r w:rsidR="002C0695">
        <w:rPr>
          <w:rFonts w:cs="Arial"/>
          <w:color w:val="000000" w:themeColor="text1"/>
          <w:szCs w:val="24"/>
        </w:rPr>
        <w:t xml:space="preserve">en </w:t>
      </w:r>
      <w:r w:rsidR="00B03861" w:rsidRPr="00B1333D">
        <w:rPr>
          <w:rFonts w:cs="Arial"/>
          <w:color w:val="000000" w:themeColor="text1"/>
          <w:szCs w:val="24"/>
        </w:rPr>
        <w:t>actividades agrícolas, ganaderas, forestales, caza y pesca</w:t>
      </w:r>
      <w:r w:rsidR="0032199D">
        <w:rPr>
          <w:rFonts w:cs="Arial"/>
          <w:color w:val="000000" w:themeColor="text1"/>
          <w:szCs w:val="24"/>
        </w:rPr>
        <w:br/>
      </w:r>
      <w:r>
        <w:rPr>
          <w:rFonts w:cs="Arial"/>
          <w:color w:val="000000" w:themeColor="text1"/>
          <w:szCs w:val="24"/>
        </w:rPr>
        <w:t>(39.2 %)</w:t>
      </w:r>
      <w:r w:rsidR="004B0FA6">
        <w:rPr>
          <w:rFonts w:cs="Arial"/>
          <w:color w:val="000000" w:themeColor="text1"/>
          <w:szCs w:val="24"/>
        </w:rPr>
        <w:t>;</w:t>
      </w:r>
      <w:r w:rsidR="00B03861">
        <w:rPr>
          <w:rFonts w:cs="Arial"/>
          <w:color w:val="000000" w:themeColor="text1"/>
          <w:szCs w:val="24"/>
        </w:rPr>
        <w:t xml:space="preserve"> las niñas, </w:t>
      </w:r>
      <w:r>
        <w:rPr>
          <w:rFonts w:cs="Arial"/>
          <w:color w:val="000000" w:themeColor="text1"/>
          <w:szCs w:val="24"/>
        </w:rPr>
        <w:t>en las ocupaciones de</w:t>
      </w:r>
      <w:r w:rsidR="00072E14">
        <w:rPr>
          <w:rFonts w:cs="Arial"/>
          <w:color w:val="000000" w:themeColor="text1"/>
          <w:szCs w:val="24"/>
        </w:rPr>
        <w:t xml:space="preserve"> </w:t>
      </w:r>
      <w:r w:rsidR="00072E14" w:rsidRPr="00B1333D">
        <w:rPr>
          <w:rFonts w:cs="Arial"/>
          <w:color w:val="000000" w:themeColor="text1"/>
          <w:szCs w:val="24"/>
        </w:rPr>
        <w:t>comerciantes y empleadas en ventas</w:t>
      </w:r>
      <w:r>
        <w:rPr>
          <w:rFonts w:cs="Arial"/>
          <w:color w:val="000000" w:themeColor="text1"/>
          <w:szCs w:val="24"/>
        </w:rPr>
        <w:t xml:space="preserve"> (24.7 </w:t>
      </w:r>
      <w:r w:rsidR="00E13224">
        <w:rPr>
          <w:rFonts w:cs="Arial"/>
          <w:color w:val="000000" w:themeColor="text1"/>
          <w:szCs w:val="24"/>
        </w:rPr>
        <w:t>%</w:t>
      </w:r>
      <w:r>
        <w:rPr>
          <w:rFonts w:cs="Arial"/>
          <w:color w:val="000000" w:themeColor="text1"/>
          <w:szCs w:val="24"/>
        </w:rPr>
        <w:t>)</w:t>
      </w:r>
      <w:r w:rsidR="001E3935">
        <w:rPr>
          <w:rFonts w:cs="Arial"/>
          <w:color w:val="000000" w:themeColor="text1"/>
          <w:szCs w:val="24"/>
        </w:rPr>
        <w:t>, para mayor desglose ver cuadro 10</w:t>
      </w:r>
      <w:r w:rsidR="00ED61DD">
        <w:rPr>
          <w:rFonts w:cs="Arial"/>
          <w:color w:val="000000" w:themeColor="text1"/>
          <w:szCs w:val="24"/>
        </w:rPr>
        <w:t>.</w:t>
      </w:r>
    </w:p>
    <w:p w14:paraId="6009BD5F" w14:textId="77777777" w:rsidR="0032199D" w:rsidRDefault="0032199D" w:rsidP="0032199D">
      <w:pPr>
        <w:widowControl/>
        <w:autoSpaceDE w:val="0"/>
        <w:autoSpaceDN w:val="0"/>
        <w:adjustRightInd w:val="0"/>
        <w:ind w:right="51"/>
        <w:rPr>
          <w:rFonts w:cs="Arial"/>
          <w:color w:val="000000" w:themeColor="text1"/>
          <w:szCs w:val="24"/>
        </w:rPr>
      </w:pPr>
    </w:p>
    <w:p w14:paraId="1E98C4AD" w14:textId="77777777" w:rsidR="00B84AFA" w:rsidRPr="0032199D" w:rsidRDefault="00B84AFA" w:rsidP="0032199D">
      <w:pPr>
        <w:widowControl/>
        <w:autoSpaceDE w:val="0"/>
        <w:autoSpaceDN w:val="0"/>
        <w:adjustRightInd w:val="0"/>
        <w:jc w:val="center"/>
        <w:rPr>
          <w:rFonts w:cs="Arial"/>
          <w:color w:val="000000" w:themeColor="text1"/>
          <w:sz w:val="20"/>
        </w:rPr>
      </w:pPr>
      <w:r w:rsidRPr="0032199D">
        <w:rPr>
          <w:rFonts w:cs="Arial"/>
          <w:color w:val="000000" w:themeColor="text1"/>
          <w:sz w:val="20"/>
        </w:rPr>
        <w:t>Cuadro 10</w:t>
      </w:r>
    </w:p>
    <w:p w14:paraId="65BDE6C1" w14:textId="792263D3" w:rsidR="00B84AFA" w:rsidRPr="0032199D" w:rsidRDefault="00B84AFA" w:rsidP="0032199D">
      <w:pPr>
        <w:widowControl/>
        <w:autoSpaceDE w:val="0"/>
        <w:autoSpaceDN w:val="0"/>
        <w:adjustRightInd w:val="0"/>
        <w:jc w:val="center"/>
        <w:rPr>
          <w:rFonts w:cs="Arial"/>
          <w:b/>
          <w:bCs/>
          <w:smallCaps/>
          <w:color w:val="000000" w:themeColor="text1"/>
          <w:sz w:val="22"/>
          <w:szCs w:val="22"/>
        </w:rPr>
      </w:pPr>
      <w:r w:rsidRPr="0032199D">
        <w:rPr>
          <w:rFonts w:cs="Arial"/>
          <w:b/>
          <w:bCs/>
          <w:smallCaps/>
          <w:color w:val="000000"/>
          <w:sz w:val="22"/>
          <w:szCs w:val="22"/>
        </w:rPr>
        <w:t>Personas en alguna o</w:t>
      </w:r>
      <w:r w:rsidRPr="0032199D">
        <w:rPr>
          <w:rFonts w:cs="Arial"/>
          <w:b/>
          <w:bCs/>
          <w:smallCaps/>
          <w:color w:val="000000" w:themeColor="text1"/>
          <w:sz w:val="22"/>
          <w:szCs w:val="22"/>
        </w:rPr>
        <w:t>cupación no permitida por grupos de ocupación principal</w:t>
      </w:r>
      <w:r w:rsidR="004B15C9" w:rsidRPr="0032199D">
        <w:rPr>
          <w:rFonts w:cs="Arial"/>
          <w:b/>
          <w:bCs/>
          <w:smallCaps/>
          <w:color w:val="000000" w:themeColor="text1"/>
          <w:sz w:val="22"/>
          <w:szCs w:val="22"/>
        </w:rPr>
        <w:t>,</w:t>
      </w:r>
      <w:r w:rsidRPr="0032199D">
        <w:rPr>
          <w:rFonts w:cs="Arial"/>
          <w:b/>
          <w:bCs/>
          <w:smallCaps/>
          <w:color w:val="000000" w:themeColor="text1"/>
          <w:sz w:val="22"/>
          <w:szCs w:val="22"/>
        </w:rPr>
        <w:t xml:space="preserve"> según sexo</w:t>
      </w:r>
    </w:p>
    <w:p w14:paraId="414A6603" w14:textId="77777777" w:rsidR="00B84AFA" w:rsidRDefault="00B84AFA" w:rsidP="0032199D">
      <w:pPr>
        <w:widowControl/>
        <w:autoSpaceDE w:val="0"/>
        <w:autoSpaceDN w:val="0"/>
        <w:adjustRightInd w:val="0"/>
        <w:ind w:left="851" w:right="1183"/>
        <w:jc w:val="center"/>
        <w:rPr>
          <w:rFonts w:cs="Arial"/>
          <w:b/>
          <w:bCs/>
          <w:color w:val="000000" w:themeColor="text1"/>
          <w:szCs w:val="24"/>
        </w:rPr>
      </w:pPr>
      <w:r w:rsidRPr="005E25D0">
        <w:rPr>
          <w:rFonts w:cs="Arial"/>
          <w:bCs/>
          <w:sz w:val="18"/>
          <w:szCs w:val="18"/>
        </w:rPr>
        <w:t>(distribución porcentual)</w:t>
      </w:r>
    </w:p>
    <w:tbl>
      <w:tblPr>
        <w:tblW w:w="9672" w:type="dxa"/>
        <w:tblInd w:w="157" w:type="dxa"/>
        <w:tblCellMar>
          <w:left w:w="70" w:type="dxa"/>
          <w:right w:w="70" w:type="dxa"/>
        </w:tblCellMar>
        <w:tblLook w:val="04A0" w:firstRow="1" w:lastRow="0" w:firstColumn="1" w:lastColumn="0" w:noHBand="0" w:noVBand="1"/>
      </w:tblPr>
      <w:tblGrid>
        <w:gridCol w:w="217"/>
        <w:gridCol w:w="4709"/>
        <w:gridCol w:w="1582"/>
        <w:gridCol w:w="1582"/>
        <w:gridCol w:w="1582"/>
      </w:tblGrid>
      <w:tr w:rsidR="00B84AFA" w:rsidRPr="00D174C8" w14:paraId="10EFDA5A" w14:textId="77777777" w:rsidTr="004B15C9">
        <w:trPr>
          <w:trHeight w:val="291"/>
        </w:trPr>
        <w:tc>
          <w:tcPr>
            <w:tcW w:w="4926" w:type="dxa"/>
            <w:gridSpan w:val="2"/>
            <w:tcBorders>
              <w:top w:val="nil"/>
              <w:left w:val="nil"/>
              <w:bottom w:val="nil"/>
              <w:right w:val="nil"/>
            </w:tcBorders>
            <w:shd w:val="clear" w:color="auto" w:fill="338B99"/>
            <w:vAlign w:val="center"/>
            <w:hideMark/>
          </w:tcPr>
          <w:p w14:paraId="5E384A25" w14:textId="77777777" w:rsidR="00B84AFA" w:rsidRPr="00D174C8" w:rsidRDefault="00B84AFA" w:rsidP="00562DA7">
            <w:pPr>
              <w:widowControl/>
              <w:jc w:val="left"/>
              <w:rPr>
                <w:rFonts w:cs="Arial"/>
                <w:b/>
                <w:bCs/>
                <w:color w:val="FFFFFF"/>
                <w:sz w:val="20"/>
                <w:lang w:eastAsia="es-MX"/>
              </w:rPr>
            </w:pPr>
            <w:r w:rsidRPr="00D174C8">
              <w:rPr>
                <w:rFonts w:cs="Arial"/>
                <w:b/>
                <w:bCs/>
                <w:color w:val="FFFFFF" w:themeColor="background1"/>
                <w:sz w:val="20"/>
                <w:lang w:eastAsia="es-MX"/>
              </w:rPr>
              <w:t>Grupos de ocupación principal</w:t>
            </w:r>
          </w:p>
        </w:tc>
        <w:tc>
          <w:tcPr>
            <w:tcW w:w="1582" w:type="dxa"/>
            <w:tcBorders>
              <w:top w:val="nil"/>
              <w:left w:val="nil"/>
              <w:bottom w:val="nil"/>
              <w:right w:val="nil"/>
            </w:tcBorders>
            <w:shd w:val="clear" w:color="auto" w:fill="338B99"/>
            <w:vAlign w:val="center"/>
            <w:hideMark/>
          </w:tcPr>
          <w:p w14:paraId="30814B1A" w14:textId="77777777" w:rsidR="00B84AFA" w:rsidRPr="00D174C8" w:rsidRDefault="00B84AFA" w:rsidP="00562DA7">
            <w:pPr>
              <w:widowControl/>
              <w:jc w:val="center"/>
              <w:rPr>
                <w:rFonts w:cs="Arial"/>
                <w:b/>
                <w:bCs/>
                <w:color w:val="FFFFFF"/>
                <w:sz w:val="20"/>
                <w:lang w:eastAsia="es-MX"/>
              </w:rPr>
            </w:pPr>
            <w:r w:rsidRPr="00D174C8">
              <w:rPr>
                <w:rFonts w:cs="Arial"/>
                <w:b/>
                <w:bCs/>
                <w:color w:val="FFFFFF"/>
                <w:sz w:val="20"/>
                <w:lang w:eastAsia="es-MX"/>
              </w:rPr>
              <w:t>Total</w:t>
            </w:r>
          </w:p>
        </w:tc>
        <w:tc>
          <w:tcPr>
            <w:tcW w:w="1582" w:type="dxa"/>
            <w:tcBorders>
              <w:top w:val="nil"/>
              <w:left w:val="nil"/>
              <w:bottom w:val="nil"/>
              <w:right w:val="nil"/>
            </w:tcBorders>
            <w:shd w:val="clear" w:color="auto" w:fill="338B99"/>
            <w:vAlign w:val="center"/>
            <w:hideMark/>
          </w:tcPr>
          <w:p w14:paraId="6B2B003B" w14:textId="77777777" w:rsidR="00B84AFA" w:rsidRPr="00D174C8" w:rsidRDefault="00B84AFA" w:rsidP="00562DA7">
            <w:pPr>
              <w:widowControl/>
              <w:jc w:val="center"/>
              <w:rPr>
                <w:rFonts w:cs="Arial"/>
                <w:b/>
                <w:bCs/>
                <w:color w:val="FFFFFF"/>
                <w:sz w:val="20"/>
                <w:lang w:eastAsia="es-MX"/>
              </w:rPr>
            </w:pPr>
            <w:r w:rsidRPr="00D174C8">
              <w:rPr>
                <w:rFonts w:cs="Arial"/>
                <w:b/>
                <w:bCs/>
                <w:color w:val="FFFFFF"/>
                <w:sz w:val="20"/>
                <w:lang w:eastAsia="es-MX"/>
              </w:rPr>
              <w:t>Niños</w:t>
            </w:r>
          </w:p>
        </w:tc>
        <w:tc>
          <w:tcPr>
            <w:tcW w:w="1582" w:type="dxa"/>
            <w:tcBorders>
              <w:top w:val="nil"/>
              <w:left w:val="nil"/>
              <w:bottom w:val="nil"/>
              <w:right w:val="nil"/>
            </w:tcBorders>
            <w:shd w:val="clear" w:color="auto" w:fill="338B99"/>
            <w:vAlign w:val="center"/>
            <w:hideMark/>
          </w:tcPr>
          <w:p w14:paraId="6BB4C4D4" w14:textId="77777777" w:rsidR="00B84AFA" w:rsidRPr="00D174C8" w:rsidRDefault="00B84AFA" w:rsidP="00562DA7">
            <w:pPr>
              <w:widowControl/>
              <w:jc w:val="center"/>
              <w:rPr>
                <w:rFonts w:cs="Arial"/>
                <w:b/>
                <w:bCs/>
                <w:color w:val="FFFFFF"/>
                <w:sz w:val="20"/>
                <w:lang w:eastAsia="es-MX"/>
              </w:rPr>
            </w:pPr>
            <w:r w:rsidRPr="00D174C8">
              <w:rPr>
                <w:rFonts w:cs="Arial"/>
                <w:b/>
                <w:bCs/>
                <w:color w:val="FFFFFF"/>
                <w:sz w:val="20"/>
                <w:lang w:eastAsia="es-MX"/>
              </w:rPr>
              <w:t>Niñas</w:t>
            </w:r>
          </w:p>
        </w:tc>
      </w:tr>
      <w:tr w:rsidR="00B84AFA" w:rsidRPr="00D174C8" w14:paraId="64A7F7C3" w14:textId="77777777" w:rsidTr="004B15C9">
        <w:trPr>
          <w:trHeight w:val="277"/>
        </w:trPr>
        <w:tc>
          <w:tcPr>
            <w:tcW w:w="4926" w:type="dxa"/>
            <w:gridSpan w:val="2"/>
            <w:tcBorders>
              <w:top w:val="nil"/>
              <w:left w:val="nil"/>
              <w:bottom w:val="nil"/>
              <w:right w:val="nil"/>
            </w:tcBorders>
            <w:shd w:val="clear" w:color="auto" w:fill="66A8B3"/>
            <w:vAlign w:val="center"/>
            <w:hideMark/>
          </w:tcPr>
          <w:p w14:paraId="5C98605F" w14:textId="77777777" w:rsidR="00B84AFA" w:rsidRPr="00D174C8" w:rsidRDefault="00B84AFA" w:rsidP="00562DA7">
            <w:pPr>
              <w:widowControl/>
              <w:jc w:val="left"/>
              <w:rPr>
                <w:rFonts w:cs="Arial"/>
                <w:b/>
                <w:bCs/>
                <w:color w:val="000000"/>
                <w:sz w:val="20"/>
                <w:lang w:eastAsia="es-MX"/>
              </w:rPr>
            </w:pPr>
            <w:r w:rsidRPr="00D174C8">
              <w:rPr>
                <w:rFonts w:cs="Arial"/>
                <w:b/>
                <w:bCs/>
                <w:color w:val="000000"/>
                <w:sz w:val="20"/>
                <w:lang w:eastAsia="es-MX"/>
              </w:rPr>
              <w:t>Ocupación no permitida</w:t>
            </w:r>
          </w:p>
        </w:tc>
        <w:tc>
          <w:tcPr>
            <w:tcW w:w="1582" w:type="dxa"/>
            <w:tcBorders>
              <w:top w:val="nil"/>
              <w:left w:val="nil"/>
              <w:bottom w:val="nil"/>
              <w:right w:val="nil"/>
            </w:tcBorders>
            <w:shd w:val="clear" w:color="auto" w:fill="66A8B3"/>
            <w:vAlign w:val="center"/>
            <w:hideMark/>
          </w:tcPr>
          <w:p w14:paraId="5CB606C2" w14:textId="77777777" w:rsidR="00B84AFA" w:rsidRPr="00D174C8" w:rsidRDefault="00B84AFA" w:rsidP="00562DA7">
            <w:pPr>
              <w:widowControl/>
              <w:jc w:val="center"/>
              <w:rPr>
                <w:rFonts w:cs="Arial"/>
                <w:b/>
                <w:bCs/>
                <w:color w:val="000000"/>
                <w:sz w:val="20"/>
                <w:lang w:eastAsia="es-MX"/>
              </w:rPr>
            </w:pPr>
            <w:r w:rsidRPr="00D174C8">
              <w:rPr>
                <w:rFonts w:cs="Arial"/>
                <w:b/>
                <w:bCs/>
                <w:sz w:val="20"/>
                <w:lang w:eastAsia="es-MX"/>
              </w:rPr>
              <w:t>100.0</w:t>
            </w:r>
          </w:p>
        </w:tc>
        <w:tc>
          <w:tcPr>
            <w:tcW w:w="1582" w:type="dxa"/>
            <w:tcBorders>
              <w:top w:val="nil"/>
              <w:left w:val="nil"/>
              <w:bottom w:val="nil"/>
              <w:right w:val="nil"/>
            </w:tcBorders>
            <w:shd w:val="clear" w:color="auto" w:fill="66A8B3"/>
            <w:vAlign w:val="center"/>
            <w:hideMark/>
          </w:tcPr>
          <w:p w14:paraId="4E2E300B" w14:textId="77777777" w:rsidR="00B84AFA" w:rsidRPr="00D174C8" w:rsidRDefault="00B84AFA" w:rsidP="00562DA7">
            <w:pPr>
              <w:widowControl/>
              <w:jc w:val="center"/>
              <w:rPr>
                <w:rFonts w:cs="Arial"/>
                <w:b/>
                <w:bCs/>
                <w:color w:val="000000"/>
                <w:sz w:val="20"/>
                <w:lang w:eastAsia="es-MX"/>
              </w:rPr>
            </w:pPr>
            <w:r w:rsidRPr="00D174C8">
              <w:rPr>
                <w:rFonts w:cs="Arial"/>
                <w:b/>
                <w:bCs/>
                <w:sz w:val="20"/>
                <w:lang w:eastAsia="es-MX"/>
              </w:rPr>
              <w:t>100.0</w:t>
            </w:r>
          </w:p>
        </w:tc>
        <w:tc>
          <w:tcPr>
            <w:tcW w:w="1582" w:type="dxa"/>
            <w:tcBorders>
              <w:top w:val="nil"/>
              <w:left w:val="nil"/>
              <w:bottom w:val="nil"/>
              <w:right w:val="nil"/>
            </w:tcBorders>
            <w:shd w:val="clear" w:color="auto" w:fill="66A8B3"/>
            <w:vAlign w:val="center"/>
            <w:hideMark/>
          </w:tcPr>
          <w:p w14:paraId="5CF60197" w14:textId="77777777" w:rsidR="00B84AFA" w:rsidRPr="00D174C8" w:rsidRDefault="00B84AFA" w:rsidP="00562DA7">
            <w:pPr>
              <w:widowControl/>
              <w:jc w:val="center"/>
              <w:rPr>
                <w:rFonts w:cs="Arial"/>
                <w:b/>
                <w:bCs/>
                <w:color w:val="000000"/>
                <w:sz w:val="20"/>
                <w:lang w:eastAsia="es-MX"/>
              </w:rPr>
            </w:pPr>
            <w:r w:rsidRPr="00D174C8">
              <w:rPr>
                <w:rFonts w:cs="Arial"/>
                <w:b/>
                <w:bCs/>
                <w:sz w:val="20"/>
                <w:lang w:eastAsia="es-MX"/>
              </w:rPr>
              <w:t>100.0</w:t>
            </w:r>
          </w:p>
        </w:tc>
      </w:tr>
      <w:tr w:rsidR="00B84AFA" w:rsidRPr="00D174C8" w14:paraId="0DA2FABD" w14:textId="77777777" w:rsidTr="004B15C9">
        <w:trPr>
          <w:trHeight w:val="472"/>
        </w:trPr>
        <w:tc>
          <w:tcPr>
            <w:tcW w:w="217" w:type="dxa"/>
            <w:tcBorders>
              <w:top w:val="nil"/>
              <w:left w:val="nil"/>
              <w:bottom w:val="nil"/>
              <w:right w:val="nil"/>
            </w:tcBorders>
            <w:shd w:val="clear" w:color="auto" w:fill="CCE2E6"/>
            <w:noWrap/>
            <w:vAlign w:val="bottom"/>
            <w:hideMark/>
          </w:tcPr>
          <w:p w14:paraId="1AD8E1FD" w14:textId="77777777" w:rsidR="00B84AFA" w:rsidRPr="00D174C8" w:rsidRDefault="00B84AFA" w:rsidP="00562DA7">
            <w:pPr>
              <w:widowControl/>
              <w:jc w:val="left"/>
              <w:rPr>
                <w:rFonts w:ascii="Times New Roman" w:hAnsi="Times New Roman"/>
                <w:color w:val="000000"/>
                <w:sz w:val="20"/>
                <w:lang w:eastAsia="es-MX"/>
              </w:rPr>
            </w:pPr>
            <w:r w:rsidRPr="00D174C8">
              <w:rPr>
                <w:rFonts w:ascii="Times New Roman" w:hAnsi="Times New Roman"/>
                <w:color w:val="000000"/>
                <w:sz w:val="20"/>
                <w:lang w:eastAsia="es-MX"/>
              </w:rPr>
              <w:t> </w:t>
            </w:r>
          </w:p>
        </w:tc>
        <w:tc>
          <w:tcPr>
            <w:tcW w:w="4709" w:type="dxa"/>
            <w:tcBorders>
              <w:top w:val="nil"/>
              <w:left w:val="nil"/>
              <w:bottom w:val="nil"/>
              <w:right w:val="nil"/>
            </w:tcBorders>
            <w:shd w:val="clear" w:color="auto" w:fill="CCE2E6"/>
            <w:vAlign w:val="center"/>
            <w:hideMark/>
          </w:tcPr>
          <w:p w14:paraId="0D625AD7" w14:textId="77777777" w:rsidR="00B84AFA" w:rsidRPr="00D174C8" w:rsidRDefault="00B84AFA" w:rsidP="00562DA7">
            <w:pPr>
              <w:widowControl/>
              <w:jc w:val="left"/>
              <w:rPr>
                <w:rFonts w:cs="Arial"/>
                <w:color w:val="000000"/>
                <w:sz w:val="20"/>
                <w:lang w:eastAsia="es-MX"/>
              </w:rPr>
            </w:pPr>
            <w:r w:rsidRPr="00D174C8">
              <w:rPr>
                <w:rFonts w:cs="Arial"/>
                <w:sz w:val="20"/>
                <w:lang w:eastAsia="es-MX"/>
              </w:rPr>
              <w:t>Comerciantes, empleados en ventas y agentes de ventas</w:t>
            </w:r>
          </w:p>
        </w:tc>
        <w:tc>
          <w:tcPr>
            <w:tcW w:w="1582" w:type="dxa"/>
            <w:tcBorders>
              <w:top w:val="nil"/>
              <w:left w:val="nil"/>
              <w:bottom w:val="nil"/>
              <w:right w:val="nil"/>
            </w:tcBorders>
            <w:shd w:val="clear" w:color="auto" w:fill="CCE2E6"/>
            <w:vAlign w:val="center"/>
            <w:hideMark/>
          </w:tcPr>
          <w:p w14:paraId="114398DD" w14:textId="77777777" w:rsidR="00B84AFA" w:rsidRPr="00D174C8" w:rsidRDefault="00B84AFA" w:rsidP="004B15C9">
            <w:pPr>
              <w:widowControl/>
              <w:rPr>
                <w:rFonts w:cs="Arial"/>
                <w:color w:val="000000"/>
                <w:sz w:val="20"/>
                <w:lang w:eastAsia="es-MX"/>
              </w:rPr>
            </w:pPr>
            <w:r w:rsidRPr="00D174C8">
              <w:rPr>
                <w:rFonts w:cs="Arial"/>
                <w:sz w:val="20"/>
                <w:lang w:eastAsia="es-MX"/>
              </w:rPr>
              <w:t>15.3</w:t>
            </w:r>
          </w:p>
        </w:tc>
        <w:tc>
          <w:tcPr>
            <w:tcW w:w="1582" w:type="dxa"/>
            <w:tcBorders>
              <w:top w:val="nil"/>
              <w:left w:val="nil"/>
              <w:bottom w:val="nil"/>
              <w:right w:val="nil"/>
            </w:tcBorders>
            <w:shd w:val="clear" w:color="auto" w:fill="CCE2E6"/>
            <w:vAlign w:val="center"/>
            <w:hideMark/>
          </w:tcPr>
          <w:p w14:paraId="694C16F2" w14:textId="77777777" w:rsidR="00B84AFA" w:rsidRPr="00D174C8" w:rsidRDefault="00B84AFA" w:rsidP="00562DA7">
            <w:pPr>
              <w:widowControl/>
              <w:jc w:val="center"/>
              <w:rPr>
                <w:rFonts w:cs="Arial"/>
                <w:color w:val="000000"/>
                <w:sz w:val="20"/>
                <w:lang w:eastAsia="es-MX"/>
              </w:rPr>
            </w:pPr>
            <w:r w:rsidRPr="00D174C8">
              <w:rPr>
                <w:rFonts w:cs="Arial"/>
                <w:sz w:val="20"/>
                <w:lang w:eastAsia="es-MX"/>
              </w:rPr>
              <w:t>11.6</w:t>
            </w:r>
          </w:p>
        </w:tc>
        <w:tc>
          <w:tcPr>
            <w:tcW w:w="1582" w:type="dxa"/>
            <w:tcBorders>
              <w:top w:val="nil"/>
              <w:left w:val="nil"/>
              <w:bottom w:val="nil"/>
              <w:right w:val="nil"/>
            </w:tcBorders>
            <w:shd w:val="clear" w:color="auto" w:fill="CCE2E6"/>
            <w:vAlign w:val="center"/>
            <w:hideMark/>
          </w:tcPr>
          <w:p w14:paraId="271938C1" w14:textId="77777777" w:rsidR="00B84AFA" w:rsidRPr="00D174C8" w:rsidRDefault="00B84AFA" w:rsidP="00562DA7">
            <w:pPr>
              <w:widowControl/>
              <w:jc w:val="center"/>
              <w:rPr>
                <w:rFonts w:cs="Arial"/>
                <w:color w:val="000000"/>
                <w:sz w:val="20"/>
                <w:lang w:eastAsia="es-MX"/>
              </w:rPr>
            </w:pPr>
            <w:r w:rsidRPr="00D174C8">
              <w:rPr>
                <w:rFonts w:cs="Arial"/>
                <w:sz w:val="20"/>
                <w:lang w:eastAsia="es-MX"/>
              </w:rPr>
              <w:t>24.7</w:t>
            </w:r>
          </w:p>
        </w:tc>
      </w:tr>
      <w:tr w:rsidR="00B84AFA" w:rsidRPr="00D174C8" w14:paraId="10C26C7B" w14:textId="77777777" w:rsidTr="004B15C9">
        <w:trPr>
          <w:trHeight w:val="277"/>
        </w:trPr>
        <w:tc>
          <w:tcPr>
            <w:tcW w:w="217" w:type="dxa"/>
            <w:tcBorders>
              <w:top w:val="nil"/>
              <w:left w:val="nil"/>
              <w:bottom w:val="nil"/>
              <w:right w:val="nil"/>
            </w:tcBorders>
            <w:shd w:val="clear" w:color="auto" w:fill="CCE2E6"/>
            <w:noWrap/>
            <w:vAlign w:val="bottom"/>
            <w:hideMark/>
          </w:tcPr>
          <w:p w14:paraId="4079E819" w14:textId="77777777" w:rsidR="00B84AFA" w:rsidRPr="00D174C8" w:rsidRDefault="00B84AFA" w:rsidP="00562DA7">
            <w:pPr>
              <w:widowControl/>
              <w:jc w:val="left"/>
              <w:rPr>
                <w:rFonts w:ascii="Times New Roman" w:hAnsi="Times New Roman"/>
                <w:color w:val="000000"/>
                <w:sz w:val="20"/>
                <w:lang w:eastAsia="es-MX"/>
              </w:rPr>
            </w:pPr>
            <w:r w:rsidRPr="00D174C8">
              <w:rPr>
                <w:rFonts w:ascii="Times New Roman" w:hAnsi="Times New Roman"/>
                <w:color w:val="000000"/>
                <w:sz w:val="20"/>
                <w:lang w:eastAsia="es-MX"/>
              </w:rPr>
              <w:t> </w:t>
            </w:r>
          </w:p>
        </w:tc>
        <w:tc>
          <w:tcPr>
            <w:tcW w:w="4709" w:type="dxa"/>
            <w:tcBorders>
              <w:top w:val="nil"/>
              <w:left w:val="nil"/>
              <w:bottom w:val="nil"/>
              <w:right w:val="nil"/>
            </w:tcBorders>
            <w:shd w:val="clear" w:color="auto" w:fill="CCE2E6"/>
            <w:vAlign w:val="center"/>
            <w:hideMark/>
          </w:tcPr>
          <w:p w14:paraId="1FC9CCD8" w14:textId="77777777" w:rsidR="00B84AFA" w:rsidRPr="00D174C8" w:rsidRDefault="00B84AFA" w:rsidP="00562DA7">
            <w:pPr>
              <w:widowControl/>
              <w:jc w:val="left"/>
              <w:rPr>
                <w:rFonts w:cs="Arial"/>
                <w:color w:val="000000"/>
                <w:sz w:val="20"/>
                <w:lang w:eastAsia="es-MX"/>
              </w:rPr>
            </w:pPr>
            <w:r w:rsidRPr="00D174C8">
              <w:rPr>
                <w:rFonts w:cs="Arial"/>
                <w:sz w:val="20"/>
                <w:lang w:eastAsia="es-MX"/>
              </w:rPr>
              <w:t>Trabajadores en servicios personales y vigilancia</w:t>
            </w:r>
          </w:p>
        </w:tc>
        <w:tc>
          <w:tcPr>
            <w:tcW w:w="1582" w:type="dxa"/>
            <w:tcBorders>
              <w:top w:val="nil"/>
              <w:left w:val="nil"/>
              <w:bottom w:val="nil"/>
              <w:right w:val="nil"/>
            </w:tcBorders>
            <w:shd w:val="clear" w:color="auto" w:fill="CCE2E6"/>
            <w:vAlign w:val="center"/>
            <w:hideMark/>
          </w:tcPr>
          <w:p w14:paraId="1BC43211" w14:textId="77777777" w:rsidR="00B84AFA" w:rsidRPr="00D174C8" w:rsidRDefault="00B84AFA" w:rsidP="00562DA7">
            <w:pPr>
              <w:widowControl/>
              <w:jc w:val="center"/>
              <w:rPr>
                <w:rFonts w:cs="Arial"/>
                <w:color w:val="000000"/>
                <w:sz w:val="20"/>
                <w:lang w:eastAsia="es-MX"/>
              </w:rPr>
            </w:pPr>
            <w:r w:rsidRPr="00D174C8">
              <w:rPr>
                <w:rFonts w:cs="Arial"/>
                <w:sz w:val="20"/>
                <w:lang w:eastAsia="es-MX"/>
              </w:rPr>
              <w:t>5.3</w:t>
            </w:r>
          </w:p>
        </w:tc>
        <w:tc>
          <w:tcPr>
            <w:tcW w:w="1582" w:type="dxa"/>
            <w:tcBorders>
              <w:top w:val="nil"/>
              <w:left w:val="nil"/>
              <w:bottom w:val="nil"/>
              <w:right w:val="nil"/>
            </w:tcBorders>
            <w:shd w:val="clear" w:color="auto" w:fill="CCE2E6"/>
            <w:vAlign w:val="center"/>
            <w:hideMark/>
          </w:tcPr>
          <w:p w14:paraId="50C18779" w14:textId="77777777" w:rsidR="00B84AFA" w:rsidRPr="00D174C8" w:rsidRDefault="00B84AFA" w:rsidP="00562DA7">
            <w:pPr>
              <w:widowControl/>
              <w:jc w:val="center"/>
              <w:rPr>
                <w:rFonts w:cs="Arial"/>
                <w:color w:val="000000"/>
                <w:sz w:val="20"/>
                <w:lang w:eastAsia="es-MX"/>
              </w:rPr>
            </w:pPr>
            <w:r w:rsidRPr="00D174C8">
              <w:rPr>
                <w:rFonts w:cs="Arial"/>
                <w:sz w:val="20"/>
                <w:lang w:eastAsia="es-MX"/>
              </w:rPr>
              <w:t>3.8</w:t>
            </w:r>
          </w:p>
        </w:tc>
        <w:tc>
          <w:tcPr>
            <w:tcW w:w="1582" w:type="dxa"/>
            <w:tcBorders>
              <w:top w:val="nil"/>
              <w:left w:val="nil"/>
              <w:bottom w:val="nil"/>
              <w:right w:val="nil"/>
            </w:tcBorders>
            <w:shd w:val="clear" w:color="auto" w:fill="CCE2E6"/>
            <w:vAlign w:val="center"/>
            <w:hideMark/>
          </w:tcPr>
          <w:p w14:paraId="2B7709DF" w14:textId="77777777" w:rsidR="00B84AFA" w:rsidRPr="00D174C8" w:rsidRDefault="00B84AFA" w:rsidP="00562DA7">
            <w:pPr>
              <w:widowControl/>
              <w:jc w:val="center"/>
              <w:rPr>
                <w:rFonts w:cs="Arial"/>
                <w:color w:val="000000"/>
                <w:sz w:val="20"/>
                <w:lang w:eastAsia="es-MX"/>
              </w:rPr>
            </w:pPr>
            <w:r w:rsidRPr="00D174C8">
              <w:rPr>
                <w:rFonts w:cs="Arial"/>
                <w:sz w:val="20"/>
                <w:lang w:eastAsia="es-MX"/>
              </w:rPr>
              <w:t>9.3</w:t>
            </w:r>
          </w:p>
        </w:tc>
      </w:tr>
      <w:tr w:rsidR="00B84AFA" w:rsidRPr="00D174C8" w14:paraId="3D5241DC" w14:textId="77777777" w:rsidTr="004B15C9">
        <w:trPr>
          <w:trHeight w:val="472"/>
        </w:trPr>
        <w:tc>
          <w:tcPr>
            <w:tcW w:w="217" w:type="dxa"/>
            <w:tcBorders>
              <w:top w:val="nil"/>
              <w:left w:val="nil"/>
              <w:bottom w:val="nil"/>
              <w:right w:val="nil"/>
            </w:tcBorders>
            <w:shd w:val="clear" w:color="auto" w:fill="CCE2E6"/>
            <w:noWrap/>
            <w:vAlign w:val="bottom"/>
            <w:hideMark/>
          </w:tcPr>
          <w:p w14:paraId="0DC87491" w14:textId="77777777" w:rsidR="00B84AFA" w:rsidRPr="00D174C8" w:rsidRDefault="00B84AFA" w:rsidP="00562DA7">
            <w:pPr>
              <w:widowControl/>
              <w:jc w:val="left"/>
              <w:rPr>
                <w:rFonts w:ascii="Times New Roman" w:hAnsi="Times New Roman"/>
                <w:color w:val="000000"/>
                <w:sz w:val="20"/>
                <w:lang w:eastAsia="es-MX"/>
              </w:rPr>
            </w:pPr>
            <w:r w:rsidRPr="00D174C8">
              <w:rPr>
                <w:rFonts w:ascii="Times New Roman" w:hAnsi="Times New Roman"/>
                <w:color w:val="000000"/>
                <w:sz w:val="20"/>
                <w:lang w:eastAsia="es-MX"/>
              </w:rPr>
              <w:t> </w:t>
            </w:r>
          </w:p>
        </w:tc>
        <w:tc>
          <w:tcPr>
            <w:tcW w:w="4709" w:type="dxa"/>
            <w:tcBorders>
              <w:top w:val="nil"/>
              <w:left w:val="nil"/>
              <w:bottom w:val="nil"/>
              <w:right w:val="nil"/>
            </w:tcBorders>
            <w:shd w:val="clear" w:color="auto" w:fill="CCE2E6"/>
            <w:vAlign w:val="center"/>
            <w:hideMark/>
          </w:tcPr>
          <w:p w14:paraId="5E2C95E5" w14:textId="77777777" w:rsidR="00B84AFA" w:rsidRPr="00D174C8" w:rsidRDefault="00B84AFA" w:rsidP="00562DA7">
            <w:pPr>
              <w:widowControl/>
              <w:jc w:val="left"/>
              <w:rPr>
                <w:rFonts w:cs="Arial"/>
                <w:color w:val="000000"/>
                <w:sz w:val="20"/>
                <w:lang w:eastAsia="es-MX"/>
              </w:rPr>
            </w:pPr>
            <w:r w:rsidRPr="00D174C8">
              <w:rPr>
                <w:rFonts w:cs="Arial"/>
                <w:sz w:val="20"/>
                <w:lang w:eastAsia="es-MX"/>
              </w:rPr>
              <w:t>Trabajadores de apoyo en actividades agrícolas, ganaderas, forestales, caza y pesca</w:t>
            </w:r>
          </w:p>
        </w:tc>
        <w:tc>
          <w:tcPr>
            <w:tcW w:w="1582" w:type="dxa"/>
            <w:tcBorders>
              <w:top w:val="nil"/>
              <w:left w:val="nil"/>
              <w:bottom w:val="nil"/>
              <w:right w:val="nil"/>
            </w:tcBorders>
            <w:shd w:val="clear" w:color="auto" w:fill="CCE2E6"/>
            <w:vAlign w:val="center"/>
            <w:hideMark/>
          </w:tcPr>
          <w:p w14:paraId="6F7F6D5F" w14:textId="77777777" w:rsidR="00B84AFA" w:rsidRPr="00D174C8" w:rsidRDefault="00B84AFA" w:rsidP="00562DA7">
            <w:pPr>
              <w:widowControl/>
              <w:jc w:val="center"/>
              <w:rPr>
                <w:rFonts w:cs="Arial"/>
                <w:color w:val="000000"/>
                <w:sz w:val="20"/>
                <w:lang w:eastAsia="es-MX"/>
              </w:rPr>
            </w:pPr>
            <w:r w:rsidRPr="00D174C8">
              <w:rPr>
                <w:rFonts w:cs="Arial"/>
                <w:sz w:val="20"/>
                <w:lang w:eastAsia="es-MX"/>
              </w:rPr>
              <w:t>33.3</w:t>
            </w:r>
          </w:p>
        </w:tc>
        <w:tc>
          <w:tcPr>
            <w:tcW w:w="1582" w:type="dxa"/>
            <w:tcBorders>
              <w:top w:val="nil"/>
              <w:left w:val="nil"/>
              <w:bottom w:val="nil"/>
              <w:right w:val="nil"/>
            </w:tcBorders>
            <w:shd w:val="clear" w:color="auto" w:fill="CCE2E6"/>
            <w:vAlign w:val="center"/>
            <w:hideMark/>
          </w:tcPr>
          <w:p w14:paraId="0693C708" w14:textId="77777777" w:rsidR="00B84AFA" w:rsidRPr="00D174C8" w:rsidRDefault="00B84AFA" w:rsidP="00562DA7">
            <w:pPr>
              <w:widowControl/>
              <w:jc w:val="center"/>
              <w:rPr>
                <w:rFonts w:cs="Arial"/>
                <w:color w:val="000000"/>
                <w:sz w:val="20"/>
                <w:lang w:eastAsia="es-MX"/>
              </w:rPr>
            </w:pPr>
            <w:r w:rsidRPr="00D174C8">
              <w:rPr>
                <w:rFonts w:cs="Arial"/>
                <w:sz w:val="20"/>
                <w:lang w:eastAsia="es-MX"/>
              </w:rPr>
              <w:t>39.2</w:t>
            </w:r>
          </w:p>
        </w:tc>
        <w:tc>
          <w:tcPr>
            <w:tcW w:w="1582" w:type="dxa"/>
            <w:tcBorders>
              <w:top w:val="nil"/>
              <w:left w:val="nil"/>
              <w:bottom w:val="nil"/>
              <w:right w:val="nil"/>
            </w:tcBorders>
            <w:shd w:val="clear" w:color="auto" w:fill="CCE2E6"/>
            <w:vAlign w:val="center"/>
            <w:hideMark/>
          </w:tcPr>
          <w:p w14:paraId="6E473893" w14:textId="77777777" w:rsidR="00B84AFA" w:rsidRPr="00D174C8" w:rsidRDefault="00B84AFA" w:rsidP="00562DA7">
            <w:pPr>
              <w:widowControl/>
              <w:jc w:val="center"/>
              <w:rPr>
                <w:rFonts w:cs="Arial"/>
                <w:color w:val="000000"/>
                <w:sz w:val="20"/>
                <w:lang w:eastAsia="es-MX"/>
              </w:rPr>
            </w:pPr>
            <w:r w:rsidRPr="00D174C8">
              <w:rPr>
                <w:rFonts w:cs="Arial"/>
                <w:sz w:val="20"/>
                <w:lang w:eastAsia="es-MX"/>
              </w:rPr>
              <w:t>18.2</w:t>
            </w:r>
          </w:p>
        </w:tc>
      </w:tr>
      <w:tr w:rsidR="00B84AFA" w:rsidRPr="00D174C8" w14:paraId="77B1D6DF" w14:textId="77777777" w:rsidTr="004B15C9">
        <w:trPr>
          <w:trHeight w:val="472"/>
        </w:trPr>
        <w:tc>
          <w:tcPr>
            <w:tcW w:w="217" w:type="dxa"/>
            <w:tcBorders>
              <w:top w:val="nil"/>
              <w:left w:val="nil"/>
              <w:bottom w:val="nil"/>
              <w:right w:val="nil"/>
            </w:tcBorders>
            <w:shd w:val="clear" w:color="auto" w:fill="CCE2E6"/>
            <w:noWrap/>
            <w:vAlign w:val="bottom"/>
            <w:hideMark/>
          </w:tcPr>
          <w:p w14:paraId="17B5627A" w14:textId="77777777" w:rsidR="00B84AFA" w:rsidRPr="00D174C8" w:rsidRDefault="00B84AFA" w:rsidP="00562DA7">
            <w:pPr>
              <w:widowControl/>
              <w:jc w:val="left"/>
              <w:rPr>
                <w:rFonts w:ascii="Times New Roman" w:hAnsi="Times New Roman"/>
                <w:color w:val="000000"/>
                <w:sz w:val="20"/>
                <w:lang w:eastAsia="es-MX"/>
              </w:rPr>
            </w:pPr>
            <w:r w:rsidRPr="00D174C8">
              <w:rPr>
                <w:rFonts w:ascii="Times New Roman" w:hAnsi="Times New Roman"/>
                <w:color w:val="000000"/>
                <w:sz w:val="20"/>
                <w:lang w:eastAsia="es-MX"/>
              </w:rPr>
              <w:t> </w:t>
            </w:r>
          </w:p>
        </w:tc>
        <w:tc>
          <w:tcPr>
            <w:tcW w:w="4709" w:type="dxa"/>
            <w:tcBorders>
              <w:top w:val="nil"/>
              <w:left w:val="nil"/>
              <w:bottom w:val="nil"/>
              <w:right w:val="nil"/>
            </w:tcBorders>
            <w:shd w:val="clear" w:color="auto" w:fill="CCE2E6"/>
            <w:vAlign w:val="center"/>
            <w:hideMark/>
          </w:tcPr>
          <w:p w14:paraId="248F95B9" w14:textId="77777777" w:rsidR="00B84AFA" w:rsidRPr="00D174C8" w:rsidRDefault="00B84AFA" w:rsidP="00562DA7">
            <w:pPr>
              <w:widowControl/>
              <w:jc w:val="left"/>
              <w:rPr>
                <w:rFonts w:cs="Arial"/>
                <w:color w:val="000000"/>
                <w:sz w:val="20"/>
                <w:lang w:eastAsia="es-MX"/>
              </w:rPr>
            </w:pPr>
            <w:r w:rsidRPr="00D174C8">
              <w:rPr>
                <w:rFonts w:cs="Arial"/>
                <w:sz w:val="20"/>
                <w:lang w:eastAsia="es-MX"/>
              </w:rPr>
              <w:t>Trabajadores de apoyo en la minería, construcción e industria</w:t>
            </w:r>
          </w:p>
        </w:tc>
        <w:tc>
          <w:tcPr>
            <w:tcW w:w="1582" w:type="dxa"/>
            <w:tcBorders>
              <w:top w:val="nil"/>
              <w:left w:val="nil"/>
              <w:bottom w:val="nil"/>
              <w:right w:val="nil"/>
            </w:tcBorders>
            <w:shd w:val="clear" w:color="auto" w:fill="CCE2E6"/>
            <w:vAlign w:val="center"/>
            <w:hideMark/>
          </w:tcPr>
          <w:p w14:paraId="336FA4E9" w14:textId="77777777" w:rsidR="00B84AFA" w:rsidRPr="00D174C8" w:rsidRDefault="00B84AFA" w:rsidP="00562DA7">
            <w:pPr>
              <w:widowControl/>
              <w:jc w:val="center"/>
              <w:rPr>
                <w:rFonts w:cs="Arial"/>
                <w:color w:val="000000"/>
                <w:sz w:val="20"/>
                <w:lang w:eastAsia="es-MX"/>
              </w:rPr>
            </w:pPr>
            <w:r w:rsidRPr="00D174C8">
              <w:rPr>
                <w:rFonts w:cs="Arial"/>
                <w:sz w:val="20"/>
                <w:lang w:eastAsia="es-MX"/>
              </w:rPr>
              <w:t>25.7</w:t>
            </w:r>
          </w:p>
        </w:tc>
        <w:tc>
          <w:tcPr>
            <w:tcW w:w="1582" w:type="dxa"/>
            <w:tcBorders>
              <w:top w:val="nil"/>
              <w:left w:val="nil"/>
              <w:bottom w:val="nil"/>
              <w:right w:val="nil"/>
            </w:tcBorders>
            <w:shd w:val="clear" w:color="auto" w:fill="CCE2E6"/>
            <w:vAlign w:val="center"/>
            <w:hideMark/>
          </w:tcPr>
          <w:p w14:paraId="5D165C27" w14:textId="77777777" w:rsidR="00B84AFA" w:rsidRPr="00D174C8" w:rsidRDefault="00B84AFA" w:rsidP="00562DA7">
            <w:pPr>
              <w:widowControl/>
              <w:jc w:val="center"/>
              <w:rPr>
                <w:rFonts w:cs="Arial"/>
                <w:color w:val="000000"/>
                <w:sz w:val="20"/>
                <w:lang w:eastAsia="es-MX"/>
              </w:rPr>
            </w:pPr>
            <w:r w:rsidRPr="00D174C8">
              <w:rPr>
                <w:rFonts w:cs="Arial"/>
                <w:sz w:val="20"/>
                <w:lang w:eastAsia="es-MX"/>
              </w:rPr>
              <w:t>27.5</w:t>
            </w:r>
          </w:p>
        </w:tc>
        <w:tc>
          <w:tcPr>
            <w:tcW w:w="1582" w:type="dxa"/>
            <w:tcBorders>
              <w:top w:val="nil"/>
              <w:left w:val="nil"/>
              <w:bottom w:val="nil"/>
              <w:right w:val="nil"/>
            </w:tcBorders>
            <w:shd w:val="clear" w:color="auto" w:fill="CCE2E6"/>
            <w:vAlign w:val="center"/>
            <w:hideMark/>
          </w:tcPr>
          <w:p w14:paraId="3DDA3862" w14:textId="77777777" w:rsidR="00B84AFA" w:rsidRPr="00D174C8" w:rsidRDefault="00B84AFA" w:rsidP="00562DA7">
            <w:pPr>
              <w:widowControl/>
              <w:jc w:val="center"/>
              <w:rPr>
                <w:rFonts w:cs="Arial"/>
                <w:color w:val="000000"/>
                <w:sz w:val="20"/>
                <w:lang w:eastAsia="es-MX"/>
              </w:rPr>
            </w:pPr>
            <w:r w:rsidRPr="00D174C8">
              <w:rPr>
                <w:rFonts w:cs="Arial"/>
                <w:sz w:val="20"/>
                <w:lang w:eastAsia="es-MX"/>
              </w:rPr>
              <w:t>21.0</w:t>
            </w:r>
          </w:p>
        </w:tc>
      </w:tr>
      <w:tr w:rsidR="00B84AFA" w:rsidRPr="00D174C8" w14:paraId="4E922E13" w14:textId="77777777" w:rsidTr="004B15C9">
        <w:trPr>
          <w:trHeight w:val="472"/>
        </w:trPr>
        <w:tc>
          <w:tcPr>
            <w:tcW w:w="217" w:type="dxa"/>
            <w:tcBorders>
              <w:top w:val="nil"/>
              <w:left w:val="nil"/>
              <w:bottom w:val="nil"/>
              <w:right w:val="nil"/>
            </w:tcBorders>
            <w:shd w:val="clear" w:color="auto" w:fill="CCE2E6"/>
            <w:noWrap/>
            <w:vAlign w:val="bottom"/>
            <w:hideMark/>
          </w:tcPr>
          <w:p w14:paraId="7C8D2FF4" w14:textId="77777777" w:rsidR="00B84AFA" w:rsidRPr="00D174C8" w:rsidRDefault="00B84AFA" w:rsidP="00562DA7">
            <w:pPr>
              <w:widowControl/>
              <w:jc w:val="left"/>
              <w:rPr>
                <w:rFonts w:ascii="Times New Roman" w:hAnsi="Times New Roman"/>
                <w:color w:val="000000"/>
                <w:sz w:val="20"/>
                <w:lang w:eastAsia="es-MX"/>
              </w:rPr>
            </w:pPr>
            <w:r w:rsidRPr="00D174C8">
              <w:rPr>
                <w:rFonts w:ascii="Times New Roman" w:hAnsi="Times New Roman" w:cs="Arial"/>
                <w:color w:val="000000"/>
                <w:sz w:val="20"/>
                <w:lang w:eastAsia="es-MX"/>
              </w:rPr>
              <w:t> </w:t>
            </w:r>
          </w:p>
        </w:tc>
        <w:tc>
          <w:tcPr>
            <w:tcW w:w="4709" w:type="dxa"/>
            <w:tcBorders>
              <w:top w:val="nil"/>
              <w:left w:val="nil"/>
              <w:bottom w:val="nil"/>
              <w:right w:val="nil"/>
            </w:tcBorders>
            <w:shd w:val="clear" w:color="auto" w:fill="CCE2E6"/>
            <w:vAlign w:val="center"/>
            <w:hideMark/>
          </w:tcPr>
          <w:p w14:paraId="4F75A916" w14:textId="77777777" w:rsidR="00B84AFA" w:rsidRPr="00D174C8" w:rsidRDefault="00B84AFA" w:rsidP="00562DA7">
            <w:pPr>
              <w:widowControl/>
              <w:jc w:val="left"/>
              <w:rPr>
                <w:rFonts w:cs="Arial"/>
                <w:color w:val="000000"/>
                <w:sz w:val="20"/>
                <w:lang w:eastAsia="es-MX"/>
              </w:rPr>
            </w:pPr>
            <w:r w:rsidRPr="00D174C8">
              <w:rPr>
                <w:rFonts w:cs="Arial"/>
                <w:sz w:val="20"/>
                <w:lang w:eastAsia="es-MX"/>
              </w:rPr>
              <w:t>Trabajadores domésticos, de limpieza, planchadores y otros trabajadores de limpieza</w:t>
            </w:r>
          </w:p>
        </w:tc>
        <w:tc>
          <w:tcPr>
            <w:tcW w:w="1582" w:type="dxa"/>
            <w:tcBorders>
              <w:top w:val="nil"/>
              <w:left w:val="nil"/>
              <w:bottom w:val="nil"/>
              <w:right w:val="nil"/>
            </w:tcBorders>
            <w:shd w:val="clear" w:color="auto" w:fill="CCE2E6"/>
            <w:vAlign w:val="center"/>
            <w:hideMark/>
          </w:tcPr>
          <w:p w14:paraId="6FE49E29" w14:textId="77777777" w:rsidR="00B84AFA" w:rsidRPr="00D174C8" w:rsidRDefault="00B84AFA" w:rsidP="00562DA7">
            <w:pPr>
              <w:widowControl/>
              <w:jc w:val="center"/>
              <w:rPr>
                <w:rFonts w:cs="Arial"/>
                <w:color w:val="000000"/>
                <w:sz w:val="20"/>
                <w:lang w:eastAsia="es-MX"/>
              </w:rPr>
            </w:pPr>
            <w:r w:rsidRPr="00D174C8">
              <w:rPr>
                <w:rFonts w:cs="Arial"/>
                <w:sz w:val="20"/>
                <w:lang w:eastAsia="es-MX"/>
              </w:rPr>
              <w:t>5.1</w:t>
            </w:r>
          </w:p>
        </w:tc>
        <w:tc>
          <w:tcPr>
            <w:tcW w:w="1582" w:type="dxa"/>
            <w:tcBorders>
              <w:top w:val="nil"/>
              <w:left w:val="nil"/>
              <w:bottom w:val="nil"/>
              <w:right w:val="nil"/>
            </w:tcBorders>
            <w:shd w:val="clear" w:color="auto" w:fill="CCE2E6"/>
            <w:vAlign w:val="center"/>
            <w:hideMark/>
          </w:tcPr>
          <w:p w14:paraId="30947DB0" w14:textId="77777777" w:rsidR="00B84AFA" w:rsidRPr="00D174C8" w:rsidRDefault="00B84AFA" w:rsidP="00562DA7">
            <w:pPr>
              <w:widowControl/>
              <w:jc w:val="center"/>
              <w:rPr>
                <w:rFonts w:cs="Arial"/>
                <w:color w:val="000000"/>
                <w:sz w:val="20"/>
                <w:lang w:eastAsia="es-MX"/>
              </w:rPr>
            </w:pPr>
            <w:r w:rsidRPr="00D174C8">
              <w:rPr>
                <w:rFonts w:cs="Arial"/>
                <w:sz w:val="20"/>
                <w:lang w:eastAsia="es-MX"/>
              </w:rPr>
              <w:t>4.5</w:t>
            </w:r>
          </w:p>
        </w:tc>
        <w:tc>
          <w:tcPr>
            <w:tcW w:w="1582" w:type="dxa"/>
            <w:tcBorders>
              <w:top w:val="nil"/>
              <w:left w:val="nil"/>
              <w:bottom w:val="nil"/>
              <w:right w:val="nil"/>
            </w:tcBorders>
            <w:shd w:val="clear" w:color="auto" w:fill="CCE2E6"/>
            <w:vAlign w:val="center"/>
            <w:hideMark/>
          </w:tcPr>
          <w:p w14:paraId="4BA686E7" w14:textId="77777777" w:rsidR="00B84AFA" w:rsidRPr="00D174C8" w:rsidRDefault="00B84AFA" w:rsidP="00562DA7">
            <w:pPr>
              <w:widowControl/>
              <w:jc w:val="center"/>
              <w:rPr>
                <w:rFonts w:cs="Arial"/>
                <w:color w:val="000000"/>
                <w:sz w:val="20"/>
                <w:lang w:eastAsia="es-MX"/>
              </w:rPr>
            </w:pPr>
            <w:r w:rsidRPr="00D174C8">
              <w:rPr>
                <w:rFonts w:cs="Arial"/>
                <w:sz w:val="20"/>
                <w:lang w:eastAsia="es-MX"/>
              </w:rPr>
              <w:t>6.4</w:t>
            </w:r>
          </w:p>
        </w:tc>
      </w:tr>
      <w:tr w:rsidR="00B84AFA" w:rsidRPr="00D174C8" w14:paraId="2A8FA956" w14:textId="77777777" w:rsidTr="004B15C9">
        <w:trPr>
          <w:trHeight w:val="277"/>
        </w:trPr>
        <w:tc>
          <w:tcPr>
            <w:tcW w:w="217" w:type="dxa"/>
            <w:tcBorders>
              <w:top w:val="nil"/>
              <w:left w:val="nil"/>
              <w:bottom w:val="nil"/>
              <w:right w:val="nil"/>
            </w:tcBorders>
            <w:shd w:val="clear" w:color="auto" w:fill="CCE2E6"/>
            <w:noWrap/>
            <w:vAlign w:val="bottom"/>
            <w:hideMark/>
          </w:tcPr>
          <w:p w14:paraId="58FE66CB" w14:textId="77777777" w:rsidR="00B84AFA" w:rsidRPr="00D174C8" w:rsidRDefault="00B84AFA" w:rsidP="00562DA7">
            <w:pPr>
              <w:widowControl/>
              <w:jc w:val="left"/>
              <w:rPr>
                <w:rFonts w:ascii="Times New Roman" w:hAnsi="Times New Roman"/>
                <w:color w:val="000000"/>
                <w:sz w:val="20"/>
                <w:lang w:eastAsia="es-MX"/>
              </w:rPr>
            </w:pPr>
            <w:r w:rsidRPr="00D174C8">
              <w:rPr>
                <w:rFonts w:ascii="Times New Roman" w:hAnsi="Times New Roman" w:cs="Arial"/>
                <w:color w:val="000000"/>
                <w:sz w:val="20"/>
                <w:lang w:eastAsia="es-MX"/>
              </w:rPr>
              <w:t> </w:t>
            </w:r>
          </w:p>
        </w:tc>
        <w:tc>
          <w:tcPr>
            <w:tcW w:w="4709" w:type="dxa"/>
            <w:tcBorders>
              <w:top w:val="nil"/>
              <w:left w:val="nil"/>
              <w:bottom w:val="nil"/>
              <w:right w:val="nil"/>
            </w:tcBorders>
            <w:shd w:val="clear" w:color="auto" w:fill="CCE2E6"/>
            <w:vAlign w:val="center"/>
            <w:hideMark/>
          </w:tcPr>
          <w:p w14:paraId="32BA560F" w14:textId="77777777" w:rsidR="00B84AFA" w:rsidRPr="00D174C8" w:rsidRDefault="00B84AFA" w:rsidP="00562DA7">
            <w:pPr>
              <w:widowControl/>
              <w:jc w:val="left"/>
              <w:rPr>
                <w:rFonts w:cs="Arial"/>
                <w:color w:val="000000"/>
                <w:sz w:val="20"/>
                <w:lang w:eastAsia="es-MX"/>
              </w:rPr>
            </w:pPr>
            <w:r w:rsidRPr="00D174C8">
              <w:rPr>
                <w:rFonts w:cs="Arial"/>
                <w:sz w:val="20"/>
                <w:lang w:eastAsia="es-MX"/>
              </w:rPr>
              <w:t>Vendedores ambulantes</w:t>
            </w:r>
          </w:p>
        </w:tc>
        <w:tc>
          <w:tcPr>
            <w:tcW w:w="1582" w:type="dxa"/>
            <w:tcBorders>
              <w:top w:val="nil"/>
              <w:left w:val="nil"/>
              <w:bottom w:val="nil"/>
              <w:right w:val="nil"/>
            </w:tcBorders>
            <w:shd w:val="clear" w:color="auto" w:fill="CCE2E6"/>
            <w:vAlign w:val="center"/>
            <w:hideMark/>
          </w:tcPr>
          <w:p w14:paraId="31844EE6" w14:textId="77777777" w:rsidR="00B84AFA" w:rsidRPr="00D174C8" w:rsidRDefault="00B84AFA" w:rsidP="00562DA7">
            <w:pPr>
              <w:widowControl/>
              <w:jc w:val="center"/>
              <w:rPr>
                <w:rFonts w:cs="Arial"/>
                <w:color w:val="000000"/>
                <w:sz w:val="20"/>
                <w:lang w:eastAsia="es-MX"/>
              </w:rPr>
            </w:pPr>
            <w:r w:rsidRPr="00D174C8">
              <w:rPr>
                <w:rFonts w:cs="Arial"/>
                <w:sz w:val="20"/>
                <w:lang w:eastAsia="es-MX"/>
              </w:rPr>
              <w:t>5.1</w:t>
            </w:r>
          </w:p>
        </w:tc>
        <w:tc>
          <w:tcPr>
            <w:tcW w:w="1582" w:type="dxa"/>
            <w:tcBorders>
              <w:top w:val="nil"/>
              <w:left w:val="nil"/>
              <w:bottom w:val="nil"/>
              <w:right w:val="nil"/>
            </w:tcBorders>
            <w:shd w:val="clear" w:color="auto" w:fill="CCE2E6"/>
            <w:vAlign w:val="center"/>
            <w:hideMark/>
          </w:tcPr>
          <w:p w14:paraId="3BD3920A" w14:textId="77777777" w:rsidR="00B84AFA" w:rsidRPr="00D174C8" w:rsidRDefault="00B84AFA" w:rsidP="00562DA7">
            <w:pPr>
              <w:widowControl/>
              <w:jc w:val="center"/>
              <w:rPr>
                <w:rFonts w:cs="Arial"/>
                <w:color w:val="000000"/>
                <w:sz w:val="20"/>
                <w:lang w:eastAsia="es-MX"/>
              </w:rPr>
            </w:pPr>
            <w:r w:rsidRPr="00D174C8">
              <w:rPr>
                <w:rFonts w:cs="Arial"/>
                <w:sz w:val="20"/>
                <w:lang w:eastAsia="es-MX"/>
              </w:rPr>
              <w:t>4.0</w:t>
            </w:r>
          </w:p>
        </w:tc>
        <w:tc>
          <w:tcPr>
            <w:tcW w:w="1582" w:type="dxa"/>
            <w:tcBorders>
              <w:top w:val="nil"/>
              <w:left w:val="nil"/>
              <w:bottom w:val="nil"/>
              <w:right w:val="nil"/>
            </w:tcBorders>
            <w:shd w:val="clear" w:color="auto" w:fill="CCE2E6"/>
            <w:vAlign w:val="center"/>
            <w:hideMark/>
          </w:tcPr>
          <w:p w14:paraId="3E966439" w14:textId="77777777" w:rsidR="00B84AFA" w:rsidRPr="00D174C8" w:rsidRDefault="00B84AFA" w:rsidP="00562DA7">
            <w:pPr>
              <w:widowControl/>
              <w:jc w:val="center"/>
              <w:rPr>
                <w:rFonts w:cs="Arial"/>
                <w:color w:val="000000"/>
                <w:sz w:val="20"/>
                <w:lang w:eastAsia="es-MX"/>
              </w:rPr>
            </w:pPr>
            <w:r w:rsidRPr="00D174C8">
              <w:rPr>
                <w:rFonts w:cs="Arial"/>
                <w:sz w:val="20"/>
                <w:lang w:eastAsia="es-MX"/>
              </w:rPr>
              <w:t>7.8</w:t>
            </w:r>
          </w:p>
        </w:tc>
      </w:tr>
      <w:tr w:rsidR="00B84AFA" w:rsidRPr="00D174C8" w14:paraId="71157A06" w14:textId="77777777" w:rsidTr="004B15C9">
        <w:trPr>
          <w:trHeight w:val="472"/>
        </w:trPr>
        <w:tc>
          <w:tcPr>
            <w:tcW w:w="217" w:type="dxa"/>
            <w:tcBorders>
              <w:top w:val="nil"/>
              <w:left w:val="nil"/>
              <w:right w:val="nil"/>
            </w:tcBorders>
            <w:shd w:val="clear" w:color="auto" w:fill="CCE2E6"/>
            <w:noWrap/>
            <w:vAlign w:val="bottom"/>
            <w:hideMark/>
          </w:tcPr>
          <w:p w14:paraId="64601EC8" w14:textId="77777777" w:rsidR="00B84AFA" w:rsidRPr="00D174C8" w:rsidRDefault="00B84AFA" w:rsidP="00562DA7">
            <w:pPr>
              <w:widowControl/>
              <w:jc w:val="left"/>
              <w:rPr>
                <w:rFonts w:ascii="Times New Roman" w:hAnsi="Times New Roman"/>
                <w:color w:val="000000"/>
                <w:sz w:val="20"/>
                <w:lang w:eastAsia="es-MX"/>
              </w:rPr>
            </w:pPr>
            <w:r w:rsidRPr="00D174C8">
              <w:rPr>
                <w:rFonts w:ascii="Times New Roman" w:hAnsi="Times New Roman" w:cs="Arial"/>
                <w:color w:val="000000"/>
                <w:sz w:val="20"/>
                <w:lang w:eastAsia="es-MX"/>
              </w:rPr>
              <w:t> </w:t>
            </w:r>
          </w:p>
        </w:tc>
        <w:tc>
          <w:tcPr>
            <w:tcW w:w="4709" w:type="dxa"/>
            <w:tcBorders>
              <w:top w:val="nil"/>
              <w:left w:val="nil"/>
              <w:right w:val="nil"/>
            </w:tcBorders>
            <w:shd w:val="clear" w:color="auto" w:fill="CCE2E6"/>
            <w:vAlign w:val="center"/>
            <w:hideMark/>
          </w:tcPr>
          <w:p w14:paraId="5689D6FD" w14:textId="77777777" w:rsidR="00B84AFA" w:rsidRPr="00D174C8" w:rsidRDefault="00B84AFA" w:rsidP="00562DA7">
            <w:pPr>
              <w:widowControl/>
              <w:jc w:val="left"/>
              <w:rPr>
                <w:rFonts w:cs="Arial"/>
                <w:color w:val="000000"/>
                <w:sz w:val="20"/>
                <w:lang w:eastAsia="es-MX"/>
              </w:rPr>
            </w:pPr>
            <w:r w:rsidRPr="00D174C8">
              <w:rPr>
                <w:rFonts w:cs="Arial"/>
                <w:sz w:val="20"/>
                <w:lang w:eastAsia="es-MX"/>
              </w:rPr>
              <w:t>Otros trabajadores en actividades elementales y de apoyo</w:t>
            </w:r>
          </w:p>
        </w:tc>
        <w:tc>
          <w:tcPr>
            <w:tcW w:w="1582" w:type="dxa"/>
            <w:tcBorders>
              <w:top w:val="nil"/>
              <w:left w:val="nil"/>
              <w:right w:val="nil"/>
            </w:tcBorders>
            <w:shd w:val="clear" w:color="auto" w:fill="CCE2E6"/>
            <w:vAlign w:val="center"/>
            <w:hideMark/>
          </w:tcPr>
          <w:p w14:paraId="01099D2D" w14:textId="77777777" w:rsidR="00B84AFA" w:rsidRPr="00D174C8" w:rsidRDefault="00B84AFA" w:rsidP="00562DA7">
            <w:pPr>
              <w:widowControl/>
              <w:jc w:val="center"/>
              <w:rPr>
                <w:rFonts w:cs="Arial"/>
                <w:color w:val="000000"/>
                <w:sz w:val="20"/>
                <w:lang w:eastAsia="es-MX"/>
              </w:rPr>
            </w:pPr>
            <w:r w:rsidRPr="00D174C8">
              <w:rPr>
                <w:rFonts w:cs="Arial"/>
                <w:sz w:val="20"/>
                <w:lang w:eastAsia="es-MX"/>
              </w:rPr>
              <w:t>6.5</w:t>
            </w:r>
          </w:p>
        </w:tc>
        <w:tc>
          <w:tcPr>
            <w:tcW w:w="1582" w:type="dxa"/>
            <w:tcBorders>
              <w:top w:val="nil"/>
              <w:left w:val="nil"/>
              <w:right w:val="nil"/>
            </w:tcBorders>
            <w:shd w:val="clear" w:color="auto" w:fill="CCE2E6"/>
            <w:vAlign w:val="center"/>
            <w:hideMark/>
          </w:tcPr>
          <w:p w14:paraId="68DF8516" w14:textId="77777777" w:rsidR="00B84AFA" w:rsidRPr="00D174C8" w:rsidRDefault="00B84AFA" w:rsidP="00562DA7">
            <w:pPr>
              <w:widowControl/>
              <w:jc w:val="center"/>
              <w:rPr>
                <w:rFonts w:cs="Arial"/>
                <w:color w:val="000000"/>
                <w:sz w:val="20"/>
                <w:lang w:eastAsia="es-MX"/>
              </w:rPr>
            </w:pPr>
            <w:r w:rsidRPr="00D174C8">
              <w:rPr>
                <w:rFonts w:cs="Arial"/>
                <w:sz w:val="20"/>
                <w:lang w:eastAsia="es-MX"/>
              </w:rPr>
              <w:t>5.9</w:t>
            </w:r>
          </w:p>
        </w:tc>
        <w:tc>
          <w:tcPr>
            <w:tcW w:w="1582" w:type="dxa"/>
            <w:tcBorders>
              <w:top w:val="nil"/>
              <w:left w:val="nil"/>
              <w:right w:val="nil"/>
            </w:tcBorders>
            <w:shd w:val="clear" w:color="auto" w:fill="CCE2E6"/>
            <w:vAlign w:val="center"/>
            <w:hideMark/>
          </w:tcPr>
          <w:p w14:paraId="6201909B" w14:textId="77777777" w:rsidR="00B84AFA" w:rsidRPr="00D174C8" w:rsidRDefault="00B84AFA" w:rsidP="00562DA7">
            <w:pPr>
              <w:widowControl/>
              <w:jc w:val="center"/>
              <w:rPr>
                <w:rFonts w:cs="Arial"/>
                <w:color w:val="000000"/>
                <w:sz w:val="20"/>
                <w:lang w:eastAsia="es-MX"/>
              </w:rPr>
            </w:pPr>
            <w:r w:rsidRPr="00D174C8">
              <w:rPr>
                <w:rFonts w:cs="Arial"/>
                <w:sz w:val="20"/>
                <w:lang w:eastAsia="es-MX"/>
              </w:rPr>
              <w:t>8.1</w:t>
            </w:r>
          </w:p>
        </w:tc>
      </w:tr>
      <w:tr w:rsidR="00B84AFA" w:rsidRPr="00D174C8" w14:paraId="58F38BCB" w14:textId="77777777" w:rsidTr="004B15C9">
        <w:trPr>
          <w:trHeight w:val="277"/>
        </w:trPr>
        <w:tc>
          <w:tcPr>
            <w:tcW w:w="217" w:type="dxa"/>
            <w:tcBorders>
              <w:top w:val="nil"/>
              <w:left w:val="nil"/>
              <w:right w:val="nil"/>
            </w:tcBorders>
            <w:shd w:val="clear" w:color="auto" w:fill="CCE2E6"/>
            <w:vAlign w:val="center"/>
            <w:hideMark/>
          </w:tcPr>
          <w:p w14:paraId="5FF731B6" w14:textId="77777777" w:rsidR="00B84AFA" w:rsidRPr="00D174C8" w:rsidRDefault="00B84AFA" w:rsidP="00562DA7">
            <w:pPr>
              <w:widowControl/>
              <w:jc w:val="left"/>
              <w:rPr>
                <w:rFonts w:ascii="Times New Roman" w:hAnsi="Times New Roman"/>
                <w:color w:val="000000"/>
                <w:sz w:val="20"/>
                <w:lang w:eastAsia="es-MX"/>
              </w:rPr>
            </w:pPr>
            <w:r w:rsidRPr="00D174C8">
              <w:rPr>
                <w:rFonts w:ascii="Times New Roman" w:hAnsi="Times New Roman" w:cs="Arial"/>
                <w:color w:val="000000"/>
                <w:sz w:val="20"/>
                <w:lang w:eastAsia="es-MX"/>
              </w:rPr>
              <w:t> </w:t>
            </w:r>
          </w:p>
        </w:tc>
        <w:tc>
          <w:tcPr>
            <w:tcW w:w="4709" w:type="dxa"/>
            <w:tcBorders>
              <w:top w:val="nil"/>
              <w:left w:val="nil"/>
              <w:right w:val="nil"/>
            </w:tcBorders>
            <w:shd w:val="clear" w:color="auto" w:fill="CCE2E6"/>
            <w:vAlign w:val="center"/>
            <w:hideMark/>
          </w:tcPr>
          <w:p w14:paraId="293B04EF" w14:textId="77777777" w:rsidR="00B84AFA" w:rsidRPr="00D174C8" w:rsidRDefault="00B84AFA" w:rsidP="00562DA7">
            <w:pPr>
              <w:widowControl/>
              <w:jc w:val="left"/>
              <w:rPr>
                <w:rFonts w:cs="Arial"/>
                <w:color w:val="000000"/>
                <w:sz w:val="20"/>
                <w:lang w:eastAsia="es-MX"/>
              </w:rPr>
            </w:pPr>
            <w:r w:rsidRPr="00D174C8">
              <w:rPr>
                <w:rFonts w:cs="Arial"/>
                <w:sz w:val="20"/>
                <w:lang w:eastAsia="es-MX"/>
              </w:rPr>
              <w:t>Otros trabajadores</w:t>
            </w:r>
          </w:p>
        </w:tc>
        <w:tc>
          <w:tcPr>
            <w:tcW w:w="1582" w:type="dxa"/>
            <w:tcBorders>
              <w:top w:val="nil"/>
              <w:left w:val="nil"/>
              <w:right w:val="nil"/>
            </w:tcBorders>
            <w:shd w:val="clear" w:color="auto" w:fill="CCE2E6"/>
            <w:vAlign w:val="center"/>
            <w:hideMark/>
          </w:tcPr>
          <w:p w14:paraId="58391B4A" w14:textId="77777777" w:rsidR="00B84AFA" w:rsidRPr="00D174C8" w:rsidRDefault="00B84AFA" w:rsidP="00562DA7">
            <w:pPr>
              <w:widowControl/>
              <w:jc w:val="center"/>
              <w:rPr>
                <w:rFonts w:cs="Arial"/>
                <w:color w:val="000000"/>
                <w:sz w:val="20"/>
                <w:lang w:eastAsia="es-MX"/>
              </w:rPr>
            </w:pPr>
            <w:r w:rsidRPr="00D174C8">
              <w:rPr>
                <w:rFonts w:cs="Arial"/>
                <w:sz w:val="20"/>
                <w:lang w:eastAsia="es-MX"/>
              </w:rPr>
              <w:t>3.9</w:t>
            </w:r>
          </w:p>
        </w:tc>
        <w:tc>
          <w:tcPr>
            <w:tcW w:w="1582" w:type="dxa"/>
            <w:tcBorders>
              <w:top w:val="nil"/>
              <w:left w:val="nil"/>
              <w:right w:val="nil"/>
            </w:tcBorders>
            <w:shd w:val="clear" w:color="auto" w:fill="CCE2E6"/>
            <w:vAlign w:val="center"/>
            <w:hideMark/>
          </w:tcPr>
          <w:p w14:paraId="21D8D740" w14:textId="77777777" w:rsidR="00B84AFA" w:rsidRPr="00D174C8" w:rsidRDefault="00B84AFA" w:rsidP="00562DA7">
            <w:pPr>
              <w:widowControl/>
              <w:jc w:val="center"/>
              <w:rPr>
                <w:rFonts w:cs="Arial"/>
                <w:color w:val="000000"/>
                <w:sz w:val="20"/>
                <w:lang w:eastAsia="es-MX"/>
              </w:rPr>
            </w:pPr>
            <w:r w:rsidRPr="00D174C8">
              <w:rPr>
                <w:rFonts w:cs="Arial"/>
                <w:sz w:val="20"/>
                <w:lang w:eastAsia="es-MX"/>
              </w:rPr>
              <w:t>3.6</w:t>
            </w:r>
          </w:p>
        </w:tc>
        <w:tc>
          <w:tcPr>
            <w:tcW w:w="1582" w:type="dxa"/>
            <w:tcBorders>
              <w:top w:val="nil"/>
              <w:left w:val="nil"/>
              <w:right w:val="nil"/>
            </w:tcBorders>
            <w:shd w:val="clear" w:color="auto" w:fill="CCE2E6"/>
            <w:vAlign w:val="center"/>
            <w:hideMark/>
          </w:tcPr>
          <w:p w14:paraId="16C68546" w14:textId="77777777" w:rsidR="00B84AFA" w:rsidRPr="00D174C8" w:rsidRDefault="00B84AFA" w:rsidP="00562DA7">
            <w:pPr>
              <w:widowControl/>
              <w:jc w:val="center"/>
              <w:rPr>
                <w:rFonts w:cs="Arial"/>
                <w:color w:val="000000"/>
                <w:sz w:val="20"/>
                <w:lang w:eastAsia="es-MX"/>
              </w:rPr>
            </w:pPr>
            <w:r w:rsidRPr="00D174C8">
              <w:rPr>
                <w:rFonts w:cs="Arial"/>
                <w:sz w:val="20"/>
                <w:lang w:eastAsia="es-MX"/>
              </w:rPr>
              <w:t>4.6</w:t>
            </w:r>
          </w:p>
        </w:tc>
      </w:tr>
    </w:tbl>
    <w:p w14:paraId="1246E1E3" w14:textId="3C5E6716" w:rsidR="00B84AFA" w:rsidRPr="00CD6FE9" w:rsidRDefault="004B15C9" w:rsidP="00B84AFA">
      <w:pPr>
        <w:widowControl/>
        <w:autoSpaceDE w:val="0"/>
        <w:autoSpaceDN w:val="0"/>
        <w:adjustRightInd w:val="0"/>
        <w:rPr>
          <w:rFonts w:cs="Arial"/>
          <w:sz w:val="16"/>
          <w:szCs w:val="16"/>
        </w:rPr>
      </w:pPr>
      <w:r>
        <w:rPr>
          <w:rFonts w:cs="Arial"/>
          <w:color w:val="000000" w:themeColor="text1"/>
          <w:sz w:val="16"/>
          <w:szCs w:val="16"/>
        </w:rPr>
        <w:t xml:space="preserve">    </w:t>
      </w:r>
      <w:r w:rsidR="00B84AFA" w:rsidRPr="00CD6FE9">
        <w:rPr>
          <w:rFonts w:cs="Arial"/>
          <w:color w:val="000000" w:themeColor="text1"/>
          <w:sz w:val="16"/>
          <w:szCs w:val="16"/>
        </w:rPr>
        <w:t>Fuente: INEGI, ENTI. 2022.</w:t>
      </w:r>
    </w:p>
    <w:p w14:paraId="6A03FCED" w14:textId="77777777" w:rsidR="00072E14" w:rsidRPr="00B1333D" w:rsidRDefault="00072E14" w:rsidP="007E7BB1">
      <w:pPr>
        <w:widowControl/>
        <w:autoSpaceDE w:val="0"/>
        <w:autoSpaceDN w:val="0"/>
        <w:adjustRightInd w:val="0"/>
        <w:rPr>
          <w:rFonts w:cs="Arial"/>
          <w:sz w:val="16"/>
          <w:szCs w:val="24"/>
        </w:rPr>
      </w:pPr>
    </w:p>
    <w:p w14:paraId="3E59228A" w14:textId="4D4BC990" w:rsidR="00791592" w:rsidRDefault="00791592" w:rsidP="0032199D">
      <w:pPr>
        <w:widowControl/>
        <w:autoSpaceDE w:val="0"/>
        <w:autoSpaceDN w:val="0"/>
        <w:adjustRightInd w:val="0"/>
        <w:ind w:right="51"/>
        <w:rPr>
          <w:rFonts w:cs="Arial"/>
          <w:color w:val="000000"/>
          <w:szCs w:val="24"/>
        </w:rPr>
      </w:pPr>
      <w:r w:rsidRPr="0037646C">
        <w:rPr>
          <w:rFonts w:cs="Arial"/>
          <w:color w:val="000000"/>
          <w:szCs w:val="24"/>
        </w:rPr>
        <w:lastRenderedPageBreak/>
        <w:t>En</w:t>
      </w:r>
      <w:r w:rsidR="00FB2D80">
        <w:rPr>
          <w:rFonts w:cs="Arial"/>
          <w:color w:val="000000"/>
          <w:szCs w:val="24"/>
        </w:rPr>
        <w:t xml:space="preserve"> 2022</w:t>
      </w:r>
      <w:r w:rsidR="00BB6B73">
        <w:rPr>
          <w:rFonts w:cs="Arial"/>
          <w:color w:val="000000"/>
          <w:szCs w:val="24"/>
        </w:rPr>
        <w:t>, 51.6 % de la ocupación no permitida se concentró en</w:t>
      </w:r>
      <w:r w:rsidRPr="0037646C">
        <w:rPr>
          <w:rFonts w:cs="Arial"/>
          <w:color w:val="000000"/>
          <w:szCs w:val="24"/>
        </w:rPr>
        <w:t xml:space="preserve"> jornadas </w:t>
      </w:r>
      <w:r w:rsidR="00347DEA" w:rsidRPr="0037646C">
        <w:rPr>
          <w:rFonts w:cs="Arial"/>
          <w:color w:val="000000"/>
          <w:szCs w:val="24"/>
        </w:rPr>
        <w:t xml:space="preserve">reducidas </w:t>
      </w:r>
      <w:r w:rsidRPr="0037646C">
        <w:rPr>
          <w:rFonts w:cs="Arial"/>
          <w:color w:val="000000"/>
          <w:szCs w:val="24"/>
        </w:rPr>
        <w:t>de trabajo</w:t>
      </w:r>
      <w:r w:rsidR="00D4600F">
        <w:rPr>
          <w:rFonts w:cs="Arial"/>
          <w:color w:val="000000"/>
          <w:szCs w:val="24"/>
        </w:rPr>
        <w:t xml:space="preserve">: </w:t>
      </w:r>
      <w:r w:rsidRPr="0037646C">
        <w:rPr>
          <w:rFonts w:cs="Arial"/>
          <w:color w:val="000000"/>
          <w:szCs w:val="24"/>
        </w:rPr>
        <w:t xml:space="preserve"> </w:t>
      </w:r>
      <w:r w:rsidR="00D4600F" w:rsidRPr="0037646C">
        <w:rPr>
          <w:rFonts w:cs="Arial"/>
          <w:color w:val="000000"/>
          <w:szCs w:val="24"/>
        </w:rPr>
        <w:t>33.5 %</w:t>
      </w:r>
      <w:r w:rsidR="00D4600F">
        <w:rPr>
          <w:rFonts w:cs="Arial"/>
          <w:color w:val="000000"/>
          <w:szCs w:val="24"/>
        </w:rPr>
        <w:t xml:space="preserve"> laboró</w:t>
      </w:r>
      <w:r w:rsidR="00072E14">
        <w:rPr>
          <w:rFonts w:cs="Arial"/>
          <w:color w:val="000000"/>
          <w:szCs w:val="24"/>
        </w:rPr>
        <w:t xml:space="preserve"> </w:t>
      </w:r>
      <w:r w:rsidR="00072E14" w:rsidRPr="00072E14">
        <w:rPr>
          <w:rFonts w:cs="Arial"/>
          <w:color w:val="000000"/>
          <w:szCs w:val="24"/>
        </w:rPr>
        <w:t>hasta 14 horas semanales</w:t>
      </w:r>
      <w:r w:rsidR="00D4600F">
        <w:rPr>
          <w:rFonts w:cs="Arial"/>
          <w:color w:val="000000"/>
          <w:szCs w:val="24"/>
        </w:rPr>
        <w:t xml:space="preserve"> </w:t>
      </w:r>
      <w:r w:rsidRPr="0037646C">
        <w:rPr>
          <w:rFonts w:cs="Arial"/>
          <w:color w:val="000000"/>
          <w:szCs w:val="24"/>
        </w:rPr>
        <w:t xml:space="preserve">y </w:t>
      </w:r>
      <w:r w:rsidR="00D4600F" w:rsidRPr="0037646C">
        <w:rPr>
          <w:rFonts w:cs="Arial"/>
          <w:color w:val="000000"/>
          <w:szCs w:val="24"/>
        </w:rPr>
        <w:t>18.1 %</w:t>
      </w:r>
      <w:r w:rsidR="00D4600F">
        <w:rPr>
          <w:rFonts w:cs="Arial"/>
          <w:color w:val="000000"/>
          <w:szCs w:val="24"/>
        </w:rPr>
        <w:t xml:space="preserve">, </w:t>
      </w:r>
      <w:r w:rsidRPr="0037646C">
        <w:rPr>
          <w:rFonts w:cs="Arial"/>
          <w:color w:val="000000"/>
          <w:szCs w:val="24"/>
        </w:rPr>
        <w:t>en jornadas de</w:t>
      </w:r>
      <w:r w:rsidR="00715919">
        <w:rPr>
          <w:rFonts w:cs="Arial"/>
          <w:color w:val="000000"/>
          <w:szCs w:val="24"/>
        </w:rPr>
        <w:t xml:space="preserve"> </w:t>
      </w:r>
      <w:r w:rsidR="00715919" w:rsidRPr="00B1333D">
        <w:rPr>
          <w:rFonts w:cs="Arial"/>
          <w:color w:val="000000"/>
          <w:szCs w:val="24"/>
        </w:rPr>
        <w:t>1</w:t>
      </w:r>
      <w:r w:rsidR="001E3935">
        <w:rPr>
          <w:rFonts w:cs="Arial"/>
          <w:color w:val="000000"/>
          <w:szCs w:val="24"/>
        </w:rPr>
        <w:t>4</w:t>
      </w:r>
      <w:r w:rsidR="00715919" w:rsidRPr="00B1333D">
        <w:rPr>
          <w:rFonts w:cs="Arial"/>
          <w:color w:val="000000"/>
          <w:szCs w:val="24"/>
        </w:rPr>
        <w:t xml:space="preserve"> a 28 horas semanales</w:t>
      </w:r>
      <w:r w:rsidR="00D4600F">
        <w:rPr>
          <w:rFonts w:cs="Arial"/>
          <w:color w:val="000000"/>
          <w:szCs w:val="24"/>
        </w:rPr>
        <w:t>.</w:t>
      </w:r>
      <w:r>
        <w:rPr>
          <w:rFonts w:cs="Arial"/>
          <w:color w:val="000000"/>
          <w:szCs w:val="24"/>
        </w:rPr>
        <w:t xml:space="preserve"> </w:t>
      </w:r>
      <w:r w:rsidR="00D4600F">
        <w:rPr>
          <w:rFonts w:cs="Arial"/>
          <w:color w:val="000000"/>
          <w:szCs w:val="24"/>
        </w:rPr>
        <w:t>A</w:t>
      </w:r>
      <w:r>
        <w:rPr>
          <w:rFonts w:cs="Arial"/>
          <w:color w:val="000000"/>
          <w:szCs w:val="24"/>
        </w:rPr>
        <w:t>simismo,</w:t>
      </w:r>
      <w:r w:rsidRPr="0037646C">
        <w:rPr>
          <w:rFonts w:cs="Arial"/>
          <w:color w:val="000000"/>
          <w:szCs w:val="24"/>
        </w:rPr>
        <w:t xml:space="preserve"> </w:t>
      </w:r>
      <w:r w:rsidR="00DA65F6">
        <w:rPr>
          <w:rFonts w:cs="Arial"/>
          <w:color w:val="000000"/>
          <w:szCs w:val="24"/>
        </w:rPr>
        <w:t>34</w:t>
      </w:r>
      <w:r w:rsidRPr="0037646C">
        <w:rPr>
          <w:rFonts w:cs="Arial"/>
          <w:color w:val="000000"/>
          <w:szCs w:val="24"/>
        </w:rPr>
        <w:t>.</w:t>
      </w:r>
      <w:r>
        <w:rPr>
          <w:rFonts w:cs="Arial"/>
          <w:color w:val="000000"/>
          <w:szCs w:val="24"/>
        </w:rPr>
        <w:t>2</w:t>
      </w:r>
      <w:r w:rsidRPr="0037646C">
        <w:rPr>
          <w:rFonts w:cs="Arial"/>
          <w:color w:val="000000"/>
          <w:szCs w:val="24"/>
        </w:rPr>
        <w:t xml:space="preserve"> % </w:t>
      </w:r>
      <w:r w:rsidR="000B5AFE">
        <w:rPr>
          <w:rFonts w:cs="Arial"/>
          <w:color w:val="000000"/>
          <w:szCs w:val="24"/>
        </w:rPr>
        <w:t>trabajó</w:t>
      </w:r>
      <w:r w:rsidRPr="0037646C">
        <w:rPr>
          <w:rFonts w:cs="Arial"/>
          <w:color w:val="000000"/>
          <w:szCs w:val="24"/>
        </w:rPr>
        <w:t xml:space="preserve"> jornadas de</w:t>
      </w:r>
      <w:r w:rsidR="000B5AFE">
        <w:rPr>
          <w:rFonts w:cs="Arial"/>
          <w:color w:val="000000"/>
          <w:szCs w:val="24"/>
        </w:rPr>
        <w:t xml:space="preserve"> </w:t>
      </w:r>
      <w:r w:rsidR="000B5AFE" w:rsidRPr="00B1333D">
        <w:rPr>
          <w:rFonts w:cs="Arial"/>
          <w:color w:val="000000"/>
          <w:szCs w:val="24"/>
        </w:rPr>
        <w:t>más de 28 horas semanales</w:t>
      </w:r>
      <w:r w:rsidRPr="0037646C">
        <w:rPr>
          <w:rFonts w:cs="Arial"/>
          <w:color w:val="000000"/>
          <w:szCs w:val="24"/>
        </w:rPr>
        <w:t xml:space="preserve"> </w:t>
      </w:r>
      <w:r>
        <w:rPr>
          <w:rFonts w:cs="Arial"/>
          <w:color w:val="000000"/>
          <w:szCs w:val="24"/>
        </w:rPr>
        <w:t xml:space="preserve">y 13.7 % </w:t>
      </w:r>
      <w:r w:rsidR="000B5AFE" w:rsidRPr="00B1333D">
        <w:rPr>
          <w:rFonts w:cs="Arial"/>
          <w:color w:val="000000"/>
          <w:szCs w:val="24"/>
        </w:rPr>
        <w:t>no tuvo un horario regular de trabajo</w:t>
      </w:r>
      <w:r>
        <w:rPr>
          <w:rFonts w:cs="Arial"/>
          <w:color w:val="000000"/>
          <w:szCs w:val="24"/>
        </w:rPr>
        <w:t>.</w:t>
      </w:r>
      <w:r w:rsidR="00D4600F">
        <w:rPr>
          <w:rFonts w:cs="Arial"/>
          <w:color w:val="000000"/>
          <w:szCs w:val="24"/>
        </w:rPr>
        <w:t xml:space="preserve"> </w:t>
      </w:r>
    </w:p>
    <w:p w14:paraId="7C8EE557" w14:textId="77777777" w:rsidR="00791592" w:rsidRDefault="00791592" w:rsidP="0032199D">
      <w:pPr>
        <w:widowControl/>
        <w:autoSpaceDE w:val="0"/>
        <w:autoSpaceDN w:val="0"/>
        <w:adjustRightInd w:val="0"/>
        <w:ind w:right="51"/>
        <w:rPr>
          <w:rFonts w:cs="Arial"/>
          <w:color w:val="000000"/>
          <w:szCs w:val="24"/>
        </w:rPr>
      </w:pPr>
    </w:p>
    <w:p w14:paraId="11013950" w14:textId="081F95CF" w:rsidR="00791592" w:rsidRPr="00C45DD9" w:rsidRDefault="00791592" w:rsidP="0032199D">
      <w:pPr>
        <w:widowControl/>
        <w:autoSpaceDE w:val="0"/>
        <w:autoSpaceDN w:val="0"/>
        <w:adjustRightInd w:val="0"/>
        <w:ind w:right="51"/>
        <w:rPr>
          <w:rFonts w:cs="Arial"/>
          <w:color w:val="000000"/>
          <w:szCs w:val="24"/>
        </w:rPr>
      </w:pPr>
      <w:r w:rsidRPr="00C45DD9">
        <w:rPr>
          <w:rFonts w:cs="Arial"/>
          <w:color w:val="000000"/>
          <w:szCs w:val="24"/>
        </w:rPr>
        <w:t>Los niños destina</w:t>
      </w:r>
      <w:r w:rsidR="002C0695" w:rsidRPr="00C45DD9">
        <w:rPr>
          <w:rFonts w:cs="Arial"/>
          <w:color w:val="000000"/>
          <w:szCs w:val="24"/>
        </w:rPr>
        <w:t>ro</w:t>
      </w:r>
      <w:r w:rsidRPr="00C45DD9">
        <w:rPr>
          <w:rFonts w:cs="Arial"/>
          <w:color w:val="000000"/>
          <w:szCs w:val="24"/>
        </w:rPr>
        <w:t>n un mayor número de horas a la ocupación no permitida</w:t>
      </w:r>
      <w:r w:rsidR="007E7BB1" w:rsidRPr="00C45DD9">
        <w:rPr>
          <w:rFonts w:cs="Arial"/>
          <w:color w:val="000000"/>
          <w:szCs w:val="24"/>
        </w:rPr>
        <w:t>;</w:t>
      </w:r>
      <w:r w:rsidRPr="00C45DD9">
        <w:rPr>
          <w:rFonts w:cs="Arial"/>
          <w:color w:val="000000"/>
          <w:szCs w:val="24"/>
        </w:rPr>
        <w:t xml:space="preserve"> </w:t>
      </w:r>
      <w:r w:rsidR="002D40E6" w:rsidRPr="00C45DD9">
        <w:rPr>
          <w:rFonts w:cs="Arial"/>
          <w:color w:val="000000"/>
          <w:szCs w:val="24"/>
        </w:rPr>
        <w:t>28.9</w:t>
      </w:r>
      <w:r w:rsidRPr="00C45DD9">
        <w:rPr>
          <w:rFonts w:cs="Arial"/>
          <w:color w:val="000000"/>
          <w:szCs w:val="24"/>
        </w:rPr>
        <w:t xml:space="preserve"> % trabaja</w:t>
      </w:r>
      <w:r w:rsidR="002C0695" w:rsidRPr="00C45DD9">
        <w:rPr>
          <w:rFonts w:cs="Arial"/>
          <w:color w:val="000000"/>
          <w:szCs w:val="24"/>
        </w:rPr>
        <w:t>ro</w:t>
      </w:r>
      <w:r w:rsidRPr="00C45DD9">
        <w:rPr>
          <w:rFonts w:cs="Arial"/>
          <w:color w:val="000000"/>
          <w:szCs w:val="24"/>
        </w:rPr>
        <w:t xml:space="preserve">n </w:t>
      </w:r>
      <w:r w:rsidR="002D40E6" w:rsidRPr="00C45DD9">
        <w:rPr>
          <w:rFonts w:cs="Arial"/>
          <w:color w:val="000000"/>
          <w:szCs w:val="24"/>
        </w:rPr>
        <w:t>más de 36</w:t>
      </w:r>
      <w:r w:rsidRPr="00C45DD9">
        <w:rPr>
          <w:rFonts w:cs="Arial"/>
          <w:color w:val="000000"/>
          <w:szCs w:val="24"/>
        </w:rPr>
        <w:t xml:space="preserve"> horas semanales</w:t>
      </w:r>
      <w:r w:rsidR="00EF217E" w:rsidRPr="00C45DD9">
        <w:rPr>
          <w:rFonts w:cs="Arial"/>
          <w:color w:val="000000"/>
          <w:szCs w:val="24"/>
        </w:rPr>
        <w:t>,</w:t>
      </w:r>
      <w:r w:rsidRPr="00C45DD9">
        <w:rPr>
          <w:rFonts w:cs="Arial"/>
          <w:color w:val="000000"/>
          <w:szCs w:val="24"/>
        </w:rPr>
        <w:t xml:space="preserve"> en contraste con </w:t>
      </w:r>
      <w:r w:rsidR="002D40E6" w:rsidRPr="00C45DD9">
        <w:rPr>
          <w:rFonts w:cs="Arial"/>
          <w:color w:val="000000"/>
          <w:szCs w:val="24"/>
        </w:rPr>
        <w:t>22</w:t>
      </w:r>
      <w:r w:rsidRPr="00C45DD9">
        <w:rPr>
          <w:rFonts w:cs="Arial"/>
          <w:color w:val="000000"/>
          <w:szCs w:val="24"/>
        </w:rPr>
        <w:t>.7</w:t>
      </w:r>
      <w:r w:rsidR="00B45AA3" w:rsidRPr="00C45DD9">
        <w:rPr>
          <w:rFonts w:cs="Arial"/>
          <w:color w:val="000000"/>
          <w:szCs w:val="24"/>
        </w:rPr>
        <w:t xml:space="preserve"> </w:t>
      </w:r>
      <w:r w:rsidRPr="00C45DD9">
        <w:rPr>
          <w:rFonts w:cs="Arial"/>
          <w:color w:val="000000"/>
          <w:szCs w:val="24"/>
        </w:rPr>
        <w:t xml:space="preserve">% de las niñas; asimismo, </w:t>
      </w:r>
      <w:r w:rsidR="0032199D">
        <w:rPr>
          <w:rFonts w:cs="Arial"/>
          <w:color w:val="000000"/>
          <w:szCs w:val="24"/>
        </w:rPr>
        <w:br/>
      </w:r>
      <w:r w:rsidR="002D40E6" w:rsidRPr="00C45DD9">
        <w:rPr>
          <w:rFonts w:cs="Arial"/>
          <w:color w:val="000000"/>
          <w:szCs w:val="24"/>
        </w:rPr>
        <w:t>48.4</w:t>
      </w:r>
      <w:r w:rsidRPr="00C45DD9">
        <w:rPr>
          <w:rFonts w:cs="Arial"/>
          <w:color w:val="000000"/>
          <w:szCs w:val="24"/>
        </w:rPr>
        <w:t xml:space="preserve"> % de los niños labora</w:t>
      </w:r>
      <w:r w:rsidR="002D40E6" w:rsidRPr="00C45DD9">
        <w:rPr>
          <w:rFonts w:cs="Arial"/>
          <w:color w:val="000000"/>
          <w:szCs w:val="24"/>
        </w:rPr>
        <w:t>ro</w:t>
      </w:r>
      <w:r w:rsidRPr="00C45DD9">
        <w:rPr>
          <w:rFonts w:cs="Arial"/>
          <w:color w:val="000000"/>
          <w:szCs w:val="24"/>
        </w:rPr>
        <w:t xml:space="preserve">n </w:t>
      </w:r>
      <w:r w:rsidR="002D40E6" w:rsidRPr="00C45DD9">
        <w:rPr>
          <w:rFonts w:cs="Arial"/>
          <w:color w:val="000000"/>
          <w:szCs w:val="24"/>
        </w:rPr>
        <w:t>hasta</w:t>
      </w:r>
      <w:r w:rsidRPr="00C45DD9">
        <w:rPr>
          <w:rFonts w:cs="Arial"/>
          <w:color w:val="000000"/>
          <w:szCs w:val="24"/>
        </w:rPr>
        <w:t xml:space="preserve"> </w:t>
      </w:r>
      <w:r w:rsidR="00157899" w:rsidRPr="00C45DD9">
        <w:rPr>
          <w:rFonts w:cs="Arial"/>
          <w:color w:val="000000"/>
          <w:szCs w:val="24"/>
        </w:rPr>
        <w:t xml:space="preserve">28 </w:t>
      </w:r>
      <w:r w:rsidRPr="00C45DD9">
        <w:rPr>
          <w:rFonts w:cs="Arial"/>
          <w:color w:val="000000"/>
          <w:szCs w:val="24"/>
        </w:rPr>
        <w:t>horas</w:t>
      </w:r>
      <w:r w:rsidR="002D40E6" w:rsidRPr="00C45DD9">
        <w:rPr>
          <w:rFonts w:cs="Arial"/>
          <w:color w:val="000000"/>
          <w:szCs w:val="24"/>
        </w:rPr>
        <w:t xml:space="preserve"> semanales</w:t>
      </w:r>
      <w:r w:rsidRPr="00C45DD9">
        <w:rPr>
          <w:rFonts w:cs="Arial"/>
          <w:color w:val="000000"/>
          <w:szCs w:val="24"/>
        </w:rPr>
        <w:t xml:space="preserve">, porcentaje que en las niñas </w:t>
      </w:r>
      <w:r w:rsidR="002D40E6" w:rsidRPr="00C45DD9">
        <w:rPr>
          <w:rFonts w:cs="Arial"/>
          <w:color w:val="000000"/>
          <w:szCs w:val="24"/>
        </w:rPr>
        <w:t xml:space="preserve">fue </w:t>
      </w:r>
      <w:r w:rsidRPr="00C45DD9">
        <w:rPr>
          <w:rFonts w:cs="Arial"/>
          <w:color w:val="000000"/>
          <w:szCs w:val="24"/>
        </w:rPr>
        <w:t xml:space="preserve">de </w:t>
      </w:r>
      <w:r w:rsidR="002D40E6" w:rsidRPr="00C45DD9">
        <w:rPr>
          <w:rFonts w:cs="Arial"/>
          <w:color w:val="000000"/>
          <w:szCs w:val="24"/>
        </w:rPr>
        <w:t>59.7</w:t>
      </w:r>
      <w:r w:rsidRPr="00C45DD9">
        <w:rPr>
          <w:rFonts w:cs="Arial"/>
          <w:color w:val="000000"/>
          <w:szCs w:val="24"/>
        </w:rPr>
        <w:t xml:space="preserve"> </w:t>
      </w:r>
      <w:r w:rsidR="007E7BB1" w:rsidRPr="00C45DD9">
        <w:rPr>
          <w:rFonts w:cs="Arial"/>
          <w:color w:val="000000"/>
          <w:szCs w:val="24"/>
        </w:rPr>
        <w:t>por ciento.</w:t>
      </w:r>
      <w:r w:rsidRPr="00C45DD9">
        <w:rPr>
          <w:rFonts w:cs="Arial"/>
          <w:color w:val="000000"/>
          <w:szCs w:val="24"/>
        </w:rPr>
        <w:t xml:space="preserve"> </w:t>
      </w:r>
      <w:r w:rsidR="007E7BB1" w:rsidRPr="00C45DD9">
        <w:rPr>
          <w:rFonts w:cs="Arial"/>
          <w:color w:val="000000"/>
          <w:szCs w:val="24"/>
        </w:rPr>
        <w:t>C</w:t>
      </w:r>
      <w:r w:rsidR="002D40E6" w:rsidRPr="00C45DD9">
        <w:rPr>
          <w:rFonts w:cs="Arial"/>
          <w:color w:val="000000"/>
          <w:szCs w:val="24"/>
        </w:rPr>
        <w:t>abe mencionar que</w:t>
      </w:r>
      <w:r w:rsidRPr="00C45DD9">
        <w:rPr>
          <w:rFonts w:cs="Arial"/>
          <w:color w:val="000000"/>
          <w:szCs w:val="24"/>
        </w:rPr>
        <w:t xml:space="preserve"> 14.9</w:t>
      </w:r>
      <w:r w:rsidR="001E4659" w:rsidRPr="00C45DD9">
        <w:rPr>
          <w:rFonts w:cs="Arial"/>
          <w:color w:val="000000"/>
          <w:szCs w:val="24"/>
        </w:rPr>
        <w:t xml:space="preserve"> </w:t>
      </w:r>
      <w:r w:rsidRPr="00C45DD9">
        <w:rPr>
          <w:rFonts w:cs="Arial"/>
          <w:color w:val="000000"/>
          <w:szCs w:val="24"/>
        </w:rPr>
        <w:t>% de los niños y 10.6 % de las niñas no tuvieron un horario regular de trabajo</w:t>
      </w:r>
      <w:r w:rsidR="001E3935" w:rsidRPr="00C45DD9">
        <w:rPr>
          <w:rFonts w:cs="Arial"/>
          <w:color w:val="000000"/>
          <w:szCs w:val="24"/>
        </w:rPr>
        <w:t xml:space="preserve"> </w:t>
      </w:r>
      <w:r w:rsidR="001E3935" w:rsidRPr="00C45DD9">
        <w:rPr>
          <w:rFonts w:cs="Arial"/>
          <w:szCs w:val="24"/>
        </w:rPr>
        <w:t>(ver cuadro 11)</w:t>
      </w:r>
      <w:r w:rsidRPr="00C45DD9">
        <w:rPr>
          <w:rFonts w:cs="Arial"/>
          <w:color w:val="000000"/>
          <w:szCs w:val="24"/>
        </w:rPr>
        <w:t>.</w:t>
      </w:r>
    </w:p>
    <w:p w14:paraId="77006B88" w14:textId="77777777" w:rsidR="00791592" w:rsidRDefault="00791592" w:rsidP="007E7BB1">
      <w:pPr>
        <w:widowControl/>
        <w:autoSpaceDE w:val="0"/>
        <w:autoSpaceDN w:val="0"/>
        <w:adjustRightInd w:val="0"/>
        <w:rPr>
          <w:rFonts w:cs="Arial"/>
          <w:color w:val="000000"/>
          <w:szCs w:val="24"/>
        </w:rPr>
      </w:pPr>
    </w:p>
    <w:p w14:paraId="49B0BCEF" w14:textId="77777777" w:rsidR="00B84AFA" w:rsidRPr="0032199D" w:rsidRDefault="00B84AFA" w:rsidP="0032199D">
      <w:pPr>
        <w:widowControl/>
        <w:autoSpaceDE w:val="0"/>
        <w:autoSpaceDN w:val="0"/>
        <w:adjustRightInd w:val="0"/>
        <w:jc w:val="center"/>
        <w:rPr>
          <w:rFonts w:cs="Arial"/>
          <w:color w:val="000000"/>
          <w:sz w:val="20"/>
        </w:rPr>
      </w:pPr>
      <w:r w:rsidRPr="0032199D">
        <w:rPr>
          <w:rFonts w:cs="Arial"/>
          <w:color w:val="000000"/>
          <w:sz w:val="20"/>
        </w:rPr>
        <w:t>Cuadro 11</w:t>
      </w:r>
    </w:p>
    <w:p w14:paraId="1C4CFAC9" w14:textId="5EBFA4CE" w:rsidR="00B84AFA" w:rsidRPr="0032199D" w:rsidRDefault="00B84AFA" w:rsidP="0032199D">
      <w:pPr>
        <w:widowControl/>
        <w:autoSpaceDE w:val="0"/>
        <w:autoSpaceDN w:val="0"/>
        <w:adjustRightInd w:val="0"/>
        <w:jc w:val="center"/>
        <w:rPr>
          <w:rFonts w:cs="Arial"/>
          <w:b/>
          <w:bCs/>
          <w:smallCaps/>
          <w:color w:val="000000" w:themeColor="text1"/>
          <w:sz w:val="22"/>
          <w:szCs w:val="22"/>
        </w:rPr>
      </w:pPr>
      <w:r w:rsidRPr="0032199D">
        <w:rPr>
          <w:rFonts w:cs="Arial"/>
          <w:b/>
          <w:bCs/>
          <w:smallCaps/>
          <w:color w:val="000000"/>
          <w:sz w:val="22"/>
          <w:szCs w:val="22"/>
        </w:rPr>
        <w:t>Personas en alguna o</w:t>
      </w:r>
      <w:r w:rsidRPr="0032199D">
        <w:rPr>
          <w:rFonts w:cs="Arial"/>
          <w:b/>
          <w:bCs/>
          <w:smallCaps/>
          <w:color w:val="000000" w:themeColor="text1"/>
          <w:sz w:val="22"/>
          <w:szCs w:val="22"/>
        </w:rPr>
        <w:t>cupación no permitida por duración de la jornada habitual</w:t>
      </w:r>
      <w:r w:rsidR="004B15C9" w:rsidRPr="0032199D">
        <w:rPr>
          <w:rFonts w:cs="Arial"/>
          <w:b/>
          <w:bCs/>
          <w:smallCaps/>
          <w:color w:val="000000" w:themeColor="text1"/>
          <w:sz w:val="22"/>
          <w:szCs w:val="22"/>
        </w:rPr>
        <w:t>,</w:t>
      </w:r>
      <w:r w:rsidRPr="0032199D">
        <w:rPr>
          <w:rFonts w:cs="Arial"/>
          <w:b/>
          <w:bCs/>
          <w:smallCaps/>
          <w:color w:val="000000" w:themeColor="text1"/>
          <w:sz w:val="22"/>
          <w:szCs w:val="22"/>
        </w:rPr>
        <w:t xml:space="preserve"> según sexo</w:t>
      </w:r>
    </w:p>
    <w:p w14:paraId="503DC251" w14:textId="77777777" w:rsidR="00B84AFA" w:rsidRDefault="00B84AFA" w:rsidP="0032199D">
      <w:pPr>
        <w:widowControl/>
        <w:autoSpaceDE w:val="0"/>
        <w:autoSpaceDN w:val="0"/>
        <w:adjustRightInd w:val="0"/>
        <w:ind w:left="851" w:right="1183"/>
        <w:jc w:val="center"/>
        <w:rPr>
          <w:rFonts w:cs="Arial"/>
          <w:b/>
          <w:bCs/>
          <w:color w:val="000000" w:themeColor="text1"/>
          <w:szCs w:val="24"/>
        </w:rPr>
      </w:pPr>
      <w:r w:rsidRPr="005E25D0">
        <w:rPr>
          <w:rFonts w:cs="Arial"/>
          <w:bCs/>
          <w:sz w:val="18"/>
          <w:szCs w:val="18"/>
        </w:rPr>
        <w:t>(distribución porcentual)</w:t>
      </w:r>
    </w:p>
    <w:tbl>
      <w:tblPr>
        <w:tblW w:w="9780" w:type="dxa"/>
        <w:tblCellMar>
          <w:left w:w="70" w:type="dxa"/>
          <w:right w:w="70" w:type="dxa"/>
        </w:tblCellMar>
        <w:tblLook w:val="04A0" w:firstRow="1" w:lastRow="0" w:firstColumn="1" w:lastColumn="0" w:noHBand="0" w:noVBand="1"/>
      </w:tblPr>
      <w:tblGrid>
        <w:gridCol w:w="220"/>
        <w:gridCol w:w="4760"/>
        <w:gridCol w:w="1600"/>
        <w:gridCol w:w="1600"/>
        <w:gridCol w:w="1600"/>
      </w:tblGrid>
      <w:tr w:rsidR="00B84AFA" w:rsidRPr="005B2675" w14:paraId="75D1D11A" w14:textId="77777777" w:rsidTr="00562DA7">
        <w:trPr>
          <w:trHeight w:val="315"/>
        </w:trPr>
        <w:tc>
          <w:tcPr>
            <w:tcW w:w="4980" w:type="dxa"/>
            <w:gridSpan w:val="2"/>
            <w:tcBorders>
              <w:top w:val="nil"/>
              <w:left w:val="nil"/>
              <w:bottom w:val="nil"/>
              <w:right w:val="nil"/>
            </w:tcBorders>
            <w:shd w:val="clear" w:color="auto" w:fill="338B99"/>
            <w:vAlign w:val="center"/>
            <w:hideMark/>
          </w:tcPr>
          <w:p w14:paraId="6C547A56" w14:textId="77777777" w:rsidR="00B84AFA" w:rsidRPr="005B2675" w:rsidRDefault="00B84AFA" w:rsidP="00562DA7">
            <w:pPr>
              <w:widowControl/>
              <w:jc w:val="left"/>
              <w:rPr>
                <w:rFonts w:cs="Arial"/>
                <w:b/>
                <w:bCs/>
                <w:color w:val="FFFFFF"/>
                <w:sz w:val="20"/>
                <w:lang w:eastAsia="es-MX"/>
              </w:rPr>
            </w:pPr>
            <w:r w:rsidRPr="005B2675">
              <w:rPr>
                <w:rFonts w:cs="Arial"/>
                <w:b/>
                <w:bCs/>
                <w:color w:val="FFFFFF" w:themeColor="background1"/>
                <w:sz w:val="20"/>
                <w:lang w:eastAsia="es-MX"/>
              </w:rPr>
              <w:t>Duración de la jornada habitual</w:t>
            </w:r>
          </w:p>
        </w:tc>
        <w:tc>
          <w:tcPr>
            <w:tcW w:w="1600" w:type="dxa"/>
            <w:tcBorders>
              <w:top w:val="nil"/>
              <w:left w:val="nil"/>
              <w:bottom w:val="nil"/>
              <w:right w:val="nil"/>
            </w:tcBorders>
            <w:shd w:val="clear" w:color="auto" w:fill="338B99"/>
            <w:vAlign w:val="center"/>
            <w:hideMark/>
          </w:tcPr>
          <w:p w14:paraId="7FE61812" w14:textId="77777777" w:rsidR="00B84AFA" w:rsidRPr="005B2675" w:rsidRDefault="00B84AFA" w:rsidP="00562DA7">
            <w:pPr>
              <w:widowControl/>
              <w:jc w:val="center"/>
              <w:rPr>
                <w:rFonts w:cs="Arial"/>
                <w:b/>
                <w:bCs/>
                <w:color w:val="FFFFFF"/>
                <w:sz w:val="20"/>
                <w:lang w:eastAsia="es-MX"/>
              </w:rPr>
            </w:pPr>
            <w:r w:rsidRPr="005B2675">
              <w:rPr>
                <w:rFonts w:cs="Arial"/>
                <w:b/>
                <w:bCs/>
                <w:color w:val="FFFFFF"/>
                <w:sz w:val="20"/>
                <w:lang w:eastAsia="es-MX"/>
              </w:rPr>
              <w:t>Total</w:t>
            </w:r>
          </w:p>
        </w:tc>
        <w:tc>
          <w:tcPr>
            <w:tcW w:w="1600" w:type="dxa"/>
            <w:tcBorders>
              <w:top w:val="nil"/>
              <w:left w:val="nil"/>
              <w:bottom w:val="nil"/>
              <w:right w:val="nil"/>
            </w:tcBorders>
            <w:shd w:val="clear" w:color="auto" w:fill="338B99"/>
            <w:vAlign w:val="center"/>
            <w:hideMark/>
          </w:tcPr>
          <w:p w14:paraId="39365ADB" w14:textId="77777777" w:rsidR="00B84AFA" w:rsidRPr="005B2675" w:rsidRDefault="00B84AFA" w:rsidP="00562DA7">
            <w:pPr>
              <w:widowControl/>
              <w:jc w:val="center"/>
              <w:rPr>
                <w:rFonts w:cs="Arial"/>
                <w:b/>
                <w:bCs/>
                <w:color w:val="FFFFFF"/>
                <w:sz w:val="20"/>
                <w:lang w:eastAsia="es-MX"/>
              </w:rPr>
            </w:pPr>
            <w:r w:rsidRPr="005B2675">
              <w:rPr>
                <w:rFonts w:cs="Arial"/>
                <w:b/>
                <w:bCs/>
                <w:color w:val="FFFFFF"/>
                <w:sz w:val="20"/>
                <w:lang w:eastAsia="es-MX"/>
              </w:rPr>
              <w:t>Niños</w:t>
            </w:r>
          </w:p>
        </w:tc>
        <w:tc>
          <w:tcPr>
            <w:tcW w:w="1600" w:type="dxa"/>
            <w:tcBorders>
              <w:top w:val="nil"/>
              <w:left w:val="nil"/>
              <w:bottom w:val="nil"/>
              <w:right w:val="nil"/>
            </w:tcBorders>
            <w:shd w:val="clear" w:color="auto" w:fill="338B99"/>
            <w:vAlign w:val="center"/>
            <w:hideMark/>
          </w:tcPr>
          <w:p w14:paraId="7548682F" w14:textId="77777777" w:rsidR="00B84AFA" w:rsidRPr="005B2675" w:rsidRDefault="00B84AFA" w:rsidP="00562DA7">
            <w:pPr>
              <w:widowControl/>
              <w:jc w:val="center"/>
              <w:rPr>
                <w:rFonts w:cs="Arial"/>
                <w:b/>
                <w:bCs/>
                <w:color w:val="FFFFFF"/>
                <w:sz w:val="20"/>
                <w:lang w:eastAsia="es-MX"/>
              </w:rPr>
            </w:pPr>
            <w:r w:rsidRPr="005B2675">
              <w:rPr>
                <w:rFonts w:cs="Arial"/>
                <w:b/>
                <w:bCs/>
                <w:color w:val="FFFFFF"/>
                <w:sz w:val="20"/>
                <w:lang w:eastAsia="es-MX"/>
              </w:rPr>
              <w:t>Niñas</w:t>
            </w:r>
          </w:p>
        </w:tc>
      </w:tr>
      <w:tr w:rsidR="00B84AFA" w:rsidRPr="005B2675" w14:paraId="05FF1C65" w14:textId="77777777" w:rsidTr="00562DA7">
        <w:trPr>
          <w:trHeight w:val="300"/>
        </w:trPr>
        <w:tc>
          <w:tcPr>
            <w:tcW w:w="4980" w:type="dxa"/>
            <w:gridSpan w:val="2"/>
            <w:tcBorders>
              <w:top w:val="nil"/>
              <w:left w:val="nil"/>
              <w:bottom w:val="nil"/>
              <w:right w:val="nil"/>
            </w:tcBorders>
            <w:shd w:val="clear" w:color="auto" w:fill="66A8B3"/>
            <w:vAlign w:val="center"/>
            <w:hideMark/>
          </w:tcPr>
          <w:p w14:paraId="0D4FC05E" w14:textId="77777777" w:rsidR="00B84AFA" w:rsidRPr="005B2675" w:rsidRDefault="00B84AFA" w:rsidP="00562DA7">
            <w:pPr>
              <w:widowControl/>
              <w:jc w:val="left"/>
              <w:rPr>
                <w:rFonts w:cs="Arial"/>
                <w:b/>
                <w:bCs/>
                <w:color w:val="000000"/>
                <w:sz w:val="20"/>
                <w:lang w:eastAsia="es-MX"/>
              </w:rPr>
            </w:pPr>
            <w:r w:rsidRPr="005B2675">
              <w:rPr>
                <w:rFonts w:cs="Arial"/>
                <w:b/>
                <w:bCs/>
                <w:color w:val="000000"/>
                <w:sz w:val="20"/>
                <w:lang w:eastAsia="es-MX"/>
              </w:rPr>
              <w:t>Ocupación no permitida</w:t>
            </w:r>
          </w:p>
        </w:tc>
        <w:tc>
          <w:tcPr>
            <w:tcW w:w="1600" w:type="dxa"/>
            <w:tcBorders>
              <w:top w:val="nil"/>
              <w:left w:val="nil"/>
              <w:bottom w:val="nil"/>
              <w:right w:val="nil"/>
            </w:tcBorders>
            <w:shd w:val="clear" w:color="auto" w:fill="66A8B3"/>
            <w:vAlign w:val="center"/>
            <w:hideMark/>
          </w:tcPr>
          <w:p w14:paraId="47939B9B" w14:textId="77777777" w:rsidR="00B84AFA" w:rsidRPr="005B2675" w:rsidRDefault="00B84AFA" w:rsidP="00562DA7">
            <w:pPr>
              <w:widowControl/>
              <w:jc w:val="center"/>
              <w:rPr>
                <w:rFonts w:cs="Arial"/>
                <w:b/>
                <w:bCs/>
                <w:color w:val="000000"/>
                <w:sz w:val="20"/>
                <w:lang w:eastAsia="es-MX"/>
              </w:rPr>
            </w:pPr>
            <w:r w:rsidRPr="005B2675">
              <w:rPr>
                <w:rFonts w:cs="Arial"/>
                <w:b/>
                <w:bCs/>
                <w:sz w:val="20"/>
                <w:lang w:eastAsia="es-MX"/>
              </w:rPr>
              <w:t>100.0</w:t>
            </w:r>
          </w:p>
        </w:tc>
        <w:tc>
          <w:tcPr>
            <w:tcW w:w="1600" w:type="dxa"/>
            <w:tcBorders>
              <w:top w:val="nil"/>
              <w:left w:val="nil"/>
              <w:bottom w:val="nil"/>
              <w:right w:val="nil"/>
            </w:tcBorders>
            <w:shd w:val="clear" w:color="auto" w:fill="66A8B3"/>
            <w:vAlign w:val="center"/>
            <w:hideMark/>
          </w:tcPr>
          <w:p w14:paraId="04C571C3" w14:textId="77777777" w:rsidR="00B84AFA" w:rsidRPr="005B2675" w:rsidRDefault="00B84AFA" w:rsidP="00562DA7">
            <w:pPr>
              <w:widowControl/>
              <w:jc w:val="center"/>
              <w:rPr>
                <w:rFonts w:cs="Arial"/>
                <w:b/>
                <w:bCs/>
                <w:color w:val="000000"/>
                <w:sz w:val="20"/>
                <w:lang w:eastAsia="es-MX"/>
              </w:rPr>
            </w:pPr>
            <w:r w:rsidRPr="005B2675">
              <w:rPr>
                <w:rFonts w:cs="Arial"/>
                <w:b/>
                <w:bCs/>
                <w:sz w:val="20"/>
                <w:lang w:eastAsia="es-MX"/>
              </w:rPr>
              <w:t>100.0</w:t>
            </w:r>
          </w:p>
        </w:tc>
        <w:tc>
          <w:tcPr>
            <w:tcW w:w="1600" w:type="dxa"/>
            <w:tcBorders>
              <w:top w:val="nil"/>
              <w:left w:val="nil"/>
              <w:bottom w:val="nil"/>
              <w:right w:val="nil"/>
            </w:tcBorders>
            <w:shd w:val="clear" w:color="auto" w:fill="66A8B3"/>
            <w:vAlign w:val="center"/>
            <w:hideMark/>
          </w:tcPr>
          <w:p w14:paraId="25AA0143" w14:textId="77777777" w:rsidR="00B84AFA" w:rsidRPr="005B2675" w:rsidRDefault="00B84AFA" w:rsidP="00562DA7">
            <w:pPr>
              <w:widowControl/>
              <w:jc w:val="center"/>
              <w:rPr>
                <w:rFonts w:cs="Arial"/>
                <w:b/>
                <w:bCs/>
                <w:color w:val="000000"/>
                <w:sz w:val="20"/>
                <w:lang w:eastAsia="es-MX"/>
              </w:rPr>
            </w:pPr>
            <w:r w:rsidRPr="005B2675">
              <w:rPr>
                <w:rFonts w:cs="Arial"/>
                <w:b/>
                <w:bCs/>
                <w:sz w:val="20"/>
                <w:lang w:eastAsia="es-MX"/>
              </w:rPr>
              <w:t>100.0</w:t>
            </w:r>
          </w:p>
        </w:tc>
      </w:tr>
      <w:tr w:rsidR="00B84AFA" w:rsidRPr="005B2675" w14:paraId="1ACF39E7" w14:textId="77777777" w:rsidTr="00562DA7">
        <w:trPr>
          <w:trHeight w:val="300"/>
        </w:trPr>
        <w:tc>
          <w:tcPr>
            <w:tcW w:w="220" w:type="dxa"/>
            <w:tcBorders>
              <w:top w:val="nil"/>
              <w:left w:val="nil"/>
              <w:bottom w:val="nil"/>
              <w:right w:val="nil"/>
            </w:tcBorders>
            <w:shd w:val="clear" w:color="auto" w:fill="CCE2E6"/>
            <w:noWrap/>
            <w:vAlign w:val="bottom"/>
            <w:hideMark/>
          </w:tcPr>
          <w:p w14:paraId="26F0F2E2" w14:textId="77777777" w:rsidR="00B84AFA" w:rsidRPr="005B2675" w:rsidRDefault="00B84AFA" w:rsidP="00562DA7">
            <w:pPr>
              <w:widowControl/>
              <w:jc w:val="left"/>
              <w:rPr>
                <w:rFonts w:ascii="Times New Roman" w:hAnsi="Times New Roman"/>
                <w:color w:val="000000"/>
                <w:sz w:val="20"/>
                <w:lang w:eastAsia="es-MX"/>
              </w:rPr>
            </w:pPr>
            <w:r w:rsidRPr="005B2675">
              <w:rPr>
                <w:rFonts w:ascii="Times New Roman" w:hAnsi="Times New Roman"/>
                <w:color w:val="000000"/>
                <w:sz w:val="20"/>
                <w:lang w:eastAsia="es-MX"/>
              </w:rPr>
              <w:t> </w:t>
            </w:r>
          </w:p>
        </w:tc>
        <w:tc>
          <w:tcPr>
            <w:tcW w:w="4760" w:type="dxa"/>
            <w:tcBorders>
              <w:top w:val="nil"/>
              <w:left w:val="nil"/>
              <w:bottom w:val="nil"/>
              <w:right w:val="nil"/>
            </w:tcBorders>
            <w:shd w:val="clear" w:color="auto" w:fill="CCE2E6"/>
            <w:vAlign w:val="center"/>
            <w:hideMark/>
          </w:tcPr>
          <w:p w14:paraId="04A297AE" w14:textId="77777777" w:rsidR="00B84AFA" w:rsidRPr="005B2675" w:rsidRDefault="00B84AFA" w:rsidP="00562DA7">
            <w:pPr>
              <w:widowControl/>
              <w:jc w:val="left"/>
              <w:rPr>
                <w:rFonts w:cs="Arial"/>
                <w:color w:val="000000"/>
                <w:sz w:val="20"/>
                <w:lang w:eastAsia="es-MX"/>
              </w:rPr>
            </w:pPr>
            <w:r w:rsidRPr="005B2675">
              <w:rPr>
                <w:rFonts w:cs="Arial"/>
                <w:sz w:val="20"/>
                <w:lang w:eastAsia="es-MX"/>
              </w:rPr>
              <w:t>Hasta 14 horas</w:t>
            </w:r>
          </w:p>
        </w:tc>
        <w:tc>
          <w:tcPr>
            <w:tcW w:w="1600" w:type="dxa"/>
            <w:tcBorders>
              <w:top w:val="nil"/>
              <w:left w:val="nil"/>
              <w:bottom w:val="nil"/>
              <w:right w:val="nil"/>
            </w:tcBorders>
            <w:shd w:val="clear" w:color="auto" w:fill="CCE2E6"/>
            <w:vAlign w:val="center"/>
            <w:hideMark/>
          </w:tcPr>
          <w:p w14:paraId="6CA19DF0" w14:textId="77777777" w:rsidR="00B84AFA" w:rsidRPr="005B2675" w:rsidRDefault="00B84AFA" w:rsidP="00562DA7">
            <w:pPr>
              <w:widowControl/>
              <w:jc w:val="center"/>
              <w:rPr>
                <w:rFonts w:cs="Arial"/>
                <w:color w:val="000000"/>
                <w:sz w:val="20"/>
                <w:lang w:eastAsia="es-MX"/>
              </w:rPr>
            </w:pPr>
            <w:r w:rsidRPr="005B2675">
              <w:rPr>
                <w:rFonts w:cs="Arial"/>
                <w:sz w:val="20"/>
                <w:lang w:eastAsia="es-MX"/>
              </w:rPr>
              <w:t>33.5</w:t>
            </w:r>
          </w:p>
        </w:tc>
        <w:tc>
          <w:tcPr>
            <w:tcW w:w="1600" w:type="dxa"/>
            <w:tcBorders>
              <w:top w:val="nil"/>
              <w:left w:val="nil"/>
              <w:bottom w:val="nil"/>
              <w:right w:val="nil"/>
            </w:tcBorders>
            <w:shd w:val="clear" w:color="auto" w:fill="CCE2E6"/>
            <w:vAlign w:val="center"/>
            <w:hideMark/>
          </w:tcPr>
          <w:p w14:paraId="0F34F514" w14:textId="77777777" w:rsidR="00B84AFA" w:rsidRPr="005B2675" w:rsidRDefault="00B84AFA" w:rsidP="00562DA7">
            <w:pPr>
              <w:widowControl/>
              <w:jc w:val="center"/>
              <w:rPr>
                <w:rFonts w:cs="Arial"/>
                <w:color w:val="000000"/>
                <w:sz w:val="20"/>
                <w:lang w:eastAsia="es-MX"/>
              </w:rPr>
            </w:pPr>
            <w:r w:rsidRPr="005B2675">
              <w:rPr>
                <w:rFonts w:cs="Arial"/>
                <w:sz w:val="20"/>
                <w:lang w:eastAsia="es-MX"/>
              </w:rPr>
              <w:t>30.7</w:t>
            </w:r>
          </w:p>
        </w:tc>
        <w:tc>
          <w:tcPr>
            <w:tcW w:w="1600" w:type="dxa"/>
            <w:tcBorders>
              <w:top w:val="nil"/>
              <w:left w:val="nil"/>
              <w:bottom w:val="nil"/>
              <w:right w:val="nil"/>
            </w:tcBorders>
            <w:shd w:val="clear" w:color="auto" w:fill="CCE2E6"/>
            <w:vAlign w:val="center"/>
            <w:hideMark/>
          </w:tcPr>
          <w:p w14:paraId="7DAAC186" w14:textId="77777777" w:rsidR="00B84AFA" w:rsidRPr="005B2675" w:rsidRDefault="00B84AFA" w:rsidP="00562DA7">
            <w:pPr>
              <w:widowControl/>
              <w:jc w:val="center"/>
              <w:rPr>
                <w:rFonts w:cs="Arial"/>
                <w:color w:val="000000"/>
                <w:sz w:val="20"/>
                <w:lang w:eastAsia="es-MX"/>
              </w:rPr>
            </w:pPr>
            <w:r w:rsidRPr="005B2675">
              <w:rPr>
                <w:rFonts w:cs="Arial"/>
                <w:sz w:val="20"/>
                <w:lang w:eastAsia="es-MX"/>
              </w:rPr>
              <w:t>40.7</w:t>
            </w:r>
          </w:p>
        </w:tc>
      </w:tr>
      <w:tr w:rsidR="00B84AFA" w:rsidRPr="005B2675" w14:paraId="27795DA8" w14:textId="77777777" w:rsidTr="00562DA7">
        <w:trPr>
          <w:trHeight w:val="300"/>
        </w:trPr>
        <w:tc>
          <w:tcPr>
            <w:tcW w:w="220" w:type="dxa"/>
            <w:tcBorders>
              <w:top w:val="nil"/>
              <w:left w:val="nil"/>
              <w:bottom w:val="nil"/>
              <w:right w:val="nil"/>
            </w:tcBorders>
            <w:shd w:val="clear" w:color="auto" w:fill="CCE2E6"/>
            <w:noWrap/>
            <w:vAlign w:val="bottom"/>
            <w:hideMark/>
          </w:tcPr>
          <w:p w14:paraId="1AED0F17" w14:textId="77777777" w:rsidR="00B84AFA" w:rsidRPr="005B2675" w:rsidRDefault="00B84AFA" w:rsidP="00562DA7">
            <w:pPr>
              <w:widowControl/>
              <w:jc w:val="left"/>
              <w:rPr>
                <w:rFonts w:ascii="Times New Roman" w:hAnsi="Times New Roman"/>
                <w:color w:val="000000"/>
                <w:sz w:val="20"/>
                <w:lang w:eastAsia="es-MX"/>
              </w:rPr>
            </w:pPr>
            <w:r w:rsidRPr="005B2675">
              <w:rPr>
                <w:rFonts w:ascii="Times New Roman" w:hAnsi="Times New Roman"/>
                <w:color w:val="000000"/>
                <w:sz w:val="20"/>
                <w:lang w:eastAsia="es-MX"/>
              </w:rPr>
              <w:t> </w:t>
            </w:r>
          </w:p>
        </w:tc>
        <w:tc>
          <w:tcPr>
            <w:tcW w:w="4760" w:type="dxa"/>
            <w:tcBorders>
              <w:top w:val="nil"/>
              <w:left w:val="nil"/>
              <w:bottom w:val="nil"/>
              <w:right w:val="nil"/>
            </w:tcBorders>
            <w:shd w:val="clear" w:color="auto" w:fill="CCE2E6"/>
            <w:vAlign w:val="center"/>
            <w:hideMark/>
          </w:tcPr>
          <w:p w14:paraId="1368935D" w14:textId="77777777" w:rsidR="00B84AFA" w:rsidRPr="005B2675" w:rsidRDefault="00B84AFA" w:rsidP="00562DA7">
            <w:pPr>
              <w:widowControl/>
              <w:jc w:val="left"/>
              <w:rPr>
                <w:rFonts w:cs="Arial"/>
                <w:color w:val="000000"/>
                <w:sz w:val="20"/>
                <w:lang w:eastAsia="es-MX"/>
              </w:rPr>
            </w:pPr>
            <w:r w:rsidRPr="005B2675">
              <w:rPr>
                <w:rFonts w:cs="Arial"/>
                <w:sz w:val="20"/>
                <w:lang w:eastAsia="es-MX"/>
              </w:rPr>
              <w:t>Más de 14 a 28 horas</w:t>
            </w:r>
          </w:p>
        </w:tc>
        <w:tc>
          <w:tcPr>
            <w:tcW w:w="1600" w:type="dxa"/>
            <w:tcBorders>
              <w:top w:val="nil"/>
              <w:left w:val="nil"/>
              <w:bottom w:val="nil"/>
              <w:right w:val="nil"/>
            </w:tcBorders>
            <w:shd w:val="clear" w:color="auto" w:fill="CCE2E6"/>
            <w:vAlign w:val="center"/>
            <w:hideMark/>
          </w:tcPr>
          <w:p w14:paraId="2DEA1E7E" w14:textId="77777777" w:rsidR="00B84AFA" w:rsidRPr="005B2675" w:rsidRDefault="00B84AFA" w:rsidP="00562DA7">
            <w:pPr>
              <w:widowControl/>
              <w:jc w:val="center"/>
              <w:rPr>
                <w:rFonts w:cs="Arial"/>
                <w:color w:val="000000"/>
                <w:sz w:val="20"/>
                <w:lang w:eastAsia="es-MX"/>
              </w:rPr>
            </w:pPr>
            <w:r w:rsidRPr="005B2675">
              <w:rPr>
                <w:rFonts w:cs="Arial"/>
                <w:sz w:val="20"/>
                <w:lang w:eastAsia="es-MX"/>
              </w:rPr>
              <w:t>18.1</w:t>
            </w:r>
          </w:p>
        </w:tc>
        <w:tc>
          <w:tcPr>
            <w:tcW w:w="1600" w:type="dxa"/>
            <w:tcBorders>
              <w:top w:val="nil"/>
              <w:left w:val="nil"/>
              <w:bottom w:val="nil"/>
              <w:right w:val="nil"/>
            </w:tcBorders>
            <w:shd w:val="clear" w:color="auto" w:fill="CCE2E6"/>
            <w:vAlign w:val="center"/>
            <w:hideMark/>
          </w:tcPr>
          <w:p w14:paraId="09A09B19" w14:textId="77777777" w:rsidR="00B84AFA" w:rsidRPr="005B2675" w:rsidRDefault="00B84AFA" w:rsidP="00562DA7">
            <w:pPr>
              <w:widowControl/>
              <w:jc w:val="center"/>
              <w:rPr>
                <w:rFonts w:cs="Arial"/>
                <w:color w:val="000000"/>
                <w:sz w:val="20"/>
                <w:lang w:eastAsia="es-MX"/>
              </w:rPr>
            </w:pPr>
            <w:r w:rsidRPr="005B2675">
              <w:rPr>
                <w:rFonts w:cs="Arial"/>
                <w:sz w:val="20"/>
                <w:lang w:eastAsia="es-MX"/>
              </w:rPr>
              <w:t>17.7</w:t>
            </w:r>
          </w:p>
        </w:tc>
        <w:tc>
          <w:tcPr>
            <w:tcW w:w="1600" w:type="dxa"/>
            <w:tcBorders>
              <w:top w:val="nil"/>
              <w:left w:val="nil"/>
              <w:bottom w:val="nil"/>
              <w:right w:val="nil"/>
            </w:tcBorders>
            <w:shd w:val="clear" w:color="auto" w:fill="CCE2E6"/>
            <w:vAlign w:val="center"/>
            <w:hideMark/>
          </w:tcPr>
          <w:p w14:paraId="716AC0F5" w14:textId="77777777" w:rsidR="00B84AFA" w:rsidRPr="005B2675" w:rsidRDefault="00B84AFA" w:rsidP="00562DA7">
            <w:pPr>
              <w:widowControl/>
              <w:jc w:val="center"/>
              <w:rPr>
                <w:rFonts w:cs="Arial"/>
                <w:color w:val="000000"/>
                <w:sz w:val="20"/>
                <w:lang w:eastAsia="es-MX"/>
              </w:rPr>
            </w:pPr>
            <w:r w:rsidRPr="005B2675">
              <w:rPr>
                <w:rFonts w:cs="Arial"/>
                <w:sz w:val="20"/>
                <w:lang w:eastAsia="es-MX"/>
              </w:rPr>
              <w:t>19.0</w:t>
            </w:r>
          </w:p>
        </w:tc>
      </w:tr>
      <w:tr w:rsidR="00B84AFA" w:rsidRPr="005B2675" w14:paraId="06D4EDF9" w14:textId="77777777" w:rsidTr="00562DA7">
        <w:trPr>
          <w:trHeight w:val="300"/>
        </w:trPr>
        <w:tc>
          <w:tcPr>
            <w:tcW w:w="220" w:type="dxa"/>
            <w:tcBorders>
              <w:top w:val="nil"/>
              <w:left w:val="nil"/>
              <w:bottom w:val="nil"/>
              <w:right w:val="nil"/>
            </w:tcBorders>
            <w:shd w:val="clear" w:color="auto" w:fill="CCE2E6"/>
            <w:noWrap/>
            <w:vAlign w:val="bottom"/>
            <w:hideMark/>
          </w:tcPr>
          <w:p w14:paraId="760ACA2C" w14:textId="77777777" w:rsidR="00B84AFA" w:rsidRPr="005B2675" w:rsidRDefault="00B84AFA" w:rsidP="00562DA7">
            <w:pPr>
              <w:widowControl/>
              <w:jc w:val="left"/>
              <w:rPr>
                <w:rFonts w:ascii="Times New Roman" w:hAnsi="Times New Roman"/>
                <w:color w:val="000000"/>
                <w:sz w:val="20"/>
                <w:lang w:eastAsia="es-MX"/>
              </w:rPr>
            </w:pPr>
            <w:r w:rsidRPr="005B2675">
              <w:rPr>
                <w:rFonts w:ascii="Times New Roman" w:hAnsi="Times New Roman"/>
                <w:color w:val="000000"/>
                <w:sz w:val="20"/>
                <w:lang w:eastAsia="es-MX"/>
              </w:rPr>
              <w:t> </w:t>
            </w:r>
          </w:p>
        </w:tc>
        <w:tc>
          <w:tcPr>
            <w:tcW w:w="4760" w:type="dxa"/>
            <w:tcBorders>
              <w:top w:val="nil"/>
              <w:left w:val="nil"/>
              <w:bottom w:val="nil"/>
              <w:right w:val="nil"/>
            </w:tcBorders>
            <w:shd w:val="clear" w:color="auto" w:fill="CCE2E6"/>
            <w:vAlign w:val="center"/>
            <w:hideMark/>
          </w:tcPr>
          <w:p w14:paraId="16FAF984" w14:textId="77777777" w:rsidR="00B84AFA" w:rsidRPr="005B2675" w:rsidRDefault="00B84AFA" w:rsidP="00562DA7">
            <w:pPr>
              <w:widowControl/>
              <w:jc w:val="left"/>
              <w:rPr>
                <w:rFonts w:cs="Arial"/>
                <w:color w:val="000000"/>
                <w:sz w:val="20"/>
                <w:lang w:eastAsia="es-MX"/>
              </w:rPr>
            </w:pPr>
            <w:r w:rsidRPr="005B2675">
              <w:rPr>
                <w:rFonts w:cs="Arial"/>
                <w:sz w:val="20"/>
                <w:lang w:eastAsia="es-MX"/>
              </w:rPr>
              <w:t>Más de 28 a 36 horas</w:t>
            </w:r>
          </w:p>
        </w:tc>
        <w:tc>
          <w:tcPr>
            <w:tcW w:w="1600" w:type="dxa"/>
            <w:tcBorders>
              <w:top w:val="nil"/>
              <w:left w:val="nil"/>
              <w:bottom w:val="nil"/>
              <w:right w:val="nil"/>
            </w:tcBorders>
            <w:shd w:val="clear" w:color="auto" w:fill="CCE2E6"/>
            <w:vAlign w:val="center"/>
            <w:hideMark/>
          </w:tcPr>
          <w:p w14:paraId="3542F66D" w14:textId="77777777" w:rsidR="00B84AFA" w:rsidRPr="005B2675" w:rsidRDefault="00B84AFA" w:rsidP="00562DA7">
            <w:pPr>
              <w:widowControl/>
              <w:jc w:val="center"/>
              <w:rPr>
                <w:rFonts w:cs="Arial"/>
                <w:color w:val="000000"/>
                <w:sz w:val="20"/>
                <w:lang w:eastAsia="es-MX"/>
              </w:rPr>
            </w:pPr>
            <w:r w:rsidRPr="005B2675">
              <w:rPr>
                <w:rFonts w:cs="Arial"/>
                <w:sz w:val="20"/>
                <w:lang w:eastAsia="es-MX"/>
              </w:rPr>
              <w:t>7.1</w:t>
            </w:r>
          </w:p>
        </w:tc>
        <w:tc>
          <w:tcPr>
            <w:tcW w:w="1600" w:type="dxa"/>
            <w:tcBorders>
              <w:top w:val="nil"/>
              <w:left w:val="nil"/>
              <w:bottom w:val="nil"/>
              <w:right w:val="nil"/>
            </w:tcBorders>
            <w:shd w:val="clear" w:color="auto" w:fill="CCE2E6"/>
            <w:vAlign w:val="center"/>
            <w:hideMark/>
          </w:tcPr>
          <w:p w14:paraId="64F47349" w14:textId="77777777" w:rsidR="00B84AFA" w:rsidRPr="005B2675" w:rsidRDefault="00B84AFA" w:rsidP="00562DA7">
            <w:pPr>
              <w:widowControl/>
              <w:jc w:val="center"/>
              <w:rPr>
                <w:rFonts w:cs="Arial"/>
                <w:color w:val="000000"/>
                <w:sz w:val="20"/>
                <w:lang w:eastAsia="es-MX"/>
              </w:rPr>
            </w:pPr>
            <w:r w:rsidRPr="005B2675">
              <w:rPr>
                <w:rFonts w:cs="Arial"/>
                <w:sz w:val="20"/>
                <w:lang w:eastAsia="es-MX"/>
              </w:rPr>
              <w:t>7.2</w:t>
            </w:r>
          </w:p>
        </w:tc>
        <w:tc>
          <w:tcPr>
            <w:tcW w:w="1600" w:type="dxa"/>
            <w:tcBorders>
              <w:top w:val="nil"/>
              <w:left w:val="nil"/>
              <w:bottom w:val="nil"/>
              <w:right w:val="nil"/>
            </w:tcBorders>
            <w:shd w:val="clear" w:color="auto" w:fill="CCE2E6"/>
            <w:vAlign w:val="center"/>
            <w:hideMark/>
          </w:tcPr>
          <w:p w14:paraId="10F7A07F" w14:textId="77777777" w:rsidR="00B84AFA" w:rsidRPr="005B2675" w:rsidRDefault="00B84AFA" w:rsidP="00562DA7">
            <w:pPr>
              <w:widowControl/>
              <w:jc w:val="center"/>
              <w:rPr>
                <w:rFonts w:cs="Arial"/>
                <w:color w:val="000000"/>
                <w:sz w:val="20"/>
                <w:lang w:eastAsia="es-MX"/>
              </w:rPr>
            </w:pPr>
            <w:r w:rsidRPr="005B2675">
              <w:rPr>
                <w:rFonts w:cs="Arial"/>
                <w:sz w:val="20"/>
                <w:lang w:eastAsia="es-MX"/>
              </w:rPr>
              <w:t>6.6</w:t>
            </w:r>
          </w:p>
        </w:tc>
      </w:tr>
      <w:tr w:rsidR="00B84AFA" w:rsidRPr="005B2675" w14:paraId="4878F06B" w14:textId="77777777" w:rsidTr="00562DA7">
        <w:trPr>
          <w:trHeight w:val="300"/>
        </w:trPr>
        <w:tc>
          <w:tcPr>
            <w:tcW w:w="220" w:type="dxa"/>
            <w:tcBorders>
              <w:top w:val="nil"/>
              <w:left w:val="nil"/>
              <w:bottom w:val="nil"/>
              <w:right w:val="nil"/>
            </w:tcBorders>
            <w:shd w:val="clear" w:color="auto" w:fill="CCE2E6"/>
            <w:noWrap/>
            <w:vAlign w:val="bottom"/>
            <w:hideMark/>
          </w:tcPr>
          <w:p w14:paraId="31BA2806" w14:textId="77777777" w:rsidR="00B84AFA" w:rsidRPr="005B2675" w:rsidRDefault="00B84AFA" w:rsidP="00562DA7">
            <w:pPr>
              <w:widowControl/>
              <w:jc w:val="left"/>
              <w:rPr>
                <w:rFonts w:ascii="Times New Roman" w:hAnsi="Times New Roman"/>
                <w:color w:val="000000"/>
                <w:sz w:val="20"/>
                <w:lang w:eastAsia="es-MX"/>
              </w:rPr>
            </w:pPr>
            <w:r w:rsidRPr="005B2675">
              <w:rPr>
                <w:rFonts w:ascii="Times New Roman" w:hAnsi="Times New Roman" w:cs="Arial"/>
                <w:color w:val="000000"/>
                <w:sz w:val="20"/>
                <w:lang w:eastAsia="es-MX"/>
              </w:rPr>
              <w:t> </w:t>
            </w:r>
          </w:p>
        </w:tc>
        <w:tc>
          <w:tcPr>
            <w:tcW w:w="4760" w:type="dxa"/>
            <w:tcBorders>
              <w:top w:val="nil"/>
              <w:left w:val="nil"/>
              <w:bottom w:val="nil"/>
              <w:right w:val="nil"/>
            </w:tcBorders>
            <w:shd w:val="clear" w:color="auto" w:fill="CCE2E6"/>
            <w:vAlign w:val="center"/>
            <w:hideMark/>
          </w:tcPr>
          <w:p w14:paraId="4D9E3B5B" w14:textId="77777777" w:rsidR="00B84AFA" w:rsidRPr="005B2675" w:rsidRDefault="00B84AFA" w:rsidP="00562DA7">
            <w:pPr>
              <w:widowControl/>
              <w:jc w:val="left"/>
              <w:rPr>
                <w:rFonts w:cs="Arial"/>
                <w:color w:val="000000"/>
                <w:sz w:val="20"/>
                <w:lang w:eastAsia="es-MX"/>
              </w:rPr>
            </w:pPr>
            <w:r w:rsidRPr="005B2675">
              <w:rPr>
                <w:rFonts w:cs="Arial"/>
                <w:sz w:val="20"/>
                <w:lang w:eastAsia="es-MX"/>
              </w:rPr>
              <w:t>Más de 36 a 48 horas</w:t>
            </w:r>
          </w:p>
        </w:tc>
        <w:tc>
          <w:tcPr>
            <w:tcW w:w="1600" w:type="dxa"/>
            <w:tcBorders>
              <w:top w:val="nil"/>
              <w:left w:val="nil"/>
              <w:bottom w:val="nil"/>
              <w:right w:val="nil"/>
            </w:tcBorders>
            <w:shd w:val="clear" w:color="auto" w:fill="CCE2E6"/>
            <w:vAlign w:val="center"/>
            <w:hideMark/>
          </w:tcPr>
          <w:p w14:paraId="4A57EF58" w14:textId="77777777" w:rsidR="00B84AFA" w:rsidRPr="005B2675" w:rsidRDefault="00B84AFA" w:rsidP="00562DA7">
            <w:pPr>
              <w:widowControl/>
              <w:jc w:val="center"/>
              <w:rPr>
                <w:rFonts w:cs="Arial"/>
                <w:color w:val="000000"/>
                <w:sz w:val="20"/>
                <w:lang w:eastAsia="es-MX"/>
              </w:rPr>
            </w:pPr>
            <w:r w:rsidRPr="005B2675">
              <w:rPr>
                <w:rFonts w:cs="Arial"/>
                <w:sz w:val="20"/>
                <w:lang w:eastAsia="es-MX"/>
              </w:rPr>
              <w:t>12.4</w:t>
            </w:r>
          </w:p>
        </w:tc>
        <w:tc>
          <w:tcPr>
            <w:tcW w:w="1600" w:type="dxa"/>
            <w:tcBorders>
              <w:top w:val="nil"/>
              <w:left w:val="nil"/>
              <w:bottom w:val="nil"/>
              <w:right w:val="nil"/>
            </w:tcBorders>
            <w:shd w:val="clear" w:color="auto" w:fill="CCE2E6"/>
            <w:vAlign w:val="center"/>
            <w:hideMark/>
          </w:tcPr>
          <w:p w14:paraId="2A85E247" w14:textId="77777777" w:rsidR="00B84AFA" w:rsidRPr="005B2675" w:rsidRDefault="00B84AFA" w:rsidP="00562DA7">
            <w:pPr>
              <w:widowControl/>
              <w:jc w:val="center"/>
              <w:rPr>
                <w:rFonts w:cs="Arial"/>
                <w:color w:val="000000"/>
                <w:sz w:val="20"/>
                <w:lang w:eastAsia="es-MX"/>
              </w:rPr>
            </w:pPr>
            <w:r w:rsidRPr="005B2675">
              <w:rPr>
                <w:rFonts w:cs="Arial"/>
                <w:sz w:val="20"/>
                <w:lang w:eastAsia="es-MX"/>
              </w:rPr>
              <w:t>13.4</w:t>
            </w:r>
          </w:p>
        </w:tc>
        <w:tc>
          <w:tcPr>
            <w:tcW w:w="1600" w:type="dxa"/>
            <w:tcBorders>
              <w:top w:val="nil"/>
              <w:left w:val="nil"/>
              <w:bottom w:val="nil"/>
              <w:right w:val="nil"/>
            </w:tcBorders>
            <w:shd w:val="clear" w:color="auto" w:fill="CCE2E6"/>
            <w:vAlign w:val="center"/>
            <w:hideMark/>
          </w:tcPr>
          <w:p w14:paraId="6D46996E" w14:textId="77777777" w:rsidR="00B84AFA" w:rsidRPr="005B2675" w:rsidRDefault="00B84AFA" w:rsidP="00562DA7">
            <w:pPr>
              <w:widowControl/>
              <w:jc w:val="center"/>
              <w:rPr>
                <w:rFonts w:cs="Arial"/>
                <w:color w:val="000000"/>
                <w:sz w:val="20"/>
                <w:lang w:eastAsia="es-MX"/>
              </w:rPr>
            </w:pPr>
            <w:r w:rsidRPr="005B2675">
              <w:rPr>
                <w:rFonts w:cs="Arial"/>
                <w:sz w:val="20"/>
                <w:lang w:eastAsia="es-MX"/>
              </w:rPr>
              <w:t>9.9</w:t>
            </w:r>
          </w:p>
        </w:tc>
      </w:tr>
      <w:tr w:rsidR="00B84AFA" w:rsidRPr="005B2675" w14:paraId="788393D8" w14:textId="77777777" w:rsidTr="00562DA7">
        <w:trPr>
          <w:trHeight w:val="300"/>
        </w:trPr>
        <w:tc>
          <w:tcPr>
            <w:tcW w:w="220" w:type="dxa"/>
            <w:tcBorders>
              <w:top w:val="nil"/>
              <w:left w:val="nil"/>
              <w:bottom w:val="nil"/>
              <w:right w:val="nil"/>
            </w:tcBorders>
            <w:shd w:val="clear" w:color="auto" w:fill="CCE2E6"/>
            <w:noWrap/>
            <w:vAlign w:val="bottom"/>
            <w:hideMark/>
          </w:tcPr>
          <w:p w14:paraId="62AC2298" w14:textId="77777777" w:rsidR="00B84AFA" w:rsidRPr="005B2675" w:rsidRDefault="00B84AFA" w:rsidP="00562DA7">
            <w:pPr>
              <w:widowControl/>
              <w:jc w:val="left"/>
              <w:rPr>
                <w:rFonts w:ascii="Times New Roman" w:hAnsi="Times New Roman"/>
                <w:color w:val="000000"/>
                <w:sz w:val="20"/>
                <w:lang w:eastAsia="es-MX"/>
              </w:rPr>
            </w:pPr>
            <w:r w:rsidRPr="005B2675">
              <w:rPr>
                <w:rFonts w:ascii="Times New Roman" w:hAnsi="Times New Roman"/>
                <w:color w:val="000000"/>
                <w:sz w:val="20"/>
                <w:lang w:eastAsia="es-MX"/>
              </w:rPr>
              <w:t> </w:t>
            </w:r>
          </w:p>
        </w:tc>
        <w:tc>
          <w:tcPr>
            <w:tcW w:w="4760" w:type="dxa"/>
            <w:tcBorders>
              <w:top w:val="nil"/>
              <w:left w:val="nil"/>
              <w:bottom w:val="nil"/>
              <w:right w:val="nil"/>
            </w:tcBorders>
            <w:shd w:val="clear" w:color="auto" w:fill="CCE2E6"/>
            <w:vAlign w:val="center"/>
            <w:hideMark/>
          </w:tcPr>
          <w:p w14:paraId="00B80660" w14:textId="77777777" w:rsidR="00B84AFA" w:rsidRPr="005B2675" w:rsidRDefault="00B84AFA" w:rsidP="00562DA7">
            <w:pPr>
              <w:widowControl/>
              <w:jc w:val="left"/>
              <w:rPr>
                <w:rFonts w:cs="Arial"/>
                <w:color w:val="000000"/>
                <w:sz w:val="20"/>
                <w:lang w:eastAsia="es-MX"/>
              </w:rPr>
            </w:pPr>
            <w:r w:rsidRPr="005B2675">
              <w:rPr>
                <w:rFonts w:cs="Arial"/>
                <w:sz w:val="20"/>
                <w:lang w:eastAsia="es-MX"/>
              </w:rPr>
              <w:t>Más horas de 48 horas</w:t>
            </w:r>
          </w:p>
        </w:tc>
        <w:tc>
          <w:tcPr>
            <w:tcW w:w="1600" w:type="dxa"/>
            <w:tcBorders>
              <w:top w:val="nil"/>
              <w:left w:val="nil"/>
              <w:bottom w:val="nil"/>
              <w:right w:val="nil"/>
            </w:tcBorders>
            <w:shd w:val="clear" w:color="auto" w:fill="CCE2E6"/>
            <w:vAlign w:val="center"/>
            <w:hideMark/>
          </w:tcPr>
          <w:p w14:paraId="2ED94C98" w14:textId="77777777" w:rsidR="00B84AFA" w:rsidRPr="005B2675" w:rsidRDefault="00B84AFA" w:rsidP="00562DA7">
            <w:pPr>
              <w:widowControl/>
              <w:jc w:val="center"/>
              <w:rPr>
                <w:rFonts w:cs="Arial"/>
                <w:color w:val="000000"/>
                <w:sz w:val="20"/>
                <w:lang w:eastAsia="es-MX"/>
              </w:rPr>
            </w:pPr>
            <w:r w:rsidRPr="005B2675">
              <w:rPr>
                <w:rFonts w:cs="Arial"/>
                <w:sz w:val="20"/>
                <w:lang w:eastAsia="es-MX"/>
              </w:rPr>
              <w:t>14.7</w:t>
            </w:r>
          </w:p>
        </w:tc>
        <w:tc>
          <w:tcPr>
            <w:tcW w:w="1600" w:type="dxa"/>
            <w:tcBorders>
              <w:top w:val="nil"/>
              <w:left w:val="nil"/>
              <w:bottom w:val="nil"/>
              <w:right w:val="nil"/>
            </w:tcBorders>
            <w:shd w:val="clear" w:color="auto" w:fill="CCE2E6"/>
            <w:vAlign w:val="center"/>
            <w:hideMark/>
          </w:tcPr>
          <w:p w14:paraId="615C3424" w14:textId="77777777" w:rsidR="00B84AFA" w:rsidRPr="005B2675" w:rsidRDefault="00B84AFA" w:rsidP="00562DA7">
            <w:pPr>
              <w:widowControl/>
              <w:jc w:val="center"/>
              <w:rPr>
                <w:rFonts w:cs="Arial"/>
                <w:color w:val="000000"/>
                <w:sz w:val="20"/>
                <w:lang w:eastAsia="es-MX"/>
              </w:rPr>
            </w:pPr>
            <w:r w:rsidRPr="005B2675">
              <w:rPr>
                <w:rFonts w:cs="Arial"/>
                <w:sz w:val="20"/>
                <w:lang w:eastAsia="es-MX"/>
              </w:rPr>
              <w:t>15.5</w:t>
            </w:r>
          </w:p>
        </w:tc>
        <w:tc>
          <w:tcPr>
            <w:tcW w:w="1600" w:type="dxa"/>
            <w:tcBorders>
              <w:top w:val="nil"/>
              <w:left w:val="nil"/>
              <w:bottom w:val="nil"/>
              <w:right w:val="nil"/>
            </w:tcBorders>
            <w:shd w:val="clear" w:color="auto" w:fill="CCE2E6"/>
            <w:vAlign w:val="center"/>
            <w:hideMark/>
          </w:tcPr>
          <w:p w14:paraId="29493504" w14:textId="77777777" w:rsidR="00B84AFA" w:rsidRPr="005B2675" w:rsidRDefault="00B84AFA" w:rsidP="00562DA7">
            <w:pPr>
              <w:widowControl/>
              <w:jc w:val="center"/>
              <w:rPr>
                <w:rFonts w:cs="Arial"/>
                <w:color w:val="000000"/>
                <w:sz w:val="20"/>
                <w:lang w:eastAsia="es-MX"/>
              </w:rPr>
            </w:pPr>
            <w:r w:rsidRPr="005B2675">
              <w:rPr>
                <w:rFonts w:cs="Arial"/>
                <w:sz w:val="20"/>
                <w:lang w:eastAsia="es-MX"/>
              </w:rPr>
              <w:t>12.8</w:t>
            </w:r>
          </w:p>
        </w:tc>
      </w:tr>
      <w:tr w:rsidR="00B84AFA" w:rsidRPr="005B2675" w14:paraId="3DF7B856" w14:textId="77777777" w:rsidTr="00562DA7">
        <w:trPr>
          <w:trHeight w:val="300"/>
        </w:trPr>
        <w:tc>
          <w:tcPr>
            <w:tcW w:w="220" w:type="dxa"/>
            <w:tcBorders>
              <w:top w:val="nil"/>
              <w:left w:val="nil"/>
              <w:right w:val="nil"/>
            </w:tcBorders>
            <w:shd w:val="clear" w:color="auto" w:fill="CCE2E6"/>
            <w:noWrap/>
            <w:vAlign w:val="bottom"/>
            <w:hideMark/>
          </w:tcPr>
          <w:p w14:paraId="6ACBCAEA" w14:textId="77777777" w:rsidR="00B84AFA" w:rsidRPr="005B2675" w:rsidRDefault="00B84AFA" w:rsidP="00562DA7">
            <w:pPr>
              <w:widowControl/>
              <w:jc w:val="left"/>
              <w:rPr>
                <w:rFonts w:ascii="Times New Roman" w:hAnsi="Times New Roman"/>
                <w:color w:val="000000"/>
                <w:sz w:val="20"/>
                <w:lang w:eastAsia="es-MX"/>
              </w:rPr>
            </w:pPr>
            <w:r w:rsidRPr="005B2675">
              <w:rPr>
                <w:rFonts w:ascii="Times New Roman" w:hAnsi="Times New Roman" w:cs="Arial"/>
                <w:color w:val="000000"/>
                <w:sz w:val="20"/>
                <w:lang w:eastAsia="es-MX"/>
              </w:rPr>
              <w:t> </w:t>
            </w:r>
          </w:p>
        </w:tc>
        <w:tc>
          <w:tcPr>
            <w:tcW w:w="4760" w:type="dxa"/>
            <w:tcBorders>
              <w:top w:val="nil"/>
              <w:left w:val="nil"/>
              <w:right w:val="nil"/>
            </w:tcBorders>
            <w:shd w:val="clear" w:color="auto" w:fill="CCE2E6"/>
            <w:vAlign w:val="center"/>
            <w:hideMark/>
          </w:tcPr>
          <w:p w14:paraId="2734602E" w14:textId="77777777" w:rsidR="00B84AFA" w:rsidRPr="005B2675" w:rsidRDefault="00B84AFA" w:rsidP="00562DA7">
            <w:pPr>
              <w:widowControl/>
              <w:jc w:val="left"/>
              <w:rPr>
                <w:rFonts w:cs="Arial"/>
                <w:color w:val="000000"/>
                <w:sz w:val="20"/>
                <w:lang w:eastAsia="es-MX"/>
              </w:rPr>
            </w:pPr>
            <w:r w:rsidRPr="005B2675">
              <w:rPr>
                <w:rFonts w:cs="Arial"/>
                <w:sz w:val="20"/>
                <w:lang w:eastAsia="es-MX"/>
              </w:rPr>
              <w:t>No tiene horario regular de trabajo</w:t>
            </w:r>
          </w:p>
        </w:tc>
        <w:tc>
          <w:tcPr>
            <w:tcW w:w="1600" w:type="dxa"/>
            <w:tcBorders>
              <w:top w:val="nil"/>
              <w:left w:val="nil"/>
              <w:right w:val="nil"/>
            </w:tcBorders>
            <w:shd w:val="clear" w:color="auto" w:fill="CCE2E6"/>
            <w:vAlign w:val="center"/>
            <w:hideMark/>
          </w:tcPr>
          <w:p w14:paraId="1F5A9137" w14:textId="77777777" w:rsidR="00B84AFA" w:rsidRPr="005B2675" w:rsidRDefault="00B84AFA" w:rsidP="00562DA7">
            <w:pPr>
              <w:widowControl/>
              <w:jc w:val="center"/>
              <w:rPr>
                <w:rFonts w:cs="Arial"/>
                <w:color w:val="000000"/>
                <w:sz w:val="20"/>
                <w:lang w:eastAsia="es-MX"/>
              </w:rPr>
            </w:pPr>
            <w:r w:rsidRPr="005B2675">
              <w:rPr>
                <w:rFonts w:cs="Arial"/>
                <w:sz w:val="20"/>
                <w:lang w:eastAsia="es-MX"/>
              </w:rPr>
              <w:t>13.7</w:t>
            </w:r>
          </w:p>
        </w:tc>
        <w:tc>
          <w:tcPr>
            <w:tcW w:w="1600" w:type="dxa"/>
            <w:tcBorders>
              <w:top w:val="nil"/>
              <w:left w:val="nil"/>
              <w:right w:val="nil"/>
            </w:tcBorders>
            <w:shd w:val="clear" w:color="auto" w:fill="CCE2E6"/>
            <w:vAlign w:val="center"/>
            <w:hideMark/>
          </w:tcPr>
          <w:p w14:paraId="7081AFE9" w14:textId="77777777" w:rsidR="00B84AFA" w:rsidRPr="005B2675" w:rsidRDefault="00B84AFA" w:rsidP="00562DA7">
            <w:pPr>
              <w:widowControl/>
              <w:jc w:val="center"/>
              <w:rPr>
                <w:rFonts w:cs="Arial"/>
                <w:color w:val="000000"/>
                <w:sz w:val="20"/>
                <w:lang w:eastAsia="es-MX"/>
              </w:rPr>
            </w:pPr>
            <w:r w:rsidRPr="005B2675">
              <w:rPr>
                <w:rFonts w:cs="Arial"/>
                <w:sz w:val="20"/>
                <w:lang w:eastAsia="es-MX"/>
              </w:rPr>
              <w:t>14.9</w:t>
            </w:r>
          </w:p>
        </w:tc>
        <w:tc>
          <w:tcPr>
            <w:tcW w:w="1600" w:type="dxa"/>
            <w:tcBorders>
              <w:top w:val="nil"/>
              <w:left w:val="nil"/>
              <w:right w:val="nil"/>
            </w:tcBorders>
            <w:shd w:val="clear" w:color="auto" w:fill="CCE2E6"/>
            <w:vAlign w:val="center"/>
            <w:hideMark/>
          </w:tcPr>
          <w:p w14:paraId="3A46820B" w14:textId="77777777" w:rsidR="00B84AFA" w:rsidRPr="005B2675" w:rsidRDefault="00B84AFA" w:rsidP="00562DA7">
            <w:pPr>
              <w:widowControl/>
              <w:jc w:val="center"/>
              <w:rPr>
                <w:rFonts w:cs="Arial"/>
                <w:color w:val="000000"/>
                <w:sz w:val="20"/>
                <w:lang w:eastAsia="es-MX"/>
              </w:rPr>
            </w:pPr>
            <w:r w:rsidRPr="005B2675">
              <w:rPr>
                <w:rFonts w:cs="Arial"/>
                <w:sz w:val="20"/>
                <w:lang w:eastAsia="es-MX"/>
              </w:rPr>
              <w:t>10.6</w:t>
            </w:r>
          </w:p>
        </w:tc>
      </w:tr>
      <w:tr w:rsidR="00B84AFA" w:rsidRPr="005B2675" w14:paraId="76910B0D" w14:textId="77777777" w:rsidTr="00562DA7">
        <w:trPr>
          <w:trHeight w:val="300"/>
        </w:trPr>
        <w:tc>
          <w:tcPr>
            <w:tcW w:w="220" w:type="dxa"/>
            <w:tcBorders>
              <w:top w:val="nil"/>
              <w:left w:val="nil"/>
              <w:right w:val="nil"/>
            </w:tcBorders>
            <w:shd w:val="clear" w:color="auto" w:fill="CCE2E6"/>
            <w:vAlign w:val="center"/>
            <w:hideMark/>
          </w:tcPr>
          <w:p w14:paraId="63679B00" w14:textId="77777777" w:rsidR="00B84AFA" w:rsidRPr="005B2675" w:rsidRDefault="00B84AFA" w:rsidP="00562DA7">
            <w:pPr>
              <w:widowControl/>
              <w:jc w:val="left"/>
              <w:rPr>
                <w:rFonts w:ascii="Times New Roman" w:hAnsi="Times New Roman"/>
                <w:color w:val="000000"/>
                <w:sz w:val="20"/>
                <w:lang w:eastAsia="es-MX"/>
              </w:rPr>
            </w:pPr>
            <w:r w:rsidRPr="005B2675">
              <w:rPr>
                <w:rFonts w:ascii="Times New Roman" w:hAnsi="Times New Roman" w:cs="Arial"/>
                <w:color w:val="000000"/>
                <w:sz w:val="20"/>
                <w:lang w:eastAsia="es-MX"/>
              </w:rPr>
              <w:t> </w:t>
            </w:r>
          </w:p>
        </w:tc>
        <w:tc>
          <w:tcPr>
            <w:tcW w:w="4760" w:type="dxa"/>
            <w:tcBorders>
              <w:top w:val="nil"/>
              <w:left w:val="nil"/>
              <w:right w:val="nil"/>
            </w:tcBorders>
            <w:shd w:val="clear" w:color="auto" w:fill="CCE2E6"/>
            <w:vAlign w:val="center"/>
            <w:hideMark/>
          </w:tcPr>
          <w:p w14:paraId="18B22E16" w14:textId="77777777" w:rsidR="00B84AFA" w:rsidRPr="005B2675" w:rsidRDefault="00B84AFA" w:rsidP="00562DA7">
            <w:pPr>
              <w:widowControl/>
              <w:jc w:val="left"/>
              <w:rPr>
                <w:rFonts w:cs="Arial"/>
                <w:color w:val="000000"/>
                <w:sz w:val="20"/>
                <w:lang w:eastAsia="es-MX"/>
              </w:rPr>
            </w:pPr>
            <w:r w:rsidRPr="005B2675">
              <w:rPr>
                <w:rFonts w:cs="Arial"/>
                <w:sz w:val="20"/>
                <w:lang w:eastAsia="es-MX"/>
              </w:rPr>
              <w:t>No especificado</w:t>
            </w:r>
          </w:p>
        </w:tc>
        <w:tc>
          <w:tcPr>
            <w:tcW w:w="1600" w:type="dxa"/>
            <w:tcBorders>
              <w:top w:val="nil"/>
              <w:left w:val="nil"/>
              <w:right w:val="nil"/>
            </w:tcBorders>
            <w:shd w:val="clear" w:color="auto" w:fill="CCE2E6"/>
            <w:vAlign w:val="center"/>
            <w:hideMark/>
          </w:tcPr>
          <w:p w14:paraId="069EC8BA" w14:textId="77777777" w:rsidR="00B84AFA" w:rsidRPr="005B2675" w:rsidRDefault="00B84AFA" w:rsidP="00562DA7">
            <w:pPr>
              <w:widowControl/>
              <w:jc w:val="center"/>
              <w:rPr>
                <w:rFonts w:cs="Arial"/>
                <w:color w:val="000000"/>
                <w:sz w:val="20"/>
                <w:lang w:eastAsia="es-MX"/>
              </w:rPr>
            </w:pPr>
            <w:r w:rsidRPr="005B2675">
              <w:rPr>
                <w:rFonts w:cs="Arial"/>
                <w:sz w:val="20"/>
                <w:lang w:eastAsia="es-MX"/>
              </w:rPr>
              <w:t>0.6</w:t>
            </w:r>
          </w:p>
        </w:tc>
        <w:tc>
          <w:tcPr>
            <w:tcW w:w="1600" w:type="dxa"/>
            <w:tcBorders>
              <w:top w:val="nil"/>
              <w:left w:val="nil"/>
              <w:right w:val="nil"/>
            </w:tcBorders>
            <w:shd w:val="clear" w:color="auto" w:fill="CCE2E6"/>
            <w:vAlign w:val="center"/>
            <w:hideMark/>
          </w:tcPr>
          <w:p w14:paraId="14874D08" w14:textId="77777777" w:rsidR="00B84AFA" w:rsidRPr="005B2675" w:rsidRDefault="00B84AFA" w:rsidP="00562DA7">
            <w:pPr>
              <w:widowControl/>
              <w:jc w:val="center"/>
              <w:rPr>
                <w:rFonts w:cs="Arial"/>
                <w:color w:val="000000"/>
                <w:sz w:val="20"/>
                <w:lang w:eastAsia="es-MX"/>
              </w:rPr>
            </w:pPr>
            <w:r w:rsidRPr="005B2675">
              <w:rPr>
                <w:rFonts w:cs="Arial"/>
                <w:sz w:val="20"/>
                <w:lang w:eastAsia="es-MX"/>
              </w:rPr>
              <w:t>0.6</w:t>
            </w:r>
          </w:p>
        </w:tc>
        <w:tc>
          <w:tcPr>
            <w:tcW w:w="1600" w:type="dxa"/>
            <w:tcBorders>
              <w:top w:val="nil"/>
              <w:left w:val="nil"/>
              <w:right w:val="nil"/>
            </w:tcBorders>
            <w:shd w:val="clear" w:color="auto" w:fill="CCE2E6"/>
            <w:vAlign w:val="center"/>
            <w:hideMark/>
          </w:tcPr>
          <w:p w14:paraId="25A2EDFF" w14:textId="77777777" w:rsidR="00B84AFA" w:rsidRPr="005B2675" w:rsidRDefault="00B84AFA" w:rsidP="00562DA7">
            <w:pPr>
              <w:widowControl/>
              <w:jc w:val="center"/>
              <w:rPr>
                <w:rFonts w:cs="Arial"/>
                <w:color w:val="000000"/>
                <w:sz w:val="20"/>
                <w:lang w:eastAsia="es-MX"/>
              </w:rPr>
            </w:pPr>
            <w:r w:rsidRPr="005B2675">
              <w:rPr>
                <w:rFonts w:cs="Arial"/>
                <w:sz w:val="20"/>
                <w:lang w:eastAsia="es-MX"/>
              </w:rPr>
              <w:t>0.5</w:t>
            </w:r>
          </w:p>
        </w:tc>
      </w:tr>
    </w:tbl>
    <w:p w14:paraId="3561F380" w14:textId="36065EF5" w:rsidR="00B84AFA" w:rsidRPr="00CD6FE9" w:rsidRDefault="00B84AFA" w:rsidP="00B84AFA">
      <w:pPr>
        <w:widowControl/>
        <w:autoSpaceDE w:val="0"/>
        <w:autoSpaceDN w:val="0"/>
        <w:adjustRightInd w:val="0"/>
        <w:rPr>
          <w:rFonts w:cs="Arial"/>
          <w:sz w:val="16"/>
          <w:szCs w:val="16"/>
        </w:rPr>
      </w:pPr>
      <w:r w:rsidRPr="00CD6FE9">
        <w:rPr>
          <w:rFonts w:cs="Arial"/>
          <w:color w:val="000000" w:themeColor="text1"/>
          <w:sz w:val="16"/>
          <w:szCs w:val="16"/>
        </w:rPr>
        <w:t>Fuente: INEGI, ENTI. 2022.</w:t>
      </w:r>
    </w:p>
    <w:p w14:paraId="32AE57D0" w14:textId="77777777" w:rsidR="00B1333D" w:rsidRDefault="00B1333D" w:rsidP="00711D85">
      <w:pPr>
        <w:widowControl/>
        <w:autoSpaceDE w:val="0"/>
        <w:autoSpaceDN w:val="0"/>
        <w:adjustRightInd w:val="0"/>
        <w:rPr>
          <w:rFonts w:cs="Arial"/>
          <w:color w:val="000000"/>
          <w:szCs w:val="24"/>
        </w:rPr>
      </w:pPr>
    </w:p>
    <w:p w14:paraId="291FD743" w14:textId="711D419A" w:rsidR="00791592" w:rsidRPr="00C45DD9" w:rsidRDefault="00451683" w:rsidP="0032199D">
      <w:pPr>
        <w:widowControl/>
        <w:autoSpaceDE w:val="0"/>
        <w:autoSpaceDN w:val="0"/>
        <w:adjustRightInd w:val="0"/>
        <w:ind w:right="193"/>
        <w:rPr>
          <w:rFonts w:cs="Arial"/>
          <w:color w:val="000000"/>
          <w:szCs w:val="24"/>
        </w:rPr>
      </w:pPr>
      <w:r w:rsidRPr="00C45DD9">
        <w:rPr>
          <w:rFonts w:cs="Arial"/>
          <w:color w:val="000000"/>
          <w:szCs w:val="24"/>
        </w:rPr>
        <w:t>Los</w:t>
      </w:r>
      <w:r w:rsidR="00791592" w:rsidRPr="00C45DD9">
        <w:rPr>
          <w:rFonts w:cs="Arial"/>
          <w:color w:val="000000"/>
          <w:szCs w:val="24"/>
        </w:rPr>
        <w:t xml:space="preserve"> micronegocios de hasta 5 personas ocupadas </w:t>
      </w:r>
      <w:r w:rsidRPr="00C45DD9">
        <w:rPr>
          <w:rFonts w:cs="Arial"/>
          <w:color w:val="000000"/>
          <w:szCs w:val="24"/>
        </w:rPr>
        <w:t>concentraron</w:t>
      </w:r>
      <w:r w:rsidR="00EF217E" w:rsidRPr="00C45DD9">
        <w:rPr>
          <w:rFonts w:cs="Arial"/>
          <w:color w:val="000000"/>
          <w:szCs w:val="24"/>
        </w:rPr>
        <w:t xml:space="preserve"> </w:t>
      </w:r>
      <w:r w:rsidR="002D40E6" w:rsidRPr="00C45DD9">
        <w:rPr>
          <w:rFonts w:cs="Arial"/>
          <w:color w:val="000000"/>
          <w:szCs w:val="24"/>
        </w:rPr>
        <w:t>79</w:t>
      </w:r>
      <w:r w:rsidR="00711D85" w:rsidRPr="00C45DD9">
        <w:rPr>
          <w:rFonts w:cs="Arial"/>
          <w:color w:val="000000"/>
          <w:szCs w:val="24"/>
        </w:rPr>
        <w:t>.0</w:t>
      </w:r>
      <w:r w:rsidR="002D40E6" w:rsidRPr="00C45DD9">
        <w:rPr>
          <w:rFonts w:cs="Arial"/>
          <w:color w:val="000000"/>
          <w:szCs w:val="24"/>
        </w:rPr>
        <w:t xml:space="preserve"> %</w:t>
      </w:r>
      <w:r w:rsidR="00791592" w:rsidRPr="00C45DD9">
        <w:rPr>
          <w:rFonts w:cs="Arial"/>
          <w:color w:val="000000"/>
          <w:szCs w:val="24"/>
        </w:rPr>
        <w:t xml:space="preserve"> </w:t>
      </w:r>
      <w:r w:rsidR="002D40E6" w:rsidRPr="00C45DD9">
        <w:rPr>
          <w:rFonts w:cs="Arial"/>
          <w:color w:val="000000"/>
          <w:szCs w:val="24"/>
        </w:rPr>
        <w:t xml:space="preserve">de </w:t>
      </w:r>
      <w:r w:rsidR="00791592" w:rsidRPr="00C45DD9">
        <w:rPr>
          <w:rFonts w:cs="Arial"/>
          <w:color w:val="000000"/>
          <w:szCs w:val="24"/>
        </w:rPr>
        <w:t xml:space="preserve">la </w:t>
      </w:r>
      <w:r w:rsidRPr="00C45DD9">
        <w:rPr>
          <w:rFonts w:cs="Arial"/>
          <w:color w:val="000000"/>
          <w:szCs w:val="24"/>
        </w:rPr>
        <w:t>población</w:t>
      </w:r>
      <w:r w:rsidR="00791592" w:rsidRPr="00C45DD9">
        <w:rPr>
          <w:rFonts w:cs="Arial"/>
          <w:color w:val="000000"/>
          <w:szCs w:val="24"/>
        </w:rPr>
        <w:t xml:space="preserve"> infantil </w:t>
      </w:r>
      <w:r w:rsidRPr="00C45DD9">
        <w:rPr>
          <w:rFonts w:cs="Arial"/>
          <w:color w:val="000000"/>
          <w:szCs w:val="24"/>
        </w:rPr>
        <w:t xml:space="preserve">en ocupación </w:t>
      </w:r>
      <w:r w:rsidR="00791592" w:rsidRPr="00C45DD9">
        <w:rPr>
          <w:rFonts w:cs="Arial"/>
          <w:color w:val="000000"/>
          <w:szCs w:val="24"/>
        </w:rPr>
        <w:t>no permitida</w:t>
      </w:r>
      <w:r w:rsidRPr="00C45DD9">
        <w:rPr>
          <w:rFonts w:cs="Arial"/>
          <w:color w:val="000000"/>
          <w:szCs w:val="24"/>
        </w:rPr>
        <w:t>,</w:t>
      </w:r>
      <w:r w:rsidR="00791592" w:rsidRPr="00C45DD9">
        <w:rPr>
          <w:rFonts w:cs="Arial"/>
          <w:color w:val="000000"/>
          <w:szCs w:val="24"/>
        </w:rPr>
        <w:t xml:space="preserve"> </w:t>
      </w:r>
      <w:r w:rsidRPr="00C45DD9">
        <w:rPr>
          <w:rFonts w:cs="Arial"/>
          <w:color w:val="000000"/>
          <w:szCs w:val="24"/>
        </w:rPr>
        <w:t xml:space="preserve">el </w:t>
      </w:r>
      <w:r w:rsidR="00791592" w:rsidRPr="00C45DD9">
        <w:rPr>
          <w:rFonts w:cs="Arial"/>
          <w:color w:val="000000"/>
          <w:szCs w:val="24"/>
        </w:rPr>
        <w:t xml:space="preserve">porcentaje </w:t>
      </w:r>
      <w:r w:rsidRPr="00C45DD9">
        <w:rPr>
          <w:rFonts w:cs="Arial"/>
          <w:color w:val="000000"/>
          <w:szCs w:val="24"/>
        </w:rPr>
        <w:t>para</w:t>
      </w:r>
      <w:r w:rsidR="00791592" w:rsidRPr="00C45DD9">
        <w:rPr>
          <w:rFonts w:cs="Arial"/>
          <w:color w:val="000000"/>
          <w:szCs w:val="24"/>
        </w:rPr>
        <w:t xml:space="preserve"> l</w:t>
      </w:r>
      <w:r w:rsidR="00711D85" w:rsidRPr="00C45DD9">
        <w:rPr>
          <w:rFonts w:cs="Arial"/>
          <w:color w:val="000000"/>
          <w:szCs w:val="24"/>
        </w:rPr>
        <w:t>a</w:t>
      </w:r>
      <w:r w:rsidR="00791592" w:rsidRPr="00C45DD9">
        <w:rPr>
          <w:rFonts w:cs="Arial"/>
          <w:color w:val="000000"/>
          <w:szCs w:val="24"/>
        </w:rPr>
        <w:t>s niñ</w:t>
      </w:r>
      <w:r w:rsidR="00711D85" w:rsidRPr="00C45DD9">
        <w:rPr>
          <w:rFonts w:cs="Arial"/>
          <w:color w:val="000000"/>
          <w:szCs w:val="24"/>
        </w:rPr>
        <w:t>a</w:t>
      </w:r>
      <w:r w:rsidR="00791592" w:rsidRPr="00C45DD9">
        <w:rPr>
          <w:rFonts w:cs="Arial"/>
          <w:color w:val="000000"/>
          <w:szCs w:val="24"/>
        </w:rPr>
        <w:t xml:space="preserve">s fue de </w:t>
      </w:r>
      <w:r w:rsidR="00711D85" w:rsidRPr="00C45DD9">
        <w:rPr>
          <w:rFonts w:cs="Arial"/>
          <w:color w:val="000000"/>
          <w:szCs w:val="24"/>
        </w:rPr>
        <w:t>80.1</w:t>
      </w:r>
      <w:r w:rsidR="00DD7D54" w:rsidRPr="00C45DD9">
        <w:rPr>
          <w:rFonts w:cs="Arial"/>
          <w:color w:val="000000"/>
          <w:szCs w:val="24"/>
        </w:rPr>
        <w:t xml:space="preserve"> </w:t>
      </w:r>
      <w:r w:rsidR="00711D85" w:rsidRPr="00C45DD9">
        <w:rPr>
          <w:rFonts w:cs="Arial"/>
          <w:color w:val="000000"/>
          <w:szCs w:val="24"/>
        </w:rPr>
        <w:t xml:space="preserve">% </w:t>
      </w:r>
      <w:r w:rsidR="00791592" w:rsidRPr="00C45DD9">
        <w:rPr>
          <w:rFonts w:cs="Arial"/>
          <w:color w:val="000000"/>
          <w:szCs w:val="24"/>
        </w:rPr>
        <w:t xml:space="preserve">y </w:t>
      </w:r>
      <w:r w:rsidRPr="00C45DD9">
        <w:rPr>
          <w:rFonts w:cs="Arial"/>
          <w:color w:val="000000"/>
          <w:szCs w:val="24"/>
        </w:rPr>
        <w:t>para</w:t>
      </w:r>
      <w:r w:rsidR="00791592" w:rsidRPr="00C45DD9">
        <w:rPr>
          <w:rFonts w:cs="Arial"/>
          <w:color w:val="000000"/>
          <w:szCs w:val="24"/>
        </w:rPr>
        <w:t xml:space="preserve"> l</w:t>
      </w:r>
      <w:r w:rsidR="00711D85" w:rsidRPr="00C45DD9">
        <w:rPr>
          <w:rFonts w:cs="Arial"/>
          <w:color w:val="000000"/>
          <w:szCs w:val="24"/>
        </w:rPr>
        <w:t>o</w:t>
      </w:r>
      <w:r w:rsidR="00791592" w:rsidRPr="00C45DD9">
        <w:rPr>
          <w:rFonts w:cs="Arial"/>
          <w:color w:val="000000"/>
          <w:szCs w:val="24"/>
        </w:rPr>
        <w:t>s niñ</w:t>
      </w:r>
      <w:r w:rsidR="00711D85" w:rsidRPr="00C45DD9">
        <w:rPr>
          <w:rFonts w:cs="Arial"/>
          <w:color w:val="000000"/>
          <w:szCs w:val="24"/>
        </w:rPr>
        <w:t>os, de 78.6</w:t>
      </w:r>
      <w:r w:rsidR="00791592" w:rsidRPr="00C45DD9">
        <w:rPr>
          <w:rFonts w:cs="Arial"/>
          <w:color w:val="000000"/>
          <w:szCs w:val="24"/>
        </w:rPr>
        <w:t xml:space="preserve"> por ciento.</w:t>
      </w:r>
      <w:r w:rsidR="004C2194" w:rsidRPr="00C45DD9">
        <w:rPr>
          <w:rFonts w:cs="Arial"/>
          <w:color w:val="000000"/>
          <w:szCs w:val="24"/>
        </w:rPr>
        <w:t xml:space="preserve"> En cambio</w:t>
      </w:r>
      <w:r w:rsidR="000C64BD" w:rsidRPr="00C45DD9">
        <w:rPr>
          <w:rFonts w:cs="Arial"/>
          <w:color w:val="000000"/>
          <w:szCs w:val="24"/>
        </w:rPr>
        <w:t>,</w:t>
      </w:r>
      <w:r w:rsidR="004C2194" w:rsidRPr="00C45DD9">
        <w:rPr>
          <w:rFonts w:cs="Arial"/>
          <w:color w:val="000000"/>
          <w:szCs w:val="24"/>
        </w:rPr>
        <w:t xml:space="preserve"> los negocios con 16 personas o más concentraron 6.2</w:t>
      </w:r>
      <w:r w:rsidR="00EA2628" w:rsidRPr="00C45DD9">
        <w:rPr>
          <w:rFonts w:cs="Arial"/>
          <w:color w:val="000000"/>
          <w:szCs w:val="24"/>
        </w:rPr>
        <w:t xml:space="preserve"> </w:t>
      </w:r>
      <w:r w:rsidR="004C2194" w:rsidRPr="00C45DD9">
        <w:rPr>
          <w:rFonts w:cs="Arial"/>
          <w:color w:val="000000"/>
          <w:szCs w:val="24"/>
        </w:rPr>
        <w:t>% de la ocupación no permitida</w:t>
      </w:r>
      <w:r w:rsidR="00711D85" w:rsidRPr="00C45DD9">
        <w:rPr>
          <w:rFonts w:cs="Arial"/>
          <w:color w:val="000000"/>
          <w:szCs w:val="24"/>
        </w:rPr>
        <w:t xml:space="preserve">; </w:t>
      </w:r>
      <w:r w:rsidR="004C2194" w:rsidRPr="00C45DD9">
        <w:rPr>
          <w:rFonts w:cs="Arial"/>
          <w:color w:val="000000"/>
          <w:szCs w:val="24"/>
        </w:rPr>
        <w:t>para l</w:t>
      </w:r>
      <w:r w:rsidR="00711D85" w:rsidRPr="00C45DD9">
        <w:rPr>
          <w:rFonts w:cs="Arial"/>
          <w:color w:val="000000"/>
          <w:szCs w:val="24"/>
        </w:rPr>
        <w:t>a</w:t>
      </w:r>
      <w:r w:rsidR="004C2194" w:rsidRPr="00C45DD9">
        <w:rPr>
          <w:rFonts w:cs="Arial"/>
          <w:color w:val="000000"/>
          <w:szCs w:val="24"/>
        </w:rPr>
        <w:t>s niñ</w:t>
      </w:r>
      <w:r w:rsidR="00711D85" w:rsidRPr="00C45DD9">
        <w:rPr>
          <w:rFonts w:cs="Arial"/>
          <w:color w:val="000000"/>
          <w:szCs w:val="24"/>
        </w:rPr>
        <w:t>a</w:t>
      </w:r>
      <w:r w:rsidR="004C2194" w:rsidRPr="00C45DD9">
        <w:rPr>
          <w:rFonts w:cs="Arial"/>
          <w:color w:val="000000"/>
          <w:szCs w:val="24"/>
        </w:rPr>
        <w:t xml:space="preserve">s </w:t>
      </w:r>
      <w:r w:rsidR="00E1361A" w:rsidRPr="00C45DD9">
        <w:rPr>
          <w:rFonts w:cs="Arial"/>
          <w:color w:val="000000"/>
          <w:szCs w:val="24"/>
        </w:rPr>
        <w:t>fue de</w:t>
      </w:r>
      <w:r w:rsidR="004C2194" w:rsidRPr="00C45DD9">
        <w:rPr>
          <w:rFonts w:cs="Arial"/>
          <w:color w:val="000000"/>
          <w:szCs w:val="24"/>
        </w:rPr>
        <w:t xml:space="preserve"> </w:t>
      </w:r>
      <w:r w:rsidR="00711D85" w:rsidRPr="00C45DD9">
        <w:rPr>
          <w:rFonts w:cs="Arial"/>
          <w:color w:val="000000"/>
          <w:szCs w:val="24"/>
        </w:rPr>
        <w:t>7.9</w:t>
      </w:r>
      <w:r w:rsidR="00EA2628" w:rsidRPr="00C45DD9">
        <w:rPr>
          <w:rFonts w:cs="Arial"/>
          <w:color w:val="000000"/>
          <w:szCs w:val="24"/>
        </w:rPr>
        <w:t xml:space="preserve"> </w:t>
      </w:r>
      <w:r w:rsidR="004C2194" w:rsidRPr="00C45DD9">
        <w:rPr>
          <w:rFonts w:cs="Arial"/>
          <w:color w:val="000000"/>
          <w:szCs w:val="24"/>
        </w:rPr>
        <w:t xml:space="preserve">% </w:t>
      </w:r>
      <w:r w:rsidR="00711D85" w:rsidRPr="00C45DD9">
        <w:rPr>
          <w:rFonts w:cs="Arial"/>
          <w:color w:val="000000"/>
          <w:szCs w:val="24"/>
        </w:rPr>
        <w:t>y</w:t>
      </w:r>
      <w:r w:rsidR="004C2194" w:rsidRPr="00C45DD9">
        <w:rPr>
          <w:rFonts w:cs="Arial"/>
          <w:color w:val="000000"/>
          <w:szCs w:val="24"/>
        </w:rPr>
        <w:t xml:space="preserve"> </w:t>
      </w:r>
      <w:r w:rsidR="00711D85" w:rsidRPr="00C45DD9">
        <w:rPr>
          <w:rFonts w:cs="Arial"/>
          <w:color w:val="000000"/>
          <w:szCs w:val="24"/>
        </w:rPr>
        <w:t>en</w:t>
      </w:r>
      <w:r w:rsidR="004C2194" w:rsidRPr="00C45DD9">
        <w:rPr>
          <w:rFonts w:cs="Arial"/>
          <w:color w:val="000000"/>
          <w:szCs w:val="24"/>
        </w:rPr>
        <w:t xml:space="preserve"> niñ</w:t>
      </w:r>
      <w:r w:rsidR="00711D85" w:rsidRPr="00C45DD9">
        <w:rPr>
          <w:rFonts w:cs="Arial"/>
          <w:color w:val="000000"/>
          <w:szCs w:val="24"/>
        </w:rPr>
        <w:t>o</w:t>
      </w:r>
      <w:r w:rsidR="004C2194" w:rsidRPr="00C45DD9">
        <w:rPr>
          <w:rFonts w:cs="Arial"/>
          <w:color w:val="000000"/>
          <w:szCs w:val="24"/>
        </w:rPr>
        <w:t>s</w:t>
      </w:r>
      <w:r w:rsidR="00711D85" w:rsidRPr="00C45DD9">
        <w:rPr>
          <w:rFonts w:cs="Arial"/>
          <w:color w:val="000000"/>
          <w:szCs w:val="24"/>
        </w:rPr>
        <w:t>,</w:t>
      </w:r>
      <w:r w:rsidR="004C2194" w:rsidRPr="00C45DD9">
        <w:rPr>
          <w:rFonts w:cs="Arial"/>
          <w:color w:val="000000"/>
          <w:szCs w:val="24"/>
        </w:rPr>
        <w:t xml:space="preserve"> de </w:t>
      </w:r>
      <w:r w:rsidR="00711D85" w:rsidRPr="00C45DD9">
        <w:rPr>
          <w:rFonts w:cs="Arial"/>
          <w:color w:val="000000"/>
          <w:szCs w:val="24"/>
        </w:rPr>
        <w:t xml:space="preserve">5.5 </w:t>
      </w:r>
      <w:r w:rsidR="0032199D">
        <w:rPr>
          <w:rFonts w:cs="Arial"/>
          <w:color w:val="000000"/>
          <w:szCs w:val="24"/>
        </w:rPr>
        <w:t>%</w:t>
      </w:r>
      <w:r w:rsidR="00E555D9" w:rsidRPr="00C45DD9">
        <w:rPr>
          <w:rFonts w:cs="Arial"/>
          <w:color w:val="000000"/>
          <w:szCs w:val="24"/>
        </w:rPr>
        <w:t xml:space="preserve"> </w:t>
      </w:r>
      <w:r w:rsidR="00E555D9" w:rsidRPr="00C45DD9">
        <w:rPr>
          <w:rFonts w:cs="Arial"/>
          <w:szCs w:val="24"/>
        </w:rPr>
        <w:t>(ver cuadro 12)</w:t>
      </w:r>
      <w:r w:rsidR="004C2194" w:rsidRPr="00C45DD9">
        <w:rPr>
          <w:rFonts w:cs="Arial"/>
          <w:color w:val="000000"/>
          <w:szCs w:val="24"/>
        </w:rPr>
        <w:t>.</w:t>
      </w:r>
    </w:p>
    <w:p w14:paraId="4591DBD0" w14:textId="77777777" w:rsidR="00791592" w:rsidRDefault="00791592" w:rsidP="00711D85">
      <w:pPr>
        <w:widowControl/>
        <w:autoSpaceDE w:val="0"/>
        <w:autoSpaceDN w:val="0"/>
        <w:adjustRightInd w:val="0"/>
        <w:rPr>
          <w:rFonts w:cs="Arial"/>
          <w:color w:val="000000"/>
          <w:szCs w:val="24"/>
        </w:rPr>
      </w:pPr>
    </w:p>
    <w:p w14:paraId="4D83052E" w14:textId="77777777" w:rsidR="009E086F" w:rsidRPr="0032199D" w:rsidRDefault="009E086F" w:rsidP="0032199D">
      <w:pPr>
        <w:widowControl/>
        <w:autoSpaceDE w:val="0"/>
        <w:autoSpaceDN w:val="0"/>
        <w:adjustRightInd w:val="0"/>
        <w:jc w:val="center"/>
        <w:rPr>
          <w:rFonts w:cs="Arial"/>
          <w:color w:val="000000"/>
          <w:sz w:val="20"/>
        </w:rPr>
      </w:pPr>
      <w:r w:rsidRPr="0032199D">
        <w:rPr>
          <w:rFonts w:cs="Arial"/>
          <w:color w:val="000000"/>
          <w:sz w:val="20"/>
        </w:rPr>
        <w:t>Cuadro 12</w:t>
      </w:r>
    </w:p>
    <w:p w14:paraId="366A92D9" w14:textId="05E5DF99" w:rsidR="009E086F" w:rsidRPr="0032199D" w:rsidRDefault="009E086F" w:rsidP="0032199D">
      <w:pPr>
        <w:widowControl/>
        <w:autoSpaceDE w:val="0"/>
        <w:autoSpaceDN w:val="0"/>
        <w:adjustRightInd w:val="0"/>
        <w:jc w:val="center"/>
        <w:rPr>
          <w:rFonts w:cs="Arial"/>
          <w:b/>
          <w:bCs/>
          <w:smallCaps/>
          <w:color w:val="000000" w:themeColor="text1"/>
          <w:sz w:val="22"/>
          <w:szCs w:val="22"/>
        </w:rPr>
      </w:pPr>
      <w:r w:rsidRPr="0032199D">
        <w:rPr>
          <w:rFonts w:cs="Arial"/>
          <w:b/>
          <w:bCs/>
          <w:smallCaps/>
          <w:color w:val="000000"/>
          <w:sz w:val="22"/>
          <w:szCs w:val="22"/>
        </w:rPr>
        <w:t>Personas en alguna o</w:t>
      </w:r>
      <w:r w:rsidRPr="0032199D">
        <w:rPr>
          <w:rFonts w:cs="Arial"/>
          <w:b/>
          <w:bCs/>
          <w:smallCaps/>
          <w:color w:val="000000" w:themeColor="text1"/>
          <w:sz w:val="22"/>
          <w:szCs w:val="22"/>
        </w:rPr>
        <w:t>cupación no permitida por tamaño de la unidad económica</w:t>
      </w:r>
      <w:r w:rsidR="004B15C9" w:rsidRPr="0032199D">
        <w:rPr>
          <w:rFonts w:cs="Arial"/>
          <w:b/>
          <w:bCs/>
          <w:smallCaps/>
          <w:color w:val="000000" w:themeColor="text1"/>
          <w:sz w:val="22"/>
          <w:szCs w:val="22"/>
        </w:rPr>
        <w:t>,</w:t>
      </w:r>
      <w:r w:rsidRPr="0032199D">
        <w:rPr>
          <w:rFonts w:cs="Arial"/>
          <w:b/>
          <w:bCs/>
          <w:smallCaps/>
          <w:color w:val="000000" w:themeColor="text1"/>
          <w:sz w:val="22"/>
          <w:szCs w:val="22"/>
        </w:rPr>
        <w:t xml:space="preserve"> según sexo</w:t>
      </w:r>
    </w:p>
    <w:p w14:paraId="31906035" w14:textId="77777777" w:rsidR="009E086F" w:rsidRDefault="009E086F" w:rsidP="0032199D">
      <w:pPr>
        <w:widowControl/>
        <w:autoSpaceDE w:val="0"/>
        <w:autoSpaceDN w:val="0"/>
        <w:adjustRightInd w:val="0"/>
        <w:ind w:left="851" w:right="1183"/>
        <w:jc w:val="center"/>
        <w:rPr>
          <w:rFonts w:cs="Arial"/>
          <w:b/>
          <w:bCs/>
          <w:color w:val="000000" w:themeColor="text1"/>
          <w:szCs w:val="24"/>
        </w:rPr>
      </w:pPr>
      <w:r w:rsidRPr="005E25D0">
        <w:rPr>
          <w:rFonts w:cs="Arial"/>
          <w:bCs/>
          <w:sz w:val="18"/>
          <w:szCs w:val="18"/>
        </w:rPr>
        <w:t>(distribución porcentual)</w:t>
      </w:r>
    </w:p>
    <w:tbl>
      <w:tblPr>
        <w:tblW w:w="9780" w:type="dxa"/>
        <w:tblCellMar>
          <w:left w:w="70" w:type="dxa"/>
          <w:right w:w="70" w:type="dxa"/>
        </w:tblCellMar>
        <w:tblLook w:val="04A0" w:firstRow="1" w:lastRow="0" w:firstColumn="1" w:lastColumn="0" w:noHBand="0" w:noVBand="1"/>
      </w:tblPr>
      <w:tblGrid>
        <w:gridCol w:w="220"/>
        <w:gridCol w:w="4760"/>
        <w:gridCol w:w="1600"/>
        <w:gridCol w:w="1600"/>
        <w:gridCol w:w="1600"/>
      </w:tblGrid>
      <w:tr w:rsidR="009E086F" w:rsidRPr="00BF2CF2" w14:paraId="28AFA3D0" w14:textId="77777777" w:rsidTr="00562DA7">
        <w:trPr>
          <w:trHeight w:val="315"/>
        </w:trPr>
        <w:tc>
          <w:tcPr>
            <w:tcW w:w="4980" w:type="dxa"/>
            <w:gridSpan w:val="2"/>
            <w:tcBorders>
              <w:top w:val="nil"/>
              <w:left w:val="nil"/>
              <w:bottom w:val="nil"/>
              <w:right w:val="nil"/>
            </w:tcBorders>
            <w:shd w:val="clear" w:color="auto" w:fill="338B99"/>
            <w:vAlign w:val="center"/>
            <w:hideMark/>
          </w:tcPr>
          <w:p w14:paraId="0AC78EC6" w14:textId="77777777" w:rsidR="009E086F" w:rsidRPr="00BF2CF2" w:rsidRDefault="009E086F" w:rsidP="00562DA7">
            <w:pPr>
              <w:widowControl/>
              <w:jc w:val="left"/>
              <w:rPr>
                <w:rFonts w:cs="Arial"/>
                <w:b/>
                <w:bCs/>
                <w:color w:val="FFFFFF"/>
                <w:sz w:val="20"/>
                <w:lang w:eastAsia="es-MX"/>
              </w:rPr>
            </w:pPr>
            <w:r w:rsidRPr="00BF2CF2">
              <w:rPr>
                <w:rFonts w:cs="Arial"/>
                <w:b/>
                <w:bCs/>
                <w:color w:val="FFFFFF" w:themeColor="background1"/>
                <w:sz w:val="20"/>
                <w:lang w:eastAsia="es-MX"/>
              </w:rPr>
              <w:t>Tamaño de la unidad económica</w:t>
            </w:r>
          </w:p>
        </w:tc>
        <w:tc>
          <w:tcPr>
            <w:tcW w:w="1600" w:type="dxa"/>
            <w:tcBorders>
              <w:top w:val="nil"/>
              <w:left w:val="nil"/>
              <w:bottom w:val="nil"/>
              <w:right w:val="nil"/>
            </w:tcBorders>
            <w:shd w:val="clear" w:color="auto" w:fill="338B99"/>
            <w:vAlign w:val="center"/>
            <w:hideMark/>
          </w:tcPr>
          <w:p w14:paraId="24BCFA47" w14:textId="77777777" w:rsidR="009E086F" w:rsidRPr="00BF2CF2" w:rsidRDefault="009E086F" w:rsidP="00562DA7">
            <w:pPr>
              <w:widowControl/>
              <w:jc w:val="center"/>
              <w:rPr>
                <w:rFonts w:cs="Arial"/>
                <w:b/>
                <w:bCs/>
                <w:color w:val="FFFFFF"/>
                <w:sz w:val="20"/>
                <w:lang w:eastAsia="es-MX"/>
              </w:rPr>
            </w:pPr>
            <w:r w:rsidRPr="00BF2CF2">
              <w:rPr>
                <w:rFonts w:cs="Arial"/>
                <w:b/>
                <w:bCs/>
                <w:color w:val="FFFFFF"/>
                <w:sz w:val="20"/>
                <w:lang w:eastAsia="es-MX"/>
              </w:rPr>
              <w:t>Total</w:t>
            </w:r>
          </w:p>
        </w:tc>
        <w:tc>
          <w:tcPr>
            <w:tcW w:w="1600" w:type="dxa"/>
            <w:tcBorders>
              <w:top w:val="nil"/>
              <w:left w:val="nil"/>
              <w:bottom w:val="nil"/>
              <w:right w:val="nil"/>
            </w:tcBorders>
            <w:shd w:val="clear" w:color="auto" w:fill="338B99"/>
            <w:vAlign w:val="center"/>
            <w:hideMark/>
          </w:tcPr>
          <w:p w14:paraId="00DA400D" w14:textId="77777777" w:rsidR="009E086F" w:rsidRPr="00BF2CF2" w:rsidRDefault="009E086F" w:rsidP="00562DA7">
            <w:pPr>
              <w:widowControl/>
              <w:jc w:val="center"/>
              <w:rPr>
                <w:rFonts w:cs="Arial"/>
                <w:b/>
                <w:bCs/>
                <w:color w:val="FFFFFF"/>
                <w:sz w:val="20"/>
                <w:lang w:eastAsia="es-MX"/>
              </w:rPr>
            </w:pPr>
            <w:r w:rsidRPr="00BF2CF2">
              <w:rPr>
                <w:rFonts w:cs="Arial"/>
                <w:b/>
                <w:bCs/>
                <w:color w:val="FFFFFF"/>
                <w:sz w:val="20"/>
                <w:lang w:eastAsia="es-MX"/>
              </w:rPr>
              <w:t>Niños</w:t>
            </w:r>
          </w:p>
        </w:tc>
        <w:tc>
          <w:tcPr>
            <w:tcW w:w="1600" w:type="dxa"/>
            <w:tcBorders>
              <w:top w:val="nil"/>
              <w:left w:val="nil"/>
              <w:bottom w:val="nil"/>
              <w:right w:val="nil"/>
            </w:tcBorders>
            <w:shd w:val="clear" w:color="auto" w:fill="338B99"/>
            <w:vAlign w:val="center"/>
            <w:hideMark/>
          </w:tcPr>
          <w:p w14:paraId="4FD7E66C" w14:textId="77777777" w:rsidR="009E086F" w:rsidRPr="00BF2CF2" w:rsidRDefault="009E086F" w:rsidP="00562DA7">
            <w:pPr>
              <w:widowControl/>
              <w:jc w:val="center"/>
              <w:rPr>
                <w:rFonts w:cs="Arial"/>
                <w:b/>
                <w:bCs/>
                <w:color w:val="FFFFFF"/>
                <w:sz w:val="20"/>
                <w:lang w:eastAsia="es-MX"/>
              </w:rPr>
            </w:pPr>
            <w:r w:rsidRPr="00BF2CF2">
              <w:rPr>
                <w:rFonts w:cs="Arial"/>
                <w:b/>
                <w:bCs/>
                <w:color w:val="FFFFFF"/>
                <w:sz w:val="20"/>
                <w:lang w:eastAsia="es-MX"/>
              </w:rPr>
              <w:t>Niñas</w:t>
            </w:r>
          </w:p>
        </w:tc>
      </w:tr>
      <w:tr w:rsidR="009E086F" w:rsidRPr="00BF2CF2" w14:paraId="06CFEB26" w14:textId="77777777" w:rsidTr="00562DA7">
        <w:trPr>
          <w:trHeight w:val="300"/>
        </w:trPr>
        <w:tc>
          <w:tcPr>
            <w:tcW w:w="4980" w:type="dxa"/>
            <w:gridSpan w:val="2"/>
            <w:tcBorders>
              <w:top w:val="nil"/>
              <w:left w:val="nil"/>
              <w:bottom w:val="nil"/>
              <w:right w:val="nil"/>
            </w:tcBorders>
            <w:shd w:val="clear" w:color="auto" w:fill="66A8B3"/>
            <w:vAlign w:val="center"/>
            <w:hideMark/>
          </w:tcPr>
          <w:p w14:paraId="752C3B0D" w14:textId="77777777" w:rsidR="009E086F" w:rsidRPr="00BF2CF2" w:rsidRDefault="009E086F" w:rsidP="00562DA7">
            <w:pPr>
              <w:widowControl/>
              <w:jc w:val="left"/>
              <w:rPr>
                <w:rFonts w:cs="Arial"/>
                <w:b/>
                <w:bCs/>
                <w:color w:val="000000"/>
                <w:sz w:val="20"/>
                <w:lang w:eastAsia="es-MX"/>
              </w:rPr>
            </w:pPr>
            <w:r w:rsidRPr="00BF2CF2">
              <w:rPr>
                <w:rFonts w:cs="Arial"/>
                <w:b/>
                <w:bCs/>
                <w:color w:val="000000"/>
                <w:sz w:val="20"/>
                <w:lang w:eastAsia="es-MX"/>
              </w:rPr>
              <w:t>Ocupación no permitida</w:t>
            </w:r>
          </w:p>
        </w:tc>
        <w:tc>
          <w:tcPr>
            <w:tcW w:w="1600" w:type="dxa"/>
            <w:tcBorders>
              <w:top w:val="nil"/>
              <w:left w:val="nil"/>
              <w:bottom w:val="nil"/>
              <w:right w:val="nil"/>
            </w:tcBorders>
            <w:shd w:val="clear" w:color="auto" w:fill="66A8B3"/>
            <w:vAlign w:val="center"/>
            <w:hideMark/>
          </w:tcPr>
          <w:p w14:paraId="3CE24F6B" w14:textId="77777777" w:rsidR="009E086F" w:rsidRPr="00BF2CF2" w:rsidRDefault="009E086F" w:rsidP="00562DA7">
            <w:pPr>
              <w:widowControl/>
              <w:jc w:val="center"/>
              <w:rPr>
                <w:rFonts w:cs="Arial"/>
                <w:b/>
                <w:bCs/>
                <w:color w:val="000000"/>
                <w:sz w:val="20"/>
                <w:lang w:eastAsia="es-MX"/>
              </w:rPr>
            </w:pPr>
            <w:r w:rsidRPr="00BF2CF2">
              <w:rPr>
                <w:rFonts w:cs="Arial"/>
                <w:b/>
                <w:bCs/>
                <w:sz w:val="20"/>
                <w:lang w:eastAsia="es-MX"/>
              </w:rPr>
              <w:t>100.0</w:t>
            </w:r>
          </w:p>
        </w:tc>
        <w:tc>
          <w:tcPr>
            <w:tcW w:w="1600" w:type="dxa"/>
            <w:tcBorders>
              <w:top w:val="nil"/>
              <w:left w:val="nil"/>
              <w:bottom w:val="nil"/>
              <w:right w:val="nil"/>
            </w:tcBorders>
            <w:shd w:val="clear" w:color="auto" w:fill="66A8B3"/>
            <w:vAlign w:val="center"/>
            <w:hideMark/>
          </w:tcPr>
          <w:p w14:paraId="510D92B6" w14:textId="77777777" w:rsidR="009E086F" w:rsidRPr="00BF2CF2" w:rsidRDefault="009E086F" w:rsidP="00562DA7">
            <w:pPr>
              <w:widowControl/>
              <w:jc w:val="center"/>
              <w:rPr>
                <w:rFonts w:cs="Arial"/>
                <w:b/>
                <w:bCs/>
                <w:color w:val="000000"/>
                <w:sz w:val="20"/>
                <w:lang w:eastAsia="es-MX"/>
              </w:rPr>
            </w:pPr>
            <w:r w:rsidRPr="00BF2CF2">
              <w:rPr>
                <w:rFonts w:cs="Arial"/>
                <w:b/>
                <w:bCs/>
                <w:sz w:val="20"/>
                <w:lang w:eastAsia="es-MX"/>
              </w:rPr>
              <w:t>100.0</w:t>
            </w:r>
          </w:p>
        </w:tc>
        <w:tc>
          <w:tcPr>
            <w:tcW w:w="1600" w:type="dxa"/>
            <w:tcBorders>
              <w:top w:val="nil"/>
              <w:left w:val="nil"/>
              <w:bottom w:val="nil"/>
              <w:right w:val="nil"/>
            </w:tcBorders>
            <w:shd w:val="clear" w:color="auto" w:fill="66A8B3"/>
            <w:vAlign w:val="center"/>
            <w:hideMark/>
          </w:tcPr>
          <w:p w14:paraId="10C23DF7" w14:textId="77777777" w:rsidR="009E086F" w:rsidRPr="00BF2CF2" w:rsidRDefault="009E086F" w:rsidP="00562DA7">
            <w:pPr>
              <w:widowControl/>
              <w:jc w:val="center"/>
              <w:rPr>
                <w:rFonts w:cs="Arial"/>
                <w:b/>
                <w:bCs/>
                <w:color w:val="000000"/>
                <w:sz w:val="20"/>
                <w:lang w:eastAsia="es-MX"/>
              </w:rPr>
            </w:pPr>
            <w:r w:rsidRPr="00BF2CF2">
              <w:rPr>
                <w:rFonts w:cs="Arial"/>
                <w:b/>
                <w:bCs/>
                <w:sz w:val="20"/>
                <w:lang w:eastAsia="es-MX"/>
              </w:rPr>
              <w:t>100.0</w:t>
            </w:r>
          </w:p>
        </w:tc>
      </w:tr>
      <w:tr w:rsidR="009E086F" w:rsidRPr="00BF2CF2" w14:paraId="28F5E42D" w14:textId="77777777" w:rsidTr="00562DA7">
        <w:trPr>
          <w:trHeight w:val="300"/>
        </w:trPr>
        <w:tc>
          <w:tcPr>
            <w:tcW w:w="220" w:type="dxa"/>
            <w:tcBorders>
              <w:top w:val="nil"/>
              <w:left w:val="nil"/>
              <w:bottom w:val="nil"/>
              <w:right w:val="nil"/>
            </w:tcBorders>
            <w:shd w:val="clear" w:color="auto" w:fill="CCE2E6"/>
            <w:noWrap/>
            <w:vAlign w:val="bottom"/>
            <w:hideMark/>
          </w:tcPr>
          <w:p w14:paraId="717CD00B" w14:textId="77777777" w:rsidR="009E086F" w:rsidRPr="00BF2CF2" w:rsidRDefault="009E086F" w:rsidP="00562DA7">
            <w:pPr>
              <w:widowControl/>
              <w:jc w:val="left"/>
              <w:rPr>
                <w:rFonts w:ascii="Times New Roman" w:hAnsi="Times New Roman"/>
                <w:color w:val="000000"/>
                <w:sz w:val="20"/>
                <w:lang w:eastAsia="es-MX"/>
              </w:rPr>
            </w:pPr>
            <w:r w:rsidRPr="00BF2CF2">
              <w:rPr>
                <w:rFonts w:ascii="Times New Roman" w:hAnsi="Times New Roman"/>
                <w:color w:val="000000"/>
                <w:sz w:val="20"/>
                <w:lang w:eastAsia="es-MX"/>
              </w:rPr>
              <w:t> </w:t>
            </w:r>
          </w:p>
        </w:tc>
        <w:tc>
          <w:tcPr>
            <w:tcW w:w="4760" w:type="dxa"/>
            <w:tcBorders>
              <w:top w:val="nil"/>
              <w:left w:val="nil"/>
              <w:bottom w:val="nil"/>
              <w:right w:val="nil"/>
            </w:tcBorders>
            <w:shd w:val="clear" w:color="auto" w:fill="CCE2E6"/>
            <w:vAlign w:val="center"/>
            <w:hideMark/>
          </w:tcPr>
          <w:p w14:paraId="5C461B86" w14:textId="77777777" w:rsidR="009E086F" w:rsidRPr="00BF2CF2" w:rsidRDefault="009E086F" w:rsidP="00562DA7">
            <w:pPr>
              <w:widowControl/>
              <w:jc w:val="left"/>
              <w:rPr>
                <w:rFonts w:cs="Arial"/>
                <w:color w:val="000000"/>
                <w:sz w:val="20"/>
                <w:lang w:eastAsia="es-MX"/>
              </w:rPr>
            </w:pPr>
            <w:r w:rsidRPr="00BF2CF2">
              <w:rPr>
                <w:rFonts w:cs="Arial"/>
                <w:sz w:val="20"/>
                <w:lang w:eastAsia="es-MX"/>
              </w:rPr>
              <w:t>1 persona</w:t>
            </w:r>
          </w:p>
        </w:tc>
        <w:tc>
          <w:tcPr>
            <w:tcW w:w="1600" w:type="dxa"/>
            <w:tcBorders>
              <w:top w:val="nil"/>
              <w:left w:val="nil"/>
              <w:bottom w:val="nil"/>
              <w:right w:val="nil"/>
            </w:tcBorders>
            <w:shd w:val="clear" w:color="auto" w:fill="CCE2E6"/>
            <w:vAlign w:val="center"/>
            <w:hideMark/>
          </w:tcPr>
          <w:p w14:paraId="089AC251" w14:textId="77777777" w:rsidR="009E086F" w:rsidRPr="00BF2CF2" w:rsidRDefault="009E086F" w:rsidP="00562DA7">
            <w:pPr>
              <w:widowControl/>
              <w:jc w:val="center"/>
              <w:rPr>
                <w:rFonts w:cs="Arial"/>
                <w:color w:val="000000"/>
                <w:sz w:val="20"/>
                <w:lang w:eastAsia="es-MX"/>
              </w:rPr>
            </w:pPr>
            <w:r w:rsidRPr="00BF2CF2">
              <w:rPr>
                <w:rFonts w:cs="Arial"/>
                <w:sz w:val="20"/>
                <w:lang w:eastAsia="es-MX"/>
              </w:rPr>
              <w:t>5.0</w:t>
            </w:r>
          </w:p>
        </w:tc>
        <w:tc>
          <w:tcPr>
            <w:tcW w:w="1600" w:type="dxa"/>
            <w:tcBorders>
              <w:top w:val="nil"/>
              <w:left w:val="nil"/>
              <w:bottom w:val="nil"/>
              <w:right w:val="nil"/>
            </w:tcBorders>
            <w:shd w:val="clear" w:color="auto" w:fill="CCE2E6"/>
            <w:vAlign w:val="center"/>
            <w:hideMark/>
          </w:tcPr>
          <w:p w14:paraId="341D60B6" w14:textId="77777777" w:rsidR="009E086F" w:rsidRPr="00BF2CF2" w:rsidRDefault="009E086F" w:rsidP="00562DA7">
            <w:pPr>
              <w:widowControl/>
              <w:jc w:val="center"/>
              <w:rPr>
                <w:rFonts w:cs="Arial"/>
                <w:color w:val="000000"/>
                <w:sz w:val="20"/>
                <w:lang w:eastAsia="es-MX"/>
              </w:rPr>
            </w:pPr>
            <w:r w:rsidRPr="00BF2CF2">
              <w:rPr>
                <w:rFonts w:cs="Arial"/>
                <w:sz w:val="20"/>
                <w:lang w:eastAsia="es-MX"/>
              </w:rPr>
              <w:t>3.1</w:t>
            </w:r>
          </w:p>
        </w:tc>
        <w:tc>
          <w:tcPr>
            <w:tcW w:w="1600" w:type="dxa"/>
            <w:tcBorders>
              <w:top w:val="nil"/>
              <w:left w:val="nil"/>
              <w:bottom w:val="nil"/>
              <w:right w:val="nil"/>
            </w:tcBorders>
            <w:shd w:val="clear" w:color="auto" w:fill="CCE2E6"/>
            <w:vAlign w:val="center"/>
            <w:hideMark/>
          </w:tcPr>
          <w:p w14:paraId="6614044D" w14:textId="77777777" w:rsidR="009E086F" w:rsidRPr="00BF2CF2" w:rsidRDefault="009E086F" w:rsidP="00562DA7">
            <w:pPr>
              <w:widowControl/>
              <w:jc w:val="center"/>
              <w:rPr>
                <w:rFonts w:cs="Arial"/>
                <w:color w:val="000000"/>
                <w:sz w:val="20"/>
                <w:lang w:eastAsia="es-MX"/>
              </w:rPr>
            </w:pPr>
            <w:r w:rsidRPr="00BF2CF2">
              <w:rPr>
                <w:rFonts w:cs="Arial"/>
                <w:sz w:val="20"/>
                <w:lang w:eastAsia="es-MX"/>
              </w:rPr>
              <w:t>9.8</w:t>
            </w:r>
          </w:p>
        </w:tc>
      </w:tr>
      <w:tr w:rsidR="009E086F" w:rsidRPr="00BF2CF2" w14:paraId="253C5531" w14:textId="77777777" w:rsidTr="00562DA7">
        <w:trPr>
          <w:trHeight w:val="300"/>
        </w:trPr>
        <w:tc>
          <w:tcPr>
            <w:tcW w:w="220" w:type="dxa"/>
            <w:tcBorders>
              <w:top w:val="nil"/>
              <w:left w:val="nil"/>
              <w:bottom w:val="nil"/>
              <w:right w:val="nil"/>
            </w:tcBorders>
            <w:shd w:val="clear" w:color="auto" w:fill="CCE2E6"/>
            <w:noWrap/>
            <w:vAlign w:val="bottom"/>
            <w:hideMark/>
          </w:tcPr>
          <w:p w14:paraId="7C3F62E4" w14:textId="77777777" w:rsidR="009E086F" w:rsidRPr="00BF2CF2" w:rsidRDefault="009E086F" w:rsidP="00562DA7">
            <w:pPr>
              <w:widowControl/>
              <w:jc w:val="left"/>
              <w:rPr>
                <w:rFonts w:ascii="Times New Roman" w:hAnsi="Times New Roman"/>
                <w:color w:val="000000"/>
                <w:sz w:val="20"/>
                <w:lang w:eastAsia="es-MX"/>
              </w:rPr>
            </w:pPr>
            <w:r w:rsidRPr="00BF2CF2">
              <w:rPr>
                <w:rFonts w:ascii="Times New Roman" w:hAnsi="Times New Roman"/>
                <w:color w:val="000000"/>
                <w:sz w:val="20"/>
                <w:lang w:eastAsia="es-MX"/>
              </w:rPr>
              <w:t> </w:t>
            </w:r>
          </w:p>
        </w:tc>
        <w:tc>
          <w:tcPr>
            <w:tcW w:w="4760" w:type="dxa"/>
            <w:tcBorders>
              <w:top w:val="nil"/>
              <w:left w:val="nil"/>
              <w:bottom w:val="nil"/>
              <w:right w:val="nil"/>
            </w:tcBorders>
            <w:shd w:val="clear" w:color="auto" w:fill="CCE2E6"/>
            <w:vAlign w:val="center"/>
            <w:hideMark/>
          </w:tcPr>
          <w:p w14:paraId="26C1CF26" w14:textId="77777777" w:rsidR="009E086F" w:rsidRPr="00BF2CF2" w:rsidRDefault="009E086F" w:rsidP="00562DA7">
            <w:pPr>
              <w:widowControl/>
              <w:jc w:val="left"/>
              <w:rPr>
                <w:rFonts w:cs="Arial"/>
                <w:color w:val="000000"/>
                <w:sz w:val="20"/>
                <w:lang w:eastAsia="es-MX"/>
              </w:rPr>
            </w:pPr>
            <w:r w:rsidRPr="00BF2CF2">
              <w:rPr>
                <w:rFonts w:cs="Arial"/>
                <w:sz w:val="20"/>
                <w:lang w:eastAsia="es-MX"/>
              </w:rPr>
              <w:t>2 a 5 personas</w:t>
            </w:r>
          </w:p>
        </w:tc>
        <w:tc>
          <w:tcPr>
            <w:tcW w:w="1600" w:type="dxa"/>
            <w:tcBorders>
              <w:top w:val="nil"/>
              <w:left w:val="nil"/>
              <w:bottom w:val="nil"/>
              <w:right w:val="nil"/>
            </w:tcBorders>
            <w:shd w:val="clear" w:color="auto" w:fill="CCE2E6"/>
            <w:vAlign w:val="center"/>
            <w:hideMark/>
          </w:tcPr>
          <w:p w14:paraId="7434A444" w14:textId="77777777" w:rsidR="009E086F" w:rsidRPr="00BF2CF2" w:rsidRDefault="009E086F" w:rsidP="00562DA7">
            <w:pPr>
              <w:widowControl/>
              <w:jc w:val="center"/>
              <w:rPr>
                <w:rFonts w:cs="Arial"/>
                <w:color w:val="000000"/>
                <w:sz w:val="20"/>
                <w:lang w:eastAsia="es-MX"/>
              </w:rPr>
            </w:pPr>
            <w:r w:rsidRPr="00BF2CF2">
              <w:rPr>
                <w:rFonts w:cs="Arial"/>
                <w:sz w:val="20"/>
                <w:lang w:eastAsia="es-MX"/>
              </w:rPr>
              <w:t>74.0</w:t>
            </w:r>
          </w:p>
        </w:tc>
        <w:tc>
          <w:tcPr>
            <w:tcW w:w="1600" w:type="dxa"/>
            <w:tcBorders>
              <w:top w:val="nil"/>
              <w:left w:val="nil"/>
              <w:bottom w:val="nil"/>
              <w:right w:val="nil"/>
            </w:tcBorders>
            <w:shd w:val="clear" w:color="auto" w:fill="CCE2E6"/>
            <w:vAlign w:val="center"/>
            <w:hideMark/>
          </w:tcPr>
          <w:p w14:paraId="228EBF23" w14:textId="77777777" w:rsidR="009E086F" w:rsidRPr="00BF2CF2" w:rsidRDefault="009E086F" w:rsidP="00562DA7">
            <w:pPr>
              <w:widowControl/>
              <w:jc w:val="center"/>
              <w:rPr>
                <w:rFonts w:cs="Arial"/>
                <w:color w:val="000000"/>
                <w:sz w:val="20"/>
                <w:lang w:eastAsia="es-MX"/>
              </w:rPr>
            </w:pPr>
            <w:r w:rsidRPr="00BF2CF2">
              <w:rPr>
                <w:rFonts w:cs="Arial"/>
                <w:sz w:val="20"/>
                <w:lang w:eastAsia="es-MX"/>
              </w:rPr>
              <w:t>75.5</w:t>
            </w:r>
          </w:p>
        </w:tc>
        <w:tc>
          <w:tcPr>
            <w:tcW w:w="1600" w:type="dxa"/>
            <w:tcBorders>
              <w:top w:val="nil"/>
              <w:left w:val="nil"/>
              <w:bottom w:val="nil"/>
              <w:right w:val="nil"/>
            </w:tcBorders>
            <w:shd w:val="clear" w:color="auto" w:fill="CCE2E6"/>
            <w:vAlign w:val="center"/>
            <w:hideMark/>
          </w:tcPr>
          <w:p w14:paraId="5947740F" w14:textId="77777777" w:rsidR="009E086F" w:rsidRPr="00BF2CF2" w:rsidRDefault="009E086F" w:rsidP="00562DA7">
            <w:pPr>
              <w:widowControl/>
              <w:jc w:val="center"/>
              <w:rPr>
                <w:rFonts w:cs="Arial"/>
                <w:color w:val="000000"/>
                <w:sz w:val="20"/>
                <w:lang w:eastAsia="es-MX"/>
              </w:rPr>
            </w:pPr>
            <w:r w:rsidRPr="00BF2CF2">
              <w:rPr>
                <w:rFonts w:cs="Arial"/>
                <w:sz w:val="20"/>
                <w:lang w:eastAsia="es-MX"/>
              </w:rPr>
              <w:t>70.3</w:t>
            </w:r>
          </w:p>
        </w:tc>
      </w:tr>
      <w:tr w:rsidR="009E086F" w:rsidRPr="00BF2CF2" w14:paraId="6ECE95BE" w14:textId="77777777" w:rsidTr="00562DA7">
        <w:trPr>
          <w:trHeight w:val="300"/>
        </w:trPr>
        <w:tc>
          <w:tcPr>
            <w:tcW w:w="220" w:type="dxa"/>
            <w:tcBorders>
              <w:top w:val="nil"/>
              <w:left w:val="nil"/>
              <w:bottom w:val="nil"/>
              <w:right w:val="nil"/>
            </w:tcBorders>
            <w:shd w:val="clear" w:color="auto" w:fill="CCE2E6"/>
            <w:noWrap/>
            <w:vAlign w:val="bottom"/>
            <w:hideMark/>
          </w:tcPr>
          <w:p w14:paraId="169D084D" w14:textId="77777777" w:rsidR="009E086F" w:rsidRPr="00BF2CF2" w:rsidRDefault="009E086F" w:rsidP="00562DA7">
            <w:pPr>
              <w:widowControl/>
              <w:jc w:val="left"/>
              <w:rPr>
                <w:rFonts w:ascii="Times New Roman" w:hAnsi="Times New Roman"/>
                <w:color w:val="000000"/>
                <w:sz w:val="20"/>
                <w:lang w:eastAsia="es-MX"/>
              </w:rPr>
            </w:pPr>
            <w:r w:rsidRPr="00BF2CF2">
              <w:rPr>
                <w:rFonts w:ascii="Times New Roman" w:hAnsi="Times New Roman"/>
                <w:color w:val="000000"/>
                <w:sz w:val="20"/>
                <w:lang w:eastAsia="es-MX"/>
              </w:rPr>
              <w:t> </w:t>
            </w:r>
          </w:p>
        </w:tc>
        <w:tc>
          <w:tcPr>
            <w:tcW w:w="4760" w:type="dxa"/>
            <w:tcBorders>
              <w:top w:val="nil"/>
              <w:left w:val="nil"/>
              <w:bottom w:val="nil"/>
              <w:right w:val="nil"/>
            </w:tcBorders>
            <w:shd w:val="clear" w:color="auto" w:fill="CCE2E6"/>
            <w:vAlign w:val="center"/>
            <w:hideMark/>
          </w:tcPr>
          <w:p w14:paraId="21544119" w14:textId="77777777" w:rsidR="009E086F" w:rsidRPr="00BF2CF2" w:rsidRDefault="009E086F" w:rsidP="00562DA7">
            <w:pPr>
              <w:widowControl/>
              <w:jc w:val="left"/>
              <w:rPr>
                <w:rFonts w:cs="Arial"/>
                <w:color w:val="000000"/>
                <w:sz w:val="20"/>
                <w:lang w:eastAsia="es-MX"/>
              </w:rPr>
            </w:pPr>
            <w:r w:rsidRPr="00BF2CF2">
              <w:rPr>
                <w:rFonts w:cs="Arial"/>
                <w:sz w:val="20"/>
                <w:lang w:eastAsia="es-MX"/>
              </w:rPr>
              <w:t>6 a 10 personas</w:t>
            </w:r>
          </w:p>
        </w:tc>
        <w:tc>
          <w:tcPr>
            <w:tcW w:w="1600" w:type="dxa"/>
            <w:tcBorders>
              <w:top w:val="nil"/>
              <w:left w:val="nil"/>
              <w:bottom w:val="nil"/>
              <w:right w:val="nil"/>
            </w:tcBorders>
            <w:shd w:val="clear" w:color="auto" w:fill="CCE2E6"/>
            <w:vAlign w:val="center"/>
            <w:hideMark/>
          </w:tcPr>
          <w:p w14:paraId="38522EBB" w14:textId="77777777" w:rsidR="009E086F" w:rsidRPr="00BF2CF2" w:rsidRDefault="009E086F" w:rsidP="00562DA7">
            <w:pPr>
              <w:widowControl/>
              <w:jc w:val="center"/>
              <w:rPr>
                <w:rFonts w:cs="Arial"/>
                <w:color w:val="000000"/>
                <w:sz w:val="20"/>
                <w:lang w:eastAsia="es-MX"/>
              </w:rPr>
            </w:pPr>
            <w:r w:rsidRPr="00BF2CF2">
              <w:rPr>
                <w:rFonts w:cs="Arial"/>
                <w:sz w:val="20"/>
                <w:lang w:eastAsia="es-MX"/>
              </w:rPr>
              <w:t>10.2</w:t>
            </w:r>
          </w:p>
        </w:tc>
        <w:tc>
          <w:tcPr>
            <w:tcW w:w="1600" w:type="dxa"/>
            <w:tcBorders>
              <w:top w:val="nil"/>
              <w:left w:val="nil"/>
              <w:bottom w:val="nil"/>
              <w:right w:val="nil"/>
            </w:tcBorders>
            <w:shd w:val="clear" w:color="auto" w:fill="CCE2E6"/>
            <w:vAlign w:val="center"/>
            <w:hideMark/>
          </w:tcPr>
          <w:p w14:paraId="43D77CD2" w14:textId="77777777" w:rsidR="009E086F" w:rsidRPr="00BF2CF2" w:rsidRDefault="009E086F" w:rsidP="00562DA7">
            <w:pPr>
              <w:widowControl/>
              <w:jc w:val="center"/>
              <w:rPr>
                <w:rFonts w:cs="Arial"/>
                <w:color w:val="000000"/>
                <w:sz w:val="20"/>
                <w:lang w:eastAsia="es-MX"/>
              </w:rPr>
            </w:pPr>
            <w:r w:rsidRPr="00BF2CF2">
              <w:rPr>
                <w:rFonts w:cs="Arial"/>
                <w:sz w:val="20"/>
                <w:lang w:eastAsia="es-MX"/>
              </w:rPr>
              <w:t>10.7</w:t>
            </w:r>
          </w:p>
        </w:tc>
        <w:tc>
          <w:tcPr>
            <w:tcW w:w="1600" w:type="dxa"/>
            <w:tcBorders>
              <w:top w:val="nil"/>
              <w:left w:val="nil"/>
              <w:bottom w:val="nil"/>
              <w:right w:val="nil"/>
            </w:tcBorders>
            <w:shd w:val="clear" w:color="auto" w:fill="CCE2E6"/>
            <w:vAlign w:val="center"/>
            <w:hideMark/>
          </w:tcPr>
          <w:p w14:paraId="3CDC69AB" w14:textId="77777777" w:rsidR="009E086F" w:rsidRPr="00BF2CF2" w:rsidRDefault="009E086F" w:rsidP="00562DA7">
            <w:pPr>
              <w:widowControl/>
              <w:jc w:val="center"/>
              <w:rPr>
                <w:rFonts w:cs="Arial"/>
                <w:color w:val="000000"/>
                <w:sz w:val="20"/>
                <w:lang w:eastAsia="es-MX"/>
              </w:rPr>
            </w:pPr>
            <w:r w:rsidRPr="00BF2CF2">
              <w:rPr>
                <w:rFonts w:cs="Arial"/>
                <w:sz w:val="20"/>
                <w:lang w:eastAsia="es-MX"/>
              </w:rPr>
              <w:t>9.0</w:t>
            </w:r>
          </w:p>
        </w:tc>
      </w:tr>
      <w:tr w:rsidR="009E086F" w:rsidRPr="00BF2CF2" w14:paraId="609EF2A3" w14:textId="77777777" w:rsidTr="00562DA7">
        <w:trPr>
          <w:trHeight w:val="300"/>
        </w:trPr>
        <w:tc>
          <w:tcPr>
            <w:tcW w:w="220" w:type="dxa"/>
            <w:tcBorders>
              <w:top w:val="nil"/>
              <w:left w:val="nil"/>
              <w:bottom w:val="nil"/>
              <w:right w:val="nil"/>
            </w:tcBorders>
            <w:shd w:val="clear" w:color="auto" w:fill="CCE2E6"/>
            <w:noWrap/>
            <w:vAlign w:val="bottom"/>
            <w:hideMark/>
          </w:tcPr>
          <w:p w14:paraId="065384F3" w14:textId="77777777" w:rsidR="009E086F" w:rsidRPr="00BF2CF2" w:rsidRDefault="009E086F" w:rsidP="00562DA7">
            <w:pPr>
              <w:widowControl/>
              <w:jc w:val="left"/>
              <w:rPr>
                <w:rFonts w:ascii="Times New Roman" w:hAnsi="Times New Roman"/>
                <w:color w:val="000000"/>
                <w:sz w:val="20"/>
                <w:lang w:eastAsia="es-MX"/>
              </w:rPr>
            </w:pPr>
            <w:r w:rsidRPr="00BF2CF2">
              <w:rPr>
                <w:rFonts w:ascii="Times New Roman" w:hAnsi="Times New Roman"/>
                <w:color w:val="000000"/>
                <w:sz w:val="20"/>
                <w:lang w:eastAsia="es-MX"/>
              </w:rPr>
              <w:t> </w:t>
            </w:r>
          </w:p>
        </w:tc>
        <w:tc>
          <w:tcPr>
            <w:tcW w:w="4760" w:type="dxa"/>
            <w:tcBorders>
              <w:top w:val="nil"/>
              <w:left w:val="nil"/>
              <w:bottom w:val="nil"/>
              <w:right w:val="nil"/>
            </w:tcBorders>
            <w:shd w:val="clear" w:color="auto" w:fill="CCE2E6"/>
            <w:vAlign w:val="center"/>
            <w:hideMark/>
          </w:tcPr>
          <w:p w14:paraId="4D20198C" w14:textId="77777777" w:rsidR="009E086F" w:rsidRPr="00BF2CF2" w:rsidRDefault="009E086F" w:rsidP="00562DA7">
            <w:pPr>
              <w:widowControl/>
              <w:jc w:val="left"/>
              <w:rPr>
                <w:rFonts w:cs="Arial"/>
                <w:color w:val="000000"/>
                <w:sz w:val="20"/>
                <w:lang w:eastAsia="es-MX"/>
              </w:rPr>
            </w:pPr>
            <w:r w:rsidRPr="00BF2CF2">
              <w:rPr>
                <w:rFonts w:cs="Arial"/>
                <w:sz w:val="20"/>
                <w:lang w:eastAsia="es-MX"/>
              </w:rPr>
              <w:t>11 a 15 personas</w:t>
            </w:r>
          </w:p>
        </w:tc>
        <w:tc>
          <w:tcPr>
            <w:tcW w:w="1600" w:type="dxa"/>
            <w:tcBorders>
              <w:top w:val="nil"/>
              <w:left w:val="nil"/>
              <w:bottom w:val="nil"/>
              <w:right w:val="nil"/>
            </w:tcBorders>
            <w:shd w:val="clear" w:color="auto" w:fill="CCE2E6"/>
            <w:vAlign w:val="center"/>
            <w:hideMark/>
          </w:tcPr>
          <w:p w14:paraId="6380DD55" w14:textId="77777777" w:rsidR="009E086F" w:rsidRPr="00BF2CF2" w:rsidRDefault="009E086F" w:rsidP="00562DA7">
            <w:pPr>
              <w:widowControl/>
              <w:jc w:val="center"/>
              <w:rPr>
                <w:rFonts w:cs="Arial"/>
                <w:color w:val="000000"/>
                <w:sz w:val="20"/>
                <w:lang w:eastAsia="es-MX"/>
              </w:rPr>
            </w:pPr>
            <w:r w:rsidRPr="00BF2CF2">
              <w:rPr>
                <w:rFonts w:cs="Arial"/>
                <w:sz w:val="20"/>
                <w:lang w:eastAsia="es-MX"/>
              </w:rPr>
              <w:t>2.5</w:t>
            </w:r>
          </w:p>
        </w:tc>
        <w:tc>
          <w:tcPr>
            <w:tcW w:w="1600" w:type="dxa"/>
            <w:tcBorders>
              <w:top w:val="nil"/>
              <w:left w:val="nil"/>
              <w:bottom w:val="nil"/>
              <w:right w:val="nil"/>
            </w:tcBorders>
            <w:shd w:val="clear" w:color="auto" w:fill="CCE2E6"/>
            <w:vAlign w:val="center"/>
            <w:hideMark/>
          </w:tcPr>
          <w:p w14:paraId="61B7FF09" w14:textId="77777777" w:rsidR="009E086F" w:rsidRPr="00BF2CF2" w:rsidRDefault="009E086F" w:rsidP="00562DA7">
            <w:pPr>
              <w:widowControl/>
              <w:jc w:val="center"/>
              <w:rPr>
                <w:rFonts w:cs="Arial"/>
                <w:color w:val="000000"/>
                <w:sz w:val="20"/>
                <w:lang w:eastAsia="es-MX"/>
              </w:rPr>
            </w:pPr>
            <w:r w:rsidRPr="00BF2CF2">
              <w:rPr>
                <w:rFonts w:cs="Arial"/>
                <w:sz w:val="20"/>
                <w:lang w:eastAsia="es-MX"/>
              </w:rPr>
              <w:t>2.7</w:t>
            </w:r>
          </w:p>
        </w:tc>
        <w:tc>
          <w:tcPr>
            <w:tcW w:w="1600" w:type="dxa"/>
            <w:tcBorders>
              <w:top w:val="nil"/>
              <w:left w:val="nil"/>
              <w:bottom w:val="nil"/>
              <w:right w:val="nil"/>
            </w:tcBorders>
            <w:shd w:val="clear" w:color="auto" w:fill="CCE2E6"/>
            <w:vAlign w:val="center"/>
            <w:hideMark/>
          </w:tcPr>
          <w:p w14:paraId="6ABFF175" w14:textId="77777777" w:rsidR="009E086F" w:rsidRPr="00BF2CF2" w:rsidRDefault="009E086F" w:rsidP="00562DA7">
            <w:pPr>
              <w:widowControl/>
              <w:jc w:val="center"/>
              <w:rPr>
                <w:rFonts w:cs="Arial"/>
                <w:color w:val="000000"/>
                <w:sz w:val="20"/>
                <w:lang w:eastAsia="es-MX"/>
              </w:rPr>
            </w:pPr>
            <w:r w:rsidRPr="00BF2CF2">
              <w:rPr>
                <w:rFonts w:cs="Arial"/>
                <w:sz w:val="20"/>
                <w:lang w:eastAsia="es-MX"/>
              </w:rPr>
              <w:t>1.9</w:t>
            </w:r>
          </w:p>
        </w:tc>
      </w:tr>
      <w:tr w:rsidR="009E086F" w:rsidRPr="00BF2CF2" w14:paraId="5E18EEC9" w14:textId="77777777" w:rsidTr="00562DA7">
        <w:trPr>
          <w:trHeight w:val="300"/>
        </w:trPr>
        <w:tc>
          <w:tcPr>
            <w:tcW w:w="220" w:type="dxa"/>
            <w:tcBorders>
              <w:top w:val="nil"/>
              <w:left w:val="nil"/>
              <w:right w:val="nil"/>
            </w:tcBorders>
            <w:shd w:val="clear" w:color="auto" w:fill="CCE2E6"/>
            <w:noWrap/>
            <w:vAlign w:val="bottom"/>
            <w:hideMark/>
          </w:tcPr>
          <w:p w14:paraId="4CCF4EF3" w14:textId="77777777" w:rsidR="009E086F" w:rsidRPr="00BF2CF2" w:rsidRDefault="009E086F" w:rsidP="00562DA7">
            <w:pPr>
              <w:widowControl/>
              <w:jc w:val="left"/>
              <w:rPr>
                <w:rFonts w:ascii="Times New Roman" w:hAnsi="Times New Roman"/>
                <w:color w:val="000000"/>
                <w:sz w:val="20"/>
                <w:lang w:eastAsia="es-MX"/>
              </w:rPr>
            </w:pPr>
            <w:r w:rsidRPr="00BF2CF2">
              <w:rPr>
                <w:rFonts w:ascii="Times New Roman" w:hAnsi="Times New Roman" w:cs="Arial"/>
                <w:color w:val="000000"/>
                <w:sz w:val="20"/>
                <w:lang w:eastAsia="es-MX"/>
              </w:rPr>
              <w:t> </w:t>
            </w:r>
          </w:p>
        </w:tc>
        <w:tc>
          <w:tcPr>
            <w:tcW w:w="4760" w:type="dxa"/>
            <w:tcBorders>
              <w:top w:val="nil"/>
              <w:left w:val="nil"/>
              <w:right w:val="nil"/>
            </w:tcBorders>
            <w:shd w:val="clear" w:color="auto" w:fill="CCE2E6"/>
            <w:vAlign w:val="center"/>
            <w:hideMark/>
          </w:tcPr>
          <w:p w14:paraId="4814A428" w14:textId="77777777" w:rsidR="009E086F" w:rsidRPr="00BF2CF2" w:rsidRDefault="009E086F" w:rsidP="00562DA7">
            <w:pPr>
              <w:widowControl/>
              <w:jc w:val="left"/>
              <w:rPr>
                <w:rFonts w:cs="Arial"/>
                <w:color w:val="000000"/>
                <w:sz w:val="20"/>
                <w:lang w:eastAsia="es-MX"/>
              </w:rPr>
            </w:pPr>
            <w:r w:rsidRPr="00BF2CF2">
              <w:rPr>
                <w:rFonts w:cs="Arial"/>
                <w:sz w:val="20"/>
                <w:lang w:eastAsia="es-MX"/>
              </w:rPr>
              <w:t>16 y más personas</w:t>
            </w:r>
          </w:p>
        </w:tc>
        <w:tc>
          <w:tcPr>
            <w:tcW w:w="1600" w:type="dxa"/>
            <w:tcBorders>
              <w:top w:val="nil"/>
              <w:left w:val="nil"/>
              <w:right w:val="nil"/>
            </w:tcBorders>
            <w:shd w:val="clear" w:color="auto" w:fill="CCE2E6"/>
            <w:vAlign w:val="center"/>
            <w:hideMark/>
          </w:tcPr>
          <w:p w14:paraId="5AEA713D" w14:textId="77777777" w:rsidR="009E086F" w:rsidRPr="00BF2CF2" w:rsidRDefault="009E086F" w:rsidP="00562DA7">
            <w:pPr>
              <w:widowControl/>
              <w:jc w:val="center"/>
              <w:rPr>
                <w:rFonts w:cs="Arial"/>
                <w:color w:val="000000"/>
                <w:sz w:val="20"/>
                <w:lang w:eastAsia="es-MX"/>
              </w:rPr>
            </w:pPr>
            <w:r w:rsidRPr="00BF2CF2">
              <w:rPr>
                <w:rFonts w:cs="Arial"/>
                <w:sz w:val="20"/>
                <w:lang w:eastAsia="es-MX"/>
              </w:rPr>
              <w:t>6.2</w:t>
            </w:r>
          </w:p>
        </w:tc>
        <w:tc>
          <w:tcPr>
            <w:tcW w:w="1600" w:type="dxa"/>
            <w:tcBorders>
              <w:top w:val="nil"/>
              <w:left w:val="nil"/>
              <w:right w:val="nil"/>
            </w:tcBorders>
            <w:shd w:val="clear" w:color="auto" w:fill="CCE2E6"/>
            <w:vAlign w:val="center"/>
            <w:hideMark/>
          </w:tcPr>
          <w:p w14:paraId="6F0721C6" w14:textId="77777777" w:rsidR="009E086F" w:rsidRPr="00BF2CF2" w:rsidRDefault="009E086F" w:rsidP="00562DA7">
            <w:pPr>
              <w:widowControl/>
              <w:jc w:val="center"/>
              <w:rPr>
                <w:rFonts w:cs="Arial"/>
                <w:color w:val="000000"/>
                <w:sz w:val="20"/>
                <w:lang w:eastAsia="es-MX"/>
              </w:rPr>
            </w:pPr>
            <w:r w:rsidRPr="00BF2CF2">
              <w:rPr>
                <w:rFonts w:cs="Arial"/>
                <w:sz w:val="20"/>
                <w:lang w:eastAsia="es-MX"/>
              </w:rPr>
              <w:t>5.5</w:t>
            </w:r>
          </w:p>
        </w:tc>
        <w:tc>
          <w:tcPr>
            <w:tcW w:w="1600" w:type="dxa"/>
            <w:tcBorders>
              <w:top w:val="nil"/>
              <w:left w:val="nil"/>
              <w:right w:val="nil"/>
            </w:tcBorders>
            <w:shd w:val="clear" w:color="auto" w:fill="CCE2E6"/>
            <w:vAlign w:val="center"/>
            <w:hideMark/>
          </w:tcPr>
          <w:p w14:paraId="7FA7A95A" w14:textId="77777777" w:rsidR="009E086F" w:rsidRPr="00BF2CF2" w:rsidRDefault="009E086F" w:rsidP="00562DA7">
            <w:pPr>
              <w:widowControl/>
              <w:jc w:val="center"/>
              <w:rPr>
                <w:rFonts w:cs="Arial"/>
                <w:color w:val="000000"/>
                <w:sz w:val="20"/>
                <w:lang w:eastAsia="es-MX"/>
              </w:rPr>
            </w:pPr>
            <w:r w:rsidRPr="00BF2CF2">
              <w:rPr>
                <w:rFonts w:cs="Arial"/>
                <w:sz w:val="20"/>
                <w:lang w:eastAsia="es-MX"/>
              </w:rPr>
              <w:t>7.9</w:t>
            </w:r>
          </w:p>
        </w:tc>
      </w:tr>
      <w:tr w:rsidR="009E086F" w:rsidRPr="00BF2CF2" w14:paraId="3939F596" w14:textId="77777777" w:rsidTr="00562DA7">
        <w:trPr>
          <w:trHeight w:val="300"/>
        </w:trPr>
        <w:tc>
          <w:tcPr>
            <w:tcW w:w="220" w:type="dxa"/>
            <w:tcBorders>
              <w:top w:val="nil"/>
              <w:left w:val="nil"/>
              <w:right w:val="nil"/>
            </w:tcBorders>
            <w:shd w:val="clear" w:color="auto" w:fill="CCE2E6"/>
            <w:vAlign w:val="center"/>
            <w:hideMark/>
          </w:tcPr>
          <w:p w14:paraId="7D8D700E" w14:textId="77777777" w:rsidR="009E086F" w:rsidRPr="00BF2CF2" w:rsidRDefault="009E086F" w:rsidP="00562DA7">
            <w:pPr>
              <w:widowControl/>
              <w:jc w:val="left"/>
              <w:rPr>
                <w:rFonts w:ascii="Times New Roman" w:hAnsi="Times New Roman"/>
                <w:color w:val="000000"/>
                <w:sz w:val="20"/>
                <w:lang w:eastAsia="es-MX"/>
              </w:rPr>
            </w:pPr>
            <w:r w:rsidRPr="00BF2CF2">
              <w:rPr>
                <w:rFonts w:ascii="Times New Roman" w:hAnsi="Times New Roman" w:cs="Arial"/>
                <w:color w:val="000000"/>
                <w:sz w:val="20"/>
                <w:lang w:eastAsia="es-MX"/>
              </w:rPr>
              <w:t> </w:t>
            </w:r>
          </w:p>
        </w:tc>
        <w:tc>
          <w:tcPr>
            <w:tcW w:w="4760" w:type="dxa"/>
            <w:tcBorders>
              <w:top w:val="nil"/>
              <w:left w:val="nil"/>
              <w:right w:val="nil"/>
            </w:tcBorders>
            <w:shd w:val="clear" w:color="auto" w:fill="CCE2E6"/>
            <w:vAlign w:val="center"/>
            <w:hideMark/>
          </w:tcPr>
          <w:p w14:paraId="3610BD87" w14:textId="77777777" w:rsidR="009E086F" w:rsidRPr="00BF2CF2" w:rsidRDefault="009E086F" w:rsidP="00562DA7">
            <w:pPr>
              <w:widowControl/>
              <w:jc w:val="left"/>
              <w:rPr>
                <w:rFonts w:cs="Arial"/>
                <w:color w:val="000000"/>
                <w:sz w:val="20"/>
                <w:lang w:eastAsia="es-MX"/>
              </w:rPr>
            </w:pPr>
            <w:r w:rsidRPr="00BF2CF2">
              <w:rPr>
                <w:rFonts w:cs="Arial"/>
                <w:sz w:val="20"/>
                <w:lang w:eastAsia="es-MX"/>
              </w:rPr>
              <w:t>No especificado</w:t>
            </w:r>
          </w:p>
        </w:tc>
        <w:tc>
          <w:tcPr>
            <w:tcW w:w="1600" w:type="dxa"/>
            <w:tcBorders>
              <w:top w:val="nil"/>
              <w:left w:val="nil"/>
              <w:right w:val="nil"/>
            </w:tcBorders>
            <w:shd w:val="clear" w:color="auto" w:fill="CCE2E6"/>
            <w:vAlign w:val="center"/>
            <w:hideMark/>
          </w:tcPr>
          <w:p w14:paraId="3B43A202" w14:textId="77777777" w:rsidR="009E086F" w:rsidRPr="00BF2CF2" w:rsidRDefault="009E086F" w:rsidP="00562DA7">
            <w:pPr>
              <w:widowControl/>
              <w:jc w:val="center"/>
              <w:rPr>
                <w:rFonts w:cs="Arial"/>
                <w:color w:val="000000"/>
                <w:sz w:val="20"/>
                <w:lang w:eastAsia="es-MX"/>
              </w:rPr>
            </w:pPr>
            <w:r w:rsidRPr="00BF2CF2">
              <w:rPr>
                <w:rFonts w:cs="Arial"/>
                <w:sz w:val="20"/>
                <w:lang w:eastAsia="es-MX"/>
              </w:rPr>
              <w:t>2.1</w:t>
            </w:r>
          </w:p>
        </w:tc>
        <w:tc>
          <w:tcPr>
            <w:tcW w:w="1600" w:type="dxa"/>
            <w:tcBorders>
              <w:top w:val="nil"/>
              <w:left w:val="nil"/>
              <w:right w:val="nil"/>
            </w:tcBorders>
            <w:shd w:val="clear" w:color="auto" w:fill="CCE2E6"/>
            <w:vAlign w:val="center"/>
            <w:hideMark/>
          </w:tcPr>
          <w:p w14:paraId="2CAB08E2" w14:textId="77777777" w:rsidR="009E086F" w:rsidRPr="00BF2CF2" w:rsidRDefault="009E086F" w:rsidP="00562DA7">
            <w:pPr>
              <w:widowControl/>
              <w:jc w:val="center"/>
              <w:rPr>
                <w:rFonts w:cs="Arial"/>
                <w:color w:val="000000"/>
                <w:sz w:val="20"/>
                <w:lang w:eastAsia="es-MX"/>
              </w:rPr>
            </w:pPr>
            <w:r w:rsidRPr="00BF2CF2">
              <w:rPr>
                <w:rFonts w:cs="Arial"/>
                <w:sz w:val="20"/>
                <w:lang w:eastAsia="es-MX"/>
              </w:rPr>
              <w:t>2.5</w:t>
            </w:r>
          </w:p>
        </w:tc>
        <w:tc>
          <w:tcPr>
            <w:tcW w:w="1600" w:type="dxa"/>
            <w:tcBorders>
              <w:top w:val="nil"/>
              <w:left w:val="nil"/>
              <w:right w:val="nil"/>
            </w:tcBorders>
            <w:shd w:val="clear" w:color="auto" w:fill="CCE2E6"/>
            <w:vAlign w:val="center"/>
            <w:hideMark/>
          </w:tcPr>
          <w:p w14:paraId="38809DFE" w14:textId="77777777" w:rsidR="009E086F" w:rsidRPr="00BF2CF2" w:rsidRDefault="009E086F" w:rsidP="00562DA7">
            <w:pPr>
              <w:widowControl/>
              <w:jc w:val="center"/>
              <w:rPr>
                <w:rFonts w:cs="Arial"/>
                <w:color w:val="000000"/>
                <w:sz w:val="20"/>
                <w:lang w:eastAsia="es-MX"/>
              </w:rPr>
            </w:pPr>
            <w:r w:rsidRPr="00BF2CF2">
              <w:rPr>
                <w:rFonts w:cs="Arial"/>
                <w:sz w:val="20"/>
                <w:lang w:eastAsia="es-MX"/>
              </w:rPr>
              <w:t>1.1</w:t>
            </w:r>
          </w:p>
        </w:tc>
      </w:tr>
    </w:tbl>
    <w:p w14:paraId="7F8F4CF0" w14:textId="51EB57B6" w:rsidR="009E086F" w:rsidRPr="00560388" w:rsidRDefault="009E086F" w:rsidP="009E086F">
      <w:pPr>
        <w:widowControl/>
        <w:autoSpaceDE w:val="0"/>
        <w:autoSpaceDN w:val="0"/>
        <w:adjustRightInd w:val="0"/>
        <w:rPr>
          <w:rFonts w:cs="Arial"/>
          <w:sz w:val="16"/>
          <w:szCs w:val="16"/>
        </w:rPr>
      </w:pPr>
      <w:r w:rsidRPr="00560388">
        <w:rPr>
          <w:rFonts w:cs="Arial"/>
          <w:color w:val="000000" w:themeColor="text1"/>
          <w:sz w:val="16"/>
          <w:szCs w:val="16"/>
        </w:rPr>
        <w:t>Fuente: INEGI, ENTI. 2022.</w:t>
      </w:r>
    </w:p>
    <w:p w14:paraId="2BDB56B7" w14:textId="77777777" w:rsidR="008011F7" w:rsidRPr="00C45DD9" w:rsidRDefault="008011F7" w:rsidP="00711D85">
      <w:pPr>
        <w:widowControl/>
        <w:autoSpaceDE w:val="0"/>
        <w:autoSpaceDN w:val="0"/>
        <w:adjustRightInd w:val="0"/>
        <w:rPr>
          <w:rFonts w:cs="Arial"/>
          <w:color w:val="000000"/>
          <w:szCs w:val="24"/>
        </w:rPr>
      </w:pPr>
    </w:p>
    <w:p w14:paraId="279947CB" w14:textId="58EC973F" w:rsidR="00791592" w:rsidRPr="00C45DD9" w:rsidRDefault="00D92FDD" w:rsidP="0032199D">
      <w:pPr>
        <w:widowControl/>
        <w:autoSpaceDE w:val="0"/>
        <w:autoSpaceDN w:val="0"/>
        <w:adjustRightInd w:val="0"/>
        <w:ind w:right="51"/>
        <w:rPr>
          <w:rFonts w:cs="Arial"/>
          <w:color w:val="000000"/>
          <w:szCs w:val="24"/>
        </w:rPr>
      </w:pPr>
      <w:r w:rsidRPr="00C45DD9">
        <w:rPr>
          <w:rFonts w:cs="Arial"/>
          <w:color w:val="000000"/>
          <w:szCs w:val="24"/>
        </w:rPr>
        <w:lastRenderedPageBreak/>
        <w:t>Las niñas y los niños</w:t>
      </w:r>
      <w:r w:rsidR="00791592" w:rsidRPr="00C45DD9">
        <w:rPr>
          <w:rFonts w:cs="Arial"/>
          <w:color w:val="000000"/>
          <w:szCs w:val="24"/>
        </w:rPr>
        <w:t xml:space="preserve"> </w:t>
      </w:r>
      <w:r w:rsidR="00FA2AD5" w:rsidRPr="00C45DD9">
        <w:rPr>
          <w:rFonts w:cs="Arial"/>
          <w:color w:val="000000"/>
          <w:szCs w:val="24"/>
        </w:rPr>
        <w:t>que</w:t>
      </w:r>
      <w:r w:rsidR="00791592" w:rsidRPr="00C45DD9">
        <w:rPr>
          <w:rFonts w:cs="Arial"/>
          <w:color w:val="000000"/>
          <w:szCs w:val="24"/>
        </w:rPr>
        <w:t xml:space="preserve"> en la ocupación no permitida desempeñaron su trabajo en unidades económicas </w:t>
      </w:r>
      <w:r w:rsidR="002D40E6" w:rsidRPr="00C45DD9">
        <w:rPr>
          <w:rFonts w:cs="Arial"/>
          <w:color w:val="000000"/>
          <w:szCs w:val="24"/>
        </w:rPr>
        <w:t>sin</w:t>
      </w:r>
      <w:r w:rsidR="00791592" w:rsidRPr="00C45DD9">
        <w:rPr>
          <w:rFonts w:cs="Arial"/>
          <w:color w:val="000000"/>
          <w:szCs w:val="24"/>
        </w:rPr>
        <w:t xml:space="preserve"> local para trabajar, </w:t>
      </w:r>
      <w:r w:rsidR="00C108E4" w:rsidRPr="00C45DD9">
        <w:rPr>
          <w:rFonts w:cs="Arial"/>
          <w:color w:val="000000"/>
          <w:szCs w:val="24"/>
        </w:rPr>
        <w:t>sumaron</w:t>
      </w:r>
      <w:r w:rsidR="004E39E8" w:rsidRPr="00C45DD9">
        <w:rPr>
          <w:rFonts w:cs="Arial"/>
          <w:color w:val="000000"/>
          <w:szCs w:val="24"/>
        </w:rPr>
        <w:t xml:space="preserve"> </w:t>
      </w:r>
      <w:r w:rsidR="00791592" w:rsidRPr="00C45DD9">
        <w:rPr>
          <w:rFonts w:cs="Arial"/>
          <w:color w:val="000000"/>
          <w:szCs w:val="24"/>
        </w:rPr>
        <w:t>66.3 %; en l</w:t>
      </w:r>
      <w:r w:rsidR="00711D85" w:rsidRPr="00C45DD9">
        <w:rPr>
          <w:rFonts w:cs="Arial"/>
          <w:color w:val="000000"/>
          <w:szCs w:val="24"/>
        </w:rPr>
        <w:t>a</w:t>
      </w:r>
      <w:r w:rsidR="00791592" w:rsidRPr="00C45DD9">
        <w:rPr>
          <w:rFonts w:cs="Arial"/>
          <w:color w:val="000000"/>
          <w:szCs w:val="24"/>
        </w:rPr>
        <w:t>s niñ</w:t>
      </w:r>
      <w:r w:rsidR="00711D85" w:rsidRPr="00C45DD9">
        <w:rPr>
          <w:rFonts w:cs="Arial"/>
          <w:color w:val="000000"/>
          <w:szCs w:val="24"/>
        </w:rPr>
        <w:t>a</w:t>
      </w:r>
      <w:r w:rsidR="00791592" w:rsidRPr="00C45DD9">
        <w:rPr>
          <w:rFonts w:cs="Arial"/>
          <w:color w:val="000000"/>
          <w:szCs w:val="24"/>
        </w:rPr>
        <w:t>s</w:t>
      </w:r>
      <w:r w:rsidR="00C108E4" w:rsidRPr="00C45DD9">
        <w:rPr>
          <w:rFonts w:cs="Arial"/>
          <w:color w:val="000000"/>
          <w:szCs w:val="24"/>
        </w:rPr>
        <w:t xml:space="preserve"> </w:t>
      </w:r>
      <w:r w:rsidR="00791592" w:rsidRPr="00C45DD9">
        <w:rPr>
          <w:rFonts w:cs="Arial"/>
          <w:color w:val="000000"/>
          <w:szCs w:val="24"/>
        </w:rPr>
        <w:t xml:space="preserve">fue de </w:t>
      </w:r>
      <w:r w:rsidR="00711D85" w:rsidRPr="00C45DD9">
        <w:rPr>
          <w:rFonts w:cs="Arial"/>
          <w:color w:val="000000"/>
          <w:szCs w:val="24"/>
        </w:rPr>
        <w:t>61.0</w:t>
      </w:r>
      <w:r w:rsidR="00791592" w:rsidRPr="00C45DD9">
        <w:rPr>
          <w:rFonts w:cs="Arial"/>
          <w:color w:val="000000"/>
          <w:szCs w:val="24"/>
        </w:rPr>
        <w:t xml:space="preserve"> % y en l</w:t>
      </w:r>
      <w:r w:rsidR="00711D85" w:rsidRPr="00C45DD9">
        <w:rPr>
          <w:rFonts w:cs="Arial"/>
          <w:color w:val="000000"/>
          <w:szCs w:val="24"/>
        </w:rPr>
        <w:t>o</w:t>
      </w:r>
      <w:r w:rsidR="00791592" w:rsidRPr="00C45DD9">
        <w:rPr>
          <w:rFonts w:cs="Arial"/>
          <w:color w:val="000000"/>
          <w:szCs w:val="24"/>
        </w:rPr>
        <w:t>s niñ</w:t>
      </w:r>
      <w:r w:rsidR="00711D85" w:rsidRPr="00C45DD9">
        <w:rPr>
          <w:rFonts w:cs="Arial"/>
          <w:color w:val="000000"/>
          <w:szCs w:val="24"/>
        </w:rPr>
        <w:t>o</w:t>
      </w:r>
      <w:r w:rsidR="00791592" w:rsidRPr="00C45DD9">
        <w:rPr>
          <w:rFonts w:cs="Arial"/>
          <w:color w:val="000000"/>
          <w:szCs w:val="24"/>
        </w:rPr>
        <w:t>s</w:t>
      </w:r>
      <w:r w:rsidR="00711D85" w:rsidRPr="00C45DD9">
        <w:rPr>
          <w:rFonts w:cs="Arial"/>
          <w:color w:val="000000"/>
          <w:szCs w:val="24"/>
        </w:rPr>
        <w:t>,</w:t>
      </w:r>
      <w:r w:rsidR="00791592" w:rsidRPr="00C45DD9">
        <w:rPr>
          <w:rFonts w:cs="Arial"/>
          <w:color w:val="000000"/>
          <w:szCs w:val="24"/>
        </w:rPr>
        <w:t xml:space="preserve"> de </w:t>
      </w:r>
      <w:r w:rsidR="00711D85" w:rsidRPr="00C45DD9">
        <w:rPr>
          <w:rFonts w:cs="Arial"/>
          <w:color w:val="000000"/>
          <w:szCs w:val="24"/>
        </w:rPr>
        <w:t>68.4</w:t>
      </w:r>
      <w:r w:rsidR="00791592" w:rsidRPr="00C45DD9">
        <w:rPr>
          <w:rFonts w:cs="Arial"/>
          <w:color w:val="000000"/>
          <w:szCs w:val="24"/>
        </w:rPr>
        <w:t xml:space="preserve"> </w:t>
      </w:r>
      <w:r w:rsidR="0032199D">
        <w:rPr>
          <w:rFonts w:cs="Arial"/>
          <w:color w:val="000000"/>
          <w:szCs w:val="24"/>
        </w:rPr>
        <w:t xml:space="preserve">% </w:t>
      </w:r>
      <w:r w:rsidR="00E555D9" w:rsidRPr="00C45DD9">
        <w:rPr>
          <w:rFonts w:cs="Arial"/>
          <w:szCs w:val="24"/>
        </w:rPr>
        <w:t>(ver cuadro 13)</w:t>
      </w:r>
      <w:r w:rsidR="00791592" w:rsidRPr="00C45DD9">
        <w:rPr>
          <w:rFonts w:cs="Arial"/>
          <w:color w:val="000000"/>
          <w:szCs w:val="24"/>
        </w:rPr>
        <w:t>.</w:t>
      </w:r>
    </w:p>
    <w:p w14:paraId="1B13B455" w14:textId="77777777" w:rsidR="009E086F" w:rsidRPr="0032199D" w:rsidRDefault="009E086F" w:rsidP="0032199D">
      <w:pPr>
        <w:widowControl/>
        <w:autoSpaceDE w:val="0"/>
        <w:autoSpaceDN w:val="0"/>
        <w:adjustRightInd w:val="0"/>
        <w:jc w:val="center"/>
        <w:rPr>
          <w:rFonts w:cs="Arial"/>
          <w:color w:val="000000"/>
          <w:sz w:val="20"/>
        </w:rPr>
      </w:pPr>
      <w:r w:rsidRPr="0032199D">
        <w:rPr>
          <w:rFonts w:cs="Arial"/>
          <w:color w:val="000000"/>
          <w:sz w:val="20"/>
        </w:rPr>
        <w:t>Cuadro 13</w:t>
      </w:r>
    </w:p>
    <w:p w14:paraId="496D5EF5" w14:textId="77777777" w:rsidR="0032199D" w:rsidRDefault="009E086F" w:rsidP="0032199D">
      <w:pPr>
        <w:widowControl/>
        <w:autoSpaceDE w:val="0"/>
        <w:autoSpaceDN w:val="0"/>
        <w:adjustRightInd w:val="0"/>
        <w:jc w:val="center"/>
        <w:rPr>
          <w:rFonts w:cs="Arial"/>
          <w:b/>
          <w:bCs/>
          <w:smallCaps/>
          <w:color w:val="000000" w:themeColor="text1"/>
          <w:sz w:val="22"/>
          <w:szCs w:val="22"/>
        </w:rPr>
      </w:pPr>
      <w:r w:rsidRPr="0032199D">
        <w:rPr>
          <w:rFonts w:cs="Arial"/>
          <w:b/>
          <w:bCs/>
          <w:smallCaps/>
          <w:color w:val="000000"/>
          <w:sz w:val="22"/>
          <w:szCs w:val="22"/>
        </w:rPr>
        <w:t>Personas en alguna o</w:t>
      </w:r>
      <w:r w:rsidRPr="0032199D">
        <w:rPr>
          <w:rFonts w:cs="Arial"/>
          <w:b/>
          <w:bCs/>
          <w:smallCaps/>
          <w:color w:val="000000" w:themeColor="text1"/>
          <w:sz w:val="22"/>
          <w:szCs w:val="22"/>
        </w:rPr>
        <w:t>cupación no permitida por disponibilidad de local para trabajar</w:t>
      </w:r>
      <w:r w:rsidR="002E3423" w:rsidRPr="0032199D">
        <w:rPr>
          <w:rFonts w:cs="Arial"/>
          <w:b/>
          <w:bCs/>
          <w:smallCaps/>
          <w:color w:val="000000" w:themeColor="text1"/>
          <w:sz w:val="22"/>
          <w:szCs w:val="22"/>
        </w:rPr>
        <w:t>,</w:t>
      </w:r>
      <w:r w:rsidRPr="0032199D">
        <w:rPr>
          <w:rFonts w:cs="Arial"/>
          <w:b/>
          <w:bCs/>
          <w:smallCaps/>
          <w:color w:val="000000" w:themeColor="text1"/>
          <w:sz w:val="22"/>
          <w:szCs w:val="22"/>
        </w:rPr>
        <w:t xml:space="preserve"> </w:t>
      </w:r>
    </w:p>
    <w:p w14:paraId="5DF9DC98" w14:textId="7FA71F6C" w:rsidR="009E086F" w:rsidRPr="0032199D" w:rsidRDefault="009E086F" w:rsidP="0032199D">
      <w:pPr>
        <w:widowControl/>
        <w:autoSpaceDE w:val="0"/>
        <w:autoSpaceDN w:val="0"/>
        <w:adjustRightInd w:val="0"/>
        <w:jc w:val="center"/>
        <w:rPr>
          <w:rFonts w:cs="Arial"/>
          <w:b/>
          <w:bCs/>
          <w:smallCaps/>
          <w:color w:val="000000" w:themeColor="text1"/>
          <w:sz w:val="22"/>
          <w:szCs w:val="22"/>
        </w:rPr>
      </w:pPr>
      <w:r w:rsidRPr="0032199D">
        <w:rPr>
          <w:rFonts w:cs="Arial"/>
          <w:b/>
          <w:bCs/>
          <w:smallCaps/>
          <w:color w:val="000000" w:themeColor="text1"/>
          <w:sz w:val="22"/>
          <w:szCs w:val="22"/>
        </w:rPr>
        <w:t>según sexo</w:t>
      </w:r>
    </w:p>
    <w:p w14:paraId="5590AA81" w14:textId="77777777" w:rsidR="009E086F" w:rsidRPr="005E25D0" w:rsidRDefault="009E086F" w:rsidP="0032199D">
      <w:pPr>
        <w:widowControl/>
        <w:autoSpaceDE w:val="0"/>
        <w:autoSpaceDN w:val="0"/>
        <w:adjustRightInd w:val="0"/>
        <w:ind w:left="851" w:right="1183"/>
        <w:jc w:val="center"/>
        <w:rPr>
          <w:rFonts w:cs="Arial"/>
          <w:bCs/>
          <w:sz w:val="18"/>
          <w:szCs w:val="18"/>
        </w:rPr>
      </w:pPr>
      <w:r w:rsidRPr="005E25D0">
        <w:rPr>
          <w:rFonts w:cs="Arial"/>
          <w:bCs/>
          <w:sz w:val="18"/>
          <w:szCs w:val="18"/>
        </w:rPr>
        <w:t>(distribución porcentual)</w:t>
      </w:r>
    </w:p>
    <w:tbl>
      <w:tblPr>
        <w:tblW w:w="9780" w:type="dxa"/>
        <w:tblCellMar>
          <w:left w:w="70" w:type="dxa"/>
          <w:right w:w="70" w:type="dxa"/>
        </w:tblCellMar>
        <w:tblLook w:val="04A0" w:firstRow="1" w:lastRow="0" w:firstColumn="1" w:lastColumn="0" w:noHBand="0" w:noVBand="1"/>
      </w:tblPr>
      <w:tblGrid>
        <w:gridCol w:w="220"/>
        <w:gridCol w:w="4760"/>
        <w:gridCol w:w="1600"/>
        <w:gridCol w:w="1600"/>
        <w:gridCol w:w="1600"/>
      </w:tblGrid>
      <w:tr w:rsidR="009E086F" w:rsidRPr="002156EF" w14:paraId="0FF44620" w14:textId="77777777" w:rsidTr="00562DA7">
        <w:trPr>
          <w:trHeight w:val="315"/>
        </w:trPr>
        <w:tc>
          <w:tcPr>
            <w:tcW w:w="4980" w:type="dxa"/>
            <w:gridSpan w:val="2"/>
            <w:tcBorders>
              <w:top w:val="nil"/>
              <w:left w:val="nil"/>
              <w:bottom w:val="nil"/>
              <w:right w:val="nil"/>
            </w:tcBorders>
            <w:shd w:val="clear" w:color="auto" w:fill="338B99"/>
            <w:vAlign w:val="center"/>
            <w:hideMark/>
          </w:tcPr>
          <w:p w14:paraId="29E9F74C" w14:textId="77777777" w:rsidR="009E086F" w:rsidRPr="002156EF" w:rsidRDefault="009E086F" w:rsidP="00562DA7">
            <w:pPr>
              <w:widowControl/>
              <w:jc w:val="left"/>
              <w:rPr>
                <w:rFonts w:cs="Arial"/>
                <w:b/>
                <w:bCs/>
                <w:color w:val="FFFFFF"/>
                <w:sz w:val="20"/>
                <w:lang w:eastAsia="es-MX"/>
              </w:rPr>
            </w:pPr>
            <w:r w:rsidRPr="002156EF">
              <w:rPr>
                <w:rFonts w:cs="Arial"/>
                <w:b/>
                <w:bCs/>
                <w:color w:val="FFFFFF" w:themeColor="background1"/>
                <w:sz w:val="20"/>
                <w:lang w:eastAsia="es-MX"/>
              </w:rPr>
              <w:t>Disponibilidad de local para trabajar</w:t>
            </w:r>
          </w:p>
        </w:tc>
        <w:tc>
          <w:tcPr>
            <w:tcW w:w="1600" w:type="dxa"/>
            <w:tcBorders>
              <w:top w:val="nil"/>
              <w:left w:val="nil"/>
              <w:bottom w:val="nil"/>
              <w:right w:val="nil"/>
            </w:tcBorders>
            <w:shd w:val="clear" w:color="auto" w:fill="338B99"/>
            <w:vAlign w:val="center"/>
            <w:hideMark/>
          </w:tcPr>
          <w:p w14:paraId="0FC0EFAF" w14:textId="77777777" w:rsidR="009E086F" w:rsidRPr="002156EF" w:rsidRDefault="009E086F" w:rsidP="00562DA7">
            <w:pPr>
              <w:widowControl/>
              <w:jc w:val="center"/>
              <w:rPr>
                <w:rFonts w:cs="Arial"/>
                <w:b/>
                <w:bCs/>
                <w:color w:val="FFFFFF"/>
                <w:sz w:val="20"/>
                <w:lang w:eastAsia="es-MX"/>
              </w:rPr>
            </w:pPr>
            <w:r w:rsidRPr="002156EF">
              <w:rPr>
                <w:rFonts w:cs="Arial"/>
                <w:b/>
                <w:bCs/>
                <w:color w:val="FFFFFF"/>
                <w:sz w:val="20"/>
                <w:lang w:eastAsia="es-MX"/>
              </w:rPr>
              <w:t>Total</w:t>
            </w:r>
          </w:p>
        </w:tc>
        <w:tc>
          <w:tcPr>
            <w:tcW w:w="1600" w:type="dxa"/>
            <w:tcBorders>
              <w:top w:val="nil"/>
              <w:left w:val="nil"/>
              <w:bottom w:val="nil"/>
              <w:right w:val="nil"/>
            </w:tcBorders>
            <w:shd w:val="clear" w:color="auto" w:fill="338B99"/>
            <w:vAlign w:val="center"/>
            <w:hideMark/>
          </w:tcPr>
          <w:p w14:paraId="77B7D494" w14:textId="77777777" w:rsidR="009E086F" w:rsidRPr="002156EF" w:rsidRDefault="009E086F" w:rsidP="00562DA7">
            <w:pPr>
              <w:widowControl/>
              <w:jc w:val="center"/>
              <w:rPr>
                <w:rFonts w:cs="Arial"/>
                <w:b/>
                <w:bCs/>
                <w:color w:val="FFFFFF"/>
                <w:sz w:val="20"/>
                <w:lang w:eastAsia="es-MX"/>
              </w:rPr>
            </w:pPr>
            <w:r w:rsidRPr="002156EF">
              <w:rPr>
                <w:rFonts w:cs="Arial"/>
                <w:b/>
                <w:bCs/>
                <w:color w:val="FFFFFF"/>
                <w:sz w:val="20"/>
                <w:lang w:eastAsia="es-MX"/>
              </w:rPr>
              <w:t>Niños</w:t>
            </w:r>
          </w:p>
        </w:tc>
        <w:tc>
          <w:tcPr>
            <w:tcW w:w="1600" w:type="dxa"/>
            <w:tcBorders>
              <w:top w:val="nil"/>
              <w:left w:val="nil"/>
              <w:bottom w:val="nil"/>
              <w:right w:val="nil"/>
            </w:tcBorders>
            <w:shd w:val="clear" w:color="auto" w:fill="338B99"/>
            <w:vAlign w:val="center"/>
            <w:hideMark/>
          </w:tcPr>
          <w:p w14:paraId="626320F5" w14:textId="77777777" w:rsidR="009E086F" w:rsidRPr="002156EF" w:rsidRDefault="009E086F" w:rsidP="00562DA7">
            <w:pPr>
              <w:widowControl/>
              <w:jc w:val="center"/>
              <w:rPr>
                <w:rFonts w:cs="Arial"/>
                <w:b/>
                <w:bCs/>
                <w:color w:val="FFFFFF"/>
                <w:sz w:val="20"/>
                <w:lang w:eastAsia="es-MX"/>
              </w:rPr>
            </w:pPr>
            <w:r w:rsidRPr="002156EF">
              <w:rPr>
                <w:rFonts w:cs="Arial"/>
                <w:b/>
                <w:bCs/>
                <w:color w:val="FFFFFF"/>
                <w:sz w:val="20"/>
                <w:lang w:eastAsia="es-MX"/>
              </w:rPr>
              <w:t>Niñas</w:t>
            </w:r>
          </w:p>
        </w:tc>
      </w:tr>
      <w:tr w:rsidR="009E086F" w:rsidRPr="002156EF" w14:paraId="528E067A" w14:textId="77777777" w:rsidTr="00562DA7">
        <w:trPr>
          <w:trHeight w:val="300"/>
        </w:trPr>
        <w:tc>
          <w:tcPr>
            <w:tcW w:w="4980" w:type="dxa"/>
            <w:gridSpan w:val="2"/>
            <w:tcBorders>
              <w:top w:val="nil"/>
              <w:left w:val="nil"/>
              <w:bottom w:val="nil"/>
              <w:right w:val="nil"/>
            </w:tcBorders>
            <w:shd w:val="clear" w:color="auto" w:fill="66A8B3"/>
            <w:vAlign w:val="center"/>
            <w:hideMark/>
          </w:tcPr>
          <w:p w14:paraId="2932FB6A" w14:textId="77777777" w:rsidR="009E086F" w:rsidRPr="002156EF" w:rsidRDefault="009E086F" w:rsidP="00562DA7">
            <w:pPr>
              <w:widowControl/>
              <w:jc w:val="left"/>
              <w:rPr>
                <w:rFonts w:cs="Arial"/>
                <w:b/>
                <w:bCs/>
                <w:color w:val="000000"/>
                <w:sz w:val="20"/>
                <w:lang w:eastAsia="es-MX"/>
              </w:rPr>
            </w:pPr>
            <w:r w:rsidRPr="002156EF">
              <w:rPr>
                <w:rFonts w:cs="Arial"/>
                <w:b/>
                <w:bCs/>
                <w:color w:val="000000"/>
                <w:sz w:val="20"/>
                <w:lang w:eastAsia="es-MX"/>
              </w:rPr>
              <w:t>Ocupación no permitida</w:t>
            </w:r>
          </w:p>
        </w:tc>
        <w:tc>
          <w:tcPr>
            <w:tcW w:w="1600" w:type="dxa"/>
            <w:tcBorders>
              <w:top w:val="nil"/>
              <w:left w:val="nil"/>
              <w:bottom w:val="nil"/>
              <w:right w:val="nil"/>
            </w:tcBorders>
            <w:shd w:val="clear" w:color="auto" w:fill="66A8B3"/>
            <w:vAlign w:val="center"/>
            <w:hideMark/>
          </w:tcPr>
          <w:p w14:paraId="23E3D76B" w14:textId="77777777" w:rsidR="009E086F" w:rsidRPr="002156EF" w:rsidRDefault="009E086F" w:rsidP="00562DA7">
            <w:pPr>
              <w:widowControl/>
              <w:jc w:val="center"/>
              <w:rPr>
                <w:rFonts w:cs="Arial"/>
                <w:b/>
                <w:bCs/>
                <w:color w:val="000000"/>
                <w:sz w:val="20"/>
                <w:lang w:eastAsia="es-MX"/>
              </w:rPr>
            </w:pPr>
            <w:r w:rsidRPr="002156EF">
              <w:rPr>
                <w:rFonts w:cs="Arial"/>
                <w:b/>
                <w:bCs/>
                <w:sz w:val="20"/>
                <w:lang w:eastAsia="es-MX"/>
              </w:rPr>
              <w:t>100.0</w:t>
            </w:r>
          </w:p>
        </w:tc>
        <w:tc>
          <w:tcPr>
            <w:tcW w:w="1600" w:type="dxa"/>
            <w:tcBorders>
              <w:top w:val="nil"/>
              <w:left w:val="nil"/>
              <w:bottom w:val="nil"/>
              <w:right w:val="nil"/>
            </w:tcBorders>
            <w:shd w:val="clear" w:color="auto" w:fill="66A8B3"/>
            <w:vAlign w:val="center"/>
            <w:hideMark/>
          </w:tcPr>
          <w:p w14:paraId="76CBE967" w14:textId="77777777" w:rsidR="009E086F" w:rsidRPr="002156EF" w:rsidRDefault="009E086F" w:rsidP="00562DA7">
            <w:pPr>
              <w:widowControl/>
              <w:jc w:val="center"/>
              <w:rPr>
                <w:rFonts w:cs="Arial"/>
                <w:b/>
                <w:bCs/>
                <w:color w:val="000000"/>
                <w:sz w:val="20"/>
                <w:lang w:eastAsia="es-MX"/>
              </w:rPr>
            </w:pPr>
            <w:r w:rsidRPr="002156EF">
              <w:rPr>
                <w:rFonts w:cs="Arial"/>
                <w:b/>
                <w:bCs/>
                <w:sz w:val="20"/>
                <w:lang w:eastAsia="es-MX"/>
              </w:rPr>
              <w:t>100.0</w:t>
            </w:r>
          </w:p>
        </w:tc>
        <w:tc>
          <w:tcPr>
            <w:tcW w:w="1600" w:type="dxa"/>
            <w:tcBorders>
              <w:top w:val="nil"/>
              <w:left w:val="nil"/>
              <w:bottom w:val="nil"/>
              <w:right w:val="nil"/>
            </w:tcBorders>
            <w:shd w:val="clear" w:color="auto" w:fill="66A8B3"/>
            <w:vAlign w:val="center"/>
            <w:hideMark/>
          </w:tcPr>
          <w:p w14:paraId="07C603D7" w14:textId="77777777" w:rsidR="009E086F" w:rsidRPr="002156EF" w:rsidRDefault="009E086F" w:rsidP="00562DA7">
            <w:pPr>
              <w:widowControl/>
              <w:jc w:val="center"/>
              <w:rPr>
                <w:rFonts w:cs="Arial"/>
                <w:b/>
                <w:bCs/>
                <w:color w:val="000000"/>
                <w:sz w:val="20"/>
                <w:lang w:eastAsia="es-MX"/>
              </w:rPr>
            </w:pPr>
            <w:r w:rsidRPr="002156EF">
              <w:rPr>
                <w:rFonts w:cs="Arial"/>
                <w:b/>
                <w:bCs/>
                <w:sz w:val="20"/>
                <w:lang w:eastAsia="es-MX"/>
              </w:rPr>
              <w:t>100.0</w:t>
            </w:r>
          </w:p>
        </w:tc>
      </w:tr>
      <w:tr w:rsidR="009E086F" w:rsidRPr="002156EF" w14:paraId="316A60D4" w14:textId="77777777" w:rsidTr="00562DA7">
        <w:trPr>
          <w:trHeight w:val="300"/>
        </w:trPr>
        <w:tc>
          <w:tcPr>
            <w:tcW w:w="220" w:type="dxa"/>
            <w:tcBorders>
              <w:top w:val="nil"/>
              <w:left w:val="nil"/>
              <w:bottom w:val="nil"/>
              <w:right w:val="nil"/>
            </w:tcBorders>
            <w:shd w:val="clear" w:color="auto" w:fill="CCE2E6"/>
            <w:noWrap/>
            <w:vAlign w:val="bottom"/>
            <w:hideMark/>
          </w:tcPr>
          <w:p w14:paraId="2D9B5914" w14:textId="77777777" w:rsidR="009E086F" w:rsidRPr="002156EF" w:rsidRDefault="009E086F" w:rsidP="00562DA7">
            <w:pPr>
              <w:widowControl/>
              <w:jc w:val="left"/>
              <w:rPr>
                <w:rFonts w:ascii="Times New Roman" w:hAnsi="Times New Roman"/>
                <w:color w:val="000000"/>
                <w:sz w:val="20"/>
                <w:lang w:eastAsia="es-MX"/>
              </w:rPr>
            </w:pPr>
            <w:r w:rsidRPr="002156EF">
              <w:rPr>
                <w:rFonts w:ascii="Times New Roman" w:hAnsi="Times New Roman"/>
                <w:color w:val="000000"/>
                <w:sz w:val="20"/>
                <w:lang w:eastAsia="es-MX"/>
              </w:rPr>
              <w:t> </w:t>
            </w:r>
          </w:p>
        </w:tc>
        <w:tc>
          <w:tcPr>
            <w:tcW w:w="4760" w:type="dxa"/>
            <w:tcBorders>
              <w:top w:val="nil"/>
              <w:left w:val="nil"/>
              <w:bottom w:val="nil"/>
              <w:right w:val="nil"/>
            </w:tcBorders>
            <w:shd w:val="clear" w:color="auto" w:fill="CCE2E6"/>
            <w:vAlign w:val="center"/>
            <w:hideMark/>
          </w:tcPr>
          <w:p w14:paraId="3BB5172D" w14:textId="77777777" w:rsidR="009E086F" w:rsidRPr="002156EF" w:rsidRDefault="009E086F" w:rsidP="00562DA7">
            <w:pPr>
              <w:widowControl/>
              <w:jc w:val="left"/>
              <w:rPr>
                <w:rFonts w:cs="Arial"/>
                <w:color w:val="000000"/>
                <w:sz w:val="20"/>
                <w:lang w:eastAsia="es-MX"/>
              </w:rPr>
            </w:pPr>
            <w:r w:rsidRPr="002156EF">
              <w:rPr>
                <w:rFonts w:cs="Arial"/>
                <w:sz w:val="20"/>
                <w:lang w:eastAsia="es-MX"/>
              </w:rPr>
              <w:t>Con local</w:t>
            </w:r>
          </w:p>
        </w:tc>
        <w:tc>
          <w:tcPr>
            <w:tcW w:w="1600" w:type="dxa"/>
            <w:tcBorders>
              <w:top w:val="nil"/>
              <w:left w:val="nil"/>
              <w:bottom w:val="nil"/>
              <w:right w:val="nil"/>
            </w:tcBorders>
            <w:shd w:val="clear" w:color="auto" w:fill="CCE2E6"/>
            <w:vAlign w:val="center"/>
            <w:hideMark/>
          </w:tcPr>
          <w:p w14:paraId="2D46FB0E" w14:textId="77777777" w:rsidR="009E086F" w:rsidRPr="002156EF" w:rsidRDefault="009E086F" w:rsidP="00562DA7">
            <w:pPr>
              <w:widowControl/>
              <w:jc w:val="center"/>
              <w:rPr>
                <w:rFonts w:cs="Arial"/>
                <w:color w:val="000000"/>
                <w:sz w:val="20"/>
                <w:lang w:eastAsia="es-MX"/>
              </w:rPr>
            </w:pPr>
            <w:r w:rsidRPr="002156EF">
              <w:rPr>
                <w:rFonts w:cs="Arial"/>
                <w:sz w:val="20"/>
                <w:lang w:eastAsia="es-MX"/>
              </w:rPr>
              <w:t>33.6</w:t>
            </w:r>
          </w:p>
        </w:tc>
        <w:tc>
          <w:tcPr>
            <w:tcW w:w="1600" w:type="dxa"/>
            <w:tcBorders>
              <w:top w:val="nil"/>
              <w:left w:val="nil"/>
              <w:bottom w:val="nil"/>
              <w:right w:val="nil"/>
            </w:tcBorders>
            <w:shd w:val="clear" w:color="auto" w:fill="CCE2E6"/>
            <w:vAlign w:val="center"/>
            <w:hideMark/>
          </w:tcPr>
          <w:p w14:paraId="171A1C88" w14:textId="77777777" w:rsidR="009E086F" w:rsidRPr="002156EF" w:rsidRDefault="009E086F" w:rsidP="00562DA7">
            <w:pPr>
              <w:widowControl/>
              <w:jc w:val="center"/>
              <w:rPr>
                <w:rFonts w:cs="Arial"/>
                <w:color w:val="000000"/>
                <w:sz w:val="20"/>
                <w:lang w:eastAsia="es-MX"/>
              </w:rPr>
            </w:pPr>
            <w:r w:rsidRPr="002156EF">
              <w:rPr>
                <w:rFonts w:cs="Arial"/>
                <w:sz w:val="20"/>
                <w:lang w:eastAsia="es-MX"/>
              </w:rPr>
              <w:t>31.6</w:t>
            </w:r>
          </w:p>
        </w:tc>
        <w:tc>
          <w:tcPr>
            <w:tcW w:w="1600" w:type="dxa"/>
            <w:tcBorders>
              <w:top w:val="nil"/>
              <w:left w:val="nil"/>
              <w:bottom w:val="nil"/>
              <w:right w:val="nil"/>
            </w:tcBorders>
            <w:shd w:val="clear" w:color="auto" w:fill="CCE2E6"/>
            <w:vAlign w:val="center"/>
            <w:hideMark/>
          </w:tcPr>
          <w:p w14:paraId="5FC55C14" w14:textId="77777777" w:rsidR="009E086F" w:rsidRPr="002156EF" w:rsidRDefault="009E086F" w:rsidP="00562DA7">
            <w:pPr>
              <w:widowControl/>
              <w:jc w:val="center"/>
              <w:rPr>
                <w:rFonts w:cs="Arial"/>
                <w:color w:val="000000"/>
                <w:sz w:val="20"/>
                <w:lang w:eastAsia="es-MX"/>
              </w:rPr>
            </w:pPr>
            <w:r w:rsidRPr="002156EF">
              <w:rPr>
                <w:rFonts w:cs="Arial"/>
                <w:sz w:val="20"/>
                <w:lang w:eastAsia="es-MX"/>
              </w:rPr>
              <w:t>38.8</w:t>
            </w:r>
          </w:p>
        </w:tc>
      </w:tr>
      <w:tr w:rsidR="009E086F" w:rsidRPr="002156EF" w14:paraId="265E7109" w14:textId="77777777" w:rsidTr="00562DA7">
        <w:trPr>
          <w:trHeight w:val="300"/>
        </w:trPr>
        <w:tc>
          <w:tcPr>
            <w:tcW w:w="220" w:type="dxa"/>
            <w:tcBorders>
              <w:top w:val="nil"/>
              <w:left w:val="nil"/>
              <w:right w:val="nil"/>
            </w:tcBorders>
            <w:shd w:val="clear" w:color="auto" w:fill="CCE2E6"/>
            <w:noWrap/>
            <w:vAlign w:val="bottom"/>
            <w:hideMark/>
          </w:tcPr>
          <w:p w14:paraId="59117EA1" w14:textId="77777777" w:rsidR="009E086F" w:rsidRPr="002156EF" w:rsidRDefault="009E086F" w:rsidP="00562DA7">
            <w:pPr>
              <w:widowControl/>
              <w:jc w:val="left"/>
              <w:rPr>
                <w:rFonts w:ascii="Times New Roman" w:hAnsi="Times New Roman"/>
                <w:color w:val="000000"/>
                <w:sz w:val="20"/>
                <w:lang w:eastAsia="es-MX"/>
              </w:rPr>
            </w:pPr>
            <w:r w:rsidRPr="002156EF">
              <w:rPr>
                <w:rFonts w:ascii="Times New Roman" w:hAnsi="Times New Roman"/>
                <w:color w:val="000000"/>
                <w:sz w:val="20"/>
                <w:lang w:eastAsia="es-MX"/>
              </w:rPr>
              <w:t> </w:t>
            </w:r>
          </w:p>
        </w:tc>
        <w:tc>
          <w:tcPr>
            <w:tcW w:w="4760" w:type="dxa"/>
            <w:tcBorders>
              <w:top w:val="nil"/>
              <w:left w:val="nil"/>
              <w:right w:val="nil"/>
            </w:tcBorders>
            <w:shd w:val="clear" w:color="auto" w:fill="CCE2E6"/>
            <w:vAlign w:val="center"/>
            <w:hideMark/>
          </w:tcPr>
          <w:p w14:paraId="0F33C99F" w14:textId="77777777" w:rsidR="009E086F" w:rsidRPr="002156EF" w:rsidRDefault="009E086F" w:rsidP="00562DA7">
            <w:pPr>
              <w:widowControl/>
              <w:jc w:val="left"/>
              <w:rPr>
                <w:rFonts w:cs="Arial"/>
                <w:color w:val="000000"/>
                <w:sz w:val="20"/>
                <w:lang w:eastAsia="es-MX"/>
              </w:rPr>
            </w:pPr>
            <w:r w:rsidRPr="002156EF">
              <w:rPr>
                <w:rFonts w:cs="Arial"/>
                <w:sz w:val="20"/>
                <w:lang w:eastAsia="es-MX"/>
              </w:rPr>
              <w:t>Sin local</w:t>
            </w:r>
          </w:p>
        </w:tc>
        <w:tc>
          <w:tcPr>
            <w:tcW w:w="1600" w:type="dxa"/>
            <w:tcBorders>
              <w:top w:val="nil"/>
              <w:left w:val="nil"/>
              <w:right w:val="nil"/>
            </w:tcBorders>
            <w:shd w:val="clear" w:color="auto" w:fill="CCE2E6"/>
            <w:vAlign w:val="center"/>
            <w:hideMark/>
          </w:tcPr>
          <w:p w14:paraId="50CA9826" w14:textId="77777777" w:rsidR="009E086F" w:rsidRPr="002156EF" w:rsidRDefault="009E086F" w:rsidP="00562DA7">
            <w:pPr>
              <w:widowControl/>
              <w:jc w:val="center"/>
              <w:rPr>
                <w:rFonts w:cs="Arial"/>
                <w:color w:val="000000"/>
                <w:sz w:val="20"/>
                <w:lang w:eastAsia="es-MX"/>
              </w:rPr>
            </w:pPr>
            <w:r w:rsidRPr="002156EF">
              <w:rPr>
                <w:rFonts w:cs="Arial"/>
                <w:sz w:val="20"/>
                <w:lang w:eastAsia="es-MX"/>
              </w:rPr>
              <w:t>66.3</w:t>
            </w:r>
          </w:p>
        </w:tc>
        <w:tc>
          <w:tcPr>
            <w:tcW w:w="1600" w:type="dxa"/>
            <w:tcBorders>
              <w:top w:val="nil"/>
              <w:left w:val="nil"/>
              <w:right w:val="nil"/>
            </w:tcBorders>
            <w:shd w:val="clear" w:color="auto" w:fill="CCE2E6"/>
            <w:vAlign w:val="center"/>
            <w:hideMark/>
          </w:tcPr>
          <w:p w14:paraId="073BDD46" w14:textId="77777777" w:rsidR="009E086F" w:rsidRPr="002156EF" w:rsidRDefault="009E086F" w:rsidP="00562DA7">
            <w:pPr>
              <w:widowControl/>
              <w:jc w:val="center"/>
              <w:rPr>
                <w:rFonts w:cs="Arial"/>
                <w:color w:val="000000"/>
                <w:sz w:val="20"/>
                <w:lang w:eastAsia="es-MX"/>
              </w:rPr>
            </w:pPr>
            <w:r w:rsidRPr="002156EF">
              <w:rPr>
                <w:rFonts w:cs="Arial"/>
                <w:sz w:val="20"/>
                <w:lang w:eastAsia="es-MX"/>
              </w:rPr>
              <w:t>68.4</w:t>
            </w:r>
          </w:p>
        </w:tc>
        <w:tc>
          <w:tcPr>
            <w:tcW w:w="1600" w:type="dxa"/>
            <w:tcBorders>
              <w:top w:val="nil"/>
              <w:left w:val="nil"/>
              <w:right w:val="nil"/>
            </w:tcBorders>
            <w:shd w:val="clear" w:color="auto" w:fill="CCE2E6"/>
            <w:vAlign w:val="center"/>
            <w:hideMark/>
          </w:tcPr>
          <w:p w14:paraId="1EA47663" w14:textId="77777777" w:rsidR="009E086F" w:rsidRPr="002156EF" w:rsidRDefault="009E086F" w:rsidP="00562DA7">
            <w:pPr>
              <w:widowControl/>
              <w:jc w:val="center"/>
              <w:rPr>
                <w:rFonts w:cs="Arial"/>
                <w:color w:val="000000"/>
                <w:sz w:val="20"/>
                <w:lang w:eastAsia="es-MX"/>
              </w:rPr>
            </w:pPr>
            <w:r w:rsidRPr="002156EF">
              <w:rPr>
                <w:rFonts w:cs="Arial"/>
                <w:sz w:val="20"/>
                <w:lang w:eastAsia="es-MX"/>
              </w:rPr>
              <w:t>61.0</w:t>
            </w:r>
          </w:p>
        </w:tc>
      </w:tr>
      <w:tr w:rsidR="009E086F" w:rsidRPr="002156EF" w14:paraId="732C0633" w14:textId="77777777" w:rsidTr="00562DA7">
        <w:trPr>
          <w:trHeight w:val="300"/>
        </w:trPr>
        <w:tc>
          <w:tcPr>
            <w:tcW w:w="220" w:type="dxa"/>
            <w:tcBorders>
              <w:top w:val="nil"/>
              <w:left w:val="nil"/>
              <w:right w:val="nil"/>
            </w:tcBorders>
            <w:shd w:val="clear" w:color="auto" w:fill="CCE2E6"/>
            <w:vAlign w:val="center"/>
            <w:hideMark/>
          </w:tcPr>
          <w:p w14:paraId="10231B2C" w14:textId="77777777" w:rsidR="009E086F" w:rsidRPr="002156EF" w:rsidRDefault="009E086F" w:rsidP="00562DA7">
            <w:pPr>
              <w:widowControl/>
              <w:jc w:val="left"/>
              <w:rPr>
                <w:rFonts w:ascii="Times New Roman" w:hAnsi="Times New Roman"/>
                <w:color w:val="000000"/>
                <w:sz w:val="20"/>
                <w:lang w:eastAsia="es-MX"/>
              </w:rPr>
            </w:pPr>
            <w:r w:rsidRPr="002156EF">
              <w:rPr>
                <w:rFonts w:ascii="Times New Roman" w:hAnsi="Times New Roman"/>
                <w:color w:val="000000"/>
                <w:sz w:val="20"/>
                <w:lang w:eastAsia="es-MX"/>
              </w:rPr>
              <w:t> </w:t>
            </w:r>
          </w:p>
        </w:tc>
        <w:tc>
          <w:tcPr>
            <w:tcW w:w="4760" w:type="dxa"/>
            <w:tcBorders>
              <w:top w:val="nil"/>
              <w:left w:val="nil"/>
              <w:right w:val="nil"/>
            </w:tcBorders>
            <w:shd w:val="clear" w:color="auto" w:fill="CCE2E6"/>
            <w:vAlign w:val="center"/>
            <w:hideMark/>
          </w:tcPr>
          <w:p w14:paraId="2DD6239A" w14:textId="77777777" w:rsidR="009E086F" w:rsidRPr="002156EF" w:rsidRDefault="009E086F" w:rsidP="00562DA7">
            <w:pPr>
              <w:widowControl/>
              <w:jc w:val="left"/>
              <w:rPr>
                <w:rFonts w:cs="Arial"/>
                <w:color w:val="000000"/>
                <w:sz w:val="20"/>
                <w:lang w:eastAsia="es-MX"/>
              </w:rPr>
            </w:pPr>
            <w:r w:rsidRPr="002156EF">
              <w:rPr>
                <w:rFonts w:cs="Arial"/>
                <w:sz w:val="20"/>
                <w:lang w:eastAsia="es-MX"/>
              </w:rPr>
              <w:t>No especificado</w:t>
            </w:r>
          </w:p>
        </w:tc>
        <w:tc>
          <w:tcPr>
            <w:tcW w:w="1600" w:type="dxa"/>
            <w:tcBorders>
              <w:top w:val="nil"/>
              <w:left w:val="nil"/>
              <w:right w:val="nil"/>
            </w:tcBorders>
            <w:shd w:val="clear" w:color="auto" w:fill="CCE2E6"/>
            <w:vAlign w:val="center"/>
            <w:hideMark/>
          </w:tcPr>
          <w:p w14:paraId="0B20A2C4" w14:textId="77777777" w:rsidR="009E086F" w:rsidRPr="002156EF" w:rsidRDefault="009E086F" w:rsidP="00562DA7">
            <w:pPr>
              <w:widowControl/>
              <w:jc w:val="center"/>
              <w:rPr>
                <w:rFonts w:cs="Arial"/>
                <w:color w:val="000000"/>
                <w:sz w:val="20"/>
                <w:lang w:eastAsia="es-MX"/>
              </w:rPr>
            </w:pPr>
            <w:r w:rsidRPr="002156EF">
              <w:rPr>
                <w:rFonts w:cs="Arial"/>
                <w:sz w:val="20"/>
                <w:lang w:eastAsia="es-MX"/>
              </w:rPr>
              <w:t>0.1</w:t>
            </w:r>
          </w:p>
        </w:tc>
        <w:tc>
          <w:tcPr>
            <w:tcW w:w="1600" w:type="dxa"/>
            <w:tcBorders>
              <w:top w:val="nil"/>
              <w:left w:val="nil"/>
              <w:right w:val="nil"/>
            </w:tcBorders>
            <w:shd w:val="clear" w:color="auto" w:fill="CCE2E6"/>
            <w:vAlign w:val="center"/>
            <w:hideMark/>
          </w:tcPr>
          <w:p w14:paraId="7E10E82E" w14:textId="77777777" w:rsidR="009E086F" w:rsidRPr="002156EF" w:rsidRDefault="009E086F" w:rsidP="00562DA7">
            <w:pPr>
              <w:widowControl/>
              <w:jc w:val="center"/>
              <w:rPr>
                <w:rFonts w:cs="Arial"/>
                <w:color w:val="000000"/>
                <w:sz w:val="20"/>
                <w:lang w:eastAsia="es-MX"/>
              </w:rPr>
            </w:pPr>
            <w:r w:rsidRPr="002156EF">
              <w:rPr>
                <w:rFonts w:cs="Arial"/>
                <w:sz w:val="20"/>
                <w:lang w:eastAsia="es-MX"/>
              </w:rPr>
              <w:t>0.1</w:t>
            </w:r>
          </w:p>
        </w:tc>
        <w:tc>
          <w:tcPr>
            <w:tcW w:w="1600" w:type="dxa"/>
            <w:tcBorders>
              <w:top w:val="nil"/>
              <w:left w:val="nil"/>
              <w:right w:val="nil"/>
            </w:tcBorders>
            <w:shd w:val="clear" w:color="auto" w:fill="CCE2E6"/>
            <w:vAlign w:val="center"/>
            <w:hideMark/>
          </w:tcPr>
          <w:p w14:paraId="69A828A4" w14:textId="77777777" w:rsidR="009E086F" w:rsidRPr="002156EF" w:rsidRDefault="009E086F" w:rsidP="00562DA7">
            <w:pPr>
              <w:widowControl/>
              <w:jc w:val="center"/>
              <w:rPr>
                <w:rFonts w:cs="Arial"/>
                <w:color w:val="000000"/>
                <w:sz w:val="20"/>
                <w:lang w:eastAsia="es-MX"/>
              </w:rPr>
            </w:pPr>
            <w:r w:rsidRPr="002156EF">
              <w:rPr>
                <w:rFonts w:cs="Arial"/>
                <w:sz w:val="20"/>
                <w:lang w:eastAsia="es-MX"/>
              </w:rPr>
              <w:t>0.1</w:t>
            </w:r>
          </w:p>
        </w:tc>
      </w:tr>
    </w:tbl>
    <w:p w14:paraId="7AF6BE92" w14:textId="4C90C00D" w:rsidR="009E086F" w:rsidRPr="00560388" w:rsidRDefault="009E086F" w:rsidP="009E086F">
      <w:pPr>
        <w:widowControl/>
        <w:autoSpaceDE w:val="0"/>
        <w:autoSpaceDN w:val="0"/>
        <w:adjustRightInd w:val="0"/>
        <w:rPr>
          <w:rFonts w:cs="Arial"/>
          <w:sz w:val="16"/>
          <w:szCs w:val="16"/>
        </w:rPr>
      </w:pPr>
      <w:r w:rsidRPr="00560388">
        <w:rPr>
          <w:rFonts w:cs="Arial"/>
          <w:color w:val="000000" w:themeColor="text1"/>
          <w:sz w:val="16"/>
          <w:szCs w:val="16"/>
        </w:rPr>
        <w:t>Fuente: INEGI, ENTI. 2022.</w:t>
      </w:r>
    </w:p>
    <w:p w14:paraId="02C685E6" w14:textId="77777777" w:rsidR="008011F7" w:rsidRDefault="008011F7" w:rsidP="009E43F3">
      <w:pPr>
        <w:widowControl/>
        <w:autoSpaceDE w:val="0"/>
        <w:autoSpaceDN w:val="0"/>
        <w:adjustRightInd w:val="0"/>
        <w:rPr>
          <w:rFonts w:cs="Arial"/>
          <w:color w:val="000000"/>
          <w:szCs w:val="24"/>
        </w:rPr>
      </w:pPr>
    </w:p>
    <w:p w14:paraId="2C50AAE0" w14:textId="736C2644" w:rsidR="00C45DD9" w:rsidRDefault="00791592" w:rsidP="00E213E7">
      <w:pPr>
        <w:widowControl/>
        <w:autoSpaceDE w:val="0"/>
        <w:autoSpaceDN w:val="0"/>
        <w:adjustRightInd w:val="0"/>
        <w:ind w:right="51"/>
        <w:rPr>
          <w:rFonts w:cs="Arial"/>
          <w:color w:val="000000"/>
          <w:szCs w:val="24"/>
        </w:rPr>
      </w:pPr>
      <w:r w:rsidRPr="00C45DD9">
        <w:rPr>
          <w:rFonts w:cs="Arial"/>
          <w:color w:val="000000"/>
          <w:szCs w:val="24"/>
        </w:rPr>
        <w:t>En 2022, 37.6 % de la ocupación no permitida no recibió ingresos por su trabajo y 47.9 % percib</w:t>
      </w:r>
      <w:r w:rsidR="002D40E6" w:rsidRPr="00C45DD9">
        <w:rPr>
          <w:rFonts w:cs="Arial"/>
          <w:color w:val="000000"/>
          <w:szCs w:val="24"/>
        </w:rPr>
        <w:t>ió</w:t>
      </w:r>
      <w:r w:rsidRPr="00C45DD9">
        <w:rPr>
          <w:rFonts w:cs="Arial"/>
          <w:color w:val="000000"/>
          <w:szCs w:val="24"/>
        </w:rPr>
        <w:t xml:space="preserve"> como máximo hasta un salario mínimo</w:t>
      </w:r>
      <w:r w:rsidR="00711D85" w:rsidRPr="00C45DD9">
        <w:rPr>
          <w:rFonts w:cs="Arial"/>
          <w:color w:val="000000"/>
          <w:szCs w:val="24"/>
        </w:rPr>
        <w:t>. Siguió</w:t>
      </w:r>
      <w:r w:rsidRPr="00C45DD9">
        <w:rPr>
          <w:rFonts w:cs="Arial"/>
          <w:color w:val="000000"/>
          <w:szCs w:val="24"/>
        </w:rPr>
        <w:t xml:space="preserve"> 11.7 % que percib</w:t>
      </w:r>
      <w:r w:rsidR="002D40E6" w:rsidRPr="00C45DD9">
        <w:rPr>
          <w:rFonts w:cs="Arial"/>
          <w:color w:val="000000"/>
          <w:szCs w:val="24"/>
        </w:rPr>
        <w:t>ió</w:t>
      </w:r>
      <w:r w:rsidRPr="00C45DD9">
        <w:rPr>
          <w:rFonts w:cs="Arial"/>
          <w:color w:val="000000"/>
          <w:szCs w:val="24"/>
        </w:rPr>
        <w:t xml:space="preserve"> </w:t>
      </w:r>
      <w:r w:rsidR="00711D85" w:rsidRPr="00C45DD9">
        <w:rPr>
          <w:rFonts w:cs="Arial"/>
          <w:color w:val="000000"/>
          <w:szCs w:val="24"/>
        </w:rPr>
        <w:t>más de</w:t>
      </w:r>
      <w:r w:rsidRPr="00C45DD9">
        <w:rPr>
          <w:rFonts w:cs="Arial"/>
          <w:color w:val="000000"/>
          <w:szCs w:val="24"/>
        </w:rPr>
        <w:t xml:space="preserve"> uno </w:t>
      </w:r>
      <w:r w:rsidR="00711D85" w:rsidRPr="00C45DD9">
        <w:rPr>
          <w:rFonts w:cs="Arial"/>
          <w:color w:val="000000"/>
          <w:szCs w:val="24"/>
        </w:rPr>
        <w:t>hasta</w:t>
      </w:r>
      <w:r w:rsidRPr="00C45DD9">
        <w:rPr>
          <w:rFonts w:cs="Arial"/>
          <w:color w:val="000000"/>
          <w:szCs w:val="24"/>
        </w:rPr>
        <w:t xml:space="preserve"> dos salarios mínimos. </w:t>
      </w:r>
      <w:r w:rsidR="00427DFD" w:rsidRPr="00C45DD9">
        <w:rPr>
          <w:rFonts w:cs="Arial"/>
          <w:color w:val="000000"/>
          <w:szCs w:val="24"/>
        </w:rPr>
        <w:t xml:space="preserve">La mayoría de </w:t>
      </w:r>
      <w:r w:rsidRPr="00C45DD9">
        <w:rPr>
          <w:rFonts w:cs="Arial"/>
          <w:color w:val="000000"/>
          <w:szCs w:val="24"/>
        </w:rPr>
        <w:t xml:space="preserve">las niñas </w:t>
      </w:r>
      <w:r w:rsidR="00711D85" w:rsidRPr="00C45DD9">
        <w:rPr>
          <w:rFonts w:cs="Arial"/>
          <w:color w:val="000000"/>
          <w:szCs w:val="24"/>
        </w:rPr>
        <w:t>y</w:t>
      </w:r>
      <w:r w:rsidR="00427DFD" w:rsidRPr="00C45DD9">
        <w:rPr>
          <w:rFonts w:cs="Arial"/>
          <w:color w:val="000000"/>
          <w:szCs w:val="24"/>
        </w:rPr>
        <w:t xml:space="preserve"> </w:t>
      </w:r>
      <w:r w:rsidRPr="00C45DD9">
        <w:rPr>
          <w:rFonts w:cs="Arial"/>
          <w:color w:val="000000"/>
          <w:szCs w:val="24"/>
        </w:rPr>
        <w:t>los niños se concentr</w:t>
      </w:r>
      <w:r w:rsidR="00711D85" w:rsidRPr="00C45DD9">
        <w:rPr>
          <w:rFonts w:cs="Arial"/>
          <w:color w:val="000000"/>
          <w:szCs w:val="24"/>
        </w:rPr>
        <w:t>ó</w:t>
      </w:r>
      <w:r w:rsidRPr="00C45DD9">
        <w:rPr>
          <w:rFonts w:cs="Arial"/>
          <w:color w:val="000000"/>
          <w:szCs w:val="24"/>
        </w:rPr>
        <w:t xml:space="preserve"> en el rubro de hasta un salario mínimo</w:t>
      </w:r>
      <w:r w:rsidR="00724B83" w:rsidRPr="00C45DD9">
        <w:rPr>
          <w:rFonts w:cs="Arial"/>
          <w:color w:val="000000"/>
          <w:szCs w:val="24"/>
        </w:rPr>
        <w:t>,</w:t>
      </w:r>
      <w:r w:rsidRPr="00C45DD9">
        <w:rPr>
          <w:rFonts w:cs="Arial"/>
          <w:color w:val="000000"/>
          <w:szCs w:val="24"/>
        </w:rPr>
        <w:t xml:space="preserve"> con 52.7 y 45.9 %, respectivamente</w:t>
      </w:r>
      <w:r w:rsidR="00E555D9" w:rsidRPr="00C45DD9">
        <w:rPr>
          <w:rFonts w:cs="Arial"/>
          <w:color w:val="000000"/>
          <w:szCs w:val="24"/>
        </w:rPr>
        <w:t>, para mayor desglose ver cuadro 14</w:t>
      </w:r>
      <w:r w:rsidRPr="00C45DD9">
        <w:rPr>
          <w:rFonts w:cs="Arial"/>
          <w:color w:val="000000"/>
          <w:szCs w:val="24"/>
        </w:rPr>
        <w:t>.</w:t>
      </w:r>
    </w:p>
    <w:p w14:paraId="26943C9E" w14:textId="77777777" w:rsidR="00C56872" w:rsidRDefault="00C56872" w:rsidP="00C56872">
      <w:pPr>
        <w:widowControl/>
        <w:autoSpaceDE w:val="0"/>
        <w:autoSpaceDN w:val="0"/>
        <w:adjustRightInd w:val="0"/>
        <w:rPr>
          <w:rFonts w:cs="Arial"/>
          <w:color w:val="000000"/>
          <w:szCs w:val="24"/>
        </w:rPr>
      </w:pPr>
    </w:p>
    <w:p w14:paraId="52145E5A" w14:textId="2DB82AD1" w:rsidR="009E086F" w:rsidRPr="00E213E7" w:rsidRDefault="009E086F" w:rsidP="00E213E7">
      <w:pPr>
        <w:widowControl/>
        <w:autoSpaceDE w:val="0"/>
        <w:autoSpaceDN w:val="0"/>
        <w:adjustRightInd w:val="0"/>
        <w:jc w:val="center"/>
        <w:rPr>
          <w:rFonts w:cs="Arial"/>
          <w:color w:val="000000"/>
          <w:sz w:val="20"/>
        </w:rPr>
      </w:pPr>
      <w:r w:rsidRPr="00E213E7">
        <w:rPr>
          <w:rFonts w:cs="Arial"/>
          <w:color w:val="000000"/>
          <w:sz w:val="20"/>
        </w:rPr>
        <w:t>Cuadro 14</w:t>
      </w:r>
    </w:p>
    <w:p w14:paraId="7274775D" w14:textId="77777777" w:rsidR="009E086F" w:rsidRPr="00E213E7" w:rsidRDefault="009E086F" w:rsidP="00E213E7">
      <w:pPr>
        <w:widowControl/>
        <w:autoSpaceDE w:val="0"/>
        <w:autoSpaceDN w:val="0"/>
        <w:adjustRightInd w:val="0"/>
        <w:jc w:val="center"/>
        <w:rPr>
          <w:rFonts w:cs="Arial"/>
          <w:b/>
          <w:bCs/>
          <w:smallCaps/>
          <w:color w:val="000000" w:themeColor="text1"/>
          <w:sz w:val="22"/>
          <w:szCs w:val="22"/>
        </w:rPr>
      </w:pPr>
      <w:r w:rsidRPr="00E213E7">
        <w:rPr>
          <w:rFonts w:cs="Arial"/>
          <w:b/>
          <w:bCs/>
          <w:smallCaps/>
          <w:color w:val="000000"/>
          <w:sz w:val="22"/>
          <w:szCs w:val="22"/>
        </w:rPr>
        <w:t>Personas en alguna o</w:t>
      </w:r>
      <w:r w:rsidRPr="00E213E7">
        <w:rPr>
          <w:rFonts w:cs="Arial"/>
          <w:b/>
          <w:bCs/>
          <w:smallCaps/>
          <w:color w:val="000000" w:themeColor="text1"/>
          <w:sz w:val="22"/>
          <w:szCs w:val="22"/>
        </w:rPr>
        <w:t>cupación no permitida por nivel de ingreso según sexo</w:t>
      </w:r>
    </w:p>
    <w:p w14:paraId="79140E5D" w14:textId="77777777" w:rsidR="009E086F" w:rsidRDefault="009E086F" w:rsidP="00E213E7">
      <w:pPr>
        <w:widowControl/>
        <w:autoSpaceDE w:val="0"/>
        <w:autoSpaceDN w:val="0"/>
        <w:adjustRightInd w:val="0"/>
        <w:ind w:left="851" w:right="51" w:hanging="851"/>
        <w:jc w:val="center"/>
        <w:rPr>
          <w:rFonts w:cs="Arial"/>
          <w:b/>
          <w:bCs/>
          <w:color w:val="000000" w:themeColor="text1"/>
          <w:szCs w:val="24"/>
        </w:rPr>
      </w:pPr>
      <w:r w:rsidRPr="005E25D0">
        <w:rPr>
          <w:rFonts w:cs="Arial"/>
          <w:bCs/>
          <w:sz w:val="18"/>
          <w:szCs w:val="18"/>
        </w:rPr>
        <w:t>(distribución porcentual)</w:t>
      </w:r>
    </w:p>
    <w:tbl>
      <w:tblPr>
        <w:tblW w:w="9780" w:type="dxa"/>
        <w:tblCellMar>
          <w:left w:w="70" w:type="dxa"/>
          <w:right w:w="70" w:type="dxa"/>
        </w:tblCellMar>
        <w:tblLook w:val="04A0" w:firstRow="1" w:lastRow="0" w:firstColumn="1" w:lastColumn="0" w:noHBand="0" w:noVBand="1"/>
      </w:tblPr>
      <w:tblGrid>
        <w:gridCol w:w="220"/>
        <w:gridCol w:w="4760"/>
        <w:gridCol w:w="1600"/>
        <w:gridCol w:w="1600"/>
        <w:gridCol w:w="1600"/>
      </w:tblGrid>
      <w:tr w:rsidR="009E086F" w:rsidRPr="00A80D08" w14:paraId="3AE4DE8A" w14:textId="77777777" w:rsidTr="00562DA7">
        <w:trPr>
          <w:trHeight w:val="315"/>
        </w:trPr>
        <w:tc>
          <w:tcPr>
            <w:tcW w:w="4980" w:type="dxa"/>
            <w:gridSpan w:val="2"/>
            <w:tcBorders>
              <w:top w:val="nil"/>
              <w:left w:val="nil"/>
              <w:bottom w:val="nil"/>
              <w:right w:val="nil"/>
            </w:tcBorders>
            <w:shd w:val="clear" w:color="auto" w:fill="338B99"/>
            <w:vAlign w:val="center"/>
            <w:hideMark/>
          </w:tcPr>
          <w:p w14:paraId="1177EF10" w14:textId="77777777" w:rsidR="009E086F" w:rsidRPr="00A80D08" w:rsidRDefault="009E086F" w:rsidP="00562DA7">
            <w:pPr>
              <w:widowControl/>
              <w:jc w:val="left"/>
              <w:rPr>
                <w:rFonts w:cs="Arial"/>
                <w:b/>
                <w:bCs/>
                <w:color w:val="FFFFFF"/>
                <w:sz w:val="20"/>
                <w:lang w:eastAsia="es-MX"/>
              </w:rPr>
            </w:pPr>
            <w:r w:rsidRPr="00A80D08">
              <w:rPr>
                <w:rFonts w:cs="Arial"/>
                <w:b/>
                <w:bCs/>
                <w:color w:val="FFFFFF"/>
                <w:sz w:val="20"/>
                <w:lang w:eastAsia="es-MX"/>
              </w:rPr>
              <w:t>Nivel de ingreso</w:t>
            </w:r>
          </w:p>
        </w:tc>
        <w:tc>
          <w:tcPr>
            <w:tcW w:w="1600" w:type="dxa"/>
            <w:tcBorders>
              <w:top w:val="nil"/>
              <w:left w:val="nil"/>
              <w:bottom w:val="nil"/>
              <w:right w:val="nil"/>
            </w:tcBorders>
            <w:shd w:val="clear" w:color="auto" w:fill="338B99"/>
            <w:vAlign w:val="center"/>
            <w:hideMark/>
          </w:tcPr>
          <w:p w14:paraId="411AF43B" w14:textId="77777777" w:rsidR="009E086F" w:rsidRPr="00A80D08" w:rsidRDefault="009E086F" w:rsidP="00562DA7">
            <w:pPr>
              <w:widowControl/>
              <w:jc w:val="center"/>
              <w:rPr>
                <w:rFonts w:cs="Arial"/>
                <w:b/>
                <w:bCs/>
                <w:color w:val="FFFFFF"/>
                <w:sz w:val="20"/>
                <w:lang w:eastAsia="es-MX"/>
              </w:rPr>
            </w:pPr>
            <w:r w:rsidRPr="00A80D08">
              <w:rPr>
                <w:rFonts w:cs="Arial"/>
                <w:b/>
                <w:bCs/>
                <w:color w:val="FFFFFF"/>
                <w:sz w:val="20"/>
                <w:lang w:eastAsia="es-MX"/>
              </w:rPr>
              <w:t>Total</w:t>
            </w:r>
          </w:p>
        </w:tc>
        <w:tc>
          <w:tcPr>
            <w:tcW w:w="1600" w:type="dxa"/>
            <w:tcBorders>
              <w:top w:val="nil"/>
              <w:left w:val="nil"/>
              <w:bottom w:val="nil"/>
              <w:right w:val="nil"/>
            </w:tcBorders>
            <w:shd w:val="clear" w:color="auto" w:fill="338B99"/>
            <w:vAlign w:val="center"/>
            <w:hideMark/>
          </w:tcPr>
          <w:p w14:paraId="421856D9" w14:textId="77777777" w:rsidR="009E086F" w:rsidRPr="00A80D08" w:rsidRDefault="009E086F" w:rsidP="00562DA7">
            <w:pPr>
              <w:widowControl/>
              <w:jc w:val="center"/>
              <w:rPr>
                <w:rFonts w:cs="Arial"/>
                <w:b/>
                <w:bCs/>
                <w:color w:val="FFFFFF"/>
                <w:sz w:val="20"/>
                <w:lang w:eastAsia="es-MX"/>
              </w:rPr>
            </w:pPr>
            <w:r w:rsidRPr="00A80D08">
              <w:rPr>
                <w:rFonts w:cs="Arial"/>
                <w:b/>
                <w:bCs/>
                <w:color w:val="FFFFFF"/>
                <w:sz w:val="20"/>
                <w:lang w:eastAsia="es-MX"/>
              </w:rPr>
              <w:t>Niños</w:t>
            </w:r>
          </w:p>
        </w:tc>
        <w:tc>
          <w:tcPr>
            <w:tcW w:w="1600" w:type="dxa"/>
            <w:tcBorders>
              <w:top w:val="nil"/>
              <w:left w:val="nil"/>
              <w:bottom w:val="nil"/>
              <w:right w:val="nil"/>
            </w:tcBorders>
            <w:shd w:val="clear" w:color="auto" w:fill="338B99"/>
            <w:vAlign w:val="center"/>
            <w:hideMark/>
          </w:tcPr>
          <w:p w14:paraId="3AC88D63" w14:textId="77777777" w:rsidR="009E086F" w:rsidRPr="00A80D08" w:rsidRDefault="009E086F" w:rsidP="00562DA7">
            <w:pPr>
              <w:widowControl/>
              <w:jc w:val="center"/>
              <w:rPr>
                <w:rFonts w:cs="Arial"/>
                <w:b/>
                <w:bCs/>
                <w:color w:val="FFFFFF"/>
                <w:sz w:val="20"/>
                <w:lang w:eastAsia="es-MX"/>
              </w:rPr>
            </w:pPr>
            <w:r w:rsidRPr="00A80D08">
              <w:rPr>
                <w:rFonts w:cs="Arial"/>
                <w:b/>
                <w:bCs/>
                <w:color w:val="FFFFFF"/>
                <w:sz w:val="20"/>
                <w:lang w:eastAsia="es-MX"/>
              </w:rPr>
              <w:t>Niñas</w:t>
            </w:r>
          </w:p>
        </w:tc>
      </w:tr>
      <w:tr w:rsidR="009E086F" w:rsidRPr="00A80D08" w14:paraId="4988F588" w14:textId="77777777" w:rsidTr="00562DA7">
        <w:trPr>
          <w:trHeight w:val="300"/>
        </w:trPr>
        <w:tc>
          <w:tcPr>
            <w:tcW w:w="4980" w:type="dxa"/>
            <w:gridSpan w:val="2"/>
            <w:tcBorders>
              <w:top w:val="nil"/>
              <w:left w:val="nil"/>
              <w:bottom w:val="nil"/>
              <w:right w:val="nil"/>
            </w:tcBorders>
            <w:shd w:val="clear" w:color="auto" w:fill="66A8B3"/>
            <w:vAlign w:val="center"/>
            <w:hideMark/>
          </w:tcPr>
          <w:p w14:paraId="793A2A39" w14:textId="77777777" w:rsidR="009E086F" w:rsidRPr="00A80D08" w:rsidRDefault="009E086F" w:rsidP="00562DA7">
            <w:pPr>
              <w:widowControl/>
              <w:jc w:val="left"/>
              <w:rPr>
                <w:rFonts w:cs="Arial"/>
                <w:b/>
                <w:bCs/>
                <w:color w:val="000000"/>
                <w:sz w:val="20"/>
                <w:lang w:eastAsia="es-MX"/>
              </w:rPr>
            </w:pPr>
            <w:r w:rsidRPr="00A80D08">
              <w:rPr>
                <w:rFonts w:cs="Arial"/>
                <w:b/>
                <w:bCs/>
                <w:color w:val="000000"/>
                <w:sz w:val="20"/>
                <w:lang w:eastAsia="es-MX"/>
              </w:rPr>
              <w:t>Ocupación no permitida</w:t>
            </w:r>
          </w:p>
        </w:tc>
        <w:tc>
          <w:tcPr>
            <w:tcW w:w="1600" w:type="dxa"/>
            <w:tcBorders>
              <w:top w:val="nil"/>
              <w:left w:val="nil"/>
              <w:bottom w:val="nil"/>
              <w:right w:val="nil"/>
            </w:tcBorders>
            <w:shd w:val="clear" w:color="auto" w:fill="66A8B3"/>
            <w:vAlign w:val="center"/>
            <w:hideMark/>
          </w:tcPr>
          <w:p w14:paraId="4772C198" w14:textId="77777777" w:rsidR="009E086F" w:rsidRPr="00A80D08" w:rsidRDefault="009E086F" w:rsidP="00562DA7">
            <w:pPr>
              <w:widowControl/>
              <w:jc w:val="center"/>
              <w:rPr>
                <w:rFonts w:cs="Arial"/>
                <w:b/>
                <w:bCs/>
                <w:color w:val="000000"/>
                <w:sz w:val="20"/>
                <w:lang w:eastAsia="es-MX"/>
              </w:rPr>
            </w:pPr>
            <w:r w:rsidRPr="00A80D08">
              <w:rPr>
                <w:rFonts w:cs="Arial"/>
                <w:b/>
                <w:bCs/>
                <w:sz w:val="20"/>
                <w:lang w:eastAsia="es-MX"/>
              </w:rPr>
              <w:t>100.0</w:t>
            </w:r>
          </w:p>
        </w:tc>
        <w:tc>
          <w:tcPr>
            <w:tcW w:w="1600" w:type="dxa"/>
            <w:tcBorders>
              <w:top w:val="nil"/>
              <w:left w:val="nil"/>
              <w:bottom w:val="nil"/>
              <w:right w:val="nil"/>
            </w:tcBorders>
            <w:shd w:val="clear" w:color="auto" w:fill="66A8B3"/>
            <w:vAlign w:val="center"/>
            <w:hideMark/>
          </w:tcPr>
          <w:p w14:paraId="1879CBD9" w14:textId="77777777" w:rsidR="009E086F" w:rsidRPr="00A80D08" w:rsidRDefault="009E086F" w:rsidP="00562DA7">
            <w:pPr>
              <w:widowControl/>
              <w:jc w:val="center"/>
              <w:rPr>
                <w:rFonts w:cs="Arial"/>
                <w:b/>
                <w:bCs/>
                <w:color w:val="000000"/>
                <w:sz w:val="20"/>
                <w:lang w:eastAsia="es-MX"/>
              </w:rPr>
            </w:pPr>
            <w:r w:rsidRPr="00A80D08">
              <w:rPr>
                <w:rFonts w:cs="Arial"/>
                <w:b/>
                <w:bCs/>
                <w:sz w:val="20"/>
                <w:lang w:eastAsia="es-MX"/>
              </w:rPr>
              <w:t>100.0</w:t>
            </w:r>
          </w:p>
        </w:tc>
        <w:tc>
          <w:tcPr>
            <w:tcW w:w="1600" w:type="dxa"/>
            <w:tcBorders>
              <w:top w:val="nil"/>
              <w:left w:val="nil"/>
              <w:bottom w:val="nil"/>
              <w:right w:val="nil"/>
            </w:tcBorders>
            <w:shd w:val="clear" w:color="auto" w:fill="66A8B3"/>
            <w:vAlign w:val="center"/>
            <w:hideMark/>
          </w:tcPr>
          <w:p w14:paraId="138DFF54" w14:textId="77777777" w:rsidR="009E086F" w:rsidRPr="00A80D08" w:rsidRDefault="009E086F" w:rsidP="00562DA7">
            <w:pPr>
              <w:widowControl/>
              <w:jc w:val="center"/>
              <w:rPr>
                <w:rFonts w:cs="Arial"/>
                <w:b/>
                <w:bCs/>
                <w:color w:val="000000"/>
                <w:sz w:val="20"/>
                <w:lang w:eastAsia="es-MX"/>
              </w:rPr>
            </w:pPr>
            <w:r w:rsidRPr="00A80D08">
              <w:rPr>
                <w:rFonts w:cs="Arial"/>
                <w:b/>
                <w:bCs/>
                <w:sz w:val="20"/>
                <w:lang w:eastAsia="es-MX"/>
              </w:rPr>
              <w:t>100.0</w:t>
            </w:r>
          </w:p>
        </w:tc>
      </w:tr>
      <w:tr w:rsidR="009E086F" w:rsidRPr="00A80D08" w14:paraId="71F6FE87" w14:textId="77777777" w:rsidTr="00562DA7">
        <w:trPr>
          <w:trHeight w:val="300"/>
        </w:trPr>
        <w:tc>
          <w:tcPr>
            <w:tcW w:w="220" w:type="dxa"/>
            <w:tcBorders>
              <w:top w:val="nil"/>
              <w:left w:val="nil"/>
              <w:bottom w:val="nil"/>
              <w:right w:val="nil"/>
            </w:tcBorders>
            <w:shd w:val="clear" w:color="auto" w:fill="CCE2E6"/>
            <w:noWrap/>
            <w:vAlign w:val="bottom"/>
            <w:hideMark/>
          </w:tcPr>
          <w:p w14:paraId="26404F34" w14:textId="77777777" w:rsidR="009E086F" w:rsidRPr="00A80D08" w:rsidRDefault="009E086F" w:rsidP="00562DA7">
            <w:pPr>
              <w:widowControl/>
              <w:jc w:val="left"/>
              <w:rPr>
                <w:rFonts w:ascii="Times New Roman" w:hAnsi="Times New Roman"/>
                <w:color w:val="000000"/>
                <w:sz w:val="20"/>
                <w:lang w:eastAsia="es-MX"/>
              </w:rPr>
            </w:pPr>
            <w:r w:rsidRPr="00A80D08">
              <w:rPr>
                <w:rFonts w:ascii="Times New Roman" w:hAnsi="Times New Roman"/>
                <w:color w:val="000000"/>
                <w:sz w:val="20"/>
                <w:lang w:eastAsia="es-MX"/>
              </w:rPr>
              <w:t> </w:t>
            </w:r>
          </w:p>
        </w:tc>
        <w:tc>
          <w:tcPr>
            <w:tcW w:w="4760" w:type="dxa"/>
            <w:tcBorders>
              <w:top w:val="nil"/>
              <w:left w:val="nil"/>
              <w:bottom w:val="nil"/>
              <w:right w:val="nil"/>
            </w:tcBorders>
            <w:shd w:val="clear" w:color="auto" w:fill="CCE2E6"/>
            <w:vAlign w:val="center"/>
            <w:hideMark/>
          </w:tcPr>
          <w:p w14:paraId="0C2B4DD8" w14:textId="77777777" w:rsidR="009E086F" w:rsidRPr="00A80D08" w:rsidRDefault="009E086F" w:rsidP="00562DA7">
            <w:pPr>
              <w:widowControl/>
              <w:jc w:val="left"/>
              <w:rPr>
                <w:rFonts w:cs="Arial"/>
                <w:color w:val="000000"/>
                <w:sz w:val="20"/>
                <w:lang w:eastAsia="es-MX"/>
              </w:rPr>
            </w:pPr>
            <w:r w:rsidRPr="00A80D08">
              <w:rPr>
                <w:rFonts w:cs="Arial"/>
                <w:sz w:val="20"/>
                <w:lang w:eastAsia="es-MX"/>
              </w:rPr>
              <w:t>No recibe ingresos</w:t>
            </w:r>
          </w:p>
        </w:tc>
        <w:tc>
          <w:tcPr>
            <w:tcW w:w="1600" w:type="dxa"/>
            <w:tcBorders>
              <w:top w:val="nil"/>
              <w:left w:val="nil"/>
              <w:bottom w:val="nil"/>
              <w:right w:val="nil"/>
            </w:tcBorders>
            <w:shd w:val="clear" w:color="auto" w:fill="CCE2E6"/>
            <w:vAlign w:val="center"/>
            <w:hideMark/>
          </w:tcPr>
          <w:p w14:paraId="745603AC" w14:textId="77777777" w:rsidR="009E086F" w:rsidRPr="00A80D08" w:rsidRDefault="009E086F" w:rsidP="00562DA7">
            <w:pPr>
              <w:widowControl/>
              <w:jc w:val="center"/>
              <w:rPr>
                <w:rFonts w:cs="Arial"/>
                <w:color w:val="000000"/>
                <w:sz w:val="20"/>
                <w:lang w:eastAsia="es-MX"/>
              </w:rPr>
            </w:pPr>
            <w:r w:rsidRPr="00A80D08">
              <w:rPr>
                <w:rFonts w:cs="Arial"/>
                <w:sz w:val="20"/>
                <w:lang w:eastAsia="es-MX"/>
              </w:rPr>
              <w:t>37.6</w:t>
            </w:r>
          </w:p>
        </w:tc>
        <w:tc>
          <w:tcPr>
            <w:tcW w:w="1600" w:type="dxa"/>
            <w:tcBorders>
              <w:top w:val="nil"/>
              <w:left w:val="nil"/>
              <w:bottom w:val="nil"/>
              <w:right w:val="nil"/>
            </w:tcBorders>
            <w:shd w:val="clear" w:color="auto" w:fill="CCE2E6"/>
            <w:vAlign w:val="center"/>
            <w:hideMark/>
          </w:tcPr>
          <w:p w14:paraId="22D7E422" w14:textId="77777777" w:rsidR="009E086F" w:rsidRPr="00A80D08" w:rsidRDefault="009E086F" w:rsidP="00562DA7">
            <w:pPr>
              <w:widowControl/>
              <w:jc w:val="center"/>
              <w:rPr>
                <w:rFonts w:cs="Arial"/>
                <w:color w:val="000000"/>
                <w:sz w:val="20"/>
                <w:lang w:eastAsia="es-MX"/>
              </w:rPr>
            </w:pPr>
            <w:r w:rsidRPr="00A80D08">
              <w:rPr>
                <w:rFonts w:cs="Arial"/>
                <w:sz w:val="20"/>
                <w:lang w:eastAsia="es-MX"/>
              </w:rPr>
              <w:t>37.4</w:t>
            </w:r>
          </w:p>
        </w:tc>
        <w:tc>
          <w:tcPr>
            <w:tcW w:w="1600" w:type="dxa"/>
            <w:tcBorders>
              <w:top w:val="nil"/>
              <w:left w:val="nil"/>
              <w:bottom w:val="nil"/>
              <w:right w:val="nil"/>
            </w:tcBorders>
            <w:shd w:val="clear" w:color="auto" w:fill="CCE2E6"/>
            <w:vAlign w:val="center"/>
            <w:hideMark/>
          </w:tcPr>
          <w:p w14:paraId="4F57AF90" w14:textId="77777777" w:rsidR="009E086F" w:rsidRPr="00A80D08" w:rsidRDefault="009E086F" w:rsidP="00562DA7">
            <w:pPr>
              <w:widowControl/>
              <w:jc w:val="center"/>
              <w:rPr>
                <w:rFonts w:cs="Arial"/>
                <w:color w:val="000000"/>
                <w:sz w:val="20"/>
                <w:lang w:eastAsia="es-MX"/>
              </w:rPr>
            </w:pPr>
            <w:r w:rsidRPr="00A80D08">
              <w:rPr>
                <w:rFonts w:cs="Arial"/>
                <w:sz w:val="20"/>
                <w:lang w:eastAsia="es-MX"/>
              </w:rPr>
              <w:t>38.2</w:t>
            </w:r>
          </w:p>
        </w:tc>
      </w:tr>
      <w:tr w:rsidR="009E086F" w:rsidRPr="00A80D08" w14:paraId="5DEF6704" w14:textId="77777777" w:rsidTr="00562DA7">
        <w:trPr>
          <w:trHeight w:val="300"/>
        </w:trPr>
        <w:tc>
          <w:tcPr>
            <w:tcW w:w="220" w:type="dxa"/>
            <w:tcBorders>
              <w:top w:val="nil"/>
              <w:left w:val="nil"/>
              <w:bottom w:val="nil"/>
              <w:right w:val="nil"/>
            </w:tcBorders>
            <w:shd w:val="clear" w:color="auto" w:fill="CCE2E6"/>
            <w:noWrap/>
            <w:vAlign w:val="bottom"/>
            <w:hideMark/>
          </w:tcPr>
          <w:p w14:paraId="2B8F6B5E" w14:textId="77777777" w:rsidR="009E086F" w:rsidRPr="00A80D08" w:rsidRDefault="009E086F" w:rsidP="00562DA7">
            <w:pPr>
              <w:widowControl/>
              <w:jc w:val="left"/>
              <w:rPr>
                <w:rFonts w:ascii="Times New Roman" w:hAnsi="Times New Roman"/>
                <w:color w:val="000000"/>
                <w:sz w:val="20"/>
                <w:lang w:eastAsia="es-MX"/>
              </w:rPr>
            </w:pPr>
            <w:r w:rsidRPr="00A80D08">
              <w:rPr>
                <w:rFonts w:ascii="Times New Roman" w:hAnsi="Times New Roman"/>
                <w:color w:val="000000"/>
                <w:sz w:val="20"/>
                <w:lang w:eastAsia="es-MX"/>
              </w:rPr>
              <w:t> </w:t>
            </w:r>
          </w:p>
        </w:tc>
        <w:tc>
          <w:tcPr>
            <w:tcW w:w="4760" w:type="dxa"/>
            <w:tcBorders>
              <w:top w:val="nil"/>
              <w:left w:val="nil"/>
              <w:bottom w:val="nil"/>
              <w:right w:val="nil"/>
            </w:tcBorders>
            <w:shd w:val="clear" w:color="auto" w:fill="CCE2E6"/>
            <w:vAlign w:val="center"/>
            <w:hideMark/>
          </w:tcPr>
          <w:p w14:paraId="3816C566" w14:textId="77777777" w:rsidR="009E086F" w:rsidRPr="00A80D08" w:rsidRDefault="009E086F" w:rsidP="00562DA7">
            <w:pPr>
              <w:widowControl/>
              <w:jc w:val="left"/>
              <w:rPr>
                <w:rFonts w:cs="Arial"/>
                <w:color w:val="000000"/>
                <w:sz w:val="20"/>
                <w:lang w:eastAsia="es-MX"/>
              </w:rPr>
            </w:pPr>
            <w:r w:rsidRPr="00A80D08">
              <w:rPr>
                <w:rFonts w:cs="Arial"/>
                <w:sz w:val="20"/>
                <w:lang w:eastAsia="es-MX"/>
              </w:rPr>
              <w:t>Hasta un salario mínimo</w:t>
            </w:r>
          </w:p>
        </w:tc>
        <w:tc>
          <w:tcPr>
            <w:tcW w:w="1600" w:type="dxa"/>
            <w:tcBorders>
              <w:top w:val="nil"/>
              <w:left w:val="nil"/>
              <w:bottom w:val="nil"/>
              <w:right w:val="nil"/>
            </w:tcBorders>
            <w:shd w:val="clear" w:color="auto" w:fill="CCE2E6"/>
            <w:vAlign w:val="center"/>
            <w:hideMark/>
          </w:tcPr>
          <w:p w14:paraId="5C9FA222" w14:textId="77777777" w:rsidR="009E086F" w:rsidRPr="00A80D08" w:rsidRDefault="009E086F" w:rsidP="00562DA7">
            <w:pPr>
              <w:widowControl/>
              <w:jc w:val="center"/>
              <w:rPr>
                <w:rFonts w:cs="Arial"/>
                <w:color w:val="000000"/>
                <w:sz w:val="20"/>
                <w:lang w:eastAsia="es-MX"/>
              </w:rPr>
            </w:pPr>
            <w:r w:rsidRPr="00A80D08">
              <w:rPr>
                <w:rFonts w:cs="Arial"/>
                <w:sz w:val="20"/>
                <w:lang w:eastAsia="es-MX"/>
              </w:rPr>
              <w:t>47.9</w:t>
            </w:r>
          </w:p>
        </w:tc>
        <w:tc>
          <w:tcPr>
            <w:tcW w:w="1600" w:type="dxa"/>
            <w:tcBorders>
              <w:top w:val="nil"/>
              <w:left w:val="nil"/>
              <w:bottom w:val="nil"/>
              <w:right w:val="nil"/>
            </w:tcBorders>
            <w:shd w:val="clear" w:color="auto" w:fill="CCE2E6"/>
            <w:vAlign w:val="center"/>
            <w:hideMark/>
          </w:tcPr>
          <w:p w14:paraId="731BE883" w14:textId="77777777" w:rsidR="009E086F" w:rsidRPr="00A80D08" w:rsidRDefault="009E086F" w:rsidP="00562DA7">
            <w:pPr>
              <w:widowControl/>
              <w:jc w:val="center"/>
              <w:rPr>
                <w:rFonts w:cs="Arial"/>
                <w:color w:val="000000"/>
                <w:sz w:val="20"/>
                <w:lang w:eastAsia="es-MX"/>
              </w:rPr>
            </w:pPr>
            <w:r w:rsidRPr="00A80D08">
              <w:rPr>
                <w:rFonts w:cs="Arial"/>
                <w:sz w:val="20"/>
                <w:lang w:eastAsia="es-MX"/>
              </w:rPr>
              <w:t>45.9</w:t>
            </w:r>
          </w:p>
        </w:tc>
        <w:tc>
          <w:tcPr>
            <w:tcW w:w="1600" w:type="dxa"/>
            <w:tcBorders>
              <w:top w:val="nil"/>
              <w:left w:val="nil"/>
              <w:bottom w:val="nil"/>
              <w:right w:val="nil"/>
            </w:tcBorders>
            <w:shd w:val="clear" w:color="auto" w:fill="CCE2E6"/>
            <w:vAlign w:val="center"/>
            <w:hideMark/>
          </w:tcPr>
          <w:p w14:paraId="10B3D497" w14:textId="77777777" w:rsidR="009E086F" w:rsidRPr="00A80D08" w:rsidRDefault="009E086F" w:rsidP="00562DA7">
            <w:pPr>
              <w:widowControl/>
              <w:jc w:val="center"/>
              <w:rPr>
                <w:rFonts w:cs="Arial"/>
                <w:color w:val="000000"/>
                <w:sz w:val="20"/>
                <w:lang w:eastAsia="es-MX"/>
              </w:rPr>
            </w:pPr>
            <w:r w:rsidRPr="00A80D08">
              <w:rPr>
                <w:rFonts w:cs="Arial"/>
                <w:sz w:val="20"/>
                <w:lang w:eastAsia="es-MX"/>
              </w:rPr>
              <w:t>52.7</w:t>
            </w:r>
          </w:p>
        </w:tc>
      </w:tr>
      <w:tr w:rsidR="009E086F" w:rsidRPr="00A80D08" w14:paraId="2C06B6B1" w14:textId="77777777" w:rsidTr="00562DA7">
        <w:trPr>
          <w:trHeight w:val="300"/>
        </w:trPr>
        <w:tc>
          <w:tcPr>
            <w:tcW w:w="220" w:type="dxa"/>
            <w:tcBorders>
              <w:top w:val="nil"/>
              <w:left w:val="nil"/>
              <w:bottom w:val="nil"/>
              <w:right w:val="nil"/>
            </w:tcBorders>
            <w:shd w:val="clear" w:color="auto" w:fill="CCE2E6"/>
            <w:noWrap/>
            <w:vAlign w:val="bottom"/>
            <w:hideMark/>
          </w:tcPr>
          <w:p w14:paraId="444FED34" w14:textId="77777777" w:rsidR="009E086F" w:rsidRPr="00A80D08" w:rsidRDefault="009E086F" w:rsidP="00562DA7">
            <w:pPr>
              <w:widowControl/>
              <w:jc w:val="left"/>
              <w:rPr>
                <w:rFonts w:ascii="Times New Roman" w:hAnsi="Times New Roman"/>
                <w:color w:val="000000"/>
                <w:sz w:val="20"/>
                <w:lang w:eastAsia="es-MX"/>
              </w:rPr>
            </w:pPr>
            <w:r w:rsidRPr="00A80D08">
              <w:rPr>
                <w:rFonts w:ascii="Times New Roman" w:hAnsi="Times New Roman"/>
                <w:color w:val="000000"/>
                <w:sz w:val="20"/>
                <w:lang w:eastAsia="es-MX"/>
              </w:rPr>
              <w:t> </w:t>
            </w:r>
          </w:p>
        </w:tc>
        <w:tc>
          <w:tcPr>
            <w:tcW w:w="4760" w:type="dxa"/>
            <w:tcBorders>
              <w:top w:val="nil"/>
              <w:left w:val="nil"/>
              <w:bottom w:val="nil"/>
              <w:right w:val="nil"/>
            </w:tcBorders>
            <w:shd w:val="clear" w:color="auto" w:fill="CCE2E6"/>
            <w:vAlign w:val="center"/>
            <w:hideMark/>
          </w:tcPr>
          <w:p w14:paraId="494BBB2F" w14:textId="77777777" w:rsidR="009E086F" w:rsidRPr="00A80D08" w:rsidRDefault="009E086F" w:rsidP="00562DA7">
            <w:pPr>
              <w:widowControl/>
              <w:jc w:val="left"/>
              <w:rPr>
                <w:rFonts w:cs="Arial"/>
                <w:color w:val="000000"/>
                <w:sz w:val="20"/>
                <w:lang w:eastAsia="es-MX"/>
              </w:rPr>
            </w:pPr>
            <w:r w:rsidRPr="00A80D08">
              <w:rPr>
                <w:rFonts w:cs="Arial"/>
                <w:sz w:val="20"/>
                <w:lang w:eastAsia="es-MX"/>
              </w:rPr>
              <w:t>Más de 1 hasta 2 salarios mínimos</w:t>
            </w:r>
          </w:p>
        </w:tc>
        <w:tc>
          <w:tcPr>
            <w:tcW w:w="1600" w:type="dxa"/>
            <w:tcBorders>
              <w:top w:val="nil"/>
              <w:left w:val="nil"/>
              <w:bottom w:val="nil"/>
              <w:right w:val="nil"/>
            </w:tcBorders>
            <w:shd w:val="clear" w:color="auto" w:fill="CCE2E6"/>
            <w:vAlign w:val="center"/>
            <w:hideMark/>
          </w:tcPr>
          <w:p w14:paraId="7958C500" w14:textId="77777777" w:rsidR="009E086F" w:rsidRPr="00A80D08" w:rsidRDefault="009E086F" w:rsidP="00562DA7">
            <w:pPr>
              <w:widowControl/>
              <w:jc w:val="center"/>
              <w:rPr>
                <w:rFonts w:cs="Arial"/>
                <w:color w:val="000000"/>
                <w:sz w:val="20"/>
                <w:lang w:eastAsia="es-MX"/>
              </w:rPr>
            </w:pPr>
            <w:r w:rsidRPr="00A80D08">
              <w:rPr>
                <w:rFonts w:cs="Arial"/>
                <w:sz w:val="20"/>
                <w:lang w:eastAsia="es-MX"/>
              </w:rPr>
              <w:t>11.7</w:t>
            </w:r>
          </w:p>
        </w:tc>
        <w:tc>
          <w:tcPr>
            <w:tcW w:w="1600" w:type="dxa"/>
            <w:tcBorders>
              <w:top w:val="nil"/>
              <w:left w:val="nil"/>
              <w:bottom w:val="nil"/>
              <w:right w:val="nil"/>
            </w:tcBorders>
            <w:shd w:val="clear" w:color="auto" w:fill="CCE2E6"/>
            <w:vAlign w:val="center"/>
            <w:hideMark/>
          </w:tcPr>
          <w:p w14:paraId="5D8A836A" w14:textId="77777777" w:rsidR="009E086F" w:rsidRPr="00A80D08" w:rsidRDefault="009E086F" w:rsidP="00562DA7">
            <w:pPr>
              <w:widowControl/>
              <w:jc w:val="center"/>
              <w:rPr>
                <w:rFonts w:cs="Arial"/>
                <w:color w:val="000000"/>
                <w:sz w:val="20"/>
                <w:lang w:eastAsia="es-MX"/>
              </w:rPr>
            </w:pPr>
            <w:r w:rsidRPr="00A80D08">
              <w:rPr>
                <w:rFonts w:cs="Arial"/>
                <w:sz w:val="20"/>
                <w:lang w:eastAsia="es-MX"/>
              </w:rPr>
              <w:t>13.8</w:t>
            </w:r>
          </w:p>
        </w:tc>
        <w:tc>
          <w:tcPr>
            <w:tcW w:w="1600" w:type="dxa"/>
            <w:tcBorders>
              <w:top w:val="nil"/>
              <w:left w:val="nil"/>
              <w:bottom w:val="nil"/>
              <w:right w:val="nil"/>
            </w:tcBorders>
            <w:shd w:val="clear" w:color="auto" w:fill="CCE2E6"/>
            <w:vAlign w:val="center"/>
            <w:hideMark/>
          </w:tcPr>
          <w:p w14:paraId="25E0616F" w14:textId="77777777" w:rsidR="009E086F" w:rsidRPr="00A80D08" w:rsidRDefault="009E086F" w:rsidP="00562DA7">
            <w:pPr>
              <w:widowControl/>
              <w:jc w:val="center"/>
              <w:rPr>
                <w:rFonts w:cs="Arial"/>
                <w:color w:val="000000"/>
                <w:sz w:val="20"/>
                <w:lang w:eastAsia="es-MX"/>
              </w:rPr>
            </w:pPr>
            <w:r w:rsidRPr="00A80D08">
              <w:rPr>
                <w:rFonts w:cs="Arial"/>
                <w:sz w:val="20"/>
                <w:lang w:eastAsia="es-MX"/>
              </w:rPr>
              <w:t>6.5</w:t>
            </w:r>
          </w:p>
        </w:tc>
      </w:tr>
      <w:tr w:rsidR="009E086F" w:rsidRPr="00A80D08" w14:paraId="3C127840" w14:textId="77777777" w:rsidTr="00562DA7">
        <w:trPr>
          <w:trHeight w:val="300"/>
        </w:trPr>
        <w:tc>
          <w:tcPr>
            <w:tcW w:w="220" w:type="dxa"/>
            <w:tcBorders>
              <w:top w:val="nil"/>
              <w:left w:val="nil"/>
              <w:right w:val="nil"/>
            </w:tcBorders>
            <w:shd w:val="clear" w:color="auto" w:fill="CCE2E6"/>
            <w:noWrap/>
            <w:vAlign w:val="bottom"/>
            <w:hideMark/>
          </w:tcPr>
          <w:p w14:paraId="189B7633" w14:textId="77777777" w:rsidR="009E086F" w:rsidRPr="00A80D08" w:rsidRDefault="009E086F" w:rsidP="00562DA7">
            <w:pPr>
              <w:widowControl/>
              <w:jc w:val="left"/>
              <w:rPr>
                <w:rFonts w:ascii="Times New Roman" w:hAnsi="Times New Roman"/>
                <w:color w:val="000000"/>
                <w:sz w:val="20"/>
                <w:lang w:eastAsia="es-MX"/>
              </w:rPr>
            </w:pPr>
            <w:r w:rsidRPr="00A80D08">
              <w:rPr>
                <w:rFonts w:ascii="Times New Roman" w:hAnsi="Times New Roman"/>
                <w:color w:val="000000"/>
                <w:sz w:val="20"/>
                <w:lang w:eastAsia="es-MX"/>
              </w:rPr>
              <w:t> </w:t>
            </w:r>
          </w:p>
        </w:tc>
        <w:tc>
          <w:tcPr>
            <w:tcW w:w="4760" w:type="dxa"/>
            <w:tcBorders>
              <w:top w:val="nil"/>
              <w:left w:val="nil"/>
              <w:right w:val="nil"/>
            </w:tcBorders>
            <w:shd w:val="clear" w:color="auto" w:fill="CCE2E6"/>
            <w:vAlign w:val="center"/>
            <w:hideMark/>
          </w:tcPr>
          <w:p w14:paraId="1F124A76" w14:textId="77777777" w:rsidR="009E086F" w:rsidRPr="00A80D08" w:rsidRDefault="009E086F" w:rsidP="00562DA7">
            <w:pPr>
              <w:widowControl/>
              <w:jc w:val="left"/>
              <w:rPr>
                <w:rFonts w:cs="Arial"/>
                <w:color w:val="000000"/>
                <w:sz w:val="20"/>
                <w:lang w:eastAsia="es-MX"/>
              </w:rPr>
            </w:pPr>
            <w:r w:rsidRPr="00A80D08">
              <w:rPr>
                <w:rFonts w:cs="Arial"/>
                <w:sz w:val="20"/>
                <w:lang w:eastAsia="es-MX"/>
              </w:rPr>
              <w:t>Más de 2 salarios mínimos</w:t>
            </w:r>
          </w:p>
        </w:tc>
        <w:tc>
          <w:tcPr>
            <w:tcW w:w="1600" w:type="dxa"/>
            <w:tcBorders>
              <w:top w:val="nil"/>
              <w:left w:val="nil"/>
              <w:right w:val="nil"/>
            </w:tcBorders>
            <w:shd w:val="clear" w:color="auto" w:fill="CCE2E6"/>
            <w:vAlign w:val="center"/>
            <w:hideMark/>
          </w:tcPr>
          <w:p w14:paraId="1BBF52BB" w14:textId="77777777" w:rsidR="009E086F" w:rsidRPr="00A80D08" w:rsidRDefault="009E086F" w:rsidP="00562DA7">
            <w:pPr>
              <w:widowControl/>
              <w:jc w:val="center"/>
              <w:rPr>
                <w:rFonts w:cs="Arial"/>
                <w:color w:val="000000"/>
                <w:sz w:val="20"/>
                <w:lang w:eastAsia="es-MX"/>
              </w:rPr>
            </w:pPr>
            <w:r w:rsidRPr="00A80D08">
              <w:rPr>
                <w:rFonts w:cs="Arial"/>
                <w:sz w:val="20"/>
                <w:lang w:eastAsia="es-MX"/>
              </w:rPr>
              <w:t>1.2</w:t>
            </w:r>
          </w:p>
        </w:tc>
        <w:tc>
          <w:tcPr>
            <w:tcW w:w="1600" w:type="dxa"/>
            <w:tcBorders>
              <w:top w:val="nil"/>
              <w:left w:val="nil"/>
              <w:right w:val="nil"/>
            </w:tcBorders>
            <w:shd w:val="clear" w:color="auto" w:fill="CCE2E6"/>
            <w:vAlign w:val="center"/>
            <w:hideMark/>
          </w:tcPr>
          <w:p w14:paraId="15D59CD0" w14:textId="77777777" w:rsidR="009E086F" w:rsidRPr="00A80D08" w:rsidRDefault="009E086F" w:rsidP="00562DA7">
            <w:pPr>
              <w:widowControl/>
              <w:jc w:val="center"/>
              <w:rPr>
                <w:rFonts w:cs="Arial"/>
                <w:color w:val="000000"/>
                <w:sz w:val="20"/>
                <w:lang w:eastAsia="es-MX"/>
              </w:rPr>
            </w:pPr>
            <w:r w:rsidRPr="00A80D08">
              <w:rPr>
                <w:rFonts w:cs="Arial"/>
                <w:sz w:val="20"/>
                <w:lang w:eastAsia="es-MX"/>
              </w:rPr>
              <w:t>1.3</w:t>
            </w:r>
          </w:p>
        </w:tc>
        <w:tc>
          <w:tcPr>
            <w:tcW w:w="1600" w:type="dxa"/>
            <w:tcBorders>
              <w:top w:val="nil"/>
              <w:left w:val="nil"/>
              <w:right w:val="nil"/>
            </w:tcBorders>
            <w:shd w:val="clear" w:color="auto" w:fill="CCE2E6"/>
            <w:vAlign w:val="center"/>
            <w:hideMark/>
          </w:tcPr>
          <w:p w14:paraId="3EED98FA" w14:textId="77777777" w:rsidR="009E086F" w:rsidRPr="00A80D08" w:rsidRDefault="009E086F" w:rsidP="00562DA7">
            <w:pPr>
              <w:widowControl/>
              <w:jc w:val="center"/>
              <w:rPr>
                <w:rFonts w:cs="Arial"/>
                <w:color w:val="000000"/>
                <w:sz w:val="20"/>
                <w:lang w:eastAsia="es-MX"/>
              </w:rPr>
            </w:pPr>
            <w:r w:rsidRPr="00A80D08">
              <w:rPr>
                <w:rFonts w:cs="Arial"/>
                <w:sz w:val="20"/>
                <w:lang w:eastAsia="es-MX"/>
              </w:rPr>
              <w:t>0.9</w:t>
            </w:r>
          </w:p>
        </w:tc>
      </w:tr>
      <w:tr w:rsidR="009E086F" w:rsidRPr="00A80D08" w14:paraId="79B84EEC" w14:textId="77777777" w:rsidTr="00562DA7">
        <w:trPr>
          <w:trHeight w:val="300"/>
        </w:trPr>
        <w:tc>
          <w:tcPr>
            <w:tcW w:w="220" w:type="dxa"/>
            <w:tcBorders>
              <w:top w:val="nil"/>
              <w:left w:val="nil"/>
              <w:right w:val="nil"/>
            </w:tcBorders>
            <w:shd w:val="clear" w:color="auto" w:fill="CCE2E6"/>
            <w:vAlign w:val="center"/>
            <w:hideMark/>
          </w:tcPr>
          <w:p w14:paraId="2B9C0964" w14:textId="77777777" w:rsidR="009E086F" w:rsidRPr="00A80D08" w:rsidRDefault="009E086F" w:rsidP="00562DA7">
            <w:pPr>
              <w:widowControl/>
              <w:jc w:val="left"/>
              <w:rPr>
                <w:rFonts w:ascii="Times New Roman" w:hAnsi="Times New Roman"/>
                <w:color w:val="000000"/>
                <w:sz w:val="20"/>
                <w:lang w:eastAsia="es-MX"/>
              </w:rPr>
            </w:pPr>
            <w:r w:rsidRPr="00A80D08">
              <w:rPr>
                <w:rFonts w:ascii="Times New Roman" w:hAnsi="Times New Roman" w:cs="Arial"/>
                <w:color w:val="000000"/>
                <w:sz w:val="20"/>
                <w:lang w:eastAsia="es-MX"/>
              </w:rPr>
              <w:t> </w:t>
            </w:r>
          </w:p>
        </w:tc>
        <w:tc>
          <w:tcPr>
            <w:tcW w:w="4760" w:type="dxa"/>
            <w:tcBorders>
              <w:top w:val="nil"/>
              <w:left w:val="nil"/>
              <w:right w:val="nil"/>
            </w:tcBorders>
            <w:shd w:val="clear" w:color="auto" w:fill="CCE2E6"/>
            <w:vAlign w:val="center"/>
            <w:hideMark/>
          </w:tcPr>
          <w:p w14:paraId="1C210883" w14:textId="77777777" w:rsidR="009E086F" w:rsidRPr="00A80D08" w:rsidRDefault="009E086F" w:rsidP="00562DA7">
            <w:pPr>
              <w:widowControl/>
              <w:jc w:val="left"/>
              <w:rPr>
                <w:rFonts w:cs="Arial"/>
                <w:color w:val="000000"/>
                <w:sz w:val="20"/>
                <w:lang w:eastAsia="es-MX"/>
              </w:rPr>
            </w:pPr>
            <w:r w:rsidRPr="00A80D08">
              <w:rPr>
                <w:rFonts w:cs="Arial"/>
                <w:sz w:val="20"/>
                <w:lang w:eastAsia="es-MX"/>
              </w:rPr>
              <w:t>No especificado</w:t>
            </w:r>
          </w:p>
        </w:tc>
        <w:tc>
          <w:tcPr>
            <w:tcW w:w="1600" w:type="dxa"/>
            <w:tcBorders>
              <w:top w:val="nil"/>
              <w:left w:val="nil"/>
              <w:right w:val="nil"/>
            </w:tcBorders>
            <w:shd w:val="clear" w:color="auto" w:fill="CCE2E6"/>
            <w:vAlign w:val="center"/>
            <w:hideMark/>
          </w:tcPr>
          <w:p w14:paraId="3A50527F" w14:textId="77777777" w:rsidR="009E086F" w:rsidRPr="00A80D08" w:rsidRDefault="009E086F" w:rsidP="00562DA7">
            <w:pPr>
              <w:widowControl/>
              <w:jc w:val="center"/>
              <w:rPr>
                <w:rFonts w:cs="Arial"/>
                <w:color w:val="000000"/>
                <w:sz w:val="20"/>
                <w:lang w:eastAsia="es-MX"/>
              </w:rPr>
            </w:pPr>
            <w:r w:rsidRPr="00A80D08">
              <w:rPr>
                <w:rFonts w:cs="Arial"/>
                <w:sz w:val="20"/>
                <w:lang w:eastAsia="es-MX"/>
              </w:rPr>
              <w:t>1.6</w:t>
            </w:r>
          </w:p>
        </w:tc>
        <w:tc>
          <w:tcPr>
            <w:tcW w:w="1600" w:type="dxa"/>
            <w:tcBorders>
              <w:top w:val="nil"/>
              <w:left w:val="nil"/>
              <w:right w:val="nil"/>
            </w:tcBorders>
            <w:shd w:val="clear" w:color="auto" w:fill="CCE2E6"/>
            <w:vAlign w:val="center"/>
            <w:hideMark/>
          </w:tcPr>
          <w:p w14:paraId="3679A1DD" w14:textId="77777777" w:rsidR="009E086F" w:rsidRPr="00A80D08" w:rsidRDefault="009E086F" w:rsidP="00562DA7">
            <w:pPr>
              <w:widowControl/>
              <w:jc w:val="center"/>
              <w:rPr>
                <w:rFonts w:cs="Arial"/>
                <w:color w:val="000000"/>
                <w:sz w:val="20"/>
                <w:lang w:eastAsia="es-MX"/>
              </w:rPr>
            </w:pPr>
            <w:r w:rsidRPr="00A80D08">
              <w:rPr>
                <w:rFonts w:cs="Arial"/>
                <w:sz w:val="20"/>
                <w:lang w:eastAsia="es-MX"/>
              </w:rPr>
              <w:t>1.6</w:t>
            </w:r>
          </w:p>
        </w:tc>
        <w:tc>
          <w:tcPr>
            <w:tcW w:w="1600" w:type="dxa"/>
            <w:tcBorders>
              <w:top w:val="nil"/>
              <w:left w:val="nil"/>
              <w:right w:val="nil"/>
            </w:tcBorders>
            <w:shd w:val="clear" w:color="auto" w:fill="CCE2E6"/>
            <w:vAlign w:val="center"/>
            <w:hideMark/>
          </w:tcPr>
          <w:p w14:paraId="734358F3" w14:textId="77777777" w:rsidR="009E086F" w:rsidRPr="00A80D08" w:rsidRDefault="009E086F" w:rsidP="00562DA7">
            <w:pPr>
              <w:widowControl/>
              <w:jc w:val="center"/>
              <w:rPr>
                <w:rFonts w:cs="Arial"/>
                <w:color w:val="000000"/>
                <w:sz w:val="20"/>
                <w:lang w:eastAsia="es-MX"/>
              </w:rPr>
            </w:pPr>
            <w:r w:rsidRPr="00A80D08">
              <w:rPr>
                <w:rFonts w:cs="Arial"/>
                <w:sz w:val="20"/>
                <w:lang w:eastAsia="es-MX"/>
              </w:rPr>
              <w:t>1.6</w:t>
            </w:r>
          </w:p>
        </w:tc>
      </w:tr>
    </w:tbl>
    <w:p w14:paraId="2EB89C43" w14:textId="13A6FE58" w:rsidR="009E086F" w:rsidRPr="00560388" w:rsidRDefault="009E086F" w:rsidP="009E086F">
      <w:pPr>
        <w:widowControl/>
        <w:autoSpaceDE w:val="0"/>
        <w:autoSpaceDN w:val="0"/>
        <w:adjustRightInd w:val="0"/>
        <w:rPr>
          <w:rFonts w:cs="Arial"/>
          <w:sz w:val="16"/>
          <w:szCs w:val="16"/>
        </w:rPr>
      </w:pPr>
      <w:r w:rsidRPr="00560388">
        <w:rPr>
          <w:rFonts w:cs="Arial"/>
          <w:color w:val="000000" w:themeColor="text1"/>
          <w:sz w:val="16"/>
          <w:szCs w:val="16"/>
        </w:rPr>
        <w:t>Fuente: INEGI, ENTI. 2022.</w:t>
      </w:r>
    </w:p>
    <w:p w14:paraId="196183CF" w14:textId="77777777" w:rsidR="00791592" w:rsidRDefault="00791592" w:rsidP="00724B83">
      <w:pPr>
        <w:widowControl/>
        <w:autoSpaceDE w:val="0"/>
        <w:autoSpaceDN w:val="0"/>
        <w:adjustRightInd w:val="0"/>
        <w:rPr>
          <w:rFonts w:cs="Arial"/>
          <w:color w:val="000000"/>
          <w:szCs w:val="24"/>
        </w:rPr>
      </w:pPr>
    </w:p>
    <w:p w14:paraId="0E2848FC" w14:textId="6274349C" w:rsidR="00791592" w:rsidRPr="00C45DD9" w:rsidRDefault="002B6C96" w:rsidP="00E213E7">
      <w:pPr>
        <w:widowControl/>
        <w:autoSpaceDE w:val="0"/>
        <w:autoSpaceDN w:val="0"/>
        <w:adjustRightInd w:val="0"/>
        <w:ind w:right="51"/>
        <w:rPr>
          <w:rFonts w:cs="Arial"/>
          <w:color w:val="000000"/>
          <w:szCs w:val="24"/>
        </w:rPr>
      </w:pPr>
      <w:r>
        <w:rPr>
          <w:rFonts w:cs="Arial"/>
          <w:color w:val="000000"/>
          <w:szCs w:val="24"/>
        </w:rPr>
        <w:t>Tambi</w:t>
      </w:r>
      <w:r w:rsidR="00AF7227">
        <w:rPr>
          <w:rFonts w:cs="Arial"/>
          <w:color w:val="000000"/>
          <w:szCs w:val="24"/>
        </w:rPr>
        <w:t>én se midió la relación</w:t>
      </w:r>
      <w:r w:rsidR="00791592" w:rsidRPr="00C45DD9">
        <w:rPr>
          <w:rFonts w:cs="Arial"/>
          <w:color w:val="000000"/>
          <w:szCs w:val="24"/>
        </w:rPr>
        <w:t xml:space="preserve"> </w:t>
      </w:r>
      <w:r w:rsidR="00AF7227">
        <w:rPr>
          <w:rFonts w:cs="Arial"/>
          <w:color w:val="000000"/>
          <w:szCs w:val="24"/>
        </w:rPr>
        <w:t xml:space="preserve">entre </w:t>
      </w:r>
      <w:r w:rsidR="00791592" w:rsidRPr="00C45DD9">
        <w:rPr>
          <w:rFonts w:cs="Arial"/>
          <w:color w:val="000000"/>
          <w:szCs w:val="24"/>
        </w:rPr>
        <w:t>la ocupación no permitida</w:t>
      </w:r>
      <w:r w:rsidR="002D40E6" w:rsidRPr="00C45DD9">
        <w:rPr>
          <w:rFonts w:cs="Arial"/>
          <w:color w:val="000000"/>
          <w:szCs w:val="24"/>
        </w:rPr>
        <w:t xml:space="preserve"> para</w:t>
      </w:r>
      <w:r w:rsidR="00791592" w:rsidRPr="00C45DD9">
        <w:rPr>
          <w:rFonts w:cs="Arial"/>
          <w:color w:val="000000"/>
          <w:szCs w:val="24"/>
        </w:rPr>
        <w:t xml:space="preserve"> </w:t>
      </w:r>
      <w:r w:rsidR="003A3F8F" w:rsidRPr="00C45DD9">
        <w:rPr>
          <w:rFonts w:cs="Arial"/>
          <w:color w:val="000000"/>
          <w:szCs w:val="24"/>
        </w:rPr>
        <w:t xml:space="preserve">el ingreso de los </w:t>
      </w:r>
      <w:r w:rsidR="00791592" w:rsidRPr="00C45DD9">
        <w:rPr>
          <w:rFonts w:cs="Arial"/>
          <w:color w:val="000000"/>
          <w:szCs w:val="24"/>
        </w:rPr>
        <w:t>hogar</w:t>
      </w:r>
      <w:r w:rsidR="003A3F8F" w:rsidRPr="00C45DD9">
        <w:rPr>
          <w:rFonts w:cs="Arial"/>
          <w:color w:val="000000"/>
          <w:szCs w:val="24"/>
        </w:rPr>
        <w:t>es que presentan esta actividad</w:t>
      </w:r>
      <w:r w:rsidR="00791592" w:rsidRPr="00C45DD9">
        <w:rPr>
          <w:rFonts w:cs="Arial"/>
          <w:color w:val="000000"/>
          <w:szCs w:val="24"/>
        </w:rPr>
        <w:t xml:space="preserve">, 37.0 % aportó ingresos a su hogar; mientras que 63.0 % no </w:t>
      </w:r>
      <w:r w:rsidR="00724B83" w:rsidRPr="00C45DD9">
        <w:rPr>
          <w:rFonts w:cs="Arial"/>
          <w:color w:val="000000"/>
          <w:szCs w:val="24"/>
        </w:rPr>
        <w:t>aportó o no recibió ingreso</w:t>
      </w:r>
      <w:r w:rsidR="00791592" w:rsidRPr="00C45DD9">
        <w:rPr>
          <w:rFonts w:cs="Arial"/>
          <w:color w:val="000000"/>
          <w:szCs w:val="24"/>
        </w:rPr>
        <w:t>, ya sea porque los ingresos que obtuvo fueron para sus propios gastos, no percibían ingresos o aportaron únicamente tiempo de trabajo en el negocio familiar; en l</w:t>
      </w:r>
      <w:r w:rsidR="00724B83" w:rsidRPr="00C45DD9">
        <w:rPr>
          <w:rFonts w:cs="Arial"/>
          <w:color w:val="000000"/>
          <w:szCs w:val="24"/>
        </w:rPr>
        <w:t>a</w:t>
      </w:r>
      <w:r w:rsidR="00791592" w:rsidRPr="00C45DD9">
        <w:rPr>
          <w:rFonts w:cs="Arial"/>
          <w:color w:val="000000"/>
          <w:szCs w:val="24"/>
        </w:rPr>
        <w:t>s niñ</w:t>
      </w:r>
      <w:r w:rsidR="00724B83" w:rsidRPr="00C45DD9">
        <w:rPr>
          <w:rFonts w:cs="Arial"/>
          <w:color w:val="000000"/>
          <w:szCs w:val="24"/>
        </w:rPr>
        <w:t>a</w:t>
      </w:r>
      <w:r w:rsidR="00791592" w:rsidRPr="00C45DD9">
        <w:rPr>
          <w:rFonts w:cs="Arial"/>
          <w:color w:val="000000"/>
          <w:szCs w:val="24"/>
        </w:rPr>
        <w:t xml:space="preserve">s fue de </w:t>
      </w:r>
      <w:r w:rsidR="00724B83" w:rsidRPr="00C45DD9">
        <w:rPr>
          <w:rFonts w:cs="Arial"/>
          <w:color w:val="000000"/>
          <w:szCs w:val="24"/>
        </w:rPr>
        <w:t xml:space="preserve">71.4 </w:t>
      </w:r>
      <w:r w:rsidR="00791592" w:rsidRPr="00C45DD9">
        <w:rPr>
          <w:rFonts w:cs="Arial"/>
          <w:color w:val="000000"/>
          <w:szCs w:val="24"/>
        </w:rPr>
        <w:t>% y en l</w:t>
      </w:r>
      <w:r w:rsidR="00724B83" w:rsidRPr="00C45DD9">
        <w:rPr>
          <w:rFonts w:cs="Arial"/>
          <w:color w:val="000000"/>
          <w:szCs w:val="24"/>
        </w:rPr>
        <w:t>o</w:t>
      </w:r>
      <w:r w:rsidR="00791592" w:rsidRPr="00C45DD9">
        <w:rPr>
          <w:rFonts w:cs="Arial"/>
          <w:color w:val="000000"/>
          <w:szCs w:val="24"/>
        </w:rPr>
        <w:t>s niñ</w:t>
      </w:r>
      <w:r w:rsidR="00724B83" w:rsidRPr="00C45DD9">
        <w:rPr>
          <w:rFonts w:cs="Arial"/>
          <w:color w:val="000000"/>
          <w:szCs w:val="24"/>
        </w:rPr>
        <w:t>o</w:t>
      </w:r>
      <w:r w:rsidR="00791592" w:rsidRPr="00C45DD9">
        <w:rPr>
          <w:rFonts w:cs="Arial"/>
          <w:color w:val="000000"/>
          <w:szCs w:val="24"/>
        </w:rPr>
        <w:t>s</w:t>
      </w:r>
      <w:r w:rsidR="00724B83" w:rsidRPr="00C45DD9">
        <w:rPr>
          <w:rFonts w:cs="Arial"/>
          <w:color w:val="000000"/>
          <w:szCs w:val="24"/>
        </w:rPr>
        <w:t>,</w:t>
      </w:r>
      <w:r w:rsidR="00791592" w:rsidRPr="00C45DD9">
        <w:rPr>
          <w:rFonts w:cs="Arial"/>
          <w:color w:val="000000"/>
          <w:szCs w:val="24"/>
        </w:rPr>
        <w:t xml:space="preserve"> de </w:t>
      </w:r>
      <w:r w:rsidR="00724B83" w:rsidRPr="00C45DD9">
        <w:rPr>
          <w:rFonts w:cs="Arial"/>
          <w:color w:val="000000"/>
          <w:szCs w:val="24"/>
        </w:rPr>
        <w:t>59.8</w:t>
      </w:r>
      <w:r w:rsidR="00791592" w:rsidRPr="00C45DD9">
        <w:rPr>
          <w:rFonts w:cs="Arial"/>
          <w:color w:val="000000"/>
          <w:szCs w:val="24"/>
        </w:rPr>
        <w:t xml:space="preserve"> %; lo que </w:t>
      </w:r>
      <w:r w:rsidR="002D40E6" w:rsidRPr="00C45DD9">
        <w:rPr>
          <w:rFonts w:cs="Arial"/>
          <w:color w:val="000000"/>
          <w:szCs w:val="24"/>
        </w:rPr>
        <w:t>significó</w:t>
      </w:r>
      <w:r w:rsidR="00791592" w:rsidRPr="00C45DD9">
        <w:rPr>
          <w:rFonts w:cs="Arial"/>
          <w:color w:val="000000"/>
          <w:szCs w:val="24"/>
        </w:rPr>
        <w:t xml:space="preserve"> que más niños (40.2 %) que niñas (28.6 %) aporta</w:t>
      </w:r>
      <w:r w:rsidR="002D40E6" w:rsidRPr="00C45DD9">
        <w:rPr>
          <w:rFonts w:cs="Arial"/>
          <w:color w:val="000000"/>
          <w:szCs w:val="24"/>
        </w:rPr>
        <w:t>ro</w:t>
      </w:r>
      <w:r w:rsidR="00791592" w:rsidRPr="00C45DD9">
        <w:rPr>
          <w:rFonts w:cs="Arial"/>
          <w:color w:val="000000"/>
          <w:szCs w:val="24"/>
        </w:rPr>
        <w:t>n ingresos a su hogar</w:t>
      </w:r>
      <w:r w:rsidR="00E555D9" w:rsidRPr="00C45DD9">
        <w:rPr>
          <w:rFonts w:cs="Arial"/>
          <w:color w:val="000000"/>
          <w:szCs w:val="24"/>
        </w:rPr>
        <w:t xml:space="preserve"> </w:t>
      </w:r>
      <w:r w:rsidR="00E555D9" w:rsidRPr="00C45DD9">
        <w:rPr>
          <w:rFonts w:cs="Arial"/>
          <w:szCs w:val="24"/>
        </w:rPr>
        <w:t>(ver cuadro 15)</w:t>
      </w:r>
      <w:r w:rsidR="00791592" w:rsidRPr="00C45DD9">
        <w:rPr>
          <w:rFonts w:cs="Arial"/>
          <w:color w:val="000000"/>
          <w:szCs w:val="24"/>
        </w:rPr>
        <w:t>.</w:t>
      </w:r>
    </w:p>
    <w:p w14:paraId="521E3127" w14:textId="77777777" w:rsidR="00C56872" w:rsidRDefault="00C56872" w:rsidP="00724B83">
      <w:pPr>
        <w:widowControl/>
        <w:autoSpaceDE w:val="0"/>
        <w:autoSpaceDN w:val="0"/>
        <w:adjustRightInd w:val="0"/>
        <w:rPr>
          <w:rFonts w:cs="Arial"/>
          <w:color w:val="000000"/>
          <w:szCs w:val="24"/>
        </w:rPr>
      </w:pPr>
    </w:p>
    <w:p w14:paraId="31E864D7" w14:textId="77777777" w:rsidR="009E086F" w:rsidRPr="00E213E7" w:rsidRDefault="009E086F" w:rsidP="00E213E7">
      <w:pPr>
        <w:widowControl/>
        <w:autoSpaceDE w:val="0"/>
        <w:autoSpaceDN w:val="0"/>
        <w:adjustRightInd w:val="0"/>
        <w:jc w:val="center"/>
        <w:rPr>
          <w:rFonts w:cs="Arial"/>
          <w:color w:val="000000"/>
          <w:sz w:val="20"/>
        </w:rPr>
      </w:pPr>
      <w:r w:rsidRPr="00E213E7">
        <w:rPr>
          <w:rFonts w:cs="Arial"/>
          <w:color w:val="000000"/>
          <w:sz w:val="20"/>
        </w:rPr>
        <w:t>Cuadro 15</w:t>
      </w:r>
    </w:p>
    <w:p w14:paraId="3B716B44" w14:textId="5F88F129" w:rsidR="009E086F" w:rsidRPr="00E213E7" w:rsidRDefault="009E086F" w:rsidP="00E213E7">
      <w:pPr>
        <w:widowControl/>
        <w:autoSpaceDE w:val="0"/>
        <w:autoSpaceDN w:val="0"/>
        <w:adjustRightInd w:val="0"/>
        <w:jc w:val="center"/>
        <w:rPr>
          <w:rFonts w:cs="Arial"/>
          <w:b/>
          <w:bCs/>
          <w:smallCaps/>
          <w:color w:val="000000" w:themeColor="text1"/>
          <w:sz w:val="22"/>
          <w:szCs w:val="22"/>
        </w:rPr>
      </w:pPr>
      <w:r w:rsidRPr="00E213E7">
        <w:rPr>
          <w:rFonts w:cs="Arial"/>
          <w:b/>
          <w:bCs/>
          <w:smallCaps/>
          <w:color w:val="000000"/>
          <w:sz w:val="22"/>
          <w:szCs w:val="22"/>
        </w:rPr>
        <w:t>Personas en alguna o</w:t>
      </w:r>
      <w:r w:rsidRPr="00E213E7">
        <w:rPr>
          <w:rFonts w:cs="Arial"/>
          <w:b/>
          <w:bCs/>
          <w:smallCaps/>
          <w:color w:val="000000" w:themeColor="text1"/>
          <w:sz w:val="22"/>
          <w:szCs w:val="22"/>
        </w:rPr>
        <w:t>cupación no permitida por condición de aportación de ingreso al hogar</w:t>
      </w:r>
      <w:r w:rsidR="002E3423" w:rsidRPr="00E213E7">
        <w:rPr>
          <w:rFonts w:cs="Arial"/>
          <w:b/>
          <w:bCs/>
          <w:smallCaps/>
          <w:color w:val="000000" w:themeColor="text1"/>
          <w:sz w:val="22"/>
          <w:szCs w:val="22"/>
        </w:rPr>
        <w:t>,</w:t>
      </w:r>
      <w:r w:rsidRPr="00E213E7">
        <w:rPr>
          <w:rFonts w:cs="Arial"/>
          <w:b/>
          <w:bCs/>
          <w:smallCaps/>
          <w:color w:val="000000" w:themeColor="text1"/>
          <w:sz w:val="22"/>
          <w:szCs w:val="22"/>
        </w:rPr>
        <w:t xml:space="preserve"> según sexo</w:t>
      </w:r>
    </w:p>
    <w:p w14:paraId="092CDD68" w14:textId="77777777" w:rsidR="009E086F" w:rsidRPr="005E25D0" w:rsidRDefault="009E086F" w:rsidP="00E213E7">
      <w:pPr>
        <w:widowControl/>
        <w:autoSpaceDE w:val="0"/>
        <w:autoSpaceDN w:val="0"/>
        <w:adjustRightInd w:val="0"/>
        <w:ind w:left="851" w:right="1183"/>
        <w:jc w:val="center"/>
        <w:rPr>
          <w:rFonts w:cs="Arial"/>
          <w:bCs/>
          <w:sz w:val="18"/>
          <w:szCs w:val="18"/>
        </w:rPr>
      </w:pPr>
      <w:r w:rsidRPr="005E25D0">
        <w:rPr>
          <w:rFonts w:cs="Arial"/>
          <w:bCs/>
          <w:sz w:val="18"/>
          <w:szCs w:val="18"/>
        </w:rPr>
        <w:t>(distribución porcentual)</w:t>
      </w:r>
    </w:p>
    <w:tbl>
      <w:tblPr>
        <w:tblW w:w="9780" w:type="dxa"/>
        <w:tblCellMar>
          <w:left w:w="70" w:type="dxa"/>
          <w:right w:w="70" w:type="dxa"/>
        </w:tblCellMar>
        <w:tblLook w:val="04A0" w:firstRow="1" w:lastRow="0" w:firstColumn="1" w:lastColumn="0" w:noHBand="0" w:noVBand="1"/>
      </w:tblPr>
      <w:tblGrid>
        <w:gridCol w:w="220"/>
        <w:gridCol w:w="4760"/>
        <w:gridCol w:w="1600"/>
        <w:gridCol w:w="1600"/>
        <w:gridCol w:w="1600"/>
      </w:tblGrid>
      <w:tr w:rsidR="009E086F" w:rsidRPr="009B188A" w14:paraId="0E35E7D9" w14:textId="77777777" w:rsidTr="00562DA7">
        <w:trPr>
          <w:trHeight w:val="315"/>
        </w:trPr>
        <w:tc>
          <w:tcPr>
            <w:tcW w:w="4980" w:type="dxa"/>
            <w:gridSpan w:val="2"/>
            <w:tcBorders>
              <w:top w:val="nil"/>
              <w:left w:val="nil"/>
              <w:bottom w:val="nil"/>
              <w:right w:val="nil"/>
            </w:tcBorders>
            <w:shd w:val="clear" w:color="auto" w:fill="338B99"/>
            <w:vAlign w:val="center"/>
            <w:hideMark/>
          </w:tcPr>
          <w:p w14:paraId="1936A01F" w14:textId="77777777" w:rsidR="009E086F" w:rsidRPr="009B188A" w:rsidRDefault="009E086F" w:rsidP="00562DA7">
            <w:pPr>
              <w:widowControl/>
              <w:jc w:val="left"/>
              <w:rPr>
                <w:rFonts w:cs="Arial"/>
                <w:b/>
                <w:bCs/>
                <w:color w:val="FFFFFF"/>
                <w:sz w:val="20"/>
                <w:lang w:eastAsia="es-MX"/>
              </w:rPr>
            </w:pPr>
            <w:r w:rsidRPr="009B188A">
              <w:rPr>
                <w:rFonts w:cs="Arial"/>
                <w:b/>
                <w:bCs/>
                <w:color w:val="FFFFFF" w:themeColor="background1"/>
                <w:sz w:val="20"/>
                <w:lang w:eastAsia="es-MX"/>
              </w:rPr>
              <w:t>Condición de aportación de ingreso al hogar</w:t>
            </w:r>
          </w:p>
        </w:tc>
        <w:tc>
          <w:tcPr>
            <w:tcW w:w="1600" w:type="dxa"/>
            <w:tcBorders>
              <w:top w:val="nil"/>
              <w:left w:val="nil"/>
              <w:bottom w:val="nil"/>
              <w:right w:val="nil"/>
            </w:tcBorders>
            <w:shd w:val="clear" w:color="auto" w:fill="338B99"/>
            <w:vAlign w:val="center"/>
            <w:hideMark/>
          </w:tcPr>
          <w:p w14:paraId="5FA987B9" w14:textId="77777777" w:rsidR="009E086F" w:rsidRPr="009B188A" w:rsidRDefault="009E086F" w:rsidP="00562DA7">
            <w:pPr>
              <w:widowControl/>
              <w:jc w:val="center"/>
              <w:rPr>
                <w:rFonts w:cs="Arial"/>
                <w:b/>
                <w:bCs/>
                <w:color w:val="FFFFFF"/>
                <w:sz w:val="20"/>
                <w:lang w:eastAsia="es-MX"/>
              </w:rPr>
            </w:pPr>
            <w:r w:rsidRPr="009B188A">
              <w:rPr>
                <w:rFonts w:cs="Arial"/>
                <w:b/>
                <w:bCs/>
                <w:color w:val="FFFFFF"/>
                <w:sz w:val="20"/>
                <w:lang w:eastAsia="es-MX"/>
              </w:rPr>
              <w:t>Total</w:t>
            </w:r>
          </w:p>
        </w:tc>
        <w:tc>
          <w:tcPr>
            <w:tcW w:w="1600" w:type="dxa"/>
            <w:tcBorders>
              <w:top w:val="nil"/>
              <w:left w:val="nil"/>
              <w:bottom w:val="nil"/>
              <w:right w:val="nil"/>
            </w:tcBorders>
            <w:shd w:val="clear" w:color="auto" w:fill="338B99"/>
            <w:vAlign w:val="center"/>
            <w:hideMark/>
          </w:tcPr>
          <w:p w14:paraId="05C8A278" w14:textId="77777777" w:rsidR="009E086F" w:rsidRPr="009B188A" w:rsidRDefault="009E086F" w:rsidP="00562DA7">
            <w:pPr>
              <w:widowControl/>
              <w:jc w:val="center"/>
              <w:rPr>
                <w:rFonts w:cs="Arial"/>
                <w:b/>
                <w:bCs/>
                <w:color w:val="FFFFFF"/>
                <w:sz w:val="20"/>
                <w:lang w:eastAsia="es-MX"/>
              </w:rPr>
            </w:pPr>
            <w:r w:rsidRPr="009B188A">
              <w:rPr>
                <w:rFonts w:cs="Arial"/>
                <w:b/>
                <w:bCs/>
                <w:color w:val="FFFFFF"/>
                <w:sz w:val="20"/>
                <w:lang w:eastAsia="es-MX"/>
              </w:rPr>
              <w:t>Niños</w:t>
            </w:r>
          </w:p>
        </w:tc>
        <w:tc>
          <w:tcPr>
            <w:tcW w:w="1600" w:type="dxa"/>
            <w:tcBorders>
              <w:top w:val="nil"/>
              <w:left w:val="nil"/>
              <w:bottom w:val="nil"/>
              <w:right w:val="nil"/>
            </w:tcBorders>
            <w:shd w:val="clear" w:color="auto" w:fill="338B99"/>
            <w:vAlign w:val="center"/>
            <w:hideMark/>
          </w:tcPr>
          <w:p w14:paraId="7D0D9C66" w14:textId="77777777" w:rsidR="009E086F" w:rsidRPr="009B188A" w:rsidRDefault="009E086F" w:rsidP="00562DA7">
            <w:pPr>
              <w:widowControl/>
              <w:jc w:val="center"/>
              <w:rPr>
                <w:rFonts w:cs="Arial"/>
                <w:b/>
                <w:bCs/>
                <w:color w:val="FFFFFF"/>
                <w:sz w:val="20"/>
                <w:lang w:eastAsia="es-MX"/>
              </w:rPr>
            </w:pPr>
            <w:r w:rsidRPr="009B188A">
              <w:rPr>
                <w:rFonts w:cs="Arial"/>
                <w:b/>
                <w:bCs/>
                <w:color w:val="FFFFFF"/>
                <w:sz w:val="20"/>
                <w:lang w:eastAsia="es-MX"/>
              </w:rPr>
              <w:t>Niñas</w:t>
            </w:r>
          </w:p>
        </w:tc>
      </w:tr>
      <w:tr w:rsidR="009E086F" w:rsidRPr="009B188A" w14:paraId="7ACA92B9" w14:textId="77777777" w:rsidTr="00562DA7">
        <w:trPr>
          <w:trHeight w:val="300"/>
        </w:trPr>
        <w:tc>
          <w:tcPr>
            <w:tcW w:w="4980" w:type="dxa"/>
            <w:gridSpan w:val="2"/>
            <w:tcBorders>
              <w:top w:val="nil"/>
              <w:left w:val="nil"/>
              <w:bottom w:val="nil"/>
              <w:right w:val="nil"/>
            </w:tcBorders>
            <w:shd w:val="clear" w:color="auto" w:fill="66A8B3"/>
            <w:vAlign w:val="center"/>
            <w:hideMark/>
          </w:tcPr>
          <w:p w14:paraId="450C2DCC" w14:textId="77777777" w:rsidR="009E086F" w:rsidRPr="009B188A" w:rsidRDefault="009E086F" w:rsidP="00562DA7">
            <w:pPr>
              <w:widowControl/>
              <w:jc w:val="left"/>
              <w:rPr>
                <w:rFonts w:cs="Arial"/>
                <w:b/>
                <w:bCs/>
                <w:color w:val="000000"/>
                <w:sz w:val="20"/>
                <w:lang w:eastAsia="es-MX"/>
              </w:rPr>
            </w:pPr>
            <w:r w:rsidRPr="009B188A">
              <w:rPr>
                <w:rFonts w:cs="Arial"/>
                <w:b/>
                <w:bCs/>
                <w:color w:val="000000"/>
                <w:sz w:val="20"/>
                <w:lang w:eastAsia="es-MX"/>
              </w:rPr>
              <w:t>Ocupación no permitida</w:t>
            </w:r>
          </w:p>
        </w:tc>
        <w:tc>
          <w:tcPr>
            <w:tcW w:w="1600" w:type="dxa"/>
            <w:tcBorders>
              <w:top w:val="nil"/>
              <w:left w:val="nil"/>
              <w:bottom w:val="nil"/>
              <w:right w:val="nil"/>
            </w:tcBorders>
            <w:shd w:val="clear" w:color="auto" w:fill="66A8B3"/>
            <w:vAlign w:val="center"/>
            <w:hideMark/>
          </w:tcPr>
          <w:p w14:paraId="7F45CD43" w14:textId="77777777" w:rsidR="009E086F" w:rsidRPr="009B188A" w:rsidRDefault="009E086F" w:rsidP="00562DA7">
            <w:pPr>
              <w:widowControl/>
              <w:jc w:val="center"/>
              <w:rPr>
                <w:rFonts w:cs="Arial"/>
                <w:b/>
                <w:bCs/>
                <w:color w:val="000000"/>
                <w:sz w:val="20"/>
                <w:lang w:eastAsia="es-MX"/>
              </w:rPr>
            </w:pPr>
            <w:r w:rsidRPr="009B188A">
              <w:rPr>
                <w:rFonts w:cs="Arial"/>
                <w:b/>
                <w:bCs/>
                <w:sz w:val="20"/>
                <w:lang w:eastAsia="es-MX"/>
              </w:rPr>
              <w:t>100.0</w:t>
            </w:r>
          </w:p>
        </w:tc>
        <w:tc>
          <w:tcPr>
            <w:tcW w:w="1600" w:type="dxa"/>
            <w:tcBorders>
              <w:top w:val="nil"/>
              <w:left w:val="nil"/>
              <w:bottom w:val="nil"/>
              <w:right w:val="nil"/>
            </w:tcBorders>
            <w:shd w:val="clear" w:color="auto" w:fill="66A8B3"/>
            <w:vAlign w:val="center"/>
            <w:hideMark/>
          </w:tcPr>
          <w:p w14:paraId="33E08198" w14:textId="77777777" w:rsidR="009E086F" w:rsidRPr="009B188A" w:rsidRDefault="009E086F" w:rsidP="00562DA7">
            <w:pPr>
              <w:widowControl/>
              <w:jc w:val="center"/>
              <w:rPr>
                <w:rFonts w:cs="Arial"/>
                <w:b/>
                <w:bCs/>
                <w:color w:val="000000"/>
                <w:sz w:val="20"/>
                <w:lang w:eastAsia="es-MX"/>
              </w:rPr>
            </w:pPr>
            <w:r w:rsidRPr="009B188A">
              <w:rPr>
                <w:rFonts w:cs="Arial"/>
                <w:b/>
                <w:bCs/>
                <w:sz w:val="20"/>
                <w:lang w:eastAsia="es-MX"/>
              </w:rPr>
              <w:t>100.0</w:t>
            </w:r>
          </w:p>
        </w:tc>
        <w:tc>
          <w:tcPr>
            <w:tcW w:w="1600" w:type="dxa"/>
            <w:tcBorders>
              <w:top w:val="nil"/>
              <w:left w:val="nil"/>
              <w:bottom w:val="nil"/>
              <w:right w:val="nil"/>
            </w:tcBorders>
            <w:shd w:val="clear" w:color="auto" w:fill="66A8B3"/>
            <w:vAlign w:val="center"/>
            <w:hideMark/>
          </w:tcPr>
          <w:p w14:paraId="46D8809B" w14:textId="77777777" w:rsidR="009E086F" w:rsidRPr="009B188A" w:rsidRDefault="009E086F" w:rsidP="00562DA7">
            <w:pPr>
              <w:widowControl/>
              <w:jc w:val="center"/>
              <w:rPr>
                <w:rFonts w:cs="Arial"/>
                <w:b/>
                <w:bCs/>
                <w:color w:val="000000"/>
                <w:sz w:val="20"/>
                <w:lang w:eastAsia="es-MX"/>
              </w:rPr>
            </w:pPr>
            <w:r w:rsidRPr="009B188A">
              <w:rPr>
                <w:rFonts w:cs="Arial"/>
                <w:b/>
                <w:bCs/>
                <w:sz w:val="20"/>
                <w:lang w:eastAsia="es-MX"/>
              </w:rPr>
              <w:t>100.0</w:t>
            </w:r>
          </w:p>
        </w:tc>
      </w:tr>
      <w:tr w:rsidR="009E086F" w:rsidRPr="009B188A" w14:paraId="65CEF464" w14:textId="77777777" w:rsidTr="00562DA7">
        <w:trPr>
          <w:trHeight w:val="300"/>
        </w:trPr>
        <w:tc>
          <w:tcPr>
            <w:tcW w:w="220" w:type="dxa"/>
            <w:tcBorders>
              <w:top w:val="nil"/>
              <w:left w:val="nil"/>
              <w:right w:val="nil"/>
            </w:tcBorders>
            <w:shd w:val="clear" w:color="auto" w:fill="CCE2E6"/>
            <w:noWrap/>
            <w:vAlign w:val="bottom"/>
            <w:hideMark/>
          </w:tcPr>
          <w:p w14:paraId="486BA9EF" w14:textId="77777777" w:rsidR="009E086F" w:rsidRPr="009B188A" w:rsidRDefault="009E086F" w:rsidP="00562DA7">
            <w:pPr>
              <w:widowControl/>
              <w:jc w:val="left"/>
              <w:rPr>
                <w:rFonts w:ascii="Times New Roman" w:hAnsi="Times New Roman"/>
                <w:color w:val="000000"/>
                <w:sz w:val="20"/>
                <w:lang w:eastAsia="es-MX"/>
              </w:rPr>
            </w:pPr>
            <w:r w:rsidRPr="009B188A">
              <w:rPr>
                <w:rFonts w:ascii="Times New Roman" w:hAnsi="Times New Roman"/>
                <w:color w:val="000000"/>
                <w:sz w:val="20"/>
                <w:lang w:eastAsia="es-MX"/>
              </w:rPr>
              <w:t> </w:t>
            </w:r>
          </w:p>
        </w:tc>
        <w:tc>
          <w:tcPr>
            <w:tcW w:w="4760" w:type="dxa"/>
            <w:tcBorders>
              <w:top w:val="nil"/>
              <w:left w:val="nil"/>
              <w:right w:val="nil"/>
            </w:tcBorders>
            <w:shd w:val="clear" w:color="auto" w:fill="CCE2E6"/>
            <w:vAlign w:val="center"/>
            <w:hideMark/>
          </w:tcPr>
          <w:p w14:paraId="656310DC" w14:textId="77777777" w:rsidR="009E086F" w:rsidRPr="009B188A" w:rsidRDefault="009E086F" w:rsidP="00562DA7">
            <w:pPr>
              <w:widowControl/>
              <w:jc w:val="left"/>
              <w:rPr>
                <w:rFonts w:cs="Arial"/>
                <w:color w:val="000000"/>
                <w:sz w:val="20"/>
                <w:lang w:eastAsia="es-MX"/>
              </w:rPr>
            </w:pPr>
            <w:r w:rsidRPr="009B188A">
              <w:rPr>
                <w:rFonts w:cs="Arial"/>
                <w:sz w:val="20"/>
                <w:lang w:eastAsia="es-MX"/>
              </w:rPr>
              <w:t>Si aporta</w:t>
            </w:r>
          </w:p>
        </w:tc>
        <w:tc>
          <w:tcPr>
            <w:tcW w:w="1600" w:type="dxa"/>
            <w:tcBorders>
              <w:top w:val="nil"/>
              <w:left w:val="nil"/>
              <w:right w:val="nil"/>
            </w:tcBorders>
            <w:shd w:val="clear" w:color="auto" w:fill="CCE2E6"/>
            <w:vAlign w:val="center"/>
            <w:hideMark/>
          </w:tcPr>
          <w:p w14:paraId="248ABC5D" w14:textId="77777777" w:rsidR="009E086F" w:rsidRPr="009B188A" w:rsidRDefault="009E086F" w:rsidP="00562DA7">
            <w:pPr>
              <w:widowControl/>
              <w:jc w:val="center"/>
              <w:rPr>
                <w:rFonts w:cs="Arial"/>
                <w:color w:val="000000"/>
                <w:sz w:val="20"/>
                <w:lang w:eastAsia="es-MX"/>
              </w:rPr>
            </w:pPr>
            <w:r w:rsidRPr="009B188A">
              <w:rPr>
                <w:rFonts w:cs="Arial"/>
                <w:sz w:val="20"/>
                <w:lang w:eastAsia="es-MX"/>
              </w:rPr>
              <w:t>37.0</w:t>
            </w:r>
          </w:p>
        </w:tc>
        <w:tc>
          <w:tcPr>
            <w:tcW w:w="1600" w:type="dxa"/>
            <w:tcBorders>
              <w:top w:val="nil"/>
              <w:left w:val="nil"/>
              <w:right w:val="nil"/>
            </w:tcBorders>
            <w:shd w:val="clear" w:color="auto" w:fill="CCE2E6"/>
            <w:vAlign w:val="center"/>
            <w:hideMark/>
          </w:tcPr>
          <w:p w14:paraId="7968F999" w14:textId="77777777" w:rsidR="009E086F" w:rsidRPr="009B188A" w:rsidRDefault="009E086F" w:rsidP="00562DA7">
            <w:pPr>
              <w:widowControl/>
              <w:jc w:val="center"/>
              <w:rPr>
                <w:rFonts w:cs="Arial"/>
                <w:color w:val="000000"/>
                <w:sz w:val="20"/>
                <w:lang w:eastAsia="es-MX"/>
              </w:rPr>
            </w:pPr>
            <w:r w:rsidRPr="009B188A">
              <w:rPr>
                <w:rFonts w:cs="Arial"/>
                <w:sz w:val="20"/>
                <w:lang w:eastAsia="es-MX"/>
              </w:rPr>
              <w:t>40.2</w:t>
            </w:r>
          </w:p>
        </w:tc>
        <w:tc>
          <w:tcPr>
            <w:tcW w:w="1600" w:type="dxa"/>
            <w:tcBorders>
              <w:top w:val="nil"/>
              <w:left w:val="nil"/>
              <w:right w:val="nil"/>
            </w:tcBorders>
            <w:shd w:val="clear" w:color="auto" w:fill="CCE2E6"/>
            <w:vAlign w:val="center"/>
            <w:hideMark/>
          </w:tcPr>
          <w:p w14:paraId="4B3C5D2A" w14:textId="77777777" w:rsidR="009E086F" w:rsidRPr="009B188A" w:rsidRDefault="009E086F" w:rsidP="00562DA7">
            <w:pPr>
              <w:widowControl/>
              <w:jc w:val="center"/>
              <w:rPr>
                <w:rFonts w:cs="Arial"/>
                <w:color w:val="000000"/>
                <w:sz w:val="20"/>
                <w:lang w:eastAsia="es-MX"/>
              </w:rPr>
            </w:pPr>
            <w:r w:rsidRPr="009B188A">
              <w:rPr>
                <w:rFonts w:cs="Arial"/>
                <w:sz w:val="20"/>
                <w:lang w:eastAsia="es-MX"/>
              </w:rPr>
              <w:t>28.6</w:t>
            </w:r>
          </w:p>
        </w:tc>
      </w:tr>
      <w:tr w:rsidR="009E086F" w:rsidRPr="009B188A" w14:paraId="404B8588" w14:textId="77777777" w:rsidTr="00562DA7">
        <w:trPr>
          <w:trHeight w:val="300"/>
        </w:trPr>
        <w:tc>
          <w:tcPr>
            <w:tcW w:w="220" w:type="dxa"/>
            <w:tcBorders>
              <w:top w:val="nil"/>
              <w:left w:val="nil"/>
              <w:right w:val="nil"/>
            </w:tcBorders>
            <w:shd w:val="clear" w:color="auto" w:fill="CCE2E6"/>
            <w:vAlign w:val="center"/>
            <w:hideMark/>
          </w:tcPr>
          <w:p w14:paraId="4F827BE4" w14:textId="77777777" w:rsidR="009E086F" w:rsidRPr="009B188A" w:rsidRDefault="009E086F" w:rsidP="00562DA7">
            <w:pPr>
              <w:widowControl/>
              <w:jc w:val="left"/>
              <w:rPr>
                <w:rFonts w:ascii="Times New Roman" w:hAnsi="Times New Roman"/>
                <w:color w:val="000000"/>
                <w:sz w:val="20"/>
                <w:lang w:eastAsia="es-MX"/>
              </w:rPr>
            </w:pPr>
            <w:r w:rsidRPr="009B188A">
              <w:rPr>
                <w:rFonts w:ascii="Times New Roman" w:hAnsi="Times New Roman"/>
                <w:color w:val="000000"/>
                <w:sz w:val="20"/>
                <w:lang w:eastAsia="es-MX"/>
              </w:rPr>
              <w:t> </w:t>
            </w:r>
          </w:p>
        </w:tc>
        <w:tc>
          <w:tcPr>
            <w:tcW w:w="4760" w:type="dxa"/>
            <w:tcBorders>
              <w:top w:val="nil"/>
              <w:left w:val="nil"/>
              <w:right w:val="nil"/>
            </w:tcBorders>
            <w:shd w:val="clear" w:color="auto" w:fill="CCE2E6"/>
            <w:vAlign w:val="center"/>
            <w:hideMark/>
          </w:tcPr>
          <w:p w14:paraId="5BD7B251" w14:textId="77777777" w:rsidR="009E086F" w:rsidRPr="009B188A" w:rsidRDefault="009E086F" w:rsidP="00562DA7">
            <w:pPr>
              <w:widowControl/>
              <w:jc w:val="left"/>
              <w:rPr>
                <w:rFonts w:cs="Arial"/>
                <w:color w:val="000000"/>
                <w:sz w:val="20"/>
                <w:lang w:eastAsia="es-MX"/>
              </w:rPr>
            </w:pPr>
            <w:r w:rsidRPr="009B188A">
              <w:rPr>
                <w:rFonts w:cs="Arial"/>
                <w:color w:val="000000"/>
                <w:sz w:val="20"/>
                <w:lang w:eastAsia="es-MX"/>
              </w:rPr>
              <w:t>No aporta o no recibe ingreso</w:t>
            </w:r>
          </w:p>
        </w:tc>
        <w:tc>
          <w:tcPr>
            <w:tcW w:w="1600" w:type="dxa"/>
            <w:tcBorders>
              <w:top w:val="nil"/>
              <w:left w:val="nil"/>
              <w:right w:val="nil"/>
            </w:tcBorders>
            <w:shd w:val="clear" w:color="auto" w:fill="CCE2E6"/>
            <w:vAlign w:val="center"/>
            <w:hideMark/>
          </w:tcPr>
          <w:p w14:paraId="7CE0BB1E" w14:textId="77777777" w:rsidR="009E086F" w:rsidRPr="009B188A" w:rsidRDefault="009E086F" w:rsidP="00562DA7">
            <w:pPr>
              <w:widowControl/>
              <w:jc w:val="center"/>
              <w:rPr>
                <w:rFonts w:cs="Arial"/>
                <w:color w:val="000000"/>
                <w:sz w:val="20"/>
                <w:lang w:eastAsia="es-MX"/>
              </w:rPr>
            </w:pPr>
            <w:r w:rsidRPr="009B188A">
              <w:rPr>
                <w:rFonts w:cs="Arial"/>
                <w:sz w:val="20"/>
                <w:lang w:eastAsia="es-MX"/>
              </w:rPr>
              <w:t>63.0</w:t>
            </w:r>
          </w:p>
        </w:tc>
        <w:tc>
          <w:tcPr>
            <w:tcW w:w="1600" w:type="dxa"/>
            <w:tcBorders>
              <w:top w:val="nil"/>
              <w:left w:val="nil"/>
              <w:right w:val="nil"/>
            </w:tcBorders>
            <w:shd w:val="clear" w:color="auto" w:fill="CCE2E6"/>
            <w:vAlign w:val="center"/>
            <w:hideMark/>
          </w:tcPr>
          <w:p w14:paraId="54776B1A" w14:textId="77777777" w:rsidR="009E086F" w:rsidRPr="009B188A" w:rsidRDefault="009E086F" w:rsidP="00562DA7">
            <w:pPr>
              <w:widowControl/>
              <w:jc w:val="center"/>
              <w:rPr>
                <w:rFonts w:cs="Arial"/>
                <w:color w:val="000000"/>
                <w:sz w:val="20"/>
                <w:lang w:eastAsia="es-MX"/>
              </w:rPr>
            </w:pPr>
            <w:r w:rsidRPr="009B188A">
              <w:rPr>
                <w:rFonts w:cs="Arial"/>
                <w:sz w:val="20"/>
                <w:lang w:eastAsia="es-MX"/>
              </w:rPr>
              <w:t>59.8</w:t>
            </w:r>
          </w:p>
        </w:tc>
        <w:tc>
          <w:tcPr>
            <w:tcW w:w="1600" w:type="dxa"/>
            <w:tcBorders>
              <w:top w:val="nil"/>
              <w:left w:val="nil"/>
              <w:right w:val="nil"/>
            </w:tcBorders>
            <w:shd w:val="clear" w:color="auto" w:fill="CCE2E6"/>
            <w:vAlign w:val="center"/>
            <w:hideMark/>
          </w:tcPr>
          <w:p w14:paraId="0454B25E" w14:textId="77777777" w:rsidR="009E086F" w:rsidRPr="009B188A" w:rsidRDefault="009E086F" w:rsidP="00562DA7">
            <w:pPr>
              <w:widowControl/>
              <w:jc w:val="center"/>
              <w:rPr>
                <w:rFonts w:cs="Arial"/>
                <w:color w:val="000000"/>
                <w:sz w:val="20"/>
                <w:lang w:eastAsia="es-MX"/>
              </w:rPr>
            </w:pPr>
            <w:r w:rsidRPr="009B188A">
              <w:rPr>
                <w:rFonts w:cs="Arial"/>
                <w:sz w:val="20"/>
                <w:lang w:eastAsia="es-MX"/>
              </w:rPr>
              <w:t>71.4</w:t>
            </w:r>
          </w:p>
        </w:tc>
      </w:tr>
    </w:tbl>
    <w:p w14:paraId="2C4E93E4" w14:textId="682491E1" w:rsidR="009E086F" w:rsidRPr="00560388" w:rsidRDefault="009E086F" w:rsidP="009E086F">
      <w:pPr>
        <w:widowControl/>
        <w:autoSpaceDE w:val="0"/>
        <w:autoSpaceDN w:val="0"/>
        <w:adjustRightInd w:val="0"/>
        <w:rPr>
          <w:rFonts w:cs="Arial"/>
          <w:sz w:val="16"/>
          <w:szCs w:val="16"/>
        </w:rPr>
      </w:pPr>
      <w:r w:rsidRPr="00560388">
        <w:rPr>
          <w:rFonts w:cs="Arial"/>
          <w:color w:val="000000" w:themeColor="text1"/>
          <w:sz w:val="16"/>
          <w:szCs w:val="16"/>
        </w:rPr>
        <w:t>Fuente: INEGI, ENTI. 2022.</w:t>
      </w:r>
    </w:p>
    <w:p w14:paraId="5F5251F4" w14:textId="216A233E" w:rsidR="008011F7" w:rsidRPr="00B1333D" w:rsidRDefault="008011F7" w:rsidP="00D67D0F">
      <w:pPr>
        <w:widowControl/>
        <w:autoSpaceDE w:val="0"/>
        <w:autoSpaceDN w:val="0"/>
        <w:adjustRightInd w:val="0"/>
        <w:rPr>
          <w:rFonts w:cs="Arial"/>
          <w:sz w:val="16"/>
          <w:szCs w:val="16"/>
        </w:rPr>
      </w:pPr>
      <w:r w:rsidRPr="00B1333D">
        <w:rPr>
          <w:rFonts w:cs="Arial"/>
          <w:color w:val="000000" w:themeColor="text1"/>
          <w:sz w:val="16"/>
          <w:szCs w:val="16"/>
        </w:rPr>
        <w:lastRenderedPageBreak/>
        <w:t>.</w:t>
      </w:r>
    </w:p>
    <w:p w14:paraId="2C1D2ECD" w14:textId="77777777" w:rsidR="008011F7" w:rsidRDefault="008011F7" w:rsidP="00D67D0F">
      <w:pPr>
        <w:widowControl/>
        <w:autoSpaceDE w:val="0"/>
        <w:autoSpaceDN w:val="0"/>
        <w:adjustRightInd w:val="0"/>
        <w:rPr>
          <w:rFonts w:cs="Arial"/>
          <w:color w:val="000000"/>
          <w:szCs w:val="24"/>
        </w:rPr>
      </w:pPr>
    </w:p>
    <w:p w14:paraId="6075F7CB" w14:textId="63C0D8F4" w:rsidR="00791592" w:rsidRPr="00C45DD9" w:rsidRDefault="00791592" w:rsidP="00E213E7">
      <w:pPr>
        <w:widowControl/>
        <w:autoSpaceDE w:val="0"/>
        <w:autoSpaceDN w:val="0"/>
        <w:adjustRightInd w:val="0"/>
        <w:ind w:right="51"/>
        <w:rPr>
          <w:rFonts w:cs="Arial"/>
          <w:color w:val="000000"/>
          <w:szCs w:val="24"/>
        </w:rPr>
      </w:pPr>
      <w:r w:rsidRPr="00C45DD9">
        <w:rPr>
          <w:rFonts w:cs="Arial"/>
          <w:color w:val="000000"/>
          <w:szCs w:val="24"/>
        </w:rPr>
        <w:t xml:space="preserve">Los motivos por los que la </w:t>
      </w:r>
      <w:r w:rsidR="00D92FDD" w:rsidRPr="00C45DD9">
        <w:rPr>
          <w:rFonts w:cs="Arial"/>
          <w:color w:val="000000"/>
          <w:szCs w:val="24"/>
        </w:rPr>
        <w:t>población de 5 a 17 años</w:t>
      </w:r>
      <w:r w:rsidRPr="00C45DD9">
        <w:rPr>
          <w:rFonts w:cs="Arial"/>
          <w:color w:val="000000"/>
          <w:szCs w:val="24"/>
        </w:rPr>
        <w:t xml:space="preserve"> realizó alguna ocupación no permitida fueron por gusto o ayudar (31.5 %), pago de escuela o sus propios gastos (22.7 %), aprender un oficio (15.2</w:t>
      </w:r>
      <w:r w:rsidR="0017143A" w:rsidRPr="00C45DD9">
        <w:rPr>
          <w:rFonts w:cs="Arial"/>
          <w:color w:val="000000"/>
          <w:szCs w:val="24"/>
        </w:rPr>
        <w:t xml:space="preserve"> </w:t>
      </w:r>
      <w:r w:rsidRPr="00C45DD9">
        <w:rPr>
          <w:rFonts w:cs="Arial"/>
          <w:color w:val="000000"/>
          <w:szCs w:val="24"/>
        </w:rPr>
        <w:t>%), pagar deudas, no estudia u otra razón (12.2 %), el hogar necesit</w:t>
      </w:r>
      <w:r w:rsidR="00720D79" w:rsidRPr="00C45DD9">
        <w:rPr>
          <w:rFonts w:cs="Arial"/>
          <w:color w:val="000000"/>
          <w:szCs w:val="24"/>
        </w:rPr>
        <w:t>aba</w:t>
      </w:r>
      <w:r w:rsidRPr="00C45DD9">
        <w:rPr>
          <w:rFonts w:cs="Arial"/>
          <w:color w:val="000000"/>
          <w:szCs w:val="24"/>
        </w:rPr>
        <w:t xml:space="preserve"> de su trabajo (11.4 %) y porqu</w:t>
      </w:r>
      <w:r w:rsidR="00724B83" w:rsidRPr="00C45DD9">
        <w:rPr>
          <w:rFonts w:cs="Arial"/>
          <w:color w:val="000000"/>
          <w:szCs w:val="24"/>
        </w:rPr>
        <w:t>e</w:t>
      </w:r>
      <w:r w:rsidRPr="00C45DD9">
        <w:rPr>
          <w:rFonts w:cs="Arial"/>
          <w:color w:val="000000"/>
          <w:szCs w:val="24"/>
        </w:rPr>
        <w:t xml:space="preserve"> el hogar necesit</w:t>
      </w:r>
      <w:r w:rsidR="00720D79" w:rsidRPr="00C45DD9">
        <w:rPr>
          <w:rFonts w:cs="Arial"/>
          <w:color w:val="000000"/>
          <w:szCs w:val="24"/>
        </w:rPr>
        <w:t>aba</w:t>
      </w:r>
      <w:r w:rsidRPr="00C45DD9">
        <w:rPr>
          <w:rFonts w:cs="Arial"/>
          <w:color w:val="000000"/>
          <w:szCs w:val="24"/>
        </w:rPr>
        <w:t xml:space="preserve"> de su aportación económica (7</w:t>
      </w:r>
      <w:r w:rsidR="00724B83" w:rsidRPr="00C45DD9">
        <w:rPr>
          <w:rFonts w:cs="Arial"/>
          <w:color w:val="000000"/>
          <w:szCs w:val="24"/>
        </w:rPr>
        <w:t>.0 %</w:t>
      </w:r>
      <w:r w:rsidR="0096045C" w:rsidRPr="00C45DD9">
        <w:rPr>
          <w:rFonts w:cs="Arial"/>
          <w:color w:val="000000"/>
          <w:szCs w:val="24"/>
        </w:rPr>
        <w:t>).</w:t>
      </w:r>
      <w:r w:rsidR="00B1333D" w:rsidRPr="00C45DD9">
        <w:rPr>
          <w:rFonts w:cs="Arial"/>
          <w:color w:val="000000"/>
          <w:szCs w:val="24"/>
        </w:rPr>
        <w:t xml:space="preserve"> </w:t>
      </w:r>
      <w:r w:rsidRPr="00C45DD9">
        <w:rPr>
          <w:rFonts w:cs="Arial"/>
          <w:color w:val="000000"/>
          <w:szCs w:val="24"/>
        </w:rPr>
        <w:t>Según sexo, los motivos difieren en alguna medida</w:t>
      </w:r>
      <w:r w:rsidR="00724B83" w:rsidRPr="00C45DD9">
        <w:rPr>
          <w:rFonts w:cs="Arial"/>
          <w:color w:val="000000"/>
          <w:szCs w:val="24"/>
        </w:rPr>
        <w:t>; en</w:t>
      </w:r>
      <w:r w:rsidRPr="00C45DD9">
        <w:rPr>
          <w:rFonts w:cs="Arial"/>
          <w:color w:val="000000"/>
          <w:szCs w:val="24"/>
        </w:rPr>
        <w:t xml:space="preserve"> por gusto o solo por ayudar el porcentaje de niñas (37.1 %) </w:t>
      </w:r>
      <w:r w:rsidR="00724B83" w:rsidRPr="00C45DD9">
        <w:rPr>
          <w:rFonts w:cs="Arial"/>
          <w:color w:val="000000"/>
          <w:szCs w:val="24"/>
        </w:rPr>
        <w:t>fue</w:t>
      </w:r>
      <w:r w:rsidRPr="00C45DD9">
        <w:rPr>
          <w:rFonts w:cs="Arial"/>
          <w:color w:val="000000"/>
          <w:szCs w:val="24"/>
        </w:rPr>
        <w:t xml:space="preserve"> mayor que e</w:t>
      </w:r>
      <w:r w:rsidR="00724B83" w:rsidRPr="00C45DD9">
        <w:rPr>
          <w:rFonts w:cs="Arial"/>
          <w:color w:val="000000"/>
          <w:szCs w:val="24"/>
        </w:rPr>
        <w:t>l de</w:t>
      </w:r>
      <w:r w:rsidRPr="00C45DD9">
        <w:rPr>
          <w:rFonts w:cs="Arial"/>
          <w:color w:val="000000"/>
          <w:szCs w:val="24"/>
        </w:rPr>
        <w:t xml:space="preserve"> los niños (29.3 %); para pagar la escuela o sus propios gastos, 25.2 % </w:t>
      </w:r>
      <w:r w:rsidR="009B7D98" w:rsidRPr="00C45DD9">
        <w:rPr>
          <w:rFonts w:cs="Arial"/>
          <w:color w:val="000000"/>
          <w:szCs w:val="24"/>
        </w:rPr>
        <w:t xml:space="preserve">de </w:t>
      </w:r>
      <w:r w:rsidRPr="00C45DD9">
        <w:rPr>
          <w:rFonts w:cs="Arial"/>
          <w:color w:val="000000"/>
          <w:szCs w:val="24"/>
        </w:rPr>
        <w:t xml:space="preserve">las niñas y 21.7 % </w:t>
      </w:r>
      <w:r w:rsidR="009B7D98" w:rsidRPr="00C45DD9">
        <w:rPr>
          <w:rFonts w:cs="Arial"/>
          <w:color w:val="000000"/>
          <w:szCs w:val="24"/>
        </w:rPr>
        <w:t xml:space="preserve">de </w:t>
      </w:r>
      <w:r w:rsidRPr="00C45DD9">
        <w:rPr>
          <w:rFonts w:cs="Arial"/>
          <w:color w:val="000000"/>
          <w:szCs w:val="24"/>
        </w:rPr>
        <w:t>los niños</w:t>
      </w:r>
      <w:r w:rsidR="00D67D0F" w:rsidRPr="00C45DD9">
        <w:rPr>
          <w:rFonts w:cs="Arial"/>
          <w:color w:val="000000"/>
          <w:szCs w:val="24"/>
        </w:rPr>
        <w:t>;</w:t>
      </w:r>
      <w:r w:rsidRPr="00C45DD9">
        <w:rPr>
          <w:rFonts w:cs="Arial"/>
          <w:color w:val="000000"/>
          <w:szCs w:val="24"/>
        </w:rPr>
        <w:t xml:space="preserve"> el hogar necesita</w:t>
      </w:r>
      <w:r w:rsidR="000C6577" w:rsidRPr="00C45DD9">
        <w:rPr>
          <w:rFonts w:cs="Arial"/>
          <w:color w:val="000000"/>
          <w:szCs w:val="24"/>
        </w:rPr>
        <w:t>ba</w:t>
      </w:r>
      <w:r w:rsidRPr="00C45DD9">
        <w:rPr>
          <w:rFonts w:cs="Arial"/>
          <w:color w:val="000000"/>
          <w:szCs w:val="24"/>
        </w:rPr>
        <w:t xml:space="preserve"> de su trabajo, las niñas </w:t>
      </w:r>
      <w:r w:rsidR="008107BB" w:rsidRPr="00C45DD9">
        <w:rPr>
          <w:rFonts w:cs="Arial"/>
          <w:color w:val="000000"/>
          <w:szCs w:val="24"/>
        </w:rPr>
        <w:t xml:space="preserve">con </w:t>
      </w:r>
      <w:r w:rsidRPr="00C45DD9">
        <w:rPr>
          <w:rFonts w:cs="Arial"/>
          <w:color w:val="000000"/>
          <w:szCs w:val="24"/>
        </w:rPr>
        <w:t xml:space="preserve">12.8 % y los niños </w:t>
      </w:r>
      <w:r w:rsidR="008107BB" w:rsidRPr="00C45DD9">
        <w:rPr>
          <w:rFonts w:cs="Arial"/>
          <w:color w:val="000000"/>
          <w:szCs w:val="24"/>
        </w:rPr>
        <w:t xml:space="preserve">con </w:t>
      </w:r>
      <w:r w:rsidRPr="00C45DD9">
        <w:rPr>
          <w:rFonts w:cs="Arial"/>
          <w:color w:val="000000"/>
          <w:szCs w:val="24"/>
        </w:rPr>
        <w:t xml:space="preserve">10.8 </w:t>
      </w:r>
      <w:r w:rsidR="00D67D0F" w:rsidRPr="00C45DD9">
        <w:rPr>
          <w:rFonts w:cs="Arial"/>
          <w:color w:val="000000"/>
          <w:szCs w:val="24"/>
        </w:rPr>
        <w:t>por ciento. E</w:t>
      </w:r>
      <w:r w:rsidRPr="00C45DD9">
        <w:rPr>
          <w:rFonts w:cs="Arial"/>
          <w:color w:val="000000"/>
          <w:szCs w:val="24"/>
        </w:rPr>
        <w:t>n cambio</w:t>
      </w:r>
      <w:r w:rsidR="000C6577" w:rsidRPr="00C45DD9">
        <w:rPr>
          <w:rFonts w:cs="Arial"/>
          <w:color w:val="000000"/>
          <w:szCs w:val="24"/>
        </w:rPr>
        <w:t>,</w:t>
      </w:r>
      <w:r w:rsidRPr="00C45DD9">
        <w:rPr>
          <w:rFonts w:cs="Arial"/>
          <w:color w:val="000000"/>
          <w:szCs w:val="24"/>
        </w:rPr>
        <w:t xml:space="preserve"> en aprender un oficio, el porcentaje de niños (17.9 %) es más alto comp</w:t>
      </w:r>
      <w:r w:rsidR="00524485" w:rsidRPr="00C45DD9">
        <w:rPr>
          <w:rFonts w:cs="Arial"/>
          <w:color w:val="000000"/>
          <w:szCs w:val="24"/>
        </w:rPr>
        <w:t>a</w:t>
      </w:r>
      <w:r w:rsidRPr="00C45DD9">
        <w:rPr>
          <w:rFonts w:cs="Arial"/>
          <w:color w:val="000000"/>
          <w:szCs w:val="24"/>
        </w:rPr>
        <w:t>rado con el de las niñas (8.3 %)</w:t>
      </w:r>
      <w:r w:rsidR="00CB27F9" w:rsidRPr="00C45DD9">
        <w:rPr>
          <w:rFonts w:cs="Arial"/>
          <w:color w:val="000000"/>
          <w:szCs w:val="24"/>
        </w:rPr>
        <w:t>;</w:t>
      </w:r>
      <w:r w:rsidR="000C6577" w:rsidRPr="00C45DD9">
        <w:rPr>
          <w:rFonts w:cs="Arial"/>
          <w:color w:val="000000"/>
          <w:szCs w:val="24"/>
        </w:rPr>
        <w:t xml:space="preserve"> lo mismo que en pago de deudas, el porcentaje de niños fue de 13.3 % contra 9.6 % de </w:t>
      </w:r>
      <w:r w:rsidR="00C7516B" w:rsidRPr="00C45DD9">
        <w:rPr>
          <w:rFonts w:cs="Arial"/>
          <w:color w:val="000000"/>
          <w:szCs w:val="24"/>
        </w:rPr>
        <w:t xml:space="preserve">las </w:t>
      </w:r>
      <w:r w:rsidR="000C6577" w:rsidRPr="00C45DD9">
        <w:rPr>
          <w:rFonts w:cs="Arial"/>
          <w:color w:val="000000"/>
          <w:szCs w:val="24"/>
        </w:rPr>
        <w:t>niñas</w:t>
      </w:r>
      <w:r w:rsidR="00E555D9" w:rsidRPr="00C45DD9">
        <w:rPr>
          <w:rFonts w:cs="Arial"/>
          <w:color w:val="000000"/>
          <w:szCs w:val="24"/>
        </w:rPr>
        <w:t xml:space="preserve"> </w:t>
      </w:r>
      <w:r w:rsidR="00E555D9" w:rsidRPr="00C45DD9">
        <w:rPr>
          <w:rFonts w:cs="Arial"/>
          <w:szCs w:val="24"/>
        </w:rPr>
        <w:t>(ver cuadro 16)</w:t>
      </w:r>
      <w:r w:rsidR="000C6577" w:rsidRPr="00C45DD9">
        <w:rPr>
          <w:rFonts w:cs="Arial"/>
          <w:color w:val="000000"/>
          <w:szCs w:val="24"/>
        </w:rPr>
        <w:t>.</w:t>
      </w:r>
    </w:p>
    <w:p w14:paraId="6420DE94" w14:textId="77777777" w:rsidR="002E3423" w:rsidRDefault="002E3423" w:rsidP="00C56872">
      <w:pPr>
        <w:widowControl/>
        <w:autoSpaceDE w:val="0"/>
        <w:autoSpaceDN w:val="0"/>
        <w:adjustRightInd w:val="0"/>
        <w:rPr>
          <w:rFonts w:cs="Arial"/>
          <w:color w:val="000000"/>
          <w:szCs w:val="24"/>
        </w:rPr>
      </w:pPr>
    </w:p>
    <w:p w14:paraId="70486E20" w14:textId="77777777" w:rsidR="009E086F" w:rsidRPr="00E213E7" w:rsidRDefault="009E086F" w:rsidP="00E213E7">
      <w:pPr>
        <w:widowControl/>
        <w:autoSpaceDE w:val="0"/>
        <w:autoSpaceDN w:val="0"/>
        <w:adjustRightInd w:val="0"/>
        <w:jc w:val="center"/>
        <w:rPr>
          <w:rFonts w:cs="Arial"/>
          <w:color w:val="000000"/>
          <w:sz w:val="20"/>
        </w:rPr>
      </w:pPr>
      <w:r w:rsidRPr="00E213E7">
        <w:rPr>
          <w:rFonts w:cs="Arial"/>
          <w:color w:val="000000"/>
          <w:sz w:val="20"/>
        </w:rPr>
        <w:t>Cuadro 16</w:t>
      </w:r>
    </w:p>
    <w:p w14:paraId="2FAD7486" w14:textId="77777777" w:rsidR="00E213E7" w:rsidRDefault="009E086F" w:rsidP="00E213E7">
      <w:pPr>
        <w:widowControl/>
        <w:autoSpaceDE w:val="0"/>
        <w:autoSpaceDN w:val="0"/>
        <w:adjustRightInd w:val="0"/>
        <w:jc w:val="center"/>
        <w:rPr>
          <w:rFonts w:cs="Arial"/>
          <w:b/>
          <w:bCs/>
          <w:smallCaps/>
          <w:color w:val="000000" w:themeColor="text1"/>
          <w:sz w:val="22"/>
          <w:szCs w:val="22"/>
        </w:rPr>
      </w:pPr>
      <w:r w:rsidRPr="00E213E7">
        <w:rPr>
          <w:rFonts w:cs="Arial"/>
          <w:b/>
          <w:bCs/>
          <w:smallCaps/>
          <w:color w:val="000000"/>
          <w:sz w:val="22"/>
          <w:szCs w:val="22"/>
        </w:rPr>
        <w:t>Personas en alguna o</w:t>
      </w:r>
      <w:r w:rsidRPr="00E213E7">
        <w:rPr>
          <w:rFonts w:cs="Arial"/>
          <w:b/>
          <w:bCs/>
          <w:smallCaps/>
          <w:color w:val="000000" w:themeColor="text1"/>
          <w:sz w:val="22"/>
          <w:szCs w:val="22"/>
        </w:rPr>
        <w:t>cupación no permitida por motivo principal por el que trabaja</w:t>
      </w:r>
      <w:r w:rsidR="002E3423" w:rsidRPr="00E213E7">
        <w:rPr>
          <w:rFonts w:cs="Arial"/>
          <w:b/>
          <w:bCs/>
          <w:smallCaps/>
          <w:color w:val="000000" w:themeColor="text1"/>
          <w:sz w:val="22"/>
          <w:szCs w:val="22"/>
        </w:rPr>
        <w:t>,</w:t>
      </w:r>
      <w:r w:rsidRPr="00E213E7">
        <w:rPr>
          <w:rFonts w:cs="Arial"/>
          <w:b/>
          <w:bCs/>
          <w:smallCaps/>
          <w:color w:val="000000" w:themeColor="text1"/>
          <w:sz w:val="22"/>
          <w:szCs w:val="22"/>
        </w:rPr>
        <w:t xml:space="preserve"> </w:t>
      </w:r>
    </w:p>
    <w:p w14:paraId="25B5B6E4" w14:textId="73F596F7" w:rsidR="009E086F" w:rsidRPr="00E213E7" w:rsidRDefault="009E086F" w:rsidP="00E213E7">
      <w:pPr>
        <w:widowControl/>
        <w:autoSpaceDE w:val="0"/>
        <w:autoSpaceDN w:val="0"/>
        <w:adjustRightInd w:val="0"/>
        <w:jc w:val="center"/>
        <w:rPr>
          <w:rFonts w:cs="Arial"/>
          <w:b/>
          <w:bCs/>
          <w:smallCaps/>
          <w:color w:val="000000" w:themeColor="text1"/>
          <w:sz w:val="22"/>
          <w:szCs w:val="22"/>
        </w:rPr>
      </w:pPr>
      <w:r w:rsidRPr="00E213E7">
        <w:rPr>
          <w:rFonts w:cs="Arial"/>
          <w:b/>
          <w:bCs/>
          <w:smallCaps/>
          <w:color w:val="000000" w:themeColor="text1"/>
          <w:sz w:val="22"/>
          <w:szCs w:val="22"/>
        </w:rPr>
        <w:t>según sexo</w:t>
      </w:r>
    </w:p>
    <w:p w14:paraId="473606A5" w14:textId="77777777" w:rsidR="009E086F" w:rsidRPr="005E25D0" w:rsidRDefault="009E086F" w:rsidP="00E213E7">
      <w:pPr>
        <w:widowControl/>
        <w:autoSpaceDE w:val="0"/>
        <w:autoSpaceDN w:val="0"/>
        <w:adjustRightInd w:val="0"/>
        <w:ind w:left="851" w:right="51" w:hanging="851"/>
        <w:jc w:val="center"/>
        <w:rPr>
          <w:rFonts w:cs="Arial"/>
          <w:bCs/>
          <w:sz w:val="18"/>
          <w:szCs w:val="18"/>
        </w:rPr>
      </w:pPr>
      <w:r w:rsidRPr="005E25D0">
        <w:rPr>
          <w:rFonts w:cs="Arial"/>
          <w:bCs/>
          <w:sz w:val="18"/>
          <w:szCs w:val="18"/>
        </w:rPr>
        <w:t>(distribución porcentual)</w:t>
      </w:r>
    </w:p>
    <w:tbl>
      <w:tblPr>
        <w:tblW w:w="9780" w:type="dxa"/>
        <w:tblCellMar>
          <w:left w:w="70" w:type="dxa"/>
          <w:right w:w="70" w:type="dxa"/>
        </w:tblCellMar>
        <w:tblLook w:val="04A0" w:firstRow="1" w:lastRow="0" w:firstColumn="1" w:lastColumn="0" w:noHBand="0" w:noVBand="1"/>
      </w:tblPr>
      <w:tblGrid>
        <w:gridCol w:w="220"/>
        <w:gridCol w:w="4760"/>
        <w:gridCol w:w="1600"/>
        <w:gridCol w:w="1600"/>
        <w:gridCol w:w="1600"/>
      </w:tblGrid>
      <w:tr w:rsidR="009E086F" w:rsidRPr="00C611DD" w14:paraId="300A4C32" w14:textId="77777777" w:rsidTr="00562DA7">
        <w:trPr>
          <w:trHeight w:val="315"/>
        </w:trPr>
        <w:tc>
          <w:tcPr>
            <w:tcW w:w="4980" w:type="dxa"/>
            <w:gridSpan w:val="2"/>
            <w:tcBorders>
              <w:top w:val="nil"/>
              <w:left w:val="nil"/>
              <w:bottom w:val="nil"/>
              <w:right w:val="nil"/>
            </w:tcBorders>
            <w:shd w:val="clear" w:color="auto" w:fill="338B99"/>
            <w:vAlign w:val="center"/>
            <w:hideMark/>
          </w:tcPr>
          <w:p w14:paraId="7EA9BC28" w14:textId="77777777" w:rsidR="009E086F" w:rsidRPr="00C611DD" w:rsidRDefault="009E086F" w:rsidP="00562DA7">
            <w:pPr>
              <w:widowControl/>
              <w:jc w:val="left"/>
              <w:rPr>
                <w:rFonts w:cs="Arial"/>
                <w:b/>
                <w:bCs/>
                <w:color w:val="FFFFFF"/>
                <w:sz w:val="20"/>
                <w:lang w:eastAsia="es-MX"/>
              </w:rPr>
            </w:pPr>
            <w:r w:rsidRPr="00C611DD">
              <w:rPr>
                <w:rFonts w:cs="Arial"/>
                <w:b/>
                <w:bCs/>
                <w:color w:val="FFFFFF" w:themeColor="background1"/>
                <w:sz w:val="20"/>
                <w:lang w:eastAsia="es-MX"/>
              </w:rPr>
              <w:t>Motivos por los que trabaja</w:t>
            </w:r>
          </w:p>
        </w:tc>
        <w:tc>
          <w:tcPr>
            <w:tcW w:w="1600" w:type="dxa"/>
            <w:tcBorders>
              <w:top w:val="nil"/>
              <w:left w:val="nil"/>
              <w:bottom w:val="nil"/>
              <w:right w:val="nil"/>
            </w:tcBorders>
            <w:shd w:val="clear" w:color="auto" w:fill="338B99"/>
            <w:vAlign w:val="center"/>
            <w:hideMark/>
          </w:tcPr>
          <w:p w14:paraId="50A45107" w14:textId="77777777" w:rsidR="009E086F" w:rsidRPr="00C611DD" w:rsidRDefault="009E086F" w:rsidP="00562DA7">
            <w:pPr>
              <w:widowControl/>
              <w:jc w:val="center"/>
              <w:rPr>
                <w:rFonts w:cs="Arial"/>
                <w:b/>
                <w:bCs/>
                <w:color w:val="FFFFFF"/>
                <w:sz w:val="20"/>
                <w:lang w:eastAsia="es-MX"/>
              </w:rPr>
            </w:pPr>
            <w:r w:rsidRPr="00C611DD">
              <w:rPr>
                <w:rFonts w:cs="Arial"/>
                <w:b/>
                <w:bCs/>
                <w:color w:val="FFFFFF"/>
                <w:sz w:val="20"/>
                <w:lang w:eastAsia="es-MX"/>
              </w:rPr>
              <w:t>Total</w:t>
            </w:r>
          </w:p>
        </w:tc>
        <w:tc>
          <w:tcPr>
            <w:tcW w:w="1600" w:type="dxa"/>
            <w:tcBorders>
              <w:top w:val="nil"/>
              <w:left w:val="nil"/>
              <w:bottom w:val="nil"/>
              <w:right w:val="nil"/>
            </w:tcBorders>
            <w:shd w:val="clear" w:color="auto" w:fill="338B99"/>
            <w:vAlign w:val="center"/>
            <w:hideMark/>
          </w:tcPr>
          <w:p w14:paraId="4AC5552E" w14:textId="77777777" w:rsidR="009E086F" w:rsidRPr="00C611DD" w:rsidRDefault="009E086F" w:rsidP="00562DA7">
            <w:pPr>
              <w:widowControl/>
              <w:jc w:val="center"/>
              <w:rPr>
                <w:rFonts w:cs="Arial"/>
                <w:b/>
                <w:bCs/>
                <w:color w:val="FFFFFF"/>
                <w:sz w:val="20"/>
                <w:lang w:eastAsia="es-MX"/>
              </w:rPr>
            </w:pPr>
            <w:r w:rsidRPr="00C611DD">
              <w:rPr>
                <w:rFonts w:cs="Arial"/>
                <w:b/>
                <w:bCs/>
                <w:color w:val="FFFFFF"/>
                <w:sz w:val="20"/>
                <w:lang w:eastAsia="es-MX"/>
              </w:rPr>
              <w:t>Niños</w:t>
            </w:r>
          </w:p>
        </w:tc>
        <w:tc>
          <w:tcPr>
            <w:tcW w:w="1600" w:type="dxa"/>
            <w:tcBorders>
              <w:top w:val="nil"/>
              <w:left w:val="nil"/>
              <w:bottom w:val="nil"/>
              <w:right w:val="nil"/>
            </w:tcBorders>
            <w:shd w:val="clear" w:color="auto" w:fill="338B99"/>
            <w:vAlign w:val="center"/>
            <w:hideMark/>
          </w:tcPr>
          <w:p w14:paraId="0F61A52C" w14:textId="77777777" w:rsidR="009E086F" w:rsidRPr="00C611DD" w:rsidRDefault="009E086F" w:rsidP="00562DA7">
            <w:pPr>
              <w:widowControl/>
              <w:jc w:val="center"/>
              <w:rPr>
                <w:rFonts w:cs="Arial"/>
                <w:b/>
                <w:bCs/>
                <w:color w:val="FFFFFF"/>
                <w:sz w:val="20"/>
                <w:lang w:eastAsia="es-MX"/>
              </w:rPr>
            </w:pPr>
            <w:r w:rsidRPr="00C611DD">
              <w:rPr>
                <w:rFonts w:cs="Arial"/>
                <w:b/>
                <w:bCs/>
                <w:color w:val="FFFFFF"/>
                <w:sz w:val="20"/>
                <w:lang w:eastAsia="es-MX"/>
              </w:rPr>
              <w:t>Niñas</w:t>
            </w:r>
          </w:p>
        </w:tc>
      </w:tr>
      <w:tr w:rsidR="009E086F" w:rsidRPr="00C611DD" w14:paraId="4D593857" w14:textId="77777777" w:rsidTr="00562DA7">
        <w:trPr>
          <w:trHeight w:val="300"/>
        </w:trPr>
        <w:tc>
          <w:tcPr>
            <w:tcW w:w="4980" w:type="dxa"/>
            <w:gridSpan w:val="2"/>
            <w:tcBorders>
              <w:top w:val="nil"/>
              <w:left w:val="nil"/>
              <w:bottom w:val="nil"/>
              <w:right w:val="nil"/>
            </w:tcBorders>
            <w:shd w:val="clear" w:color="auto" w:fill="66A8B3"/>
            <w:vAlign w:val="center"/>
            <w:hideMark/>
          </w:tcPr>
          <w:p w14:paraId="1619F162" w14:textId="77777777" w:rsidR="009E086F" w:rsidRPr="00C611DD" w:rsidRDefault="009E086F" w:rsidP="00562DA7">
            <w:pPr>
              <w:widowControl/>
              <w:jc w:val="left"/>
              <w:rPr>
                <w:rFonts w:cs="Arial"/>
                <w:b/>
                <w:bCs/>
                <w:color w:val="000000"/>
                <w:sz w:val="20"/>
                <w:lang w:eastAsia="es-MX"/>
              </w:rPr>
            </w:pPr>
            <w:r w:rsidRPr="00C611DD">
              <w:rPr>
                <w:rFonts w:cs="Arial"/>
                <w:b/>
                <w:bCs/>
                <w:color w:val="000000"/>
                <w:sz w:val="20"/>
                <w:lang w:eastAsia="es-MX"/>
              </w:rPr>
              <w:t>Ocupación no permitida</w:t>
            </w:r>
          </w:p>
        </w:tc>
        <w:tc>
          <w:tcPr>
            <w:tcW w:w="1600" w:type="dxa"/>
            <w:tcBorders>
              <w:top w:val="nil"/>
              <w:left w:val="nil"/>
              <w:bottom w:val="nil"/>
              <w:right w:val="nil"/>
            </w:tcBorders>
            <w:shd w:val="clear" w:color="auto" w:fill="66A8B3"/>
            <w:vAlign w:val="center"/>
            <w:hideMark/>
          </w:tcPr>
          <w:p w14:paraId="7C4E008F" w14:textId="77777777" w:rsidR="009E086F" w:rsidRPr="00C611DD" w:rsidRDefault="009E086F" w:rsidP="00562DA7">
            <w:pPr>
              <w:widowControl/>
              <w:jc w:val="center"/>
              <w:rPr>
                <w:rFonts w:cs="Arial"/>
                <w:b/>
                <w:bCs/>
                <w:color w:val="000000"/>
                <w:sz w:val="20"/>
                <w:lang w:eastAsia="es-MX"/>
              </w:rPr>
            </w:pPr>
            <w:r w:rsidRPr="00C611DD">
              <w:rPr>
                <w:rFonts w:cs="Arial"/>
                <w:b/>
                <w:bCs/>
                <w:sz w:val="20"/>
                <w:lang w:eastAsia="es-MX"/>
              </w:rPr>
              <w:t>100.0</w:t>
            </w:r>
          </w:p>
        </w:tc>
        <w:tc>
          <w:tcPr>
            <w:tcW w:w="1600" w:type="dxa"/>
            <w:tcBorders>
              <w:top w:val="nil"/>
              <w:left w:val="nil"/>
              <w:bottom w:val="nil"/>
              <w:right w:val="nil"/>
            </w:tcBorders>
            <w:shd w:val="clear" w:color="auto" w:fill="66A8B3"/>
            <w:vAlign w:val="center"/>
            <w:hideMark/>
          </w:tcPr>
          <w:p w14:paraId="5778647C" w14:textId="77777777" w:rsidR="009E086F" w:rsidRPr="00C611DD" w:rsidRDefault="009E086F" w:rsidP="00562DA7">
            <w:pPr>
              <w:widowControl/>
              <w:jc w:val="center"/>
              <w:rPr>
                <w:rFonts w:cs="Arial"/>
                <w:b/>
                <w:bCs/>
                <w:color w:val="000000"/>
                <w:sz w:val="20"/>
                <w:lang w:eastAsia="es-MX"/>
              </w:rPr>
            </w:pPr>
            <w:r w:rsidRPr="00C611DD">
              <w:rPr>
                <w:rFonts w:cs="Arial"/>
                <w:b/>
                <w:bCs/>
                <w:sz w:val="20"/>
                <w:lang w:eastAsia="es-MX"/>
              </w:rPr>
              <w:t>100.0</w:t>
            </w:r>
          </w:p>
        </w:tc>
        <w:tc>
          <w:tcPr>
            <w:tcW w:w="1600" w:type="dxa"/>
            <w:tcBorders>
              <w:top w:val="nil"/>
              <w:left w:val="nil"/>
              <w:bottom w:val="nil"/>
              <w:right w:val="nil"/>
            </w:tcBorders>
            <w:shd w:val="clear" w:color="auto" w:fill="66A8B3"/>
            <w:vAlign w:val="center"/>
            <w:hideMark/>
          </w:tcPr>
          <w:p w14:paraId="40B3D0AC" w14:textId="77777777" w:rsidR="009E086F" w:rsidRPr="00C611DD" w:rsidRDefault="009E086F" w:rsidP="00562DA7">
            <w:pPr>
              <w:widowControl/>
              <w:jc w:val="center"/>
              <w:rPr>
                <w:rFonts w:cs="Arial"/>
                <w:b/>
                <w:bCs/>
                <w:color w:val="000000"/>
                <w:sz w:val="20"/>
                <w:lang w:eastAsia="es-MX"/>
              </w:rPr>
            </w:pPr>
            <w:r w:rsidRPr="00C611DD">
              <w:rPr>
                <w:rFonts w:cs="Arial"/>
                <w:b/>
                <w:bCs/>
                <w:sz w:val="20"/>
                <w:lang w:eastAsia="es-MX"/>
              </w:rPr>
              <w:t>100.0</w:t>
            </w:r>
          </w:p>
        </w:tc>
      </w:tr>
      <w:tr w:rsidR="009E086F" w:rsidRPr="00C611DD" w14:paraId="619780E0" w14:textId="77777777" w:rsidTr="00562DA7">
        <w:trPr>
          <w:trHeight w:val="300"/>
        </w:trPr>
        <w:tc>
          <w:tcPr>
            <w:tcW w:w="220" w:type="dxa"/>
            <w:tcBorders>
              <w:top w:val="nil"/>
              <w:left w:val="nil"/>
              <w:bottom w:val="nil"/>
              <w:right w:val="nil"/>
            </w:tcBorders>
            <w:shd w:val="clear" w:color="auto" w:fill="CCE2E6"/>
            <w:noWrap/>
            <w:vAlign w:val="bottom"/>
            <w:hideMark/>
          </w:tcPr>
          <w:p w14:paraId="72D343FC" w14:textId="77777777" w:rsidR="009E086F" w:rsidRPr="00C611DD" w:rsidRDefault="009E086F" w:rsidP="00562DA7">
            <w:pPr>
              <w:widowControl/>
              <w:jc w:val="left"/>
              <w:rPr>
                <w:rFonts w:ascii="Times New Roman" w:hAnsi="Times New Roman"/>
                <w:color w:val="000000"/>
                <w:sz w:val="20"/>
                <w:lang w:eastAsia="es-MX"/>
              </w:rPr>
            </w:pPr>
            <w:r w:rsidRPr="00C611DD">
              <w:rPr>
                <w:rFonts w:ascii="Times New Roman" w:hAnsi="Times New Roman"/>
                <w:color w:val="000000"/>
                <w:sz w:val="20"/>
                <w:lang w:eastAsia="es-MX"/>
              </w:rPr>
              <w:t> </w:t>
            </w:r>
          </w:p>
        </w:tc>
        <w:tc>
          <w:tcPr>
            <w:tcW w:w="4760" w:type="dxa"/>
            <w:tcBorders>
              <w:top w:val="nil"/>
              <w:left w:val="nil"/>
              <w:bottom w:val="nil"/>
              <w:right w:val="nil"/>
            </w:tcBorders>
            <w:shd w:val="clear" w:color="auto" w:fill="CCE2E6"/>
            <w:vAlign w:val="center"/>
            <w:hideMark/>
          </w:tcPr>
          <w:p w14:paraId="2DE40758" w14:textId="77777777" w:rsidR="009E086F" w:rsidRPr="00C611DD" w:rsidRDefault="009E086F" w:rsidP="00562DA7">
            <w:pPr>
              <w:widowControl/>
              <w:jc w:val="left"/>
              <w:rPr>
                <w:rFonts w:cs="Arial"/>
                <w:color w:val="000000"/>
                <w:sz w:val="20"/>
                <w:lang w:eastAsia="es-MX"/>
              </w:rPr>
            </w:pPr>
            <w:r w:rsidRPr="00C611DD">
              <w:rPr>
                <w:rFonts w:cs="Arial"/>
                <w:sz w:val="20"/>
                <w:lang w:eastAsia="es-MX"/>
              </w:rPr>
              <w:t>El hogar necesita de su aportación económica</w:t>
            </w:r>
          </w:p>
        </w:tc>
        <w:tc>
          <w:tcPr>
            <w:tcW w:w="1600" w:type="dxa"/>
            <w:tcBorders>
              <w:top w:val="nil"/>
              <w:left w:val="nil"/>
              <w:bottom w:val="nil"/>
              <w:right w:val="nil"/>
            </w:tcBorders>
            <w:shd w:val="clear" w:color="auto" w:fill="CCE2E6"/>
            <w:vAlign w:val="center"/>
            <w:hideMark/>
          </w:tcPr>
          <w:p w14:paraId="1FFA8AEB" w14:textId="77777777" w:rsidR="009E086F" w:rsidRPr="00C611DD" w:rsidRDefault="009E086F" w:rsidP="00562DA7">
            <w:pPr>
              <w:widowControl/>
              <w:jc w:val="center"/>
              <w:rPr>
                <w:rFonts w:cs="Arial"/>
                <w:color w:val="000000"/>
                <w:sz w:val="20"/>
                <w:lang w:eastAsia="es-MX"/>
              </w:rPr>
            </w:pPr>
            <w:r w:rsidRPr="00C611DD">
              <w:rPr>
                <w:rFonts w:cs="Arial"/>
                <w:sz w:val="20"/>
                <w:lang w:eastAsia="es-MX"/>
              </w:rPr>
              <w:t>7.0</w:t>
            </w:r>
          </w:p>
        </w:tc>
        <w:tc>
          <w:tcPr>
            <w:tcW w:w="1600" w:type="dxa"/>
            <w:tcBorders>
              <w:top w:val="nil"/>
              <w:left w:val="nil"/>
              <w:bottom w:val="nil"/>
              <w:right w:val="nil"/>
            </w:tcBorders>
            <w:shd w:val="clear" w:color="auto" w:fill="CCE2E6"/>
            <w:vAlign w:val="center"/>
            <w:hideMark/>
          </w:tcPr>
          <w:p w14:paraId="69B02BF1" w14:textId="77777777" w:rsidR="009E086F" w:rsidRPr="00C611DD" w:rsidRDefault="009E086F" w:rsidP="00562DA7">
            <w:pPr>
              <w:widowControl/>
              <w:jc w:val="center"/>
              <w:rPr>
                <w:rFonts w:cs="Arial"/>
                <w:color w:val="000000"/>
                <w:sz w:val="20"/>
                <w:lang w:eastAsia="es-MX"/>
              </w:rPr>
            </w:pPr>
            <w:r w:rsidRPr="00C611DD">
              <w:rPr>
                <w:rFonts w:cs="Arial"/>
                <w:sz w:val="20"/>
                <w:lang w:eastAsia="es-MX"/>
              </w:rPr>
              <w:t>7.0</w:t>
            </w:r>
          </w:p>
        </w:tc>
        <w:tc>
          <w:tcPr>
            <w:tcW w:w="1600" w:type="dxa"/>
            <w:tcBorders>
              <w:top w:val="nil"/>
              <w:left w:val="nil"/>
              <w:bottom w:val="nil"/>
              <w:right w:val="nil"/>
            </w:tcBorders>
            <w:shd w:val="clear" w:color="auto" w:fill="CCE2E6"/>
            <w:vAlign w:val="center"/>
            <w:hideMark/>
          </w:tcPr>
          <w:p w14:paraId="26929CD6" w14:textId="77777777" w:rsidR="009E086F" w:rsidRPr="00C611DD" w:rsidRDefault="009E086F" w:rsidP="00562DA7">
            <w:pPr>
              <w:widowControl/>
              <w:jc w:val="center"/>
              <w:rPr>
                <w:rFonts w:cs="Arial"/>
                <w:color w:val="000000"/>
                <w:sz w:val="20"/>
                <w:lang w:eastAsia="es-MX"/>
              </w:rPr>
            </w:pPr>
            <w:r w:rsidRPr="00C611DD">
              <w:rPr>
                <w:rFonts w:cs="Arial"/>
                <w:sz w:val="20"/>
                <w:lang w:eastAsia="es-MX"/>
              </w:rPr>
              <w:t>7.0</w:t>
            </w:r>
          </w:p>
        </w:tc>
      </w:tr>
      <w:tr w:rsidR="009E086F" w:rsidRPr="00C611DD" w14:paraId="2DA376FF" w14:textId="77777777" w:rsidTr="00562DA7">
        <w:trPr>
          <w:trHeight w:val="300"/>
        </w:trPr>
        <w:tc>
          <w:tcPr>
            <w:tcW w:w="220" w:type="dxa"/>
            <w:tcBorders>
              <w:top w:val="nil"/>
              <w:left w:val="nil"/>
              <w:bottom w:val="nil"/>
              <w:right w:val="nil"/>
            </w:tcBorders>
            <w:shd w:val="clear" w:color="auto" w:fill="CCE2E6"/>
            <w:noWrap/>
            <w:vAlign w:val="bottom"/>
            <w:hideMark/>
          </w:tcPr>
          <w:p w14:paraId="0C3807FD" w14:textId="77777777" w:rsidR="009E086F" w:rsidRPr="00C611DD" w:rsidRDefault="009E086F" w:rsidP="00562DA7">
            <w:pPr>
              <w:widowControl/>
              <w:jc w:val="left"/>
              <w:rPr>
                <w:rFonts w:ascii="Times New Roman" w:hAnsi="Times New Roman"/>
                <w:color w:val="000000"/>
                <w:sz w:val="20"/>
                <w:lang w:eastAsia="es-MX"/>
              </w:rPr>
            </w:pPr>
            <w:r w:rsidRPr="00C611DD">
              <w:rPr>
                <w:rFonts w:ascii="Times New Roman" w:hAnsi="Times New Roman"/>
                <w:color w:val="000000"/>
                <w:sz w:val="20"/>
                <w:lang w:eastAsia="es-MX"/>
              </w:rPr>
              <w:t> </w:t>
            </w:r>
          </w:p>
        </w:tc>
        <w:tc>
          <w:tcPr>
            <w:tcW w:w="4760" w:type="dxa"/>
            <w:tcBorders>
              <w:top w:val="nil"/>
              <w:left w:val="nil"/>
              <w:bottom w:val="nil"/>
              <w:right w:val="nil"/>
            </w:tcBorders>
            <w:shd w:val="clear" w:color="auto" w:fill="CCE2E6"/>
            <w:vAlign w:val="center"/>
            <w:hideMark/>
          </w:tcPr>
          <w:p w14:paraId="5C973CFD" w14:textId="77777777" w:rsidR="009E086F" w:rsidRPr="00C611DD" w:rsidRDefault="009E086F" w:rsidP="00562DA7">
            <w:pPr>
              <w:widowControl/>
              <w:jc w:val="left"/>
              <w:rPr>
                <w:rFonts w:cs="Arial"/>
                <w:color w:val="000000"/>
                <w:sz w:val="20"/>
                <w:lang w:eastAsia="es-MX"/>
              </w:rPr>
            </w:pPr>
            <w:r w:rsidRPr="00C611DD">
              <w:rPr>
                <w:rFonts w:cs="Arial"/>
                <w:sz w:val="20"/>
                <w:lang w:eastAsia="es-MX"/>
              </w:rPr>
              <w:t>El hogar necesita de su trabajo</w:t>
            </w:r>
          </w:p>
        </w:tc>
        <w:tc>
          <w:tcPr>
            <w:tcW w:w="1600" w:type="dxa"/>
            <w:tcBorders>
              <w:top w:val="nil"/>
              <w:left w:val="nil"/>
              <w:bottom w:val="nil"/>
              <w:right w:val="nil"/>
            </w:tcBorders>
            <w:shd w:val="clear" w:color="auto" w:fill="CCE2E6"/>
            <w:vAlign w:val="center"/>
            <w:hideMark/>
          </w:tcPr>
          <w:p w14:paraId="310BAC13" w14:textId="77777777" w:rsidR="009E086F" w:rsidRPr="00C611DD" w:rsidRDefault="009E086F" w:rsidP="00562DA7">
            <w:pPr>
              <w:widowControl/>
              <w:jc w:val="center"/>
              <w:rPr>
                <w:rFonts w:cs="Arial"/>
                <w:color w:val="000000"/>
                <w:sz w:val="20"/>
                <w:lang w:eastAsia="es-MX"/>
              </w:rPr>
            </w:pPr>
            <w:r w:rsidRPr="00C611DD">
              <w:rPr>
                <w:rFonts w:cs="Arial"/>
                <w:sz w:val="20"/>
                <w:lang w:eastAsia="es-MX"/>
              </w:rPr>
              <w:t>11.4</w:t>
            </w:r>
          </w:p>
        </w:tc>
        <w:tc>
          <w:tcPr>
            <w:tcW w:w="1600" w:type="dxa"/>
            <w:tcBorders>
              <w:top w:val="nil"/>
              <w:left w:val="nil"/>
              <w:bottom w:val="nil"/>
              <w:right w:val="nil"/>
            </w:tcBorders>
            <w:shd w:val="clear" w:color="auto" w:fill="CCE2E6"/>
            <w:vAlign w:val="center"/>
            <w:hideMark/>
          </w:tcPr>
          <w:p w14:paraId="27D5198A" w14:textId="77777777" w:rsidR="009E086F" w:rsidRPr="00C611DD" w:rsidRDefault="009E086F" w:rsidP="00562DA7">
            <w:pPr>
              <w:widowControl/>
              <w:jc w:val="center"/>
              <w:rPr>
                <w:rFonts w:cs="Arial"/>
                <w:color w:val="000000"/>
                <w:sz w:val="20"/>
                <w:lang w:eastAsia="es-MX"/>
              </w:rPr>
            </w:pPr>
            <w:r w:rsidRPr="00C611DD">
              <w:rPr>
                <w:rFonts w:cs="Arial"/>
                <w:sz w:val="20"/>
                <w:lang w:eastAsia="es-MX"/>
              </w:rPr>
              <w:t>10.8</w:t>
            </w:r>
          </w:p>
        </w:tc>
        <w:tc>
          <w:tcPr>
            <w:tcW w:w="1600" w:type="dxa"/>
            <w:tcBorders>
              <w:top w:val="nil"/>
              <w:left w:val="nil"/>
              <w:bottom w:val="nil"/>
              <w:right w:val="nil"/>
            </w:tcBorders>
            <w:shd w:val="clear" w:color="auto" w:fill="CCE2E6"/>
            <w:vAlign w:val="center"/>
            <w:hideMark/>
          </w:tcPr>
          <w:p w14:paraId="3541854C" w14:textId="77777777" w:rsidR="009E086F" w:rsidRPr="00C611DD" w:rsidRDefault="009E086F" w:rsidP="00562DA7">
            <w:pPr>
              <w:widowControl/>
              <w:jc w:val="center"/>
              <w:rPr>
                <w:rFonts w:cs="Arial"/>
                <w:color w:val="000000"/>
                <w:sz w:val="20"/>
                <w:lang w:eastAsia="es-MX"/>
              </w:rPr>
            </w:pPr>
            <w:r w:rsidRPr="00C611DD">
              <w:rPr>
                <w:rFonts w:cs="Arial"/>
                <w:sz w:val="20"/>
                <w:lang w:eastAsia="es-MX"/>
              </w:rPr>
              <w:t>12.8</w:t>
            </w:r>
          </w:p>
        </w:tc>
      </w:tr>
      <w:tr w:rsidR="009E086F" w:rsidRPr="00C611DD" w14:paraId="2DE97122" w14:textId="77777777" w:rsidTr="00562DA7">
        <w:trPr>
          <w:trHeight w:val="300"/>
        </w:trPr>
        <w:tc>
          <w:tcPr>
            <w:tcW w:w="220" w:type="dxa"/>
            <w:tcBorders>
              <w:top w:val="nil"/>
              <w:left w:val="nil"/>
              <w:bottom w:val="nil"/>
              <w:right w:val="nil"/>
            </w:tcBorders>
            <w:shd w:val="clear" w:color="auto" w:fill="CCE2E6"/>
            <w:noWrap/>
            <w:vAlign w:val="bottom"/>
            <w:hideMark/>
          </w:tcPr>
          <w:p w14:paraId="7318EBED" w14:textId="77777777" w:rsidR="009E086F" w:rsidRPr="00C611DD" w:rsidRDefault="009E086F" w:rsidP="00562DA7">
            <w:pPr>
              <w:widowControl/>
              <w:jc w:val="left"/>
              <w:rPr>
                <w:rFonts w:ascii="Times New Roman" w:hAnsi="Times New Roman"/>
                <w:color w:val="000000"/>
                <w:sz w:val="20"/>
                <w:lang w:eastAsia="es-MX"/>
              </w:rPr>
            </w:pPr>
            <w:r w:rsidRPr="00C611DD">
              <w:rPr>
                <w:rFonts w:ascii="Times New Roman" w:hAnsi="Times New Roman"/>
                <w:color w:val="000000"/>
                <w:sz w:val="20"/>
                <w:lang w:eastAsia="es-MX"/>
              </w:rPr>
              <w:t> </w:t>
            </w:r>
          </w:p>
        </w:tc>
        <w:tc>
          <w:tcPr>
            <w:tcW w:w="4760" w:type="dxa"/>
            <w:tcBorders>
              <w:top w:val="nil"/>
              <w:left w:val="nil"/>
              <w:bottom w:val="nil"/>
              <w:right w:val="nil"/>
            </w:tcBorders>
            <w:shd w:val="clear" w:color="auto" w:fill="CCE2E6"/>
            <w:vAlign w:val="center"/>
            <w:hideMark/>
          </w:tcPr>
          <w:p w14:paraId="1E1FD464" w14:textId="77777777" w:rsidR="009E086F" w:rsidRPr="00C611DD" w:rsidRDefault="009E086F" w:rsidP="00562DA7">
            <w:pPr>
              <w:widowControl/>
              <w:jc w:val="left"/>
              <w:rPr>
                <w:rFonts w:cs="Arial"/>
                <w:color w:val="000000"/>
                <w:sz w:val="20"/>
                <w:lang w:eastAsia="es-MX"/>
              </w:rPr>
            </w:pPr>
            <w:r w:rsidRPr="00C611DD">
              <w:rPr>
                <w:rFonts w:cs="Arial"/>
                <w:sz w:val="20"/>
                <w:lang w:eastAsia="es-MX"/>
              </w:rPr>
              <w:t>Aprender un oficio</w:t>
            </w:r>
          </w:p>
        </w:tc>
        <w:tc>
          <w:tcPr>
            <w:tcW w:w="1600" w:type="dxa"/>
            <w:tcBorders>
              <w:top w:val="nil"/>
              <w:left w:val="nil"/>
              <w:bottom w:val="nil"/>
              <w:right w:val="nil"/>
            </w:tcBorders>
            <w:shd w:val="clear" w:color="auto" w:fill="CCE2E6"/>
            <w:vAlign w:val="center"/>
            <w:hideMark/>
          </w:tcPr>
          <w:p w14:paraId="4623CC61" w14:textId="77777777" w:rsidR="009E086F" w:rsidRPr="00C611DD" w:rsidRDefault="009E086F" w:rsidP="00562DA7">
            <w:pPr>
              <w:widowControl/>
              <w:jc w:val="center"/>
              <w:rPr>
                <w:rFonts w:cs="Arial"/>
                <w:color w:val="000000"/>
                <w:sz w:val="20"/>
                <w:lang w:eastAsia="es-MX"/>
              </w:rPr>
            </w:pPr>
            <w:r w:rsidRPr="00C611DD">
              <w:rPr>
                <w:rFonts w:cs="Arial"/>
                <w:sz w:val="20"/>
                <w:lang w:eastAsia="es-MX"/>
              </w:rPr>
              <w:t>15.2</w:t>
            </w:r>
          </w:p>
        </w:tc>
        <w:tc>
          <w:tcPr>
            <w:tcW w:w="1600" w:type="dxa"/>
            <w:tcBorders>
              <w:top w:val="nil"/>
              <w:left w:val="nil"/>
              <w:bottom w:val="nil"/>
              <w:right w:val="nil"/>
            </w:tcBorders>
            <w:shd w:val="clear" w:color="auto" w:fill="CCE2E6"/>
            <w:vAlign w:val="center"/>
            <w:hideMark/>
          </w:tcPr>
          <w:p w14:paraId="66648D16" w14:textId="77777777" w:rsidR="009E086F" w:rsidRPr="00C611DD" w:rsidRDefault="009E086F" w:rsidP="00562DA7">
            <w:pPr>
              <w:widowControl/>
              <w:jc w:val="center"/>
              <w:rPr>
                <w:rFonts w:cs="Arial"/>
                <w:color w:val="000000"/>
                <w:sz w:val="20"/>
                <w:lang w:eastAsia="es-MX"/>
              </w:rPr>
            </w:pPr>
            <w:r w:rsidRPr="00C611DD">
              <w:rPr>
                <w:rFonts w:cs="Arial"/>
                <w:sz w:val="20"/>
                <w:lang w:eastAsia="es-MX"/>
              </w:rPr>
              <w:t>17.9</w:t>
            </w:r>
          </w:p>
        </w:tc>
        <w:tc>
          <w:tcPr>
            <w:tcW w:w="1600" w:type="dxa"/>
            <w:tcBorders>
              <w:top w:val="nil"/>
              <w:left w:val="nil"/>
              <w:bottom w:val="nil"/>
              <w:right w:val="nil"/>
            </w:tcBorders>
            <w:shd w:val="clear" w:color="auto" w:fill="CCE2E6"/>
            <w:vAlign w:val="center"/>
            <w:hideMark/>
          </w:tcPr>
          <w:p w14:paraId="3A857BC1" w14:textId="77777777" w:rsidR="009E086F" w:rsidRPr="00C611DD" w:rsidRDefault="009E086F" w:rsidP="00562DA7">
            <w:pPr>
              <w:widowControl/>
              <w:jc w:val="center"/>
              <w:rPr>
                <w:rFonts w:cs="Arial"/>
                <w:color w:val="000000"/>
                <w:sz w:val="20"/>
                <w:lang w:eastAsia="es-MX"/>
              </w:rPr>
            </w:pPr>
            <w:r w:rsidRPr="00C611DD">
              <w:rPr>
                <w:rFonts w:cs="Arial"/>
                <w:sz w:val="20"/>
                <w:lang w:eastAsia="es-MX"/>
              </w:rPr>
              <w:t>8.3</w:t>
            </w:r>
          </w:p>
        </w:tc>
      </w:tr>
      <w:tr w:rsidR="009E086F" w:rsidRPr="00C611DD" w14:paraId="0AE00C9B" w14:textId="77777777" w:rsidTr="00562DA7">
        <w:trPr>
          <w:trHeight w:val="300"/>
        </w:trPr>
        <w:tc>
          <w:tcPr>
            <w:tcW w:w="220" w:type="dxa"/>
            <w:tcBorders>
              <w:top w:val="nil"/>
              <w:left w:val="nil"/>
              <w:bottom w:val="nil"/>
              <w:right w:val="nil"/>
            </w:tcBorders>
            <w:shd w:val="clear" w:color="auto" w:fill="CCE2E6"/>
            <w:noWrap/>
            <w:vAlign w:val="bottom"/>
            <w:hideMark/>
          </w:tcPr>
          <w:p w14:paraId="6FA5ECE8" w14:textId="77777777" w:rsidR="009E086F" w:rsidRPr="00C611DD" w:rsidRDefault="009E086F" w:rsidP="00562DA7">
            <w:pPr>
              <w:widowControl/>
              <w:jc w:val="left"/>
              <w:rPr>
                <w:rFonts w:ascii="Times New Roman" w:hAnsi="Times New Roman"/>
                <w:color w:val="000000"/>
                <w:sz w:val="20"/>
                <w:lang w:eastAsia="es-MX"/>
              </w:rPr>
            </w:pPr>
            <w:r w:rsidRPr="00C611DD">
              <w:rPr>
                <w:rFonts w:ascii="Times New Roman" w:hAnsi="Times New Roman"/>
                <w:color w:val="000000"/>
                <w:sz w:val="20"/>
                <w:lang w:eastAsia="es-MX"/>
              </w:rPr>
              <w:t> </w:t>
            </w:r>
          </w:p>
        </w:tc>
        <w:tc>
          <w:tcPr>
            <w:tcW w:w="4760" w:type="dxa"/>
            <w:tcBorders>
              <w:top w:val="nil"/>
              <w:left w:val="nil"/>
              <w:bottom w:val="nil"/>
              <w:right w:val="nil"/>
            </w:tcBorders>
            <w:shd w:val="clear" w:color="auto" w:fill="CCE2E6"/>
            <w:vAlign w:val="center"/>
            <w:hideMark/>
          </w:tcPr>
          <w:p w14:paraId="4B7E6C07" w14:textId="77777777" w:rsidR="009E086F" w:rsidRPr="00C611DD" w:rsidRDefault="009E086F" w:rsidP="00562DA7">
            <w:pPr>
              <w:widowControl/>
              <w:jc w:val="left"/>
              <w:rPr>
                <w:rFonts w:cs="Arial"/>
                <w:color w:val="000000"/>
                <w:sz w:val="20"/>
                <w:lang w:eastAsia="es-MX"/>
              </w:rPr>
            </w:pPr>
            <w:r w:rsidRPr="00C611DD">
              <w:rPr>
                <w:rFonts w:cs="Arial"/>
                <w:sz w:val="20"/>
                <w:lang w:eastAsia="es-MX"/>
              </w:rPr>
              <w:t>Para pagar su escuela y/o sus propios gastos</w:t>
            </w:r>
          </w:p>
        </w:tc>
        <w:tc>
          <w:tcPr>
            <w:tcW w:w="1600" w:type="dxa"/>
            <w:tcBorders>
              <w:top w:val="nil"/>
              <w:left w:val="nil"/>
              <w:bottom w:val="nil"/>
              <w:right w:val="nil"/>
            </w:tcBorders>
            <w:shd w:val="clear" w:color="auto" w:fill="CCE2E6"/>
            <w:vAlign w:val="center"/>
            <w:hideMark/>
          </w:tcPr>
          <w:p w14:paraId="4C032A2D" w14:textId="77777777" w:rsidR="009E086F" w:rsidRPr="00C611DD" w:rsidRDefault="009E086F" w:rsidP="00562DA7">
            <w:pPr>
              <w:widowControl/>
              <w:jc w:val="center"/>
              <w:rPr>
                <w:rFonts w:cs="Arial"/>
                <w:color w:val="000000"/>
                <w:sz w:val="20"/>
                <w:lang w:eastAsia="es-MX"/>
              </w:rPr>
            </w:pPr>
            <w:r w:rsidRPr="00C611DD">
              <w:rPr>
                <w:rFonts w:cs="Arial"/>
                <w:sz w:val="20"/>
                <w:lang w:eastAsia="es-MX"/>
              </w:rPr>
              <w:t>22.7</w:t>
            </w:r>
          </w:p>
        </w:tc>
        <w:tc>
          <w:tcPr>
            <w:tcW w:w="1600" w:type="dxa"/>
            <w:tcBorders>
              <w:top w:val="nil"/>
              <w:left w:val="nil"/>
              <w:bottom w:val="nil"/>
              <w:right w:val="nil"/>
            </w:tcBorders>
            <w:shd w:val="clear" w:color="auto" w:fill="CCE2E6"/>
            <w:vAlign w:val="center"/>
            <w:hideMark/>
          </w:tcPr>
          <w:p w14:paraId="3075CDD3" w14:textId="77777777" w:rsidR="009E086F" w:rsidRPr="00C611DD" w:rsidRDefault="009E086F" w:rsidP="00562DA7">
            <w:pPr>
              <w:widowControl/>
              <w:jc w:val="center"/>
              <w:rPr>
                <w:rFonts w:cs="Arial"/>
                <w:color w:val="000000"/>
                <w:sz w:val="20"/>
                <w:lang w:eastAsia="es-MX"/>
              </w:rPr>
            </w:pPr>
            <w:r w:rsidRPr="00C611DD">
              <w:rPr>
                <w:rFonts w:cs="Arial"/>
                <w:sz w:val="20"/>
                <w:lang w:eastAsia="es-MX"/>
              </w:rPr>
              <w:t>21.7</w:t>
            </w:r>
          </w:p>
        </w:tc>
        <w:tc>
          <w:tcPr>
            <w:tcW w:w="1600" w:type="dxa"/>
            <w:tcBorders>
              <w:top w:val="nil"/>
              <w:left w:val="nil"/>
              <w:bottom w:val="nil"/>
              <w:right w:val="nil"/>
            </w:tcBorders>
            <w:shd w:val="clear" w:color="auto" w:fill="CCE2E6"/>
            <w:vAlign w:val="center"/>
            <w:hideMark/>
          </w:tcPr>
          <w:p w14:paraId="3265EA73" w14:textId="77777777" w:rsidR="009E086F" w:rsidRPr="00C611DD" w:rsidRDefault="009E086F" w:rsidP="00562DA7">
            <w:pPr>
              <w:widowControl/>
              <w:jc w:val="center"/>
              <w:rPr>
                <w:rFonts w:cs="Arial"/>
                <w:color w:val="000000"/>
                <w:sz w:val="20"/>
                <w:lang w:eastAsia="es-MX"/>
              </w:rPr>
            </w:pPr>
            <w:r w:rsidRPr="00C611DD">
              <w:rPr>
                <w:rFonts w:cs="Arial"/>
                <w:sz w:val="20"/>
                <w:lang w:eastAsia="es-MX"/>
              </w:rPr>
              <w:t>25.2</w:t>
            </w:r>
          </w:p>
        </w:tc>
      </w:tr>
      <w:tr w:rsidR="009E086F" w:rsidRPr="00C611DD" w14:paraId="4F11600B" w14:textId="77777777" w:rsidTr="00562DA7">
        <w:trPr>
          <w:trHeight w:val="300"/>
        </w:trPr>
        <w:tc>
          <w:tcPr>
            <w:tcW w:w="220" w:type="dxa"/>
            <w:tcBorders>
              <w:top w:val="nil"/>
              <w:left w:val="nil"/>
              <w:right w:val="nil"/>
            </w:tcBorders>
            <w:shd w:val="clear" w:color="auto" w:fill="CCE2E6"/>
            <w:noWrap/>
            <w:vAlign w:val="bottom"/>
            <w:hideMark/>
          </w:tcPr>
          <w:p w14:paraId="50504D15" w14:textId="77777777" w:rsidR="009E086F" w:rsidRPr="00C611DD" w:rsidRDefault="009E086F" w:rsidP="00562DA7">
            <w:pPr>
              <w:widowControl/>
              <w:jc w:val="left"/>
              <w:rPr>
                <w:rFonts w:ascii="Times New Roman" w:hAnsi="Times New Roman"/>
                <w:color w:val="000000"/>
                <w:sz w:val="20"/>
                <w:lang w:eastAsia="es-MX"/>
              </w:rPr>
            </w:pPr>
            <w:r w:rsidRPr="00C611DD">
              <w:rPr>
                <w:rFonts w:ascii="Times New Roman" w:hAnsi="Times New Roman" w:cs="Arial"/>
                <w:color w:val="000000"/>
                <w:sz w:val="20"/>
                <w:lang w:eastAsia="es-MX"/>
              </w:rPr>
              <w:t> </w:t>
            </w:r>
          </w:p>
        </w:tc>
        <w:tc>
          <w:tcPr>
            <w:tcW w:w="4760" w:type="dxa"/>
            <w:tcBorders>
              <w:top w:val="nil"/>
              <w:left w:val="nil"/>
              <w:right w:val="nil"/>
            </w:tcBorders>
            <w:shd w:val="clear" w:color="auto" w:fill="CCE2E6"/>
            <w:vAlign w:val="center"/>
            <w:hideMark/>
          </w:tcPr>
          <w:p w14:paraId="33A9F001" w14:textId="26CB964D" w:rsidR="009E086F" w:rsidRPr="00C611DD" w:rsidRDefault="009E086F" w:rsidP="00562DA7">
            <w:pPr>
              <w:widowControl/>
              <w:jc w:val="left"/>
              <w:rPr>
                <w:rFonts w:cs="Arial"/>
                <w:color w:val="000000"/>
                <w:sz w:val="20"/>
                <w:lang w:eastAsia="es-MX"/>
              </w:rPr>
            </w:pPr>
            <w:r w:rsidRPr="00C611DD">
              <w:rPr>
                <w:rFonts w:cs="Arial"/>
                <w:sz w:val="20"/>
                <w:lang w:eastAsia="es-MX"/>
              </w:rPr>
              <w:t>Por gusto o s</w:t>
            </w:r>
            <w:r w:rsidR="006B75FD">
              <w:rPr>
                <w:rFonts w:cs="Arial"/>
                <w:sz w:val="20"/>
                <w:lang w:eastAsia="es-MX"/>
              </w:rPr>
              <w:t>o</w:t>
            </w:r>
            <w:r w:rsidRPr="00C611DD">
              <w:rPr>
                <w:rFonts w:cs="Arial"/>
                <w:sz w:val="20"/>
                <w:lang w:eastAsia="es-MX"/>
              </w:rPr>
              <w:t>lo por ayudar</w:t>
            </w:r>
          </w:p>
        </w:tc>
        <w:tc>
          <w:tcPr>
            <w:tcW w:w="1600" w:type="dxa"/>
            <w:tcBorders>
              <w:top w:val="nil"/>
              <w:left w:val="nil"/>
              <w:right w:val="nil"/>
            </w:tcBorders>
            <w:shd w:val="clear" w:color="auto" w:fill="CCE2E6"/>
            <w:vAlign w:val="center"/>
            <w:hideMark/>
          </w:tcPr>
          <w:p w14:paraId="196913E2" w14:textId="77777777" w:rsidR="009E086F" w:rsidRPr="00C611DD" w:rsidRDefault="009E086F" w:rsidP="00562DA7">
            <w:pPr>
              <w:widowControl/>
              <w:jc w:val="center"/>
              <w:rPr>
                <w:rFonts w:cs="Arial"/>
                <w:color w:val="000000"/>
                <w:sz w:val="20"/>
                <w:lang w:eastAsia="es-MX"/>
              </w:rPr>
            </w:pPr>
            <w:r w:rsidRPr="00C611DD">
              <w:rPr>
                <w:rFonts w:cs="Arial"/>
                <w:sz w:val="20"/>
                <w:lang w:eastAsia="es-MX"/>
              </w:rPr>
              <w:t>31.5</w:t>
            </w:r>
          </w:p>
        </w:tc>
        <w:tc>
          <w:tcPr>
            <w:tcW w:w="1600" w:type="dxa"/>
            <w:tcBorders>
              <w:top w:val="nil"/>
              <w:left w:val="nil"/>
              <w:right w:val="nil"/>
            </w:tcBorders>
            <w:shd w:val="clear" w:color="auto" w:fill="CCE2E6"/>
            <w:vAlign w:val="center"/>
            <w:hideMark/>
          </w:tcPr>
          <w:p w14:paraId="6F2C7D72" w14:textId="77777777" w:rsidR="009E086F" w:rsidRPr="00C611DD" w:rsidRDefault="009E086F" w:rsidP="00562DA7">
            <w:pPr>
              <w:widowControl/>
              <w:jc w:val="center"/>
              <w:rPr>
                <w:rFonts w:cs="Arial"/>
                <w:color w:val="000000"/>
                <w:sz w:val="20"/>
                <w:lang w:eastAsia="es-MX"/>
              </w:rPr>
            </w:pPr>
            <w:r w:rsidRPr="00C611DD">
              <w:rPr>
                <w:rFonts w:cs="Arial"/>
                <w:sz w:val="20"/>
                <w:lang w:eastAsia="es-MX"/>
              </w:rPr>
              <w:t>29.3</w:t>
            </w:r>
          </w:p>
        </w:tc>
        <w:tc>
          <w:tcPr>
            <w:tcW w:w="1600" w:type="dxa"/>
            <w:tcBorders>
              <w:top w:val="nil"/>
              <w:left w:val="nil"/>
              <w:right w:val="nil"/>
            </w:tcBorders>
            <w:shd w:val="clear" w:color="auto" w:fill="CCE2E6"/>
            <w:vAlign w:val="center"/>
            <w:hideMark/>
          </w:tcPr>
          <w:p w14:paraId="18D56F09" w14:textId="77777777" w:rsidR="009E086F" w:rsidRPr="00C611DD" w:rsidRDefault="009E086F" w:rsidP="00562DA7">
            <w:pPr>
              <w:widowControl/>
              <w:jc w:val="center"/>
              <w:rPr>
                <w:rFonts w:cs="Arial"/>
                <w:color w:val="000000"/>
                <w:sz w:val="20"/>
                <w:lang w:eastAsia="es-MX"/>
              </w:rPr>
            </w:pPr>
            <w:r w:rsidRPr="00C611DD">
              <w:rPr>
                <w:rFonts w:cs="Arial"/>
                <w:sz w:val="20"/>
                <w:lang w:eastAsia="es-MX"/>
              </w:rPr>
              <w:t>37.1</w:t>
            </w:r>
          </w:p>
        </w:tc>
      </w:tr>
      <w:tr w:rsidR="009E086F" w:rsidRPr="00C611DD" w14:paraId="60DE9284" w14:textId="77777777" w:rsidTr="00562DA7">
        <w:trPr>
          <w:trHeight w:val="300"/>
        </w:trPr>
        <w:tc>
          <w:tcPr>
            <w:tcW w:w="220" w:type="dxa"/>
            <w:tcBorders>
              <w:top w:val="nil"/>
              <w:left w:val="nil"/>
              <w:right w:val="nil"/>
            </w:tcBorders>
            <w:shd w:val="clear" w:color="auto" w:fill="CCE2E6"/>
            <w:vAlign w:val="center"/>
            <w:hideMark/>
          </w:tcPr>
          <w:p w14:paraId="689E738A" w14:textId="77777777" w:rsidR="009E086F" w:rsidRPr="00C611DD" w:rsidRDefault="009E086F" w:rsidP="00562DA7">
            <w:pPr>
              <w:widowControl/>
              <w:jc w:val="left"/>
              <w:rPr>
                <w:rFonts w:ascii="Times New Roman" w:hAnsi="Times New Roman"/>
                <w:color w:val="000000"/>
                <w:sz w:val="20"/>
                <w:lang w:eastAsia="es-MX"/>
              </w:rPr>
            </w:pPr>
            <w:r w:rsidRPr="00C611DD">
              <w:rPr>
                <w:rFonts w:ascii="Times New Roman" w:hAnsi="Times New Roman" w:cs="Arial"/>
                <w:color w:val="000000"/>
                <w:sz w:val="20"/>
                <w:lang w:eastAsia="es-MX"/>
              </w:rPr>
              <w:t> </w:t>
            </w:r>
          </w:p>
        </w:tc>
        <w:tc>
          <w:tcPr>
            <w:tcW w:w="4760" w:type="dxa"/>
            <w:tcBorders>
              <w:top w:val="nil"/>
              <w:left w:val="nil"/>
              <w:right w:val="nil"/>
            </w:tcBorders>
            <w:shd w:val="clear" w:color="auto" w:fill="CCE2E6"/>
            <w:vAlign w:val="center"/>
            <w:hideMark/>
          </w:tcPr>
          <w:p w14:paraId="21C36467" w14:textId="77777777" w:rsidR="009E086F" w:rsidRPr="00C611DD" w:rsidRDefault="009E086F" w:rsidP="00562DA7">
            <w:pPr>
              <w:widowControl/>
              <w:jc w:val="left"/>
              <w:rPr>
                <w:rFonts w:cs="Arial"/>
                <w:color w:val="000000"/>
                <w:sz w:val="20"/>
                <w:lang w:eastAsia="es-MX"/>
              </w:rPr>
            </w:pPr>
            <w:r w:rsidRPr="00C611DD">
              <w:rPr>
                <w:rFonts w:cs="Arial"/>
                <w:sz w:val="20"/>
                <w:lang w:eastAsia="es-MX"/>
              </w:rPr>
              <w:t>Pago de deudas, no estudia y otra razón</w:t>
            </w:r>
          </w:p>
        </w:tc>
        <w:tc>
          <w:tcPr>
            <w:tcW w:w="1600" w:type="dxa"/>
            <w:tcBorders>
              <w:top w:val="nil"/>
              <w:left w:val="nil"/>
              <w:right w:val="nil"/>
            </w:tcBorders>
            <w:shd w:val="clear" w:color="auto" w:fill="CCE2E6"/>
            <w:vAlign w:val="center"/>
            <w:hideMark/>
          </w:tcPr>
          <w:p w14:paraId="5FEF9324" w14:textId="77777777" w:rsidR="009E086F" w:rsidRPr="00C611DD" w:rsidRDefault="009E086F" w:rsidP="00562DA7">
            <w:pPr>
              <w:widowControl/>
              <w:jc w:val="center"/>
              <w:rPr>
                <w:rFonts w:cs="Arial"/>
                <w:color w:val="000000"/>
                <w:sz w:val="20"/>
                <w:lang w:eastAsia="es-MX"/>
              </w:rPr>
            </w:pPr>
            <w:r w:rsidRPr="00C611DD">
              <w:rPr>
                <w:rFonts w:cs="Arial"/>
                <w:sz w:val="20"/>
                <w:lang w:eastAsia="es-MX"/>
              </w:rPr>
              <w:t>12.2</w:t>
            </w:r>
          </w:p>
        </w:tc>
        <w:tc>
          <w:tcPr>
            <w:tcW w:w="1600" w:type="dxa"/>
            <w:tcBorders>
              <w:top w:val="nil"/>
              <w:left w:val="nil"/>
              <w:right w:val="nil"/>
            </w:tcBorders>
            <w:shd w:val="clear" w:color="auto" w:fill="CCE2E6"/>
            <w:vAlign w:val="center"/>
            <w:hideMark/>
          </w:tcPr>
          <w:p w14:paraId="04ECB01C" w14:textId="77777777" w:rsidR="009E086F" w:rsidRPr="00C611DD" w:rsidRDefault="009E086F" w:rsidP="00562DA7">
            <w:pPr>
              <w:widowControl/>
              <w:jc w:val="center"/>
              <w:rPr>
                <w:rFonts w:cs="Arial"/>
                <w:color w:val="000000"/>
                <w:sz w:val="20"/>
                <w:lang w:eastAsia="es-MX"/>
              </w:rPr>
            </w:pPr>
            <w:r w:rsidRPr="00C611DD">
              <w:rPr>
                <w:rFonts w:cs="Arial"/>
                <w:sz w:val="20"/>
                <w:lang w:eastAsia="es-MX"/>
              </w:rPr>
              <w:t>13.3</w:t>
            </w:r>
          </w:p>
        </w:tc>
        <w:tc>
          <w:tcPr>
            <w:tcW w:w="1600" w:type="dxa"/>
            <w:tcBorders>
              <w:top w:val="nil"/>
              <w:left w:val="nil"/>
              <w:right w:val="nil"/>
            </w:tcBorders>
            <w:shd w:val="clear" w:color="auto" w:fill="CCE2E6"/>
            <w:vAlign w:val="center"/>
            <w:hideMark/>
          </w:tcPr>
          <w:p w14:paraId="072CE875" w14:textId="77777777" w:rsidR="009E086F" w:rsidRPr="00C611DD" w:rsidRDefault="009E086F" w:rsidP="00562DA7">
            <w:pPr>
              <w:widowControl/>
              <w:jc w:val="center"/>
              <w:rPr>
                <w:rFonts w:cs="Arial"/>
                <w:color w:val="000000"/>
                <w:sz w:val="20"/>
                <w:lang w:eastAsia="es-MX"/>
              </w:rPr>
            </w:pPr>
            <w:r w:rsidRPr="00C611DD">
              <w:rPr>
                <w:rFonts w:cs="Arial"/>
                <w:sz w:val="20"/>
                <w:lang w:eastAsia="es-MX"/>
              </w:rPr>
              <w:t>9.6</w:t>
            </w:r>
          </w:p>
        </w:tc>
      </w:tr>
    </w:tbl>
    <w:p w14:paraId="55A7ACC4" w14:textId="77777777" w:rsidR="009E086F" w:rsidRPr="00560388" w:rsidRDefault="009E086F" w:rsidP="009E086F">
      <w:pPr>
        <w:widowControl/>
        <w:autoSpaceDE w:val="0"/>
        <w:autoSpaceDN w:val="0"/>
        <w:adjustRightInd w:val="0"/>
        <w:rPr>
          <w:rFonts w:cs="Arial"/>
          <w:sz w:val="16"/>
          <w:szCs w:val="16"/>
        </w:rPr>
      </w:pPr>
      <w:r w:rsidRPr="00560388">
        <w:rPr>
          <w:rFonts w:cs="Arial"/>
          <w:color w:val="000000" w:themeColor="text1"/>
          <w:sz w:val="16"/>
          <w:szCs w:val="16"/>
        </w:rPr>
        <w:t>Fuente: INEGI, ENTI. 2022.</w:t>
      </w:r>
    </w:p>
    <w:p w14:paraId="50975967" w14:textId="77777777" w:rsidR="008011F7" w:rsidRPr="00C45DD9" w:rsidRDefault="008011F7" w:rsidP="00D67D0F">
      <w:pPr>
        <w:widowControl/>
        <w:autoSpaceDE w:val="0"/>
        <w:autoSpaceDN w:val="0"/>
        <w:adjustRightInd w:val="0"/>
        <w:rPr>
          <w:rFonts w:cs="Arial"/>
          <w:color w:val="000000"/>
          <w:szCs w:val="24"/>
        </w:rPr>
      </w:pPr>
    </w:p>
    <w:p w14:paraId="097FC03A" w14:textId="6CA4F9AB" w:rsidR="00CE32D5" w:rsidRDefault="003C3567" w:rsidP="00E213E7">
      <w:pPr>
        <w:widowControl/>
        <w:autoSpaceDE w:val="0"/>
        <w:autoSpaceDN w:val="0"/>
        <w:adjustRightInd w:val="0"/>
        <w:ind w:right="51"/>
        <w:rPr>
          <w:rFonts w:cs="Arial"/>
          <w:color w:val="000000" w:themeColor="text1"/>
          <w:szCs w:val="24"/>
        </w:rPr>
      </w:pPr>
      <w:r w:rsidRPr="00C45DD9">
        <w:rPr>
          <w:rFonts w:cs="Arial"/>
          <w:color w:val="000000"/>
          <w:szCs w:val="24"/>
        </w:rPr>
        <w:t>De</w:t>
      </w:r>
      <w:r w:rsidR="004E0248" w:rsidRPr="00C45DD9">
        <w:rPr>
          <w:rFonts w:cs="Arial"/>
          <w:color w:val="000000"/>
          <w:szCs w:val="24"/>
        </w:rPr>
        <w:t xml:space="preserve"> 201</w:t>
      </w:r>
      <w:r w:rsidRPr="00C45DD9">
        <w:rPr>
          <w:rFonts w:cs="Arial"/>
          <w:color w:val="000000"/>
          <w:szCs w:val="24"/>
        </w:rPr>
        <w:t xml:space="preserve">9 a </w:t>
      </w:r>
      <w:r w:rsidR="004E0248" w:rsidRPr="00C45DD9">
        <w:rPr>
          <w:rFonts w:cs="Arial"/>
          <w:color w:val="000000"/>
          <w:szCs w:val="24"/>
        </w:rPr>
        <w:t xml:space="preserve">2022, el porcentaje de </w:t>
      </w:r>
      <w:r w:rsidR="00191949" w:rsidRPr="00C45DD9">
        <w:rPr>
          <w:rFonts w:cs="Arial"/>
          <w:color w:val="000000"/>
          <w:szCs w:val="24"/>
        </w:rPr>
        <w:t xml:space="preserve">niñas y niños </w:t>
      </w:r>
      <w:r w:rsidR="004E0248" w:rsidRPr="00C45DD9">
        <w:rPr>
          <w:rFonts w:cs="Arial"/>
          <w:color w:val="000000"/>
          <w:szCs w:val="24"/>
        </w:rPr>
        <w:t xml:space="preserve">en ocupación no permitida que trabajó por gusto o solo por ayudar </w:t>
      </w:r>
      <w:r w:rsidR="0039412B" w:rsidRPr="00C45DD9">
        <w:rPr>
          <w:rFonts w:cs="Arial"/>
          <w:color w:val="000000"/>
          <w:szCs w:val="24"/>
        </w:rPr>
        <w:t>aument</w:t>
      </w:r>
      <w:r w:rsidR="00B03C73" w:rsidRPr="00C45DD9">
        <w:rPr>
          <w:rFonts w:cs="Arial"/>
          <w:color w:val="000000"/>
          <w:szCs w:val="24"/>
        </w:rPr>
        <w:t>ó</w:t>
      </w:r>
      <w:r w:rsidR="004E0248" w:rsidRPr="00C45DD9">
        <w:rPr>
          <w:rFonts w:cs="Arial"/>
          <w:color w:val="000000"/>
          <w:szCs w:val="24"/>
        </w:rPr>
        <w:t xml:space="preserve"> de </w:t>
      </w:r>
      <w:r w:rsidRPr="00C45DD9">
        <w:rPr>
          <w:rFonts w:cs="Arial"/>
          <w:color w:val="000000"/>
          <w:szCs w:val="24"/>
        </w:rPr>
        <w:t>27.2</w:t>
      </w:r>
      <w:r w:rsidR="004E0248" w:rsidRPr="00C45DD9">
        <w:rPr>
          <w:rFonts w:cs="Arial"/>
          <w:color w:val="000000"/>
          <w:szCs w:val="24"/>
        </w:rPr>
        <w:t xml:space="preserve"> a </w:t>
      </w:r>
      <w:r w:rsidR="0039412B" w:rsidRPr="00C45DD9">
        <w:rPr>
          <w:rFonts w:cs="Arial"/>
          <w:color w:val="000000"/>
          <w:szCs w:val="24"/>
        </w:rPr>
        <w:t>31.5</w:t>
      </w:r>
      <w:r w:rsidR="004E0248" w:rsidRPr="00C45DD9">
        <w:rPr>
          <w:rFonts w:cs="Arial"/>
          <w:color w:val="000000"/>
          <w:szCs w:val="24"/>
        </w:rPr>
        <w:t xml:space="preserve"> %</w:t>
      </w:r>
      <w:r w:rsidR="0039412B" w:rsidRPr="00C45DD9">
        <w:rPr>
          <w:rFonts w:cs="Arial"/>
          <w:color w:val="000000"/>
          <w:szCs w:val="24"/>
        </w:rPr>
        <w:t>, mientras que</w:t>
      </w:r>
      <w:r w:rsidR="004E0248" w:rsidRPr="00C45DD9">
        <w:rPr>
          <w:rFonts w:cs="Arial"/>
          <w:color w:val="000000"/>
          <w:szCs w:val="24"/>
        </w:rPr>
        <w:t xml:space="preserve"> </w:t>
      </w:r>
      <w:r w:rsidR="003D16CD" w:rsidRPr="00C45DD9">
        <w:rPr>
          <w:rFonts w:cs="Arial"/>
          <w:color w:val="000000"/>
          <w:szCs w:val="24"/>
        </w:rPr>
        <w:t xml:space="preserve">los que </w:t>
      </w:r>
      <w:r w:rsidR="004E0248" w:rsidRPr="00C45DD9">
        <w:rPr>
          <w:rFonts w:cs="Arial"/>
          <w:color w:val="000000"/>
          <w:szCs w:val="24"/>
        </w:rPr>
        <w:t>trabaj</w:t>
      </w:r>
      <w:r w:rsidR="003D16CD" w:rsidRPr="00C45DD9">
        <w:rPr>
          <w:rFonts w:cs="Arial"/>
          <w:color w:val="000000"/>
          <w:szCs w:val="24"/>
        </w:rPr>
        <w:t>aron</w:t>
      </w:r>
      <w:r w:rsidR="004E0248" w:rsidRPr="00C45DD9">
        <w:rPr>
          <w:rFonts w:cs="Arial"/>
          <w:color w:val="000000"/>
          <w:szCs w:val="24"/>
        </w:rPr>
        <w:t xml:space="preserve"> </w:t>
      </w:r>
      <w:r w:rsidR="0039412B" w:rsidRPr="00C45DD9">
        <w:rPr>
          <w:rFonts w:cs="Arial"/>
          <w:color w:val="000000"/>
          <w:szCs w:val="24"/>
        </w:rPr>
        <w:t>porque el hogar necesitaba de su trabajo disminuyó de 1</w:t>
      </w:r>
      <w:r w:rsidRPr="00C45DD9">
        <w:rPr>
          <w:rFonts w:cs="Arial"/>
          <w:color w:val="000000"/>
          <w:szCs w:val="24"/>
        </w:rPr>
        <w:t>5</w:t>
      </w:r>
      <w:r w:rsidR="0039412B" w:rsidRPr="00C45DD9">
        <w:rPr>
          <w:rFonts w:cs="Arial"/>
          <w:color w:val="000000"/>
          <w:szCs w:val="24"/>
        </w:rPr>
        <w:t xml:space="preserve">.8 a 11.4 </w:t>
      </w:r>
      <w:r w:rsidR="00D67D0F" w:rsidRPr="00C45DD9">
        <w:rPr>
          <w:rFonts w:cs="Arial"/>
          <w:color w:val="000000"/>
          <w:szCs w:val="24"/>
        </w:rPr>
        <w:t>por ciento. E</w:t>
      </w:r>
      <w:r w:rsidR="0039412B" w:rsidRPr="00C45DD9">
        <w:rPr>
          <w:rFonts w:cs="Arial"/>
          <w:color w:val="000000"/>
          <w:szCs w:val="24"/>
        </w:rPr>
        <w:t>l porcentaje de hogares que necesitaba de su aportación económica también disminuy</w:t>
      </w:r>
      <w:r w:rsidR="00B03C73" w:rsidRPr="00C45DD9">
        <w:rPr>
          <w:rFonts w:cs="Arial"/>
          <w:color w:val="000000"/>
          <w:szCs w:val="24"/>
        </w:rPr>
        <w:t>ó</w:t>
      </w:r>
      <w:r w:rsidR="0039412B" w:rsidRPr="00C45DD9">
        <w:rPr>
          <w:rFonts w:cs="Arial"/>
          <w:color w:val="000000"/>
          <w:szCs w:val="24"/>
        </w:rPr>
        <w:t xml:space="preserve"> de 1</w:t>
      </w:r>
      <w:r w:rsidRPr="00C45DD9">
        <w:rPr>
          <w:rFonts w:cs="Arial"/>
          <w:color w:val="000000"/>
          <w:szCs w:val="24"/>
        </w:rPr>
        <w:t>3.3</w:t>
      </w:r>
      <w:r w:rsidR="0039412B" w:rsidRPr="00C45DD9">
        <w:rPr>
          <w:rFonts w:cs="Arial"/>
          <w:color w:val="000000"/>
          <w:szCs w:val="24"/>
        </w:rPr>
        <w:t xml:space="preserve"> a 7 %, en tanto que el resto de los motivos reportaron porcentajes similares</w:t>
      </w:r>
      <w:r w:rsidR="00E555D9" w:rsidRPr="00C45DD9">
        <w:rPr>
          <w:rFonts w:cs="Arial"/>
          <w:color w:val="000000"/>
          <w:szCs w:val="24"/>
        </w:rPr>
        <w:t xml:space="preserve"> </w:t>
      </w:r>
      <w:r w:rsidR="00E555D9" w:rsidRPr="00C45DD9">
        <w:rPr>
          <w:rFonts w:cs="Arial"/>
          <w:szCs w:val="24"/>
        </w:rPr>
        <w:t>y se pueden observar en la gráfica 11</w:t>
      </w:r>
      <w:r w:rsidR="0039412B" w:rsidRPr="00C45DD9">
        <w:rPr>
          <w:rFonts w:cs="Arial"/>
          <w:color w:val="000000"/>
          <w:szCs w:val="24"/>
        </w:rPr>
        <w:t xml:space="preserve">. </w:t>
      </w:r>
    </w:p>
    <w:p w14:paraId="789AD1A1" w14:textId="77777777" w:rsidR="000D7175" w:rsidRDefault="000D7175" w:rsidP="00D67D0F">
      <w:pPr>
        <w:widowControl/>
        <w:jc w:val="left"/>
        <w:rPr>
          <w:rFonts w:cs="Arial"/>
          <w:color w:val="000000" w:themeColor="text1"/>
          <w:szCs w:val="24"/>
        </w:rPr>
      </w:pPr>
    </w:p>
    <w:p w14:paraId="564BE48E" w14:textId="77777777" w:rsidR="00E213E7" w:rsidRDefault="00E213E7" w:rsidP="00E213E7">
      <w:pPr>
        <w:widowControl/>
        <w:autoSpaceDE w:val="0"/>
        <w:autoSpaceDN w:val="0"/>
        <w:adjustRightInd w:val="0"/>
        <w:jc w:val="center"/>
        <w:rPr>
          <w:rFonts w:cs="Arial"/>
          <w:color w:val="000000" w:themeColor="text1"/>
          <w:sz w:val="20"/>
        </w:rPr>
      </w:pPr>
    </w:p>
    <w:p w14:paraId="6F0AC8F8" w14:textId="77777777" w:rsidR="00E213E7" w:rsidRDefault="00E213E7" w:rsidP="00E213E7">
      <w:pPr>
        <w:widowControl/>
        <w:autoSpaceDE w:val="0"/>
        <w:autoSpaceDN w:val="0"/>
        <w:adjustRightInd w:val="0"/>
        <w:jc w:val="center"/>
        <w:rPr>
          <w:rFonts w:cs="Arial"/>
          <w:color w:val="000000" w:themeColor="text1"/>
          <w:sz w:val="20"/>
        </w:rPr>
      </w:pPr>
    </w:p>
    <w:p w14:paraId="4BA0FFE0" w14:textId="77777777" w:rsidR="00E213E7" w:rsidRDefault="00E213E7" w:rsidP="00E213E7">
      <w:pPr>
        <w:widowControl/>
        <w:autoSpaceDE w:val="0"/>
        <w:autoSpaceDN w:val="0"/>
        <w:adjustRightInd w:val="0"/>
        <w:jc w:val="center"/>
        <w:rPr>
          <w:rFonts w:cs="Arial"/>
          <w:color w:val="000000" w:themeColor="text1"/>
          <w:sz w:val="20"/>
        </w:rPr>
      </w:pPr>
    </w:p>
    <w:p w14:paraId="5B31E02A" w14:textId="77777777" w:rsidR="00E213E7" w:rsidRDefault="00E213E7" w:rsidP="00E213E7">
      <w:pPr>
        <w:widowControl/>
        <w:autoSpaceDE w:val="0"/>
        <w:autoSpaceDN w:val="0"/>
        <w:adjustRightInd w:val="0"/>
        <w:jc w:val="center"/>
        <w:rPr>
          <w:rFonts w:cs="Arial"/>
          <w:color w:val="000000" w:themeColor="text1"/>
          <w:sz w:val="20"/>
        </w:rPr>
      </w:pPr>
    </w:p>
    <w:p w14:paraId="551D20FA" w14:textId="77777777" w:rsidR="00E213E7" w:rsidRDefault="00E213E7" w:rsidP="00E213E7">
      <w:pPr>
        <w:widowControl/>
        <w:autoSpaceDE w:val="0"/>
        <w:autoSpaceDN w:val="0"/>
        <w:adjustRightInd w:val="0"/>
        <w:jc w:val="center"/>
        <w:rPr>
          <w:rFonts w:cs="Arial"/>
          <w:color w:val="000000" w:themeColor="text1"/>
          <w:sz w:val="20"/>
        </w:rPr>
      </w:pPr>
    </w:p>
    <w:p w14:paraId="2AC53E4E" w14:textId="77777777" w:rsidR="00E213E7" w:rsidRDefault="00E213E7" w:rsidP="00E213E7">
      <w:pPr>
        <w:widowControl/>
        <w:autoSpaceDE w:val="0"/>
        <w:autoSpaceDN w:val="0"/>
        <w:adjustRightInd w:val="0"/>
        <w:jc w:val="center"/>
        <w:rPr>
          <w:rFonts w:cs="Arial"/>
          <w:color w:val="000000" w:themeColor="text1"/>
          <w:sz w:val="20"/>
        </w:rPr>
      </w:pPr>
    </w:p>
    <w:p w14:paraId="0D961A97" w14:textId="77777777" w:rsidR="00E213E7" w:rsidRDefault="00E213E7" w:rsidP="00E213E7">
      <w:pPr>
        <w:widowControl/>
        <w:autoSpaceDE w:val="0"/>
        <w:autoSpaceDN w:val="0"/>
        <w:adjustRightInd w:val="0"/>
        <w:jc w:val="center"/>
        <w:rPr>
          <w:rFonts w:cs="Arial"/>
          <w:color w:val="000000" w:themeColor="text1"/>
          <w:sz w:val="20"/>
        </w:rPr>
      </w:pPr>
    </w:p>
    <w:p w14:paraId="1A30DCFF" w14:textId="77777777" w:rsidR="00E213E7" w:rsidRDefault="00E213E7" w:rsidP="00E213E7">
      <w:pPr>
        <w:widowControl/>
        <w:autoSpaceDE w:val="0"/>
        <w:autoSpaceDN w:val="0"/>
        <w:adjustRightInd w:val="0"/>
        <w:jc w:val="center"/>
        <w:rPr>
          <w:rFonts w:cs="Arial"/>
          <w:color w:val="000000" w:themeColor="text1"/>
          <w:sz w:val="20"/>
        </w:rPr>
      </w:pPr>
    </w:p>
    <w:p w14:paraId="568CF4BC" w14:textId="77777777" w:rsidR="00E213E7" w:rsidRDefault="00E213E7" w:rsidP="00E213E7">
      <w:pPr>
        <w:widowControl/>
        <w:autoSpaceDE w:val="0"/>
        <w:autoSpaceDN w:val="0"/>
        <w:adjustRightInd w:val="0"/>
        <w:jc w:val="center"/>
        <w:rPr>
          <w:rFonts w:cs="Arial"/>
          <w:color w:val="000000" w:themeColor="text1"/>
          <w:sz w:val="20"/>
        </w:rPr>
      </w:pPr>
    </w:p>
    <w:p w14:paraId="2205C2DF" w14:textId="77777777" w:rsidR="00E213E7" w:rsidRDefault="00E213E7" w:rsidP="00E213E7">
      <w:pPr>
        <w:widowControl/>
        <w:autoSpaceDE w:val="0"/>
        <w:autoSpaceDN w:val="0"/>
        <w:adjustRightInd w:val="0"/>
        <w:jc w:val="center"/>
        <w:rPr>
          <w:rFonts w:cs="Arial"/>
          <w:color w:val="000000" w:themeColor="text1"/>
          <w:sz w:val="20"/>
        </w:rPr>
      </w:pPr>
    </w:p>
    <w:p w14:paraId="08A93E5C" w14:textId="77777777" w:rsidR="00E213E7" w:rsidRDefault="00E213E7" w:rsidP="00E213E7">
      <w:pPr>
        <w:widowControl/>
        <w:autoSpaceDE w:val="0"/>
        <w:autoSpaceDN w:val="0"/>
        <w:adjustRightInd w:val="0"/>
        <w:jc w:val="center"/>
        <w:rPr>
          <w:rFonts w:cs="Arial"/>
          <w:color w:val="000000" w:themeColor="text1"/>
          <w:sz w:val="20"/>
        </w:rPr>
      </w:pPr>
    </w:p>
    <w:p w14:paraId="662E2895" w14:textId="77777777" w:rsidR="00E213E7" w:rsidRDefault="00E213E7" w:rsidP="00E213E7">
      <w:pPr>
        <w:widowControl/>
        <w:autoSpaceDE w:val="0"/>
        <w:autoSpaceDN w:val="0"/>
        <w:adjustRightInd w:val="0"/>
        <w:jc w:val="center"/>
        <w:rPr>
          <w:rFonts w:cs="Arial"/>
          <w:color w:val="000000" w:themeColor="text1"/>
          <w:sz w:val="20"/>
        </w:rPr>
      </w:pPr>
    </w:p>
    <w:p w14:paraId="5A5D83DC" w14:textId="77777777" w:rsidR="00E213E7" w:rsidRDefault="00E213E7" w:rsidP="00E213E7">
      <w:pPr>
        <w:widowControl/>
        <w:autoSpaceDE w:val="0"/>
        <w:autoSpaceDN w:val="0"/>
        <w:adjustRightInd w:val="0"/>
        <w:jc w:val="center"/>
        <w:rPr>
          <w:rFonts w:cs="Arial"/>
          <w:color w:val="000000" w:themeColor="text1"/>
          <w:sz w:val="20"/>
        </w:rPr>
      </w:pPr>
    </w:p>
    <w:p w14:paraId="061F62AA" w14:textId="77777777" w:rsidR="00E213E7" w:rsidRDefault="00E213E7" w:rsidP="00E213E7">
      <w:pPr>
        <w:widowControl/>
        <w:autoSpaceDE w:val="0"/>
        <w:autoSpaceDN w:val="0"/>
        <w:adjustRightInd w:val="0"/>
        <w:jc w:val="center"/>
        <w:rPr>
          <w:rFonts w:cs="Arial"/>
          <w:color w:val="000000" w:themeColor="text1"/>
          <w:sz w:val="20"/>
        </w:rPr>
      </w:pPr>
    </w:p>
    <w:p w14:paraId="3C048A6F" w14:textId="77777777" w:rsidR="00E213E7" w:rsidRDefault="00E213E7" w:rsidP="00E213E7">
      <w:pPr>
        <w:widowControl/>
        <w:autoSpaceDE w:val="0"/>
        <w:autoSpaceDN w:val="0"/>
        <w:adjustRightInd w:val="0"/>
        <w:jc w:val="center"/>
        <w:rPr>
          <w:rFonts w:cs="Arial"/>
          <w:color w:val="000000" w:themeColor="text1"/>
          <w:sz w:val="20"/>
        </w:rPr>
      </w:pPr>
    </w:p>
    <w:p w14:paraId="42C098A8" w14:textId="77777777" w:rsidR="00E213E7" w:rsidRDefault="00E213E7" w:rsidP="00E213E7">
      <w:pPr>
        <w:widowControl/>
        <w:autoSpaceDE w:val="0"/>
        <w:autoSpaceDN w:val="0"/>
        <w:adjustRightInd w:val="0"/>
        <w:jc w:val="center"/>
        <w:rPr>
          <w:rFonts w:cs="Arial"/>
          <w:color w:val="000000" w:themeColor="text1"/>
          <w:sz w:val="20"/>
        </w:rPr>
      </w:pPr>
    </w:p>
    <w:p w14:paraId="1E85805C" w14:textId="77777777" w:rsidR="00E213E7" w:rsidRDefault="00E213E7" w:rsidP="00E213E7">
      <w:pPr>
        <w:widowControl/>
        <w:autoSpaceDE w:val="0"/>
        <w:autoSpaceDN w:val="0"/>
        <w:adjustRightInd w:val="0"/>
        <w:jc w:val="center"/>
        <w:rPr>
          <w:rFonts w:cs="Arial"/>
          <w:color w:val="000000" w:themeColor="text1"/>
          <w:sz w:val="20"/>
        </w:rPr>
      </w:pPr>
    </w:p>
    <w:p w14:paraId="68D8519A" w14:textId="77777777" w:rsidR="00E213E7" w:rsidRDefault="00E213E7" w:rsidP="00E213E7">
      <w:pPr>
        <w:widowControl/>
        <w:autoSpaceDE w:val="0"/>
        <w:autoSpaceDN w:val="0"/>
        <w:adjustRightInd w:val="0"/>
        <w:jc w:val="center"/>
        <w:rPr>
          <w:rFonts w:cs="Arial"/>
          <w:color w:val="000000" w:themeColor="text1"/>
          <w:sz w:val="20"/>
        </w:rPr>
      </w:pPr>
    </w:p>
    <w:p w14:paraId="69AC784A" w14:textId="0299FF00" w:rsidR="00B1333D" w:rsidRPr="00E213E7" w:rsidRDefault="00B1333D" w:rsidP="00E213E7">
      <w:pPr>
        <w:widowControl/>
        <w:autoSpaceDE w:val="0"/>
        <w:autoSpaceDN w:val="0"/>
        <w:adjustRightInd w:val="0"/>
        <w:jc w:val="center"/>
        <w:rPr>
          <w:rFonts w:cs="Arial"/>
          <w:color w:val="000000" w:themeColor="text1"/>
          <w:sz w:val="20"/>
        </w:rPr>
      </w:pPr>
      <w:r w:rsidRPr="00E213E7">
        <w:rPr>
          <w:rFonts w:cs="Arial"/>
          <w:color w:val="000000" w:themeColor="text1"/>
          <w:sz w:val="20"/>
        </w:rPr>
        <w:t>Gráfica 11</w:t>
      </w:r>
    </w:p>
    <w:p w14:paraId="46ADB8C6" w14:textId="77777777" w:rsidR="00E213E7" w:rsidRDefault="00B1333D" w:rsidP="00E213E7">
      <w:pPr>
        <w:widowControl/>
        <w:autoSpaceDE w:val="0"/>
        <w:autoSpaceDN w:val="0"/>
        <w:adjustRightInd w:val="0"/>
        <w:jc w:val="center"/>
        <w:rPr>
          <w:rFonts w:cs="Arial"/>
          <w:b/>
          <w:bCs/>
          <w:smallCaps/>
          <w:color w:val="000000" w:themeColor="text1"/>
          <w:sz w:val="22"/>
          <w:szCs w:val="22"/>
        </w:rPr>
      </w:pPr>
      <w:r w:rsidRPr="00E213E7">
        <w:rPr>
          <w:rFonts w:cs="Arial"/>
          <w:b/>
          <w:bCs/>
          <w:smallCaps/>
          <w:color w:val="000000"/>
          <w:sz w:val="22"/>
          <w:szCs w:val="22"/>
        </w:rPr>
        <w:t>Personas en alguna o</w:t>
      </w:r>
      <w:r w:rsidRPr="00E213E7">
        <w:rPr>
          <w:rFonts w:cs="Arial"/>
          <w:b/>
          <w:bCs/>
          <w:smallCaps/>
          <w:color w:val="000000" w:themeColor="text1"/>
          <w:sz w:val="22"/>
          <w:szCs w:val="22"/>
        </w:rPr>
        <w:t xml:space="preserve">cupación no permitida por motivo principal por el que trabaja, </w:t>
      </w:r>
    </w:p>
    <w:p w14:paraId="188FA5A6" w14:textId="4DBF8066" w:rsidR="00B1333D" w:rsidRPr="00E213E7" w:rsidRDefault="00B1333D" w:rsidP="00E213E7">
      <w:pPr>
        <w:widowControl/>
        <w:autoSpaceDE w:val="0"/>
        <w:autoSpaceDN w:val="0"/>
        <w:adjustRightInd w:val="0"/>
        <w:jc w:val="center"/>
        <w:rPr>
          <w:rFonts w:cs="Arial"/>
          <w:b/>
          <w:bCs/>
          <w:smallCaps/>
          <w:color w:val="000000" w:themeColor="text1"/>
          <w:sz w:val="22"/>
          <w:szCs w:val="22"/>
        </w:rPr>
      </w:pPr>
      <w:r w:rsidRPr="00E213E7">
        <w:rPr>
          <w:rFonts w:cs="Arial"/>
          <w:b/>
          <w:bCs/>
          <w:smallCaps/>
          <w:color w:val="000000" w:themeColor="text1"/>
          <w:sz w:val="22"/>
          <w:szCs w:val="22"/>
        </w:rPr>
        <w:t xml:space="preserve">2019 </w:t>
      </w:r>
      <w:proofErr w:type="gramStart"/>
      <w:r w:rsidRPr="00E213E7">
        <w:rPr>
          <w:rFonts w:cs="Arial"/>
          <w:b/>
          <w:bCs/>
          <w:smallCaps/>
          <w:color w:val="000000" w:themeColor="text1"/>
          <w:sz w:val="22"/>
          <w:szCs w:val="22"/>
        </w:rPr>
        <w:t>y</w:t>
      </w:r>
      <w:proofErr w:type="gramEnd"/>
      <w:r w:rsidRPr="00E213E7">
        <w:rPr>
          <w:rFonts w:cs="Arial"/>
          <w:b/>
          <w:bCs/>
          <w:smallCaps/>
          <w:color w:val="000000" w:themeColor="text1"/>
          <w:sz w:val="22"/>
          <w:szCs w:val="22"/>
        </w:rPr>
        <w:t xml:space="preserve"> 2022</w:t>
      </w:r>
    </w:p>
    <w:p w14:paraId="59D280F5" w14:textId="77777777" w:rsidR="00B1333D" w:rsidRPr="005E25D0" w:rsidRDefault="00B1333D" w:rsidP="00E213E7">
      <w:pPr>
        <w:widowControl/>
        <w:autoSpaceDE w:val="0"/>
        <w:autoSpaceDN w:val="0"/>
        <w:adjustRightInd w:val="0"/>
        <w:ind w:left="851" w:right="1183"/>
        <w:jc w:val="center"/>
        <w:rPr>
          <w:rFonts w:cs="Arial"/>
          <w:bCs/>
          <w:sz w:val="18"/>
          <w:szCs w:val="18"/>
        </w:rPr>
      </w:pPr>
      <w:r w:rsidRPr="005E25D0">
        <w:rPr>
          <w:rFonts w:cs="Arial"/>
          <w:bCs/>
          <w:sz w:val="18"/>
          <w:szCs w:val="18"/>
        </w:rPr>
        <w:t>(distribución porcentual)</w:t>
      </w:r>
    </w:p>
    <w:p w14:paraId="7BAA24EC" w14:textId="0FB6A758" w:rsidR="00B1333D" w:rsidRPr="0037646C" w:rsidRDefault="001976DD" w:rsidP="00B1333D">
      <w:pPr>
        <w:widowControl/>
        <w:jc w:val="center"/>
        <w:rPr>
          <w:rFonts w:cs="Arial"/>
          <w:szCs w:val="24"/>
        </w:rPr>
      </w:pPr>
      <w:r>
        <w:rPr>
          <w:noProof/>
        </w:rPr>
        <w:drawing>
          <wp:inline distT="0" distB="0" distL="0" distR="0" wp14:anchorId="02ED8A4E" wp14:editId="664FFE30">
            <wp:extent cx="6333490" cy="2935605"/>
            <wp:effectExtent l="0" t="0" r="0" b="0"/>
            <wp:docPr id="352122108" name="Gráfico 1">
              <a:extLst xmlns:a="http://schemas.openxmlformats.org/drawingml/2006/main">
                <a:ext uri="{FF2B5EF4-FFF2-40B4-BE49-F238E27FC236}">
                  <a16:creationId xmlns:a16="http://schemas.microsoft.com/office/drawing/2014/main" id="{EEA76108-EED6-4014-91CB-391DFE0372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49575D7B" w14:textId="73863663" w:rsidR="00B1333D" w:rsidRPr="00F11465" w:rsidRDefault="00C56872" w:rsidP="00C56872">
      <w:pPr>
        <w:widowControl/>
        <w:autoSpaceDE w:val="0"/>
        <w:autoSpaceDN w:val="0"/>
        <w:adjustRightInd w:val="0"/>
        <w:spacing w:line="276" w:lineRule="auto"/>
        <w:ind w:right="900"/>
        <w:rPr>
          <w:rFonts w:cs="Arial"/>
          <w:color w:val="000000"/>
          <w:sz w:val="16"/>
          <w:szCs w:val="16"/>
        </w:rPr>
      </w:pPr>
      <w:r>
        <w:rPr>
          <w:rFonts w:cs="Arial"/>
          <w:color w:val="000000"/>
          <w:sz w:val="16"/>
          <w:szCs w:val="16"/>
        </w:rPr>
        <w:t xml:space="preserve">    </w:t>
      </w:r>
      <w:r w:rsidR="00B1333D" w:rsidRPr="00F11465">
        <w:rPr>
          <w:rFonts w:cs="Arial"/>
          <w:color w:val="000000"/>
          <w:sz w:val="16"/>
          <w:szCs w:val="16"/>
        </w:rPr>
        <w:t xml:space="preserve">Nota: </w:t>
      </w:r>
      <w:r w:rsidR="00B1333D" w:rsidRPr="00F11465">
        <w:rPr>
          <w:rFonts w:cs="Arial"/>
          <w:color w:val="000000"/>
          <w:sz w:val="16"/>
          <w:szCs w:val="16"/>
        </w:rPr>
        <w:tab/>
      </w:r>
      <w:r>
        <w:rPr>
          <w:rFonts w:cs="Arial"/>
          <w:color w:val="000000"/>
          <w:sz w:val="16"/>
          <w:szCs w:val="16"/>
        </w:rPr>
        <w:t xml:space="preserve"> </w:t>
      </w:r>
      <w:r w:rsidR="00B1333D" w:rsidRPr="00F11465">
        <w:rPr>
          <w:rFonts w:cs="Arial"/>
          <w:color w:val="000000"/>
          <w:sz w:val="16"/>
          <w:szCs w:val="16"/>
        </w:rPr>
        <w:t xml:space="preserve">Los porcentajes no suman 100 % </w:t>
      </w:r>
      <w:r w:rsidR="00B1333D">
        <w:rPr>
          <w:rFonts w:cs="Arial"/>
          <w:color w:val="000000"/>
          <w:sz w:val="16"/>
          <w:szCs w:val="16"/>
        </w:rPr>
        <w:t>por</w:t>
      </w:r>
      <w:r w:rsidR="00B1333D" w:rsidRPr="00F11465">
        <w:rPr>
          <w:rFonts w:cs="Arial"/>
          <w:color w:val="000000"/>
          <w:sz w:val="16"/>
          <w:szCs w:val="16"/>
        </w:rPr>
        <w:t xml:space="preserve"> que no se incluye el rubro </w:t>
      </w:r>
      <w:r w:rsidR="00B1333D">
        <w:rPr>
          <w:rFonts w:cs="Arial"/>
          <w:color w:val="4D5156"/>
          <w:sz w:val="21"/>
          <w:szCs w:val="21"/>
          <w:shd w:val="clear" w:color="auto" w:fill="FFFFFF"/>
        </w:rPr>
        <w:t>«</w:t>
      </w:r>
      <w:r w:rsidR="00B1333D" w:rsidRPr="00F11465">
        <w:rPr>
          <w:rFonts w:cs="Arial"/>
          <w:color w:val="000000"/>
          <w:sz w:val="16"/>
          <w:szCs w:val="16"/>
        </w:rPr>
        <w:t>No especificado</w:t>
      </w:r>
      <w:r w:rsidR="00B1333D">
        <w:rPr>
          <w:rFonts w:cs="Arial"/>
          <w:color w:val="4D5156"/>
          <w:sz w:val="21"/>
          <w:szCs w:val="21"/>
          <w:shd w:val="clear" w:color="auto" w:fill="FFFFFF"/>
        </w:rPr>
        <w:t>»</w:t>
      </w:r>
      <w:r w:rsidR="00B1333D" w:rsidRPr="00F11465">
        <w:rPr>
          <w:rFonts w:cs="Arial"/>
          <w:color w:val="000000"/>
          <w:sz w:val="16"/>
          <w:szCs w:val="16"/>
        </w:rPr>
        <w:t>.</w:t>
      </w:r>
    </w:p>
    <w:p w14:paraId="37AA1951" w14:textId="293B327E" w:rsidR="00B1333D" w:rsidRPr="00CD6FE9" w:rsidRDefault="00C56872" w:rsidP="00C56872">
      <w:pPr>
        <w:widowControl/>
        <w:autoSpaceDE w:val="0"/>
        <w:autoSpaceDN w:val="0"/>
        <w:adjustRightInd w:val="0"/>
        <w:spacing w:line="276" w:lineRule="auto"/>
        <w:jc w:val="left"/>
        <w:rPr>
          <w:rFonts w:cs="Arial"/>
          <w:color w:val="000000"/>
          <w:sz w:val="16"/>
          <w:szCs w:val="16"/>
        </w:rPr>
      </w:pPr>
      <w:r>
        <w:rPr>
          <w:rFonts w:cs="Arial"/>
          <w:color w:val="000000" w:themeColor="text1"/>
          <w:sz w:val="16"/>
          <w:szCs w:val="16"/>
        </w:rPr>
        <w:t xml:space="preserve">    </w:t>
      </w:r>
      <w:r w:rsidR="00B1333D" w:rsidRPr="00CD6FE9">
        <w:rPr>
          <w:rFonts w:cs="Arial"/>
          <w:color w:val="000000" w:themeColor="text1"/>
          <w:sz w:val="16"/>
          <w:szCs w:val="16"/>
        </w:rPr>
        <w:t>Fuente:</w:t>
      </w:r>
      <w:r>
        <w:rPr>
          <w:rFonts w:cs="Arial"/>
          <w:color w:val="000000" w:themeColor="text1"/>
          <w:sz w:val="16"/>
          <w:szCs w:val="16"/>
        </w:rPr>
        <w:t xml:space="preserve"> </w:t>
      </w:r>
      <w:r w:rsidR="00B1333D" w:rsidRPr="00CD6FE9">
        <w:rPr>
          <w:rFonts w:cs="Arial"/>
          <w:color w:val="000000" w:themeColor="text1"/>
          <w:sz w:val="16"/>
          <w:szCs w:val="16"/>
        </w:rPr>
        <w:t>INEGI, ENTI</w:t>
      </w:r>
      <w:r w:rsidR="00AD4C8D">
        <w:rPr>
          <w:rFonts w:cs="Arial"/>
          <w:color w:val="000000" w:themeColor="text1"/>
          <w:sz w:val="16"/>
          <w:szCs w:val="16"/>
        </w:rPr>
        <w:t>.</w:t>
      </w:r>
      <w:r w:rsidR="00B1333D" w:rsidRPr="00CD6FE9">
        <w:rPr>
          <w:rFonts w:cs="Arial"/>
          <w:color w:val="000000" w:themeColor="text1"/>
          <w:sz w:val="16"/>
          <w:szCs w:val="16"/>
        </w:rPr>
        <w:t xml:space="preserve"> 2019 y 2022.</w:t>
      </w:r>
    </w:p>
    <w:p w14:paraId="1101DBFC" w14:textId="77777777" w:rsidR="00E46F21" w:rsidRDefault="00E46F21" w:rsidP="00D67D0F">
      <w:pPr>
        <w:widowControl/>
        <w:autoSpaceDE w:val="0"/>
        <w:autoSpaceDN w:val="0"/>
        <w:adjustRightInd w:val="0"/>
        <w:rPr>
          <w:rFonts w:cs="Arial"/>
          <w:color w:val="000000"/>
          <w:szCs w:val="24"/>
        </w:rPr>
      </w:pPr>
    </w:p>
    <w:p w14:paraId="0A719CC4" w14:textId="0C725CB7" w:rsidR="004E0248" w:rsidRPr="00C45DD9" w:rsidRDefault="004E0248" w:rsidP="00E213E7">
      <w:pPr>
        <w:widowControl/>
        <w:autoSpaceDE w:val="0"/>
        <w:autoSpaceDN w:val="0"/>
        <w:adjustRightInd w:val="0"/>
        <w:ind w:right="51"/>
        <w:rPr>
          <w:rFonts w:cs="Arial"/>
          <w:color w:val="000000"/>
          <w:szCs w:val="24"/>
        </w:rPr>
      </w:pPr>
      <w:r w:rsidRPr="00C45DD9">
        <w:rPr>
          <w:rFonts w:cs="Arial"/>
          <w:color w:val="000000"/>
          <w:szCs w:val="24"/>
        </w:rPr>
        <w:t xml:space="preserve">El empleador o persona para la cual trabajaron o ayudaron las </w:t>
      </w:r>
      <w:r w:rsidR="00191949" w:rsidRPr="00C45DD9">
        <w:rPr>
          <w:rFonts w:cs="Arial"/>
          <w:color w:val="000000"/>
          <w:szCs w:val="24"/>
        </w:rPr>
        <w:t xml:space="preserve">niñas y niños </w:t>
      </w:r>
      <w:r w:rsidRPr="00C45DD9">
        <w:rPr>
          <w:rFonts w:cs="Arial"/>
          <w:color w:val="000000"/>
          <w:szCs w:val="24"/>
        </w:rPr>
        <w:t>de 5 a 17 años en ocupación no permitida fue preponderantemente un familiar</w:t>
      </w:r>
      <w:r w:rsidR="00D67D0F" w:rsidRPr="00C45DD9">
        <w:rPr>
          <w:rFonts w:cs="Arial"/>
          <w:color w:val="000000"/>
          <w:szCs w:val="24"/>
        </w:rPr>
        <w:t>,</w:t>
      </w:r>
      <w:r w:rsidR="00B1333D" w:rsidRPr="00C45DD9">
        <w:rPr>
          <w:rFonts w:cs="Arial"/>
          <w:color w:val="000000"/>
          <w:szCs w:val="24"/>
        </w:rPr>
        <w:t xml:space="preserve"> </w:t>
      </w:r>
      <w:r w:rsidRPr="00C45DD9">
        <w:rPr>
          <w:rFonts w:cs="Arial"/>
          <w:color w:val="000000"/>
          <w:szCs w:val="24"/>
        </w:rPr>
        <w:t>con 60.6 %, porcentaje que en l</w:t>
      </w:r>
      <w:r w:rsidR="00D67D0F" w:rsidRPr="00C45DD9">
        <w:rPr>
          <w:rFonts w:cs="Arial"/>
          <w:color w:val="000000"/>
          <w:szCs w:val="24"/>
        </w:rPr>
        <w:t>a</w:t>
      </w:r>
      <w:r w:rsidRPr="00C45DD9">
        <w:rPr>
          <w:rFonts w:cs="Arial"/>
          <w:color w:val="000000"/>
          <w:szCs w:val="24"/>
        </w:rPr>
        <w:t>s niñ</w:t>
      </w:r>
      <w:r w:rsidR="00D67D0F" w:rsidRPr="00C45DD9">
        <w:rPr>
          <w:rFonts w:cs="Arial"/>
          <w:color w:val="000000"/>
          <w:szCs w:val="24"/>
        </w:rPr>
        <w:t>a</w:t>
      </w:r>
      <w:r w:rsidRPr="00C45DD9">
        <w:rPr>
          <w:rFonts w:cs="Arial"/>
          <w:color w:val="000000"/>
          <w:szCs w:val="24"/>
        </w:rPr>
        <w:t xml:space="preserve">s fue de </w:t>
      </w:r>
      <w:r w:rsidR="00D67D0F" w:rsidRPr="00C45DD9">
        <w:rPr>
          <w:rFonts w:cs="Arial"/>
          <w:color w:val="000000"/>
          <w:szCs w:val="24"/>
        </w:rPr>
        <w:t>61.7</w:t>
      </w:r>
      <w:r w:rsidRPr="00C45DD9">
        <w:rPr>
          <w:rFonts w:cs="Arial"/>
          <w:color w:val="000000"/>
          <w:szCs w:val="24"/>
        </w:rPr>
        <w:t xml:space="preserve"> % y en l</w:t>
      </w:r>
      <w:r w:rsidR="00D67D0F" w:rsidRPr="00C45DD9">
        <w:rPr>
          <w:rFonts w:cs="Arial"/>
          <w:color w:val="000000"/>
          <w:szCs w:val="24"/>
        </w:rPr>
        <w:t>o</w:t>
      </w:r>
      <w:r w:rsidRPr="00C45DD9">
        <w:rPr>
          <w:rFonts w:cs="Arial"/>
          <w:color w:val="000000"/>
          <w:szCs w:val="24"/>
        </w:rPr>
        <w:t>s niñ</w:t>
      </w:r>
      <w:r w:rsidR="00D67D0F" w:rsidRPr="00C45DD9">
        <w:rPr>
          <w:rFonts w:cs="Arial"/>
          <w:color w:val="000000"/>
          <w:szCs w:val="24"/>
        </w:rPr>
        <w:t>o</w:t>
      </w:r>
      <w:r w:rsidRPr="00C45DD9">
        <w:rPr>
          <w:rFonts w:cs="Arial"/>
          <w:color w:val="000000"/>
          <w:szCs w:val="24"/>
        </w:rPr>
        <w:t>s de 6</w:t>
      </w:r>
      <w:r w:rsidR="00D67D0F" w:rsidRPr="00C45DD9">
        <w:rPr>
          <w:rFonts w:cs="Arial"/>
          <w:color w:val="000000"/>
          <w:szCs w:val="24"/>
        </w:rPr>
        <w:t>0.1</w:t>
      </w:r>
      <w:r w:rsidRPr="00C45DD9">
        <w:rPr>
          <w:rFonts w:cs="Arial"/>
          <w:color w:val="000000"/>
          <w:szCs w:val="24"/>
        </w:rPr>
        <w:t xml:space="preserve"> </w:t>
      </w:r>
      <w:r w:rsidR="00BF5562" w:rsidRPr="00C45DD9">
        <w:rPr>
          <w:rFonts w:cs="Arial"/>
          <w:color w:val="000000"/>
          <w:szCs w:val="24"/>
        </w:rPr>
        <w:t>por ciento. E</w:t>
      </w:r>
      <w:r w:rsidRPr="00C45DD9">
        <w:rPr>
          <w:rFonts w:cs="Arial"/>
          <w:color w:val="000000"/>
          <w:szCs w:val="24"/>
        </w:rPr>
        <w:t>l porcentaje de los que trabajaron para un empleador que no e</w:t>
      </w:r>
      <w:r w:rsidR="00BF5562" w:rsidRPr="00C45DD9">
        <w:rPr>
          <w:rFonts w:cs="Arial"/>
          <w:color w:val="000000"/>
          <w:szCs w:val="24"/>
        </w:rPr>
        <w:t>s un familiar</w:t>
      </w:r>
      <w:r w:rsidRPr="00C45DD9">
        <w:rPr>
          <w:rFonts w:cs="Arial"/>
          <w:color w:val="000000"/>
          <w:szCs w:val="24"/>
        </w:rPr>
        <w:t xml:space="preserve">; </w:t>
      </w:r>
      <w:r w:rsidR="00BF5562" w:rsidRPr="00C45DD9">
        <w:rPr>
          <w:rFonts w:cs="Arial"/>
          <w:color w:val="000000"/>
          <w:szCs w:val="24"/>
        </w:rPr>
        <w:t xml:space="preserve">alcanzó </w:t>
      </w:r>
      <w:r w:rsidRPr="00C45DD9">
        <w:rPr>
          <w:rFonts w:cs="Arial"/>
          <w:color w:val="000000"/>
          <w:szCs w:val="24"/>
        </w:rPr>
        <w:t>34.7 %</w:t>
      </w:r>
      <w:r w:rsidR="00341833">
        <w:rPr>
          <w:rFonts w:cs="Arial"/>
          <w:color w:val="000000"/>
          <w:szCs w:val="24"/>
        </w:rPr>
        <w:t>;</w:t>
      </w:r>
      <w:r w:rsidRPr="00C45DD9">
        <w:rPr>
          <w:rFonts w:cs="Arial"/>
          <w:color w:val="000000"/>
          <w:szCs w:val="24"/>
        </w:rPr>
        <w:t xml:space="preserve"> </w:t>
      </w:r>
      <w:r w:rsidR="00BF5562" w:rsidRPr="00C45DD9">
        <w:rPr>
          <w:rFonts w:cs="Arial"/>
          <w:color w:val="000000"/>
          <w:szCs w:val="24"/>
        </w:rPr>
        <w:t>30.8</w:t>
      </w:r>
      <w:r w:rsidRPr="00C45DD9">
        <w:rPr>
          <w:rFonts w:cs="Arial"/>
          <w:color w:val="000000"/>
          <w:szCs w:val="24"/>
        </w:rPr>
        <w:t xml:space="preserve"> % </w:t>
      </w:r>
      <w:r w:rsidR="00BF5562" w:rsidRPr="00C45DD9">
        <w:rPr>
          <w:rFonts w:cs="Arial"/>
          <w:color w:val="000000"/>
          <w:szCs w:val="24"/>
        </w:rPr>
        <w:t>en</w:t>
      </w:r>
      <w:r w:rsidRPr="00C45DD9">
        <w:rPr>
          <w:rFonts w:cs="Arial"/>
          <w:color w:val="000000"/>
          <w:szCs w:val="24"/>
        </w:rPr>
        <w:t xml:space="preserve"> niñ</w:t>
      </w:r>
      <w:r w:rsidR="00BF5562" w:rsidRPr="00C45DD9">
        <w:rPr>
          <w:rFonts w:cs="Arial"/>
          <w:color w:val="000000"/>
          <w:szCs w:val="24"/>
        </w:rPr>
        <w:t>a</w:t>
      </w:r>
      <w:r w:rsidRPr="00C45DD9">
        <w:rPr>
          <w:rFonts w:cs="Arial"/>
          <w:color w:val="000000"/>
          <w:szCs w:val="24"/>
        </w:rPr>
        <w:t>s y 3</w:t>
      </w:r>
      <w:r w:rsidR="00BF5562" w:rsidRPr="00C45DD9">
        <w:rPr>
          <w:rFonts w:cs="Arial"/>
          <w:color w:val="000000"/>
          <w:szCs w:val="24"/>
        </w:rPr>
        <w:t>6.2</w:t>
      </w:r>
      <w:r w:rsidRPr="00C45DD9">
        <w:rPr>
          <w:rFonts w:cs="Arial"/>
          <w:color w:val="000000"/>
          <w:szCs w:val="24"/>
        </w:rPr>
        <w:t xml:space="preserve"> %</w:t>
      </w:r>
      <w:r w:rsidR="004D38E1" w:rsidRPr="00C45DD9">
        <w:rPr>
          <w:rFonts w:cs="Arial"/>
          <w:color w:val="000000"/>
          <w:szCs w:val="24"/>
        </w:rPr>
        <w:t xml:space="preserve"> </w:t>
      </w:r>
      <w:r w:rsidR="00BF5562" w:rsidRPr="00C45DD9">
        <w:rPr>
          <w:rFonts w:cs="Arial"/>
          <w:color w:val="000000"/>
          <w:szCs w:val="24"/>
        </w:rPr>
        <w:t>en</w:t>
      </w:r>
      <w:r w:rsidRPr="00C45DD9">
        <w:rPr>
          <w:rFonts w:cs="Arial"/>
          <w:color w:val="000000"/>
          <w:szCs w:val="24"/>
        </w:rPr>
        <w:t xml:space="preserve"> niñ</w:t>
      </w:r>
      <w:r w:rsidR="00BF5562" w:rsidRPr="00C45DD9">
        <w:rPr>
          <w:rFonts w:cs="Arial"/>
          <w:color w:val="000000"/>
          <w:szCs w:val="24"/>
        </w:rPr>
        <w:t>o</w:t>
      </w:r>
      <w:r w:rsidRPr="00C45DD9">
        <w:rPr>
          <w:rFonts w:cs="Arial"/>
          <w:color w:val="000000"/>
          <w:szCs w:val="24"/>
        </w:rPr>
        <w:t>s</w:t>
      </w:r>
      <w:r w:rsidR="00E555D9" w:rsidRPr="00C45DD9">
        <w:rPr>
          <w:rFonts w:cs="Arial"/>
          <w:color w:val="000000"/>
          <w:szCs w:val="24"/>
        </w:rPr>
        <w:t xml:space="preserve"> </w:t>
      </w:r>
      <w:r w:rsidR="00E555D9" w:rsidRPr="00C45DD9">
        <w:rPr>
          <w:rFonts w:cs="Arial"/>
          <w:szCs w:val="24"/>
        </w:rPr>
        <w:t>(ver cuadro 17)</w:t>
      </w:r>
      <w:r w:rsidRPr="00C45DD9">
        <w:rPr>
          <w:rFonts w:cs="Arial"/>
          <w:color w:val="000000"/>
          <w:szCs w:val="24"/>
        </w:rPr>
        <w:t>.</w:t>
      </w:r>
    </w:p>
    <w:p w14:paraId="4397B490" w14:textId="77777777" w:rsidR="004E0248" w:rsidRDefault="004E0248" w:rsidP="00D67D0F">
      <w:pPr>
        <w:widowControl/>
        <w:autoSpaceDE w:val="0"/>
        <w:autoSpaceDN w:val="0"/>
        <w:adjustRightInd w:val="0"/>
        <w:rPr>
          <w:rFonts w:cs="Arial"/>
          <w:color w:val="000000"/>
          <w:szCs w:val="24"/>
        </w:rPr>
      </w:pPr>
    </w:p>
    <w:p w14:paraId="422C995C" w14:textId="77777777" w:rsidR="009E086F" w:rsidRPr="00E213E7" w:rsidRDefault="009E086F" w:rsidP="00E213E7">
      <w:pPr>
        <w:widowControl/>
        <w:autoSpaceDE w:val="0"/>
        <w:autoSpaceDN w:val="0"/>
        <w:adjustRightInd w:val="0"/>
        <w:jc w:val="center"/>
        <w:rPr>
          <w:rFonts w:cs="Arial"/>
          <w:color w:val="000000"/>
          <w:sz w:val="20"/>
        </w:rPr>
      </w:pPr>
      <w:r w:rsidRPr="00E213E7">
        <w:rPr>
          <w:rFonts w:cs="Arial"/>
          <w:color w:val="000000"/>
          <w:sz w:val="20"/>
        </w:rPr>
        <w:t>Cuadro 17</w:t>
      </w:r>
    </w:p>
    <w:p w14:paraId="44042621" w14:textId="657543A9" w:rsidR="009E086F" w:rsidRPr="00E213E7" w:rsidRDefault="009E086F" w:rsidP="00E213E7">
      <w:pPr>
        <w:widowControl/>
        <w:autoSpaceDE w:val="0"/>
        <w:autoSpaceDN w:val="0"/>
        <w:adjustRightInd w:val="0"/>
        <w:jc w:val="center"/>
        <w:rPr>
          <w:rFonts w:cs="Arial"/>
          <w:b/>
          <w:bCs/>
          <w:smallCaps/>
          <w:color w:val="000000" w:themeColor="text1"/>
          <w:sz w:val="22"/>
          <w:szCs w:val="22"/>
        </w:rPr>
      </w:pPr>
      <w:r w:rsidRPr="00E213E7">
        <w:rPr>
          <w:rFonts w:cs="Arial"/>
          <w:b/>
          <w:bCs/>
          <w:smallCaps/>
          <w:color w:val="000000"/>
          <w:sz w:val="22"/>
          <w:szCs w:val="22"/>
        </w:rPr>
        <w:t>Personas en alguna o</w:t>
      </w:r>
      <w:r w:rsidRPr="00E213E7">
        <w:rPr>
          <w:rFonts w:cs="Arial"/>
          <w:b/>
          <w:bCs/>
          <w:smallCaps/>
          <w:color w:val="000000" w:themeColor="text1"/>
          <w:sz w:val="22"/>
          <w:szCs w:val="22"/>
        </w:rPr>
        <w:t>cupación no permitida por persona para la que trabaja</w:t>
      </w:r>
      <w:r w:rsidR="002E3423" w:rsidRPr="00E213E7">
        <w:rPr>
          <w:rFonts w:cs="Arial"/>
          <w:b/>
          <w:bCs/>
          <w:smallCaps/>
          <w:color w:val="000000" w:themeColor="text1"/>
          <w:sz w:val="22"/>
          <w:szCs w:val="22"/>
        </w:rPr>
        <w:t>,</w:t>
      </w:r>
      <w:r w:rsidRPr="00E213E7">
        <w:rPr>
          <w:rFonts w:cs="Arial"/>
          <w:b/>
          <w:bCs/>
          <w:smallCaps/>
          <w:color w:val="000000" w:themeColor="text1"/>
          <w:sz w:val="22"/>
          <w:szCs w:val="22"/>
        </w:rPr>
        <w:t xml:space="preserve"> según sexo</w:t>
      </w:r>
    </w:p>
    <w:p w14:paraId="6E37934E" w14:textId="77777777" w:rsidR="009E086F" w:rsidRPr="005E25D0" w:rsidRDefault="009E086F" w:rsidP="00E213E7">
      <w:pPr>
        <w:widowControl/>
        <w:autoSpaceDE w:val="0"/>
        <w:autoSpaceDN w:val="0"/>
        <w:adjustRightInd w:val="0"/>
        <w:ind w:left="851" w:right="51" w:hanging="851"/>
        <w:jc w:val="center"/>
        <w:rPr>
          <w:rFonts w:cs="Arial"/>
          <w:bCs/>
          <w:sz w:val="18"/>
          <w:szCs w:val="18"/>
        </w:rPr>
      </w:pPr>
      <w:r w:rsidRPr="005E25D0">
        <w:rPr>
          <w:rFonts w:cs="Arial"/>
          <w:bCs/>
          <w:sz w:val="18"/>
          <w:szCs w:val="18"/>
        </w:rPr>
        <w:t>(distribución porcentual)</w:t>
      </w:r>
    </w:p>
    <w:tbl>
      <w:tblPr>
        <w:tblW w:w="9780" w:type="dxa"/>
        <w:tblCellMar>
          <w:left w:w="70" w:type="dxa"/>
          <w:right w:w="70" w:type="dxa"/>
        </w:tblCellMar>
        <w:tblLook w:val="04A0" w:firstRow="1" w:lastRow="0" w:firstColumn="1" w:lastColumn="0" w:noHBand="0" w:noVBand="1"/>
      </w:tblPr>
      <w:tblGrid>
        <w:gridCol w:w="220"/>
        <w:gridCol w:w="4760"/>
        <w:gridCol w:w="1600"/>
        <w:gridCol w:w="1600"/>
        <w:gridCol w:w="1600"/>
      </w:tblGrid>
      <w:tr w:rsidR="009E086F" w:rsidRPr="004C6CEE" w14:paraId="0670A19E" w14:textId="77777777" w:rsidTr="00562DA7">
        <w:trPr>
          <w:trHeight w:val="315"/>
        </w:trPr>
        <w:tc>
          <w:tcPr>
            <w:tcW w:w="4980" w:type="dxa"/>
            <w:gridSpan w:val="2"/>
            <w:tcBorders>
              <w:top w:val="nil"/>
              <w:left w:val="nil"/>
              <w:bottom w:val="nil"/>
              <w:right w:val="nil"/>
            </w:tcBorders>
            <w:shd w:val="clear" w:color="auto" w:fill="338B99"/>
            <w:vAlign w:val="center"/>
            <w:hideMark/>
          </w:tcPr>
          <w:p w14:paraId="651B16F0" w14:textId="77777777" w:rsidR="009E086F" w:rsidRPr="004C6CEE" w:rsidRDefault="009E086F" w:rsidP="00562DA7">
            <w:pPr>
              <w:widowControl/>
              <w:jc w:val="left"/>
              <w:rPr>
                <w:rFonts w:cs="Arial"/>
                <w:b/>
                <w:bCs/>
                <w:color w:val="FFFFFF"/>
                <w:sz w:val="20"/>
                <w:lang w:eastAsia="es-MX"/>
              </w:rPr>
            </w:pPr>
            <w:r w:rsidRPr="004C6CEE">
              <w:rPr>
                <w:rFonts w:cs="Arial"/>
                <w:b/>
                <w:bCs/>
                <w:color w:val="FFFFFF" w:themeColor="background1"/>
                <w:sz w:val="20"/>
                <w:lang w:eastAsia="es-MX"/>
              </w:rPr>
              <w:t>Persona para la que trabaja</w:t>
            </w:r>
          </w:p>
        </w:tc>
        <w:tc>
          <w:tcPr>
            <w:tcW w:w="1600" w:type="dxa"/>
            <w:tcBorders>
              <w:top w:val="nil"/>
              <w:left w:val="nil"/>
              <w:bottom w:val="nil"/>
              <w:right w:val="nil"/>
            </w:tcBorders>
            <w:shd w:val="clear" w:color="auto" w:fill="338B99"/>
            <w:vAlign w:val="center"/>
            <w:hideMark/>
          </w:tcPr>
          <w:p w14:paraId="5B4BDBEA" w14:textId="77777777" w:rsidR="009E086F" w:rsidRPr="004C6CEE" w:rsidRDefault="009E086F" w:rsidP="00562DA7">
            <w:pPr>
              <w:widowControl/>
              <w:jc w:val="center"/>
              <w:rPr>
                <w:rFonts w:cs="Arial"/>
                <w:b/>
                <w:bCs/>
                <w:color w:val="FFFFFF"/>
                <w:sz w:val="20"/>
                <w:lang w:eastAsia="es-MX"/>
              </w:rPr>
            </w:pPr>
            <w:r w:rsidRPr="004C6CEE">
              <w:rPr>
                <w:rFonts w:cs="Arial"/>
                <w:b/>
                <w:bCs/>
                <w:color w:val="FFFFFF"/>
                <w:sz w:val="20"/>
                <w:lang w:eastAsia="es-MX"/>
              </w:rPr>
              <w:t>Total</w:t>
            </w:r>
          </w:p>
        </w:tc>
        <w:tc>
          <w:tcPr>
            <w:tcW w:w="1600" w:type="dxa"/>
            <w:tcBorders>
              <w:top w:val="nil"/>
              <w:left w:val="nil"/>
              <w:bottom w:val="nil"/>
              <w:right w:val="nil"/>
            </w:tcBorders>
            <w:shd w:val="clear" w:color="auto" w:fill="338B99"/>
            <w:vAlign w:val="center"/>
            <w:hideMark/>
          </w:tcPr>
          <w:p w14:paraId="08407AF9" w14:textId="77777777" w:rsidR="009E086F" w:rsidRPr="004C6CEE" w:rsidRDefault="009E086F" w:rsidP="00562DA7">
            <w:pPr>
              <w:widowControl/>
              <w:jc w:val="center"/>
              <w:rPr>
                <w:rFonts w:cs="Arial"/>
                <w:b/>
                <w:bCs/>
                <w:color w:val="FFFFFF"/>
                <w:sz w:val="20"/>
                <w:lang w:eastAsia="es-MX"/>
              </w:rPr>
            </w:pPr>
            <w:r w:rsidRPr="004C6CEE">
              <w:rPr>
                <w:rFonts w:cs="Arial"/>
                <w:b/>
                <w:bCs/>
                <w:color w:val="FFFFFF"/>
                <w:sz w:val="20"/>
                <w:lang w:eastAsia="es-MX"/>
              </w:rPr>
              <w:t>Niños</w:t>
            </w:r>
          </w:p>
        </w:tc>
        <w:tc>
          <w:tcPr>
            <w:tcW w:w="1600" w:type="dxa"/>
            <w:tcBorders>
              <w:top w:val="nil"/>
              <w:left w:val="nil"/>
              <w:bottom w:val="nil"/>
              <w:right w:val="nil"/>
            </w:tcBorders>
            <w:shd w:val="clear" w:color="auto" w:fill="338B99"/>
            <w:vAlign w:val="center"/>
            <w:hideMark/>
          </w:tcPr>
          <w:p w14:paraId="2CBA6991" w14:textId="77777777" w:rsidR="009E086F" w:rsidRPr="004C6CEE" w:rsidRDefault="009E086F" w:rsidP="00562DA7">
            <w:pPr>
              <w:widowControl/>
              <w:jc w:val="center"/>
              <w:rPr>
                <w:rFonts w:cs="Arial"/>
                <w:b/>
                <w:bCs/>
                <w:color w:val="FFFFFF"/>
                <w:sz w:val="20"/>
                <w:lang w:eastAsia="es-MX"/>
              </w:rPr>
            </w:pPr>
            <w:r w:rsidRPr="004C6CEE">
              <w:rPr>
                <w:rFonts w:cs="Arial"/>
                <w:b/>
                <w:bCs/>
                <w:color w:val="FFFFFF"/>
                <w:sz w:val="20"/>
                <w:lang w:eastAsia="es-MX"/>
              </w:rPr>
              <w:t>Niñas</w:t>
            </w:r>
          </w:p>
        </w:tc>
      </w:tr>
      <w:tr w:rsidR="009E086F" w:rsidRPr="004C6CEE" w14:paraId="003F450F" w14:textId="77777777" w:rsidTr="00562DA7">
        <w:trPr>
          <w:trHeight w:val="300"/>
        </w:trPr>
        <w:tc>
          <w:tcPr>
            <w:tcW w:w="4980" w:type="dxa"/>
            <w:gridSpan w:val="2"/>
            <w:tcBorders>
              <w:top w:val="nil"/>
              <w:left w:val="nil"/>
              <w:bottom w:val="nil"/>
              <w:right w:val="nil"/>
            </w:tcBorders>
            <w:shd w:val="clear" w:color="auto" w:fill="66A8B3"/>
            <w:vAlign w:val="center"/>
            <w:hideMark/>
          </w:tcPr>
          <w:p w14:paraId="29F4D7E2" w14:textId="77777777" w:rsidR="009E086F" w:rsidRPr="004C6CEE" w:rsidRDefault="009E086F" w:rsidP="00562DA7">
            <w:pPr>
              <w:widowControl/>
              <w:jc w:val="left"/>
              <w:rPr>
                <w:rFonts w:cs="Arial"/>
                <w:b/>
                <w:bCs/>
                <w:color w:val="000000"/>
                <w:sz w:val="20"/>
                <w:lang w:eastAsia="es-MX"/>
              </w:rPr>
            </w:pPr>
            <w:r w:rsidRPr="004C6CEE">
              <w:rPr>
                <w:rFonts w:cs="Arial"/>
                <w:b/>
                <w:bCs/>
                <w:color w:val="000000"/>
                <w:sz w:val="20"/>
                <w:lang w:eastAsia="es-MX"/>
              </w:rPr>
              <w:t>Ocupación no permitida</w:t>
            </w:r>
          </w:p>
        </w:tc>
        <w:tc>
          <w:tcPr>
            <w:tcW w:w="1600" w:type="dxa"/>
            <w:tcBorders>
              <w:top w:val="nil"/>
              <w:left w:val="nil"/>
              <w:bottom w:val="nil"/>
              <w:right w:val="nil"/>
            </w:tcBorders>
            <w:shd w:val="clear" w:color="auto" w:fill="66A8B3"/>
            <w:vAlign w:val="center"/>
            <w:hideMark/>
          </w:tcPr>
          <w:p w14:paraId="310AB665" w14:textId="77777777" w:rsidR="009E086F" w:rsidRPr="004C6CEE" w:rsidRDefault="009E086F" w:rsidP="00562DA7">
            <w:pPr>
              <w:widowControl/>
              <w:jc w:val="center"/>
              <w:rPr>
                <w:rFonts w:cs="Arial"/>
                <w:b/>
                <w:bCs/>
                <w:color w:val="000000"/>
                <w:sz w:val="20"/>
                <w:lang w:eastAsia="es-MX"/>
              </w:rPr>
            </w:pPr>
            <w:r w:rsidRPr="004C6CEE">
              <w:rPr>
                <w:rFonts w:cs="Arial"/>
                <w:b/>
                <w:bCs/>
                <w:sz w:val="20"/>
                <w:lang w:eastAsia="es-MX"/>
              </w:rPr>
              <w:t>100.0</w:t>
            </w:r>
          </w:p>
        </w:tc>
        <w:tc>
          <w:tcPr>
            <w:tcW w:w="1600" w:type="dxa"/>
            <w:tcBorders>
              <w:top w:val="nil"/>
              <w:left w:val="nil"/>
              <w:bottom w:val="nil"/>
              <w:right w:val="nil"/>
            </w:tcBorders>
            <w:shd w:val="clear" w:color="auto" w:fill="66A8B3"/>
            <w:vAlign w:val="center"/>
            <w:hideMark/>
          </w:tcPr>
          <w:p w14:paraId="03040A80" w14:textId="77777777" w:rsidR="009E086F" w:rsidRPr="004C6CEE" w:rsidRDefault="009E086F" w:rsidP="00562DA7">
            <w:pPr>
              <w:widowControl/>
              <w:jc w:val="center"/>
              <w:rPr>
                <w:rFonts w:cs="Arial"/>
                <w:b/>
                <w:bCs/>
                <w:color w:val="000000"/>
                <w:sz w:val="20"/>
                <w:lang w:eastAsia="es-MX"/>
              </w:rPr>
            </w:pPr>
            <w:r w:rsidRPr="004C6CEE">
              <w:rPr>
                <w:rFonts w:cs="Arial"/>
                <w:b/>
                <w:bCs/>
                <w:sz w:val="20"/>
                <w:lang w:eastAsia="es-MX"/>
              </w:rPr>
              <w:t>100.0</w:t>
            </w:r>
          </w:p>
        </w:tc>
        <w:tc>
          <w:tcPr>
            <w:tcW w:w="1600" w:type="dxa"/>
            <w:tcBorders>
              <w:top w:val="nil"/>
              <w:left w:val="nil"/>
              <w:bottom w:val="nil"/>
              <w:right w:val="nil"/>
            </w:tcBorders>
            <w:shd w:val="clear" w:color="auto" w:fill="66A8B3"/>
            <w:vAlign w:val="center"/>
            <w:hideMark/>
          </w:tcPr>
          <w:p w14:paraId="4D1380C1" w14:textId="77777777" w:rsidR="009E086F" w:rsidRPr="004C6CEE" w:rsidRDefault="009E086F" w:rsidP="00562DA7">
            <w:pPr>
              <w:widowControl/>
              <w:jc w:val="center"/>
              <w:rPr>
                <w:rFonts w:cs="Arial"/>
                <w:b/>
                <w:bCs/>
                <w:color w:val="000000"/>
                <w:sz w:val="20"/>
                <w:lang w:eastAsia="es-MX"/>
              </w:rPr>
            </w:pPr>
            <w:r w:rsidRPr="004C6CEE">
              <w:rPr>
                <w:rFonts w:cs="Arial"/>
                <w:b/>
                <w:bCs/>
                <w:sz w:val="20"/>
                <w:lang w:eastAsia="es-MX"/>
              </w:rPr>
              <w:t>100.0</w:t>
            </w:r>
          </w:p>
        </w:tc>
      </w:tr>
      <w:tr w:rsidR="009E086F" w:rsidRPr="004C6CEE" w14:paraId="48AE2258" w14:textId="77777777" w:rsidTr="00562DA7">
        <w:trPr>
          <w:trHeight w:val="300"/>
        </w:trPr>
        <w:tc>
          <w:tcPr>
            <w:tcW w:w="220" w:type="dxa"/>
            <w:tcBorders>
              <w:top w:val="nil"/>
              <w:left w:val="nil"/>
              <w:bottom w:val="nil"/>
              <w:right w:val="nil"/>
            </w:tcBorders>
            <w:shd w:val="clear" w:color="auto" w:fill="CCE2E6"/>
            <w:noWrap/>
            <w:vAlign w:val="bottom"/>
            <w:hideMark/>
          </w:tcPr>
          <w:p w14:paraId="16490BDF" w14:textId="77777777" w:rsidR="009E086F" w:rsidRPr="004C6CEE" w:rsidRDefault="009E086F" w:rsidP="00562DA7">
            <w:pPr>
              <w:widowControl/>
              <w:jc w:val="left"/>
              <w:rPr>
                <w:rFonts w:ascii="Times New Roman" w:hAnsi="Times New Roman"/>
                <w:color w:val="000000"/>
                <w:sz w:val="20"/>
                <w:lang w:eastAsia="es-MX"/>
              </w:rPr>
            </w:pPr>
            <w:r w:rsidRPr="004C6CEE">
              <w:rPr>
                <w:rFonts w:ascii="Times New Roman" w:hAnsi="Times New Roman"/>
                <w:color w:val="000000"/>
                <w:sz w:val="20"/>
                <w:lang w:eastAsia="es-MX"/>
              </w:rPr>
              <w:t> </w:t>
            </w:r>
          </w:p>
        </w:tc>
        <w:tc>
          <w:tcPr>
            <w:tcW w:w="4760" w:type="dxa"/>
            <w:tcBorders>
              <w:top w:val="nil"/>
              <w:left w:val="nil"/>
              <w:bottom w:val="nil"/>
              <w:right w:val="nil"/>
            </w:tcBorders>
            <w:shd w:val="clear" w:color="auto" w:fill="CCE2E6"/>
            <w:vAlign w:val="center"/>
            <w:hideMark/>
          </w:tcPr>
          <w:p w14:paraId="0B591F11" w14:textId="77777777" w:rsidR="009E086F" w:rsidRPr="004C6CEE" w:rsidRDefault="009E086F" w:rsidP="00562DA7">
            <w:pPr>
              <w:widowControl/>
              <w:jc w:val="left"/>
              <w:rPr>
                <w:rFonts w:cs="Arial"/>
                <w:color w:val="000000"/>
                <w:sz w:val="20"/>
                <w:lang w:eastAsia="es-MX"/>
              </w:rPr>
            </w:pPr>
            <w:r w:rsidRPr="004C6CEE">
              <w:rPr>
                <w:rFonts w:cs="Arial"/>
                <w:sz w:val="20"/>
                <w:lang w:eastAsia="es-MX"/>
              </w:rPr>
              <w:t>Es un familiar</w:t>
            </w:r>
          </w:p>
        </w:tc>
        <w:tc>
          <w:tcPr>
            <w:tcW w:w="1600" w:type="dxa"/>
            <w:tcBorders>
              <w:top w:val="nil"/>
              <w:left w:val="nil"/>
              <w:bottom w:val="nil"/>
              <w:right w:val="nil"/>
            </w:tcBorders>
            <w:shd w:val="clear" w:color="auto" w:fill="CCE2E6"/>
            <w:vAlign w:val="center"/>
            <w:hideMark/>
          </w:tcPr>
          <w:p w14:paraId="750981BB" w14:textId="77777777" w:rsidR="009E086F" w:rsidRPr="004C6CEE" w:rsidRDefault="009E086F" w:rsidP="00562DA7">
            <w:pPr>
              <w:widowControl/>
              <w:jc w:val="center"/>
              <w:rPr>
                <w:rFonts w:cs="Arial"/>
                <w:color w:val="000000"/>
                <w:sz w:val="20"/>
                <w:lang w:eastAsia="es-MX"/>
              </w:rPr>
            </w:pPr>
            <w:r w:rsidRPr="004C6CEE">
              <w:rPr>
                <w:rFonts w:cs="Arial"/>
                <w:sz w:val="20"/>
                <w:lang w:eastAsia="es-MX"/>
              </w:rPr>
              <w:t>60.6</w:t>
            </w:r>
          </w:p>
        </w:tc>
        <w:tc>
          <w:tcPr>
            <w:tcW w:w="1600" w:type="dxa"/>
            <w:tcBorders>
              <w:top w:val="nil"/>
              <w:left w:val="nil"/>
              <w:bottom w:val="nil"/>
              <w:right w:val="nil"/>
            </w:tcBorders>
            <w:shd w:val="clear" w:color="auto" w:fill="CCE2E6"/>
            <w:vAlign w:val="center"/>
            <w:hideMark/>
          </w:tcPr>
          <w:p w14:paraId="08C2DBEE" w14:textId="77777777" w:rsidR="009E086F" w:rsidRPr="004C6CEE" w:rsidRDefault="009E086F" w:rsidP="00562DA7">
            <w:pPr>
              <w:widowControl/>
              <w:jc w:val="center"/>
              <w:rPr>
                <w:rFonts w:cs="Arial"/>
                <w:color w:val="000000"/>
                <w:sz w:val="20"/>
                <w:lang w:eastAsia="es-MX"/>
              </w:rPr>
            </w:pPr>
            <w:r w:rsidRPr="004C6CEE">
              <w:rPr>
                <w:rFonts w:cs="Arial"/>
                <w:sz w:val="20"/>
                <w:lang w:eastAsia="es-MX"/>
              </w:rPr>
              <w:t>60.1</w:t>
            </w:r>
          </w:p>
        </w:tc>
        <w:tc>
          <w:tcPr>
            <w:tcW w:w="1600" w:type="dxa"/>
            <w:tcBorders>
              <w:top w:val="nil"/>
              <w:left w:val="nil"/>
              <w:bottom w:val="nil"/>
              <w:right w:val="nil"/>
            </w:tcBorders>
            <w:shd w:val="clear" w:color="auto" w:fill="CCE2E6"/>
            <w:vAlign w:val="center"/>
            <w:hideMark/>
          </w:tcPr>
          <w:p w14:paraId="367BDBDB" w14:textId="77777777" w:rsidR="009E086F" w:rsidRPr="004C6CEE" w:rsidRDefault="009E086F" w:rsidP="00562DA7">
            <w:pPr>
              <w:widowControl/>
              <w:jc w:val="center"/>
              <w:rPr>
                <w:rFonts w:cs="Arial"/>
                <w:color w:val="000000"/>
                <w:sz w:val="20"/>
                <w:lang w:eastAsia="es-MX"/>
              </w:rPr>
            </w:pPr>
            <w:r w:rsidRPr="004C6CEE">
              <w:rPr>
                <w:rFonts w:cs="Arial"/>
                <w:sz w:val="20"/>
                <w:lang w:eastAsia="es-MX"/>
              </w:rPr>
              <w:t>61.7</w:t>
            </w:r>
          </w:p>
        </w:tc>
      </w:tr>
      <w:tr w:rsidR="009E086F" w:rsidRPr="004C6CEE" w14:paraId="1E42AAA1" w14:textId="77777777" w:rsidTr="00562DA7">
        <w:trPr>
          <w:trHeight w:val="300"/>
        </w:trPr>
        <w:tc>
          <w:tcPr>
            <w:tcW w:w="220" w:type="dxa"/>
            <w:tcBorders>
              <w:top w:val="nil"/>
              <w:left w:val="nil"/>
              <w:bottom w:val="nil"/>
              <w:right w:val="nil"/>
            </w:tcBorders>
            <w:shd w:val="clear" w:color="auto" w:fill="CCE2E6"/>
            <w:noWrap/>
            <w:vAlign w:val="bottom"/>
            <w:hideMark/>
          </w:tcPr>
          <w:p w14:paraId="5B68763D" w14:textId="77777777" w:rsidR="009E086F" w:rsidRPr="004C6CEE" w:rsidRDefault="009E086F" w:rsidP="00562DA7">
            <w:pPr>
              <w:widowControl/>
              <w:jc w:val="left"/>
              <w:rPr>
                <w:rFonts w:ascii="Times New Roman" w:hAnsi="Times New Roman"/>
                <w:color w:val="000000"/>
                <w:sz w:val="20"/>
                <w:lang w:eastAsia="es-MX"/>
              </w:rPr>
            </w:pPr>
            <w:r w:rsidRPr="004C6CEE">
              <w:rPr>
                <w:rFonts w:ascii="Times New Roman" w:hAnsi="Times New Roman"/>
                <w:color w:val="000000"/>
                <w:sz w:val="20"/>
                <w:lang w:eastAsia="es-MX"/>
              </w:rPr>
              <w:t> </w:t>
            </w:r>
          </w:p>
        </w:tc>
        <w:tc>
          <w:tcPr>
            <w:tcW w:w="4760" w:type="dxa"/>
            <w:tcBorders>
              <w:top w:val="nil"/>
              <w:left w:val="nil"/>
              <w:bottom w:val="nil"/>
              <w:right w:val="nil"/>
            </w:tcBorders>
            <w:shd w:val="clear" w:color="auto" w:fill="CCE2E6"/>
            <w:vAlign w:val="center"/>
            <w:hideMark/>
          </w:tcPr>
          <w:p w14:paraId="518CEE0E" w14:textId="77777777" w:rsidR="009E086F" w:rsidRPr="004C6CEE" w:rsidRDefault="009E086F" w:rsidP="00562DA7">
            <w:pPr>
              <w:widowControl/>
              <w:jc w:val="left"/>
              <w:rPr>
                <w:rFonts w:cs="Arial"/>
                <w:color w:val="000000"/>
                <w:sz w:val="20"/>
                <w:lang w:eastAsia="es-MX"/>
              </w:rPr>
            </w:pPr>
            <w:r w:rsidRPr="004C6CEE">
              <w:rPr>
                <w:rFonts w:cs="Arial"/>
                <w:sz w:val="20"/>
                <w:lang w:eastAsia="es-MX"/>
              </w:rPr>
              <w:t>No es un familiar</w:t>
            </w:r>
          </w:p>
        </w:tc>
        <w:tc>
          <w:tcPr>
            <w:tcW w:w="1600" w:type="dxa"/>
            <w:tcBorders>
              <w:top w:val="nil"/>
              <w:left w:val="nil"/>
              <w:bottom w:val="nil"/>
              <w:right w:val="nil"/>
            </w:tcBorders>
            <w:shd w:val="clear" w:color="auto" w:fill="CCE2E6"/>
            <w:vAlign w:val="center"/>
            <w:hideMark/>
          </w:tcPr>
          <w:p w14:paraId="26957E82" w14:textId="77777777" w:rsidR="009E086F" w:rsidRPr="004C6CEE" w:rsidRDefault="009E086F" w:rsidP="00562DA7">
            <w:pPr>
              <w:widowControl/>
              <w:jc w:val="center"/>
              <w:rPr>
                <w:rFonts w:cs="Arial"/>
                <w:color w:val="000000"/>
                <w:sz w:val="20"/>
                <w:lang w:eastAsia="es-MX"/>
              </w:rPr>
            </w:pPr>
            <w:r w:rsidRPr="004C6CEE">
              <w:rPr>
                <w:rFonts w:cs="Arial"/>
                <w:sz w:val="20"/>
                <w:lang w:eastAsia="es-MX"/>
              </w:rPr>
              <w:t>34.7</w:t>
            </w:r>
          </w:p>
        </w:tc>
        <w:tc>
          <w:tcPr>
            <w:tcW w:w="1600" w:type="dxa"/>
            <w:tcBorders>
              <w:top w:val="nil"/>
              <w:left w:val="nil"/>
              <w:bottom w:val="nil"/>
              <w:right w:val="nil"/>
            </w:tcBorders>
            <w:shd w:val="clear" w:color="auto" w:fill="CCE2E6"/>
            <w:vAlign w:val="center"/>
            <w:hideMark/>
          </w:tcPr>
          <w:p w14:paraId="5022F886" w14:textId="77777777" w:rsidR="009E086F" w:rsidRPr="004C6CEE" w:rsidRDefault="009E086F" w:rsidP="00562DA7">
            <w:pPr>
              <w:widowControl/>
              <w:jc w:val="center"/>
              <w:rPr>
                <w:rFonts w:cs="Arial"/>
                <w:color w:val="000000"/>
                <w:sz w:val="20"/>
                <w:lang w:eastAsia="es-MX"/>
              </w:rPr>
            </w:pPr>
            <w:r w:rsidRPr="004C6CEE">
              <w:rPr>
                <w:rFonts w:cs="Arial"/>
                <w:sz w:val="20"/>
                <w:lang w:eastAsia="es-MX"/>
              </w:rPr>
              <w:t>36.2</w:t>
            </w:r>
          </w:p>
        </w:tc>
        <w:tc>
          <w:tcPr>
            <w:tcW w:w="1600" w:type="dxa"/>
            <w:tcBorders>
              <w:top w:val="nil"/>
              <w:left w:val="nil"/>
              <w:bottom w:val="nil"/>
              <w:right w:val="nil"/>
            </w:tcBorders>
            <w:shd w:val="clear" w:color="auto" w:fill="CCE2E6"/>
            <w:vAlign w:val="center"/>
            <w:hideMark/>
          </w:tcPr>
          <w:p w14:paraId="68A50877" w14:textId="77777777" w:rsidR="009E086F" w:rsidRPr="004C6CEE" w:rsidRDefault="009E086F" w:rsidP="00562DA7">
            <w:pPr>
              <w:widowControl/>
              <w:jc w:val="center"/>
              <w:rPr>
                <w:rFonts w:cs="Arial"/>
                <w:color w:val="000000"/>
                <w:sz w:val="20"/>
                <w:lang w:eastAsia="es-MX"/>
              </w:rPr>
            </w:pPr>
            <w:r w:rsidRPr="004C6CEE">
              <w:rPr>
                <w:rFonts w:cs="Arial"/>
                <w:sz w:val="20"/>
                <w:lang w:eastAsia="es-MX"/>
              </w:rPr>
              <w:t>30.8</w:t>
            </w:r>
          </w:p>
        </w:tc>
      </w:tr>
      <w:tr w:rsidR="009E086F" w:rsidRPr="004C6CEE" w14:paraId="122CF1CD" w14:textId="77777777" w:rsidTr="00562DA7">
        <w:trPr>
          <w:trHeight w:val="300"/>
        </w:trPr>
        <w:tc>
          <w:tcPr>
            <w:tcW w:w="220" w:type="dxa"/>
            <w:tcBorders>
              <w:top w:val="nil"/>
              <w:left w:val="nil"/>
              <w:right w:val="nil"/>
            </w:tcBorders>
            <w:shd w:val="clear" w:color="auto" w:fill="CCE2E6"/>
            <w:noWrap/>
            <w:vAlign w:val="bottom"/>
            <w:hideMark/>
          </w:tcPr>
          <w:p w14:paraId="7E989D74" w14:textId="77777777" w:rsidR="009E086F" w:rsidRPr="004C6CEE" w:rsidRDefault="009E086F" w:rsidP="00562DA7">
            <w:pPr>
              <w:widowControl/>
              <w:jc w:val="left"/>
              <w:rPr>
                <w:rFonts w:ascii="Times New Roman" w:hAnsi="Times New Roman"/>
                <w:color w:val="000000"/>
                <w:sz w:val="20"/>
                <w:lang w:eastAsia="es-MX"/>
              </w:rPr>
            </w:pPr>
            <w:r w:rsidRPr="004C6CEE">
              <w:rPr>
                <w:rFonts w:ascii="Times New Roman" w:hAnsi="Times New Roman"/>
                <w:color w:val="000000"/>
                <w:sz w:val="20"/>
                <w:lang w:eastAsia="es-MX"/>
              </w:rPr>
              <w:t> </w:t>
            </w:r>
          </w:p>
        </w:tc>
        <w:tc>
          <w:tcPr>
            <w:tcW w:w="4760" w:type="dxa"/>
            <w:tcBorders>
              <w:top w:val="nil"/>
              <w:left w:val="nil"/>
              <w:right w:val="nil"/>
            </w:tcBorders>
            <w:shd w:val="clear" w:color="auto" w:fill="CCE2E6"/>
            <w:vAlign w:val="center"/>
            <w:hideMark/>
          </w:tcPr>
          <w:p w14:paraId="3FDD6978" w14:textId="77777777" w:rsidR="009E086F" w:rsidRPr="004C6CEE" w:rsidRDefault="009E086F" w:rsidP="00562DA7">
            <w:pPr>
              <w:widowControl/>
              <w:jc w:val="left"/>
              <w:rPr>
                <w:rFonts w:cs="Arial"/>
                <w:color w:val="000000"/>
                <w:sz w:val="20"/>
                <w:lang w:eastAsia="es-MX"/>
              </w:rPr>
            </w:pPr>
            <w:r w:rsidRPr="004C6CEE">
              <w:rPr>
                <w:rFonts w:cs="Arial"/>
                <w:sz w:val="20"/>
                <w:lang w:eastAsia="es-MX"/>
              </w:rPr>
              <w:t>Trabaja solo o por su cuenta</w:t>
            </w:r>
          </w:p>
        </w:tc>
        <w:tc>
          <w:tcPr>
            <w:tcW w:w="1600" w:type="dxa"/>
            <w:tcBorders>
              <w:top w:val="nil"/>
              <w:left w:val="nil"/>
              <w:right w:val="nil"/>
            </w:tcBorders>
            <w:shd w:val="clear" w:color="auto" w:fill="CCE2E6"/>
            <w:vAlign w:val="center"/>
            <w:hideMark/>
          </w:tcPr>
          <w:p w14:paraId="2C240406" w14:textId="77777777" w:rsidR="009E086F" w:rsidRPr="004C6CEE" w:rsidRDefault="009E086F" w:rsidP="00562DA7">
            <w:pPr>
              <w:widowControl/>
              <w:jc w:val="center"/>
              <w:rPr>
                <w:rFonts w:cs="Arial"/>
                <w:color w:val="000000"/>
                <w:sz w:val="20"/>
                <w:lang w:eastAsia="es-MX"/>
              </w:rPr>
            </w:pPr>
            <w:r w:rsidRPr="004C6CEE">
              <w:rPr>
                <w:rFonts w:cs="Arial"/>
                <w:sz w:val="20"/>
                <w:lang w:eastAsia="es-MX"/>
              </w:rPr>
              <w:t>4.5</w:t>
            </w:r>
          </w:p>
        </w:tc>
        <w:tc>
          <w:tcPr>
            <w:tcW w:w="1600" w:type="dxa"/>
            <w:tcBorders>
              <w:top w:val="nil"/>
              <w:left w:val="nil"/>
              <w:right w:val="nil"/>
            </w:tcBorders>
            <w:shd w:val="clear" w:color="auto" w:fill="CCE2E6"/>
            <w:vAlign w:val="center"/>
            <w:hideMark/>
          </w:tcPr>
          <w:p w14:paraId="7CBB3570" w14:textId="77777777" w:rsidR="009E086F" w:rsidRPr="004C6CEE" w:rsidRDefault="009E086F" w:rsidP="00562DA7">
            <w:pPr>
              <w:widowControl/>
              <w:jc w:val="center"/>
              <w:rPr>
                <w:rFonts w:cs="Arial"/>
                <w:color w:val="000000"/>
                <w:sz w:val="20"/>
                <w:lang w:eastAsia="es-MX"/>
              </w:rPr>
            </w:pPr>
            <w:r w:rsidRPr="004C6CEE">
              <w:rPr>
                <w:rFonts w:cs="Arial"/>
                <w:sz w:val="20"/>
                <w:lang w:eastAsia="es-MX"/>
              </w:rPr>
              <w:t>3.4</w:t>
            </w:r>
          </w:p>
        </w:tc>
        <w:tc>
          <w:tcPr>
            <w:tcW w:w="1600" w:type="dxa"/>
            <w:tcBorders>
              <w:top w:val="nil"/>
              <w:left w:val="nil"/>
              <w:right w:val="nil"/>
            </w:tcBorders>
            <w:shd w:val="clear" w:color="auto" w:fill="CCE2E6"/>
            <w:vAlign w:val="center"/>
            <w:hideMark/>
          </w:tcPr>
          <w:p w14:paraId="34FE1308" w14:textId="77777777" w:rsidR="009E086F" w:rsidRPr="004C6CEE" w:rsidRDefault="009E086F" w:rsidP="00562DA7">
            <w:pPr>
              <w:widowControl/>
              <w:jc w:val="center"/>
              <w:rPr>
                <w:rFonts w:cs="Arial"/>
                <w:color w:val="000000"/>
                <w:sz w:val="20"/>
                <w:lang w:eastAsia="es-MX"/>
              </w:rPr>
            </w:pPr>
            <w:r w:rsidRPr="004C6CEE">
              <w:rPr>
                <w:rFonts w:cs="Arial"/>
                <w:sz w:val="20"/>
                <w:lang w:eastAsia="es-MX"/>
              </w:rPr>
              <w:t>7.3</w:t>
            </w:r>
          </w:p>
        </w:tc>
      </w:tr>
      <w:tr w:rsidR="009E086F" w:rsidRPr="004C6CEE" w14:paraId="4E6181E2" w14:textId="77777777" w:rsidTr="00562DA7">
        <w:trPr>
          <w:trHeight w:val="300"/>
        </w:trPr>
        <w:tc>
          <w:tcPr>
            <w:tcW w:w="220" w:type="dxa"/>
            <w:tcBorders>
              <w:top w:val="nil"/>
              <w:left w:val="nil"/>
              <w:right w:val="nil"/>
            </w:tcBorders>
            <w:shd w:val="clear" w:color="auto" w:fill="CCE2E6"/>
            <w:vAlign w:val="center"/>
            <w:hideMark/>
          </w:tcPr>
          <w:p w14:paraId="6144FB6B" w14:textId="77777777" w:rsidR="009E086F" w:rsidRPr="004C6CEE" w:rsidRDefault="009E086F" w:rsidP="00562DA7">
            <w:pPr>
              <w:widowControl/>
              <w:jc w:val="left"/>
              <w:rPr>
                <w:rFonts w:ascii="Times New Roman" w:hAnsi="Times New Roman"/>
                <w:color w:val="000000"/>
                <w:sz w:val="20"/>
                <w:lang w:eastAsia="es-MX"/>
              </w:rPr>
            </w:pPr>
            <w:r w:rsidRPr="004C6CEE">
              <w:rPr>
                <w:rFonts w:ascii="Times New Roman" w:hAnsi="Times New Roman"/>
                <w:color w:val="000000"/>
                <w:sz w:val="20"/>
                <w:lang w:eastAsia="es-MX"/>
              </w:rPr>
              <w:t> </w:t>
            </w:r>
          </w:p>
        </w:tc>
        <w:tc>
          <w:tcPr>
            <w:tcW w:w="4760" w:type="dxa"/>
            <w:tcBorders>
              <w:top w:val="nil"/>
              <w:left w:val="nil"/>
              <w:right w:val="nil"/>
            </w:tcBorders>
            <w:shd w:val="clear" w:color="auto" w:fill="CCE2E6"/>
            <w:vAlign w:val="center"/>
            <w:hideMark/>
          </w:tcPr>
          <w:p w14:paraId="2E6E2FAF" w14:textId="77777777" w:rsidR="009E086F" w:rsidRPr="004C6CEE" w:rsidRDefault="009E086F" w:rsidP="00562DA7">
            <w:pPr>
              <w:widowControl/>
              <w:jc w:val="left"/>
              <w:rPr>
                <w:rFonts w:cs="Arial"/>
                <w:color w:val="000000"/>
                <w:sz w:val="20"/>
                <w:lang w:eastAsia="es-MX"/>
              </w:rPr>
            </w:pPr>
            <w:r w:rsidRPr="004C6CEE">
              <w:rPr>
                <w:rFonts w:cs="Arial"/>
                <w:sz w:val="20"/>
                <w:lang w:eastAsia="es-MX"/>
              </w:rPr>
              <w:t>No especificado</w:t>
            </w:r>
          </w:p>
        </w:tc>
        <w:tc>
          <w:tcPr>
            <w:tcW w:w="1600" w:type="dxa"/>
            <w:tcBorders>
              <w:top w:val="nil"/>
              <w:left w:val="nil"/>
              <w:right w:val="nil"/>
            </w:tcBorders>
            <w:shd w:val="clear" w:color="auto" w:fill="CCE2E6"/>
            <w:vAlign w:val="center"/>
            <w:hideMark/>
          </w:tcPr>
          <w:p w14:paraId="5428110F" w14:textId="77777777" w:rsidR="009E086F" w:rsidRPr="004C6CEE" w:rsidRDefault="009E086F" w:rsidP="00562DA7">
            <w:pPr>
              <w:widowControl/>
              <w:jc w:val="center"/>
              <w:rPr>
                <w:rFonts w:cs="Arial"/>
                <w:color w:val="000000"/>
                <w:sz w:val="20"/>
                <w:lang w:eastAsia="es-MX"/>
              </w:rPr>
            </w:pPr>
            <w:r w:rsidRPr="004C6CEE">
              <w:rPr>
                <w:rFonts w:cs="Arial"/>
                <w:sz w:val="20"/>
                <w:lang w:eastAsia="es-MX"/>
              </w:rPr>
              <w:t>0.2</w:t>
            </w:r>
          </w:p>
        </w:tc>
        <w:tc>
          <w:tcPr>
            <w:tcW w:w="1600" w:type="dxa"/>
            <w:tcBorders>
              <w:top w:val="nil"/>
              <w:left w:val="nil"/>
              <w:right w:val="nil"/>
            </w:tcBorders>
            <w:shd w:val="clear" w:color="auto" w:fill="CCE2E6"/>
            <w:vAlign w:val="center"/>
            <w:hideMark/>
          </w:tcPr>
          <w:p w14:paraId="2023470A" w14:textId="77777777" w:rsidR="009E086F" w:rsidRPr="004C6CEE" w:rsidRDefault="009E086F" w:rsidP="00562DA7">
            <w:pPr>
              <w:widowControl/>
              <w:jc w:val="center"/>
              <w:rPr>
                <w:rFonts w:cs="Arial"/>
                <w:color w:val="000000"/>
                <w:sz w:val="20"/>
                <w:lang w:eastAsia="es-MX"/>
              </w:rPr>
            </w:pPr>
            <w:r w:rsidRPr="004C6CEE">
              <w:rPr>
                <w:rFonts w:cs="Arial"/>
                <w:sz w:val="20"/>
                <w:lang w:eastAsia="es-MX"/>
              </w:rPr>
              <w:t>0.3</w:t>
            </w:r>
          </w:p>
        </w:tc>
        <w:tc>
          <w:tcPr>
            <w:tcW w:w="1600" w:type="dxa"/>
            <w:tcBorders>
              <w:top w:val="nil"/>
              <w:left w:val="nil"/>
              <w:right w:val="nil"/>
            </w:tcBorders>
            <w:shd w:val="clear" w:color="auto" w:fill="CCE2E6"/>
            <w:vAlign w:val="center"/>
            <w:hideMark/>
          </w:tcPr>
          <w:p w14:paraId="04691544" w14:textId="77777777" w:rsidR="009E086F" w:rsidRPr="004C6CEE" w:rsidRDefault="009E086F" w:rsidP="00562DA7">
            <w:pPr>
              <w:widowControl/>
              <w:jc w:val="center"/>
              <w:rPr>
                <w:rFonts w:cs="Arial"/>
                <w:color w:val="000000"/>
                <w:sz w:val="20"/>
                <w:lang w:eastAsia="es-MX"/>
              </w:rPr>
            </w:pPr>
            <w:r w:rsidRPr="004C6CEE">
              <w:rPr>
                <w:rFonts w:cs="Arial"/>
                <w:sz w:val="20"/>
                <w:lang w:eastAsia="es-MX"/>
              </w:rPr>
              <w:t>0.2</w:t>
            </w:r>
          </w:p>
        </w:tc>
      </w:tr>
    </w:tbl>
    <w:p w14:paraId="0DC08D14" w14:textId="5DFD58CD" w:rsidR="009E086F" w:rsidRPr="00560388" w:rsidRDefault="009E086F" w:rsidP="009E086F">
      <w:pPr>
        <w:widowControl/>
        <w:autoSpaceDE w:val="0"/>
        <w:autoSpaceDN w:val="0"/>
        <w:adjustRightInd w:val="0"/>
        <w:rPr>
          <w:rFonts w:cs="Arial"/>
          <w:color w:val="000000" w:themeColor="text1"/>
          <w:sz w:val="16"/>
          <w:szCs w:val="16"/>
        </w:rPr>
      </w:pPr>
      <w:r w:rsidRPr="00560388">
        <w:rPr>
          <w:rFonts w:cs="Arial"/>
          <w:color w:val="000000" w:themeColor="text1"/>
          <w:sz w:val="16"/>
          <w:szCs w:val="16"/>
        </w:rPr>
        <w:t>Fuente: INEGI, ENTI. 2022.</w:t>
      </w:r>
    </w:p>
    <w:p w14:paraId="702AA34D" w14:textId="77777777" w:rsidR="00341833" w:rsidRDefault="00341833" w:rsidP="00BF5562">
      <w:pPr>
        <w:widowControl/>
        <w:autoSpaceDE w:val="0"/>
        <w:autoSpaceDN w:val="0"/>
        <w:adjustRightInd w:val="0"/>
        <w:rPr>
          <w:rFonts w:cs="Arial"/>
          <w:szCs w:val="24"/>
        </w:rPr>
      </w:pPr>
    </w:p>
    <w:p w14:paraId="7F532414" w14:textId="7101D157" w:rsidR="008011F7" w:rsidRDefault="00C33BDE" w:rsidP="00E213E7">
      <w:pPr>
        <w:widowControl/>
        <w:autoSpaceDE w:val="0"/>
        <w:autoSpaceDN w:val="0"/>
        <w:adjustRightInd w:val="0"/>
        <w:ind w:right="51"/>
        <w:rPr>
          <w:rFonts w:cs="Arial"/>
          <w:color w:val="000000"/>
          <w:szCs w:val="24"/>
        </w:rPr>
      </w:pPr>
      <w:r>
        <w:rPr>
          <w:rFonts w:cs="Arial"/>
          <w:color w:val="000000"/>
          <w:szCs w:val="24"/>
        </w:rPr>
        <w:t>L</w:t>
      </w:r>
      <w:r w:rsidR="0039412B">
        <w:rPr>
          <w:rFonts w:cs="Arial"/>
          <w:color w:val="000000"/>
          <w:szCs w:val="24"/>
        </w:rPr>
        <w:t xml:space="preserve">a distribución porcentual de los empleadores de </w:t>
      </w:r>
      <w:r w:rsidR="00C53C90">
        <w:rPr>
          <w:rFonts w:cs="Arial"/>
          <w:color w:val="000000"/>
          <w:szCs w:val="24"/>
        </w:rPr>
        <w:t>niñas</w:t>
      </w:r>
      <w:r w:rsidR="00C06125">
        <w:rPr>
          <w:rFonts w:cs="Arial"/>
          <w:color w:val="000000"/>
          <w:szCs w:val="24"/>
        </w:rPr>
        <w:t xml:space="preserve">, </w:t>
      </w:r>
      <w:r w:rsidR="00C53C90">
        <w:rPr>
          <w:rFonts w:cs="Arial"/>
          <w:color w:val="000000"/>
          <w:szCs w:val="24"/>
        </w:rPr>
        <w:t>niños</w:t>
      </w:r>
      <w:r w:rsidR="0039412B">
        <w:rPr>
          <w:rFonts w:cs="Arial"/>
          <w:color w:val="000000"/>
          <w:szCs w:val="24"/>
        </w:rPr>
        <w:t xml:space="preserve"> </w:t>
      </w:r>
      <w:r w:rsidR="00C06125">
        <w:rPr>
          <w:rFonts w:cs="Arial"/>
          <w:color w:val="000000"/>
          <w:szCs w:val="24"/>
        </w:rPr>
        <w:t xml:space="preserve">y adolescentes </w:t>
      </w:r>
      <w:r w:rsidR="0039412B">
        <w:rPr>
          <w:rFonts w:cs="Arial"/>
          <w:color w:val="000000"/>
          <w:szCs w:val="24"/>
        </w:rPr>
        <w:t xml:space="preserve">en la ocupación no permitida </w:t>
      </w:r>
      <w:r w:rsidR="00DE595C">
        <w:rPr>
          <w:rFonts w:cs="Arial"/>
          <w:color w:val="000000"/>
          <w:szCs w:val="24"/>
        </w:rPr>
        <w:t>mostró que</w:t>
      </w:r>
      <w:r w:rsidR="0039412B">
        <w:rPr>
          <w:rFonts w:cs="Arial"/>
          <w:color w:val="000000"/>
          <w:szCs w:val="24"/>
        </w:rPr>
        <w:t xml:space="preserve"> </w:t>
      </w:r>
      <w:r w:rsidR="0034012C">
        <w:rPr>
          <w:rFonts w:cs="Arial"/>
          <w:color w:val="000000"/>
          <w:szCs w:val="24"/>
        </w:rPr>
        <w:t>de</w:t>
      </w:r>
      <w:r>
        <w:rPr>
          <w:rFonts w:cs="Arial"/>
          <w:color w:val="000000"/>
          <w:szCs w:val="24"/>
        </w:rPr>
        <w:t xml:space="preserve"> 2019 </w:t>
      </w:r>
      <w:r w:rsidR="0034012C">
        <w:rPr>
          <w:rFonts w:cs="Arial"/>
          <w:color w:val="000000"/>
          <w:szCs w:val="24"/>
        </w:rPr>
        <w:t xml:space="preserve">a 2022 </w:t>
      </w:r>
      <w:r w:rsidR="0039412B">
        <w:rPr>
          <w:rFonts w:cs="Arial"/>
          <w:color w:val="000000"/>
          <w:szCs w:val="24"/>
        </w:rPr>
        <w:t xml:space="preserve">el porcentaje de empleadores familiares </w:t>
      </w:r>
      <w:r w:rsidR="00DE595C">
        <w:rPr>
          <w:rFonts w:cs="Arial"/>
          <w:color w:val="000000"/>
          <w:szCs w:val="24"/>
        </w:rPr>
        <w:t xml:space="preserve">aumentó </w:t>
      </w:r>
      <w:r w:rsidR="0039412B">
        <w:rPr>
          <w:rFonts w:cs="Arial"/>
          <w:color w:val="000000"/>
          <w:szCs w:val="24"/>
        </w:rPr>
        <w:t xml:space="preserve">de </w:t>
      </w:r>
      <w:r w:rsidR="00207AD8">
        <w:rPr>
          <w:rFonts w:cs="Arial"/>
          <w:color w:val="000000"/>
          <w:szCs w:val="24"/>
        </w:rPr>
        <w:t>56.2</w:t>
      </w:r>
      <w:r w:rsidR="0039412B">
        <w:rPr>
          <w:rFonts w:cs="Arial"/>
          <w:color w:val="000000"/>
          <w:szCs w:val="24"/>
        </w:rPr>
        <w:t xml:space="preserve"> a 60.6 %</w:t>
      </w:r>
      <w:r w:rsidR="0034012C">
        <w:rPr>
          <w:rFonts w:cs="Arial"/>
          <w:color w:val="000000"/>
          <w:szCs w:val="24"/>
        </w:rPr>
        <w:t xml:space="preserve"> respectivamente</w:t>
      </w:r>
      <w:r w:rsidR="00DE595C">
        <w:rPr>
          <w:rFonts w:cs="Arial"/>
          <w:color w:val="000000"/>
          <w:szCs w:val="24"/>
        </w:rPr>
        <w:t>. E</w:t>
      </w:r>
      <w:r w:rsidR="0039412B">
        <w:rPr>
          <w:rFonts w:cs="Arial"/>
          <w:color w:val="000000"/>
          <w:szCs w:val="24"/>
        </w:rPr>
        <w:t xml:space="preserve">n </w:t>
      </w:r>
      <w:r w:rsidR="00DE595C">
        <w:rPr>
          <w:rFonts w:cs="Arial"/>
          <w:color w:val="000000"/>
          <w:szCs w:val="24"/>
        </w:rPr>
        <w:t>contraste</w:t>
      </w:r>
      <w:r w:rsidR="0039412B">
        <w:rPr>
          <w:rFonts w:cs="Arial"/>
          <w:color w:val="000000"/>
          <w:szCs w:val="24"/>
        </w:rPr>
        <w:t xml:space="preserve">, los empleadores no familiares </w:t>
      </w:r>
      <w:r w:rsidR="00DE595C">
        <w:rPr>
          <w:rFonts w:cs="Arial"/>
          <w:color w:val="000000"/>
          <w:szCs w:val="24"/>
        </w:rPr>
        <w:t xml:space="preserve">disminuyeron </w:t>
      </w:r>
      <w:r w:rsidR="0039412B">
        <w:rPr>
          <w:rFonts w:cs="Arial"/>
          <w:color w:val="000000"/>
          <w:szCs w:val="24"/>
        </w:rPr>
        <w:t>de 3</w:t>
      </w:r>
      <w:r w:rsidR="00207AD8">
        <w:rPr>
          <w:rFonts w:cs="Arial"/>
          <w:color w:val="000000"/>
          <w:szCs w:val="24"/>
        </w:rPr>
        <w:t>8</w:t>
      </w:r>
      <w:r w:rsidR="00E213E7">
        <w:rPr>
          <w:rFonts w:cs="Arial"/>
          <w:color w:val="000000"/>
          <w:szCs w:val="24"/>
        </w:rPr>
        <w:t>.0</w:t>
      </w:r>
      <w:r w:rsidR="0039412B">
        <w:rPr>
          <w:rFonts w:cs="Arial"/>
          <w:color w:val="000000"/>
          <w:szCs w:val="24"/>
        </w:rPr>
        <w:t xml:space="preserve"> a 34.7 % </w:t>
      </w:r>
      <w:r w:rsidR="0034012C">
        <w:rPr>
          <w:rFonts w:cs="Arial"/>
          <w:color w:val="000000"/>
          <w:szCs w:val="24"/>
        </w:rPr>
        <w:t xml:space="preserve">de 2019 a </w:t>
      </w:r>
      <w:r w:rsidR="0039412B">
        <w:rPr>
          <w:rFonts w:cs="Arial"/>
          <w:color w:val="000000"/>
          <w:szCs w:val="24"/>
        </w:rPr>
        <w:t>2022</w:t>
      </w:r>
      <w:r w:rsidR="00E555D9">
        <w:rPr>
          <w:rFonts w:cs="Arial"/>
          <w:color w:val="000000"/>
          <w:szCs w:val="24"/>
        </w:rPr>
        <w:t xml:space="preserve"> </w:t>
      </w:r>
      <w:r w:rsidR="00E555D9">
        <w:rPr>
          <w:rFonts w:cs="Arial"/>
          <w:szCs w:val="24"/>
        </w:rPr>
        <w:t>(ver gráfica 12)</w:t>
      </w:r>
      <w:r w:rsidR="0039412B">
        <w:rPr>
          <w:rFonts w:cs="Arial"/>
          <w:color w:val="000000"/>
          <w:szCs w:val="24"/>
        </w:rPr>
        <w:t>.</w:t>
      </w:r>
    </w:p>
    <w:p w14:paraId="279ACCEC" w14:textId="77777777" w:rsidR="0039412B" w:rsidRDefault="0039412B" w:rsidP="00BF5562">
      <w:pPr>
        <w:widowControl/>
        <w:autoSpaceDE w:val="0"/>
        <w:autoSpaceDN w:val="0"/>
        <w:adjustRightInd w:val="0"/>
        <w:rPr>
          <w:rFonts w:cs="Arial"/>
          <w:color w:val="000000"/>
          <w:szCs w:val="24"/>
        </w:rPr>
      </w:pPr>
    </w:p>
    <w:p w14:paraId="500AA7E2" w14:textId="77777777" w:rsidR="00E213E7" w:rsidRDefault="00E213E7" w:rsidP="00BF5562">
      <w:pPr>
        <w:widowControl/>
        <w:autoSpaceDE w:val="0"/>
        <w:autoSpaceDN w:val="0"/>
        <w:adjustRightInd w:val="0"/>
        <w:rPr>
          <w:rFonts w:cs="Arial"/>
          <w:color w:val="000000"/>
          <w:szCs w:val="24"/>
        </w:rPr>
      </w:pPr>
    </w:p>
    <w:p w14:paraId="5AECC660" w14:textId="77777777" w:rsidR="00B1333D" w:rsidRPr="00E213E7" w:rsidRDefault="00B1333D" w:rsidP="00E213E7">
      <w:pPr>
        <w:widowControl/>
        <w:autoSpaceDE w:val="0"/>
        <w:autoSpaceDN w:val="0"/>
        <w:adjustRightInd w:val="0"/>
        <w:jc w:val="center"/>
        <w:rPr>
          <w:rFonts w:cs="Arial"/>
          <w:color w:val="000000"/>
          <w:sz w:val="20"/>
        </w:rPr>
      </w:pPr>
      <w:r w:rsidRPr="00E213E7">
        <w:rPr>
          <w:rFonts w:cs="Arial"/>
          <w:color w:val="000000"/>
          <w:sz w:val="20"/>
        </w:rPr>
        <w:t>Gráfica 12</w:t>
      </w:r>
    </w:p>
    <w:p w14:paraId="7DDE36D6" w14:textId="77777777" w:rsidR="00E213E7" w:rsidRDefault="00B1333D" w:rsidP="00E213E7">
      <w:pPr>
        <w:widowControl/>
        <w:autoSpaceDE w:val="0"/>
        <w:autoSpaceDN w:val="0"/>
        <w:adjustRightInd w:val="0"/>
        <w:jc w:val="center"/>
        <w:rPr>
          <w:rFonts w:cs="Arial"/>
          <w:b/>
          <w:bCs/>
          <w:smallCaps/>
          <w:color w:val="000000" w:themeColor="text1"/>
          <w:sz w:val="22"/>
          <w:szCs w:val="22"/>
        </w:rPr>
      </w:pPr>
      <w:r w:rsidRPr="00E213E7">
        <w:rPr>
          <w:rFonts w:cs="Arial"/>
          <w:b/>
          <w:bCs/>
          <w:smallCaps/>
          <w:color w:val="000000"/>
          <w:sz w:val="22"/>
          <w:szCs w:val="22"/>
        </w:rPr>
        <w:t>Personas en alguna o</w:t>
      </w:r>
      <w:r w:rsidRPr="00E213E7">
        <w:rPr>
          <w:rFonts w:cs="Arial"/>
          <w:b/>
          <w:bCs/>
          <w:smallCaps/>
          <w:color w:val="000000" w:themeColor="text1"/>
          <w:sz w:val="22"/>
          <w:szCs w:val="22"/>
        </w:rPr>
        <w:t xml:space="preserve">cupación no permitida por persona para la que trabaja, </w:t>
      </w:r>
      <w:r w:rsidR="002E3423" w:rsidRPr="00E213E7">
        <w:rPr>
          <w:rFonts w:cs="Arial"/>
          <w:b/>
          <w:bCs/>
          <w:smallCaps/>
          <w:color w:val="000000" w:themeColor="text1"/>
          <w:sz w:val="22"/>
          <w:szCs w:val="22"/>
        </w:rPr>
        <w:t xml:space="preserve">             </w:t>
      </w:r>
    </w:p>
    <w:p w14:paraId="48832EFC" w14:textId="7EBB98B4" w:rsidR="00B1333D" w:rsidRPr="00E213E7" w:rsidRDefault="00B1333D" w:rsidP="00E213E7">
      <w:pPr>
        <w:widowControl/>
        <w:autoSpaceDE w:val="0"/>
        <w:autoSpaceDN w:val="0"/>
        <w:adjustRightInd w:val="0"/>
        <w:jc w:val="center"/>
        <w:rPr>
          <w:rFonts w:cs="Arial"/>
          <w:b/>
          <w:bCs/>
          <w:smallCaps/>
          <w:color w:val="000000" w:themeColor="text1"/>
          <w:sz w:val="22"/>
          <w:szCs w:val="22"/>
        </w:rPr>
      </w:pPr>
      <w:r w:rsidRPr="00E213E7">
        <w:rPr>
          <w:rFonts w:cs="Arial"/>
          <w:b/>
          <w:bCs/>
          <w:smallCaps/>
          <w:color w:val="000000" w:themeColor="text1"/>
          <w:sz w:val="22"/>
          <w:szCs w:val="22"/>
        </w:rPr>
        <w:t xml:space="preserve">2019 </w:t>
      </w:r>
      <w:proofErr w:type="gramStart"/>
      <w:r w:rsidRPr="00E213E7">
        <w:rPr>
          <w:rFonts w:cs="Arial"/>
          <w:b/>
          <w:bCs/>
          <w:smallCaps/>
          <w:color w:val="000000" w:themeColor="text1"/>
          <w:sz w:val="22"/>
          <w:szCs w:val="22"/>
        </w:rPr>
        <w:t>y</w:t>
      </w:r>
      <w:proofErr w:type="gramEnd"/>
      <w:r w:rsidRPr="00E213E7">
        <w:rPr>
          <w:rFonts w:cs="Arial"/>
          <w:b/>
          <w:bCs/>
          <w:smallCaps/>
          <w:color w:val="000000" w:themeColor="text1"/>
          <w:sz w:val="22"/>
          <w:szCs w:val="22"/>
        </w:rPr>
        <w:t xml:space="preserve"> 2022</w:t>
      </w:r>
    </w:p>
    <w:p w14:paraId="6BAE58C7" w14:textId="77777777" w:rsidR="00B1333D" w:rsidRPr="005E25D0" w:rsidRDefault="00B1333D" w:rsidP="00E213E7">
      <w:pPr>
        <w:widowControl/>
        <w:autoSpaceDE w:val="0"/>
        <w:autoSpaceDN w:val="0"/>
        <w:adjustRightInd w:val="0"/>
        <w:ind w:left="142" w:right="51" w:hanging="142"/>
        <w:jc w:val="center"/>
        <w:rPr>
          <w:rFonts w:cs="Arial"/>
          <w:bCs/>
          <w:sz w:val="18"/>
          <w:szCs w:val="18"/>
        </w:rPr>
      </w:pPr>
      <w:r w:rsidRPr="005E25D0">
        <w:rPr>
          <w:rFonts w:cs="Arial"/>
          <w:bCs/>
          <w:sz w:val="18"/>
          <w:szCs w:val="18"/>
        </w:rPr>
        <w:t>(distribución porcentual)</w:t>
      </w:r>
    </w:p>
    <w:p w14:paraId="1A90C554" w14:textId="6D3E8E38" w:rsidR="00B1333D" w:rsidRPr="000C64BD" w:rsidRDefault="003A0142" w:rsidP="00B1333D">
      <w:pPr>
        <w:widowControl/>
        <w:autoSpaceDE w:val="0"/>
        <w:autoSpaceDN w:val="0"/>
        <w:adjustRightInd w:val="0"/>
        <w:jc w:val="center"/>
        <w:rPr>
          <w:rFonts w:cs="Arial"/>
          <w:b/>
          <w:bCs/>
          <w:color w:val="000000" w:themeColor="text1"/>
          <w:szCs w:val="24"/>
        </w:rPr>
      </w:pPr>
      <w:r>
        <w:rPr>
          <w:noProof/>
        </w:rPr>
        <w:drawing>
          <wp:inline distT="0" distB="0" distL="0" distR="0" wp14:anchorId="1A167780" wp14:editId="3B0201A6">
            <wp:extent cx="6124575" cy="2505075"/>
            <wp:effectExtent l="0" t="0" r="0" b="0"/>
            <wp:docPr id="777210636" name="Gráfico 1">
              <a:extLst xmlns:a="http://schemas.openxmlformats.org/drawingml/2006/main">
                <a:ext uri="{FF2B5EF4-FFF2-40B4-BE49-F238E27FC236}">
                  <a16:creationId xmlns:a16="http://schemas.microsoft.com/office/drawing/2014/main" id="{B1BA8824-6578-42E8-88F6-A22C9FC82F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3EEEE4E2" w14:textId="37B22B86" w:rsidR="00B1333D" w:rsidRPr="00F11465" w:rsidRDefault="00D43DE3" w:rsidP="00D43DE3">
      <w:pPr>
        <w:widowControl/>
        <w:autoSpaceDE w:val="0"/>
        <w:autoSpaceDN w:val="0"/>
        <w:adjustRightInd w:val="0"/>
        <w:spacing w:line="276" w:lineRule="auto"/>
        <w:ind w:right="900"/>
        <w:rPr>
          <w:rFonts w:cs="Arial"/>
          <w:color w:val="000000"/>
          <w:sz w:val="16"/>
          <w:szCs w:val="16"/>
        </w:rPr>
      </w:pPr>
      <w:r>
        <w:rPr>
          <w:rFonts w:cs="Arial"/>
          <w:color w:val="000000"/>
          <w:sz w:val="16"/>
          <w:szCs w:val="16"/>
        </w:rPr>
        <w:t xml:space="preserve">     </w:t>
      </w:r>
      <w:r w:rsidR="00B1333D" w:rsidRPr="00F11465">
        <w:rPr>
          <w:rFonts w:cs="Arial"/>
          <w:color w:val="000000"/>
          <w:sz w:val="16"/>
          <w:szCs w:val="16"/>
        </w:rPr>
        <w:t xml:space="preserve">Nota: </w:t>
      </w:r>
      <w:r w:rsidR="00B1333D" w:rsidRPr="00F11465">
        <w:rPr>
          <w:rFonts w:cs="Arial"/>
          <w:color w:val="000000"/>
          <w:sz w:val="16"/>
          <w:szCs w:val="16"/>
        </w:rPr>
        <w:tab/>
      </w:r>
      <w:r w:rsidR="00E213E7">
        <w:rPr>
          <w:rFonts w:cs="Arial"/>
          <w:color w:val="000000"/>
          <w:sz w:val="16"/>
          <w:szCs w:val="16"/>
        </w:rPr>
        <w:t xml:space="preserve">   </w:t>
      </w:r>
      <w:r w:rsidR="00B1333D" w:rsidRPr="00F11465">
        <w:rPr>
          <w:rFonts w:cs="Arial"/>
          <w:color w:val="000000"/>
          <w:sz w:val="16"/>
          <w:szCs w:val="16"/>
        </w:rPr>
        <w:t xml:space="preserve">Los porcentajes no suman 100 % debido a que no se incluye el rubro </w:t>
      </w:r>
      <w:r w:rsidR="00B1333D" w:rsidRPr="00B1333D">
        <w:rPr>
          <w:rFonts w:cs="Arial"/>
          <w:color w:val="000000"/>
          <w:sz w:val="16"/>
          <w:szCs w:val="16"/>
        </w:rPr>
        <w:t>«</w:t>
      </w:r>
      <w:r w:rsidR="00B1333D" w:rsidRPr="00F11465">
        <w:rPr>
          <w:rFonts w:cs="Arial"/>
          <w:color w:val="000000"/>
          <w:sz w:val="16"/>
          <w:szCs w:val="16"/>
        </w:rPr>
        <w:t>No especificado</w:t>
      </w:r>
      <w:r w:rsidR="00B1333D" w:rsidRPr="00B1333D">
        <w:rPr>
          <w:rFonts w:cs="Arial"/>
          <w:color w:val="000000"/>
          <w:sz w:val="16"/>
          <w:szCs w:val="16"/>
        </w:rPr>
        <w:t>»</w:t>
      </w:r>
      <w:r w:rsidR="00B1333D" w:rsidRPr="00F11465">
        <w:rPr>
          <w:rFonts w:cs="Arial"/>
          <w:color w:val="000000"/>
          <w:sz w:val="16"/>
          <w:szCs w:val="16"/>
        </w:rPr>
        <w:t>.</w:t>
      </w:r>
    </w:p>
    <w:p w14:paraId="058F3E30" w14:textId="2AD564A8" w:rsidR="00B30612" w:rsidRDefault="00D43DE3" w:rsidP="00D43DE3">
      <w:pPr>
        <w:widowControl/>
        <w:autoSpaceDE w:val="0"/>
        <w:autoSpaceDN w:val="0"/>
        <w:adjustRightInd w:val="0"/>
        <w:rPr>
          <w:rFonts w:cs="Arial"/>
          <w:color w:val="000000"/>
          <w:szCs w:val="24"/>
        </w:rPr>
      </w:pPr>
      <w:r>
        <w:rPr>
          <w:rFonts w:cs="Arial"/>
          <w:color w:val="000000" w:themeColor="text1"/>
          <w:sz w:val="16"/>
          <w:szCs w:val="16"/>
        </w:rPr>
        <w:t xml:space="preserve">     </w:t>
      </w:r>
      <w:r w:rsidR="00B1333D" w:rsidRPr="00CD6FE9">
        <w:rPr>
          <w:rFonts w:cs="Arial"/>
          <w:color w:val="000000" w:themeColor="text1"/>
          <w:sz w:val="16"/>
          <w:szCs w:val="16"/>
        </w:rPr>
        <w:t>Fuente:</w:t>
      </w:r>
      <w:r>
        <w:rPr>
          <w:rFonts w:cs="Arial"/>
          <w:color w:val="000000" w:themeColor="text1"/>
          <w:sz w:val="16"/>
          <w:szCs w:val="16"/>
        </w:rPr>
        <w:t xml:space="preserve"> </w:t>
      </w:r>
      <w:r w:rsidR="00B1333D" w:rsidRPr="00CD6FE9">
        <w:rPr>
          <w:rFonts w:cs="Arial"/>
          <w:color w:val="000000" w:themeColor="text1"/>
          <w:sz w:val="16"/>
          <w:szCs w:val="16"/>
        </w:rPr>
        <w:t>INEGI, ENTI</w:t>
      </w:r>
      <w:r w:rsidR="00AD4C8D">
        <w:rPr>
          <w:rFonts w:cs="Arial"/>
          <w:color w:val="000000" w:themeColor="text1"/>
          <w:sz w:val="16"/>
          <w:szCs w:val="16"/>
        </w:rPr>
        <w:t>.</w:t>
      </w:r>
      <w:r w:rsidR="00B1333D" w:rsidRPr="00CD6FE9">
        <w:rPr>
          <w:rFonts w:cs="Arial"/>
          <w:color w:val="000000" w:themeColor="text1"/>
          <w:sz w:val="16"/>
          <w:szCs w:val="16"/>
        </w:rPr>
        <w:t xml:space="preserve"> 2019 y 2022.</w:t>
      </w:r>
    </w:p>
    <w:p w14:paraId="67C90AD6" w14:textId="77777777" w:rsidR="00CE32D5" w:rsidRDefault="00CE32D5" w:rsidP="00BF5349">
      <w:pPr>
        <w:widowControl/>
        <w:autoSpaceDE w:val="0"/>
        <w:autoSpaceDN w:val="0"/>
        <w:adjustRightInd w:val="0"/>
        <w:rPr>
          <w:rFonts w:cs="Arial"/>
          <w:color w:val="000000"/>
          <w:szCs w:val="24"/>
        </w:rPr>
      </w:pPr>
    </w:p>
    <w:p w14:paraId="4B5FA0F0" w14:textId="50D4A865" w:rsidR="00791592" w:rsidRPr="00341833" w:rsidRDefault="00791592" w:rsidP="00E213E7">
      <w:pPr>
        <w:widowControl/>
        <w:autoSpaceDE w:val="0"/>
        <w:autoSpaceDN w:val="0"/>
        <w:adjustRightInd w:val="0"/>
        <w:ind w:right="51"/>
        <w:rPr>
          <w:rFonts w:cs="Arial"/>
          <w:color w:val="000000"/>
          <w:szCs w:val="24"/>
        </w:rPr>
      </w:pPr>
      <w:r w:rsidRPr="00341833">
        <w:rPr>
          <w:rFonts w:cs="Arial"/>
          <w:color w:val="000000"/>
          <w:szCs w:val="24"/>
        </w:rPr>
        <w:t xml:space="preserve">Entre las consecuencias para el niño o la niña </w:t>
      </w:r>
      <w:r w:rsidR="00572CC0" w:rsidRPr="00341833">
        <w:rPr>
          <w:rFonts w:cs="Arial"/>
          <w:color w:val="000000"/>
          <w:szCs w:val="24"/>
        </w:rPr>
        <w:t xml:space="preserve">en caso de que </w:t>
      </w:r>
      <w:r w:rsidRPr="00341833">
        <w:rPr>
          <w:rFonts w:cs="Arial"/>
          <w:color w:val="000000"/>
          <w:szCs w:val="24"/>
        </w:rPr>
        <w:t>dejar</w:t>
      </w:r>
      <w:r w:rsidR="003B7C79" w:rsidRPr="00341833">
        <w:rPr>
          <w:rFonts w:cs="Arial"/>
          <w:color w:val="000000"/>
          <w:szCs w:val="24"/>
        </w:rPr>
        <w:t>a</w:t>
      </w:r>
      <w:r w:rsidRPr="00341833">
        <w:rPr>
          <w:rFonts w:cs="Arial"/>
          <w:color w:val="000000"/>
          <w:szCs w:val="24"/>
        </w:rPr>
        <w:t xml:space="preserve">n de trabajar, destaca que </w:t>
      </w:r>
      <w:r w:rsidR="00BF5562" w:rsidRPr="00341833">
        <w:rPr>
          <w:rFonts w:cs="Arial"/>
          <w:color w:val="000000"/>
          <w:szCs w:val="24"/>
        </w:rPr>
        <w:t>no tendría dinero para sus gastos o diversión (</w:t>
      </w:r>
      <w:r w:rsidRPr="00341833">
        <w:rPr>
          <w:rFonts w:cs="Arial"/>
          <w:color w:val="000000"/>
          <w:szCs w:val="24"/>
        </w:rPr>
        <w:t>23</w:t>
      </w:r>
      <w:r w:rsidR="00BF5562" w:rsidRPr="00341833">
        <w:rPr>
          <w:rFonts w:cs="Arial"/>
          <w:color w:val="000000"/>
          <w:szCs w:val="24"/>
        </w:rPr>
        <w:t>.0</w:t>
      </w:r>
      <w:r w:rsidRPr="00341833">
        <w:rPr>
          <w:rFonts w:cs="Arial"/>
          <w:color w:val="000000"/>
          <w:szCs w:val="24"/>
        </w:rPr>
        <w:t xml:space="preserve"> %</w:t>
      </w:r>
      <w:r w:rsidR="00BF5562" w:rsidRPr="00341833">
        <w:rPr>
          <w:rFonts w:cs="Arial"/>
          <w:color w:val="000000"/>
          <w:szCs w:val="24"/>
        </w:rPr>
        <w:t>),</w:t>
      </w:r>
      <w:r w:rsidRPr="00341833">
        <w:rPr>
          <w:rFonts w:cs="Arial"/>
          <w:color w:val="000000"/>
          <w:szCs w:val="24"/>
        </w:rPr>
        <w:t xml:space="preserve"> no tendría dinero para vestirse o calzarse </w:t>
      </w:r>
      <w:r w:rsidR="00BF5562" w:rsidRPr="00341833">
        <w:rPr>
          <w:rFonts w:cs="Arial"/>
          <w:color w:val="000000"/>
          <w:szCs w:val="24"/>
        </w:rPr>
        <w:t>(22.2 %)</w:t>
      </w:r>
      <w:r w:rsidR="003A3F8F" w:rsidRPr="00341833">
        <w:rPr>
          <w:rFonts w:cs="Arial"/>
          <w:color w:val="000000"/>
          <w:szCs w:val="24"/>
        </w:rPr>
        <w:t xml:space="preserve"> </w:t>
      </w:r>
      <w:r w:rsidRPr="00341833">
        <w:rPr>
          <w:rFonts w:cs="Arial"/>
          <w:color w:val="000000"/>
          <w:szCs w:val="24"/>
        </w:rPr>
        <w:t>y no aprendería un oficio</w:t>
      </w:r>
      <w:r w:rsidR="00BF5562" w:rsidRPr="00341833">
        <w:rPr>
          <w:rFonts w:cs="Arial"/>
          <w:color w:val="000000"/>
          <w:szCs w:val="24"/>
        </w:rPr>
        <w:t xml:space="preserve"> (12.2 %)</w:t>
      </w:r>
      <w:r w:rsidR="000C6577" w:rsidRPr="00341833">
        <w:rPr>
          <w:rFonts w:cs="Arial"/>
          <w:color w:val="000000"/>
          <w:szCs w:val="24"/>
        </w:rPr>
        <w:t>.</w:t>
      </w:r>
      <w:r w:rsidR="004C2194" w:rsidRPr="00341833">
        <w:rPr>
          <w:rFonts w:cs="Arial"/>
          <w:color w:val="000000"/>
          <w:szCs w:val="24"/>
        </w:rPr>
        <w:t xml:space="preserve"> </w:t>
      </w:r>
      <w:r w:rsidR="000C6577" w:rsidRPr="00341833">
        <w:rPr>
          <w:rFonts w:cs="Arial"/>
          <w:color w:val="000000"/>
          <w:szCs w:val="24"/>
        </w:rPr>
        <w:t>En el caso de l</w:t>
      </w:r>
      <w:r w:rsidR="009553AC" w:rsidRPr="00341833">
        <w:rPr>
          <w:rFonts w:cs="Arial"/>
          <w:color w:val="000000"/>
          <w:szCs w:val="24"/>
        </w:rPr>
        <w:t>a</w:t>
      </w:r>
      <w:r w:rsidR="000C6577" w:rsidRPr="00341833">
        <w:rPr>
          <w:rFonts w:cs="Arial"/>
          <w:color w:val="000000"/>
          <w:szCs w:val="24"/>
        </w:rPr>
        <w:t>s niñ</w:t>
      </w:r>
      <w:r w:rsidR="009547B5" w:rsidRPr="00341833">
        <w:rPr>
          <w:rFonts w:cs="Arial"/>
          <w:color w:val="000000"/>
          <w:szCs w:val="24"/>
        </w:rPr>
        <w:t>a</w:t>
      </w:r>
      <w:r w:rsidR="000C6577" w:rsidRPr="00341833">
        <w:rPr>
          <w:rFonts w:cs="Arial"/>
          <w:color w:val="000000"/>
          <w:szCs w:val="24"/>
        </w:rPr>
        <w:t>s la principal consecuencia fue que no tendría dinero para sus gastos o diversión</w:t>
      </w:r>
      <w:r w:rsidR="00BF5349" w:rsidRPr="00341833">
        <w:rPr>
          <w:rFonts w:cs="Arial"/>
          <w:color w:val="000000"/>
          <w:szCs w:val="24"/>
        </w:rPr>
        <w:t xml:space="preserve">, </w:t>
      </w:r>
      <w:r w:rsidR="000C6577" w:rsidRPr="00341833">
        <w:rPr>
          <w:rFonts w:cs="Arial"/>
          <w:color w:val="000000"/>
          <w:szCs w:val="24"/>
        </w:rPr>
        <w:t xml:space="preserve">con </w:t>
      </w:r>
      <w:r w:rsidR="004077AC" w:rsidRPr="00341833">
        <w:rPr>
          <w:rFonts w:cs="Arial"/>
          <w:color w:val="000000"/>
          <w:szCs w:val="24"/>
        </w:rPr>
        <w:t>24.2</w:t>
      </w:r>
      <w:r w:rsidR="000C6577" w:rsidRPr="00341833">
        <w:rPr>
          <w:rFonts w:cs="Arial"/>
          <w:color w:val="000000"/>
          <w:szCs w:val="24"/>
        </w:rPr>
        <w:t xml:space="preserve"> %, mientras que en </w:t>
      </w:r>
      <w:r w:rsidR="009553AC" w:rsidRPr="00341833">
        <w:rPr>
          <w:rFonts w:cs="Arial"/>
          <w:color w:val="000000"/>
          <w:szCs w:val="24"/>
        </w:rPr>
        <w:t xml:space="preserve">los </w:t>
      </w:r>
      <w:r w:rsidR="000C6577" w:rsidRPr="00341833">
        <w:rPr>
          <w:rFonts w:cs="Arial"/>
          <w:color w:val="000000"/>
          <w:szCs w:val="24"/>
        </w:rPr>
        <w:t>niñ</w:t>
      </w:r>
      <w:r w:rsidR="004077AC" w:rsidRPr="00341833">
        <w:rPr>
          <w:rFonts w:cs="Arial"/>
          <w:color w:val="000000"/>
          <w:szCs w:val="24"/>
        </w:rPr>
        <w:t>o</w:t>
      </w:r>
      <w:r w:rsidR="000C6577" w:rsidRPr="00341833">
        <w:rPr>
          <w:rFonts w:cs="Arial"/>
          <w:color w:val="000000"/>
          <w:szCs w:val="24"/>
        </w:rPr>
        <w:t>s fue que no tendría dinero para vestirse o calzarse</w:t>
      </w:r>
      <w:r w:rsidR="00BF5349" w:rsidRPr="00341833">
        <w:rPr>
          <w:rFonts w:cs="Arial"/>
          <w:color w:val="000000"/>
          <w:szCs w:val="24"/>
        </w:rPr>
        <w:t>,</w:t>
      </w:r>
      <w:r w:rsidR="000C6577" w:rsidRPr="00341833">
        <w:rPr>
          <w:rFonts w:cs="Arial"/>
          <w:color w:val="000000"/>
          <w:szCs w:val="24"/>
        </w:rPr>
        <w:t xml:space="preserve"> con </w:t>
      </w:r>
      <w:r w:rsidR="004077AC" w:rsidRPr="00341833">
        <w:rPr>
          <w:rFonts w:cs="Arial"/>
          <w:color w:val="000000"/>
          <w:szCs w:val="24"/>
        </w:rPr>
        <w:t>22.7</w:t>
      </w:r>
      <w:r w:rsidR="006534BE" w:rsidRPr="00341833">
        <w:rPr>
          <w:rFonts w:cs="Arial"/>
          <w:color w:val="000000"/>
          <w:szCs w:val="24"/>
        </w:rPr>
        <w:t xml:space="preserve"> </w:t>
      </w:r>
      <w:r w:rsidR="000C6577" w:rsidRPr="00341833">
        <w:rPr>
          <w:rFonts w:cs="Arial"/>
          <w:color w:val="000000"/>
          <w:szCs w:val="24"/>
        </w:rPr>
        <w:t>por ciento.</w:t>
      </w:r>
      <w:r w:rsidR="004C2194" w:rsidRPr="00341833">
        <w:rPr>
          <w:rFonts w:cs="Arial"/>
          <w:color w:val="000000"/>
          <w:szCs w:val="24"/>
        </w:rPr>
        <w:t xml:space="preserve"> </w:t>
      </w:r>
      <w:r w:rsidR="00BF5349" w:rsidRPr="00341833">
        <w:rPr>
          <w:rFonts w:cs="Arial"/>
          <w:color w:val="000000"/>
          <w:szCs w:val="24"/>
        </w:rPr>
        <w:t>C</w:t>
      </w:r>
      <w:r w:rsidR="000C6577" w:rsidRPr="00341833">
        <w:rPr>
          <w:rFonts w:cs="Arial"/>
          <w:color w:val="000000"/>
          <w:szCs w:val="24"/>
        </w:rPr>
        <w:t xml:space="preserve">abe mencionar que </w:t>
      </w:r>
      <w:r w:rsidR="00191949" w:rsidRPr="00341833">
        <w:rPr>
          <w:rFonts w:cs="Arial"/>
          <w:color w:val="000000"/>
          <w:szCs w:val="24"/>
        </w:rPr>
        <w:t xml:space="preserve">para </w:t>
      </w:r>
      <w:r w:rsidR="000C6577" w:rsidRPr="00341833">
        <w:rPr>
          <w:rFonts w:cs="Arial"/>
          <w:color w:val="000000"/>
          <w:szCs w:val="24"/>
        </w:rPr>
        <w:t xml:space="preserve">27.3 % </w:t>
      </w:r>
      <w:r w:rsidR="00484A26" w:rsidRPr="00341833">
        <w:rPr>
          <w:rFonts w:cs="Arial"/>
          <w:color w:val="000000"/>
          <w:szCs w:val="24"/>
        </w:rPr>
        <w:t xml:space="preserve">de </w:t>
      </w:r>
      <w:r w:rsidR="00191949" w:rsidRPr="00341833">
        <w:rPr>
          <w:rFonts w:cs="Arial"/>
          <w:color w:val="000000"/>
          <w:szCs w:val="24"/>
        </w:rPr>
        <w:t xml:space="preserve">las niñas y niños </w:t>
      </w:r>
      <w:r w:rsidR="000C6577" w:rsidRPr="00341833">
        <w:rPr>
          <w:rFonts w:cs="Arial"/>
          <w:color w:val="000000"/>
          <w:szCs w:val="24"/>
        </w:rPr>
        <w:t>no habría consecuencia</w:t>
      </w:r>
      <w:r w:rsidR="00484A26" w:rsidRPr="00341833">
        <w:rPr>
          <w:rFonts w:cs="Arial"/>
          <w:color w:val="000000"/>
          <w:szCs w:val="24"/>
        </w:rPr>
        <w:t xml:space="preserve"> si dejar</w:t>
      </w:r>
      <w:r w:rsidR="00D52C2A" w:rsidRPr="00341833">
        <w:rPr>
          <w:rFonts w:cs="Arial"/>
          <w:color w:val="000000"/>
          <w:szCs w:val="24"/>
        </w:rPr>
        <w:t>a</w:t>
      </w:r>
      <w:r w:rsidR="00484A26" w:rsidRPr="00341833">
        <w:rPr>
          <w:rFonts w:cs="Arial"/>
          <w:color w:val="000000"/>
          <w:szCs w:val="24"/>
        </w:rPr>
        <w:t>n de trabajar; porcentaje que</w:t>
      </w:r>
      <w:r w:rsidRPr="00341833">
        <w:rPr>
          <w:rFonts w:cs="Arial"/>
          <w:color w:val="000000"/>
          <w:szCs w:val="24"/>
        </w:rPr>
        <w:t xml:space="preserve"> en las niñas fue de 34.8 % y en los niños</w:t>
      </w:r>
      <w:r w:rsidR="00BF5349" w:rsidRPr="00341833">
        <w:rPr>
          <w:rFonts w:cs="Arial"/>
          <w:color w:val="000000"/>
          <w:szCs w:val="24"/>
        </w:rPr>
        <w:t>,</w:t>
      </w:r>
      <w:r w:rsidRPr="00341833">
        <w:rPr>
          <w:rFonts w:cs="Arial"/>
          <w:color w:val="000000"/>
          <w:szCs w:val="24"/>
        </w:rPr>
        <w:t xml:space="preserve"> de 24.3 por cient</w:t>
      </w:r>
      <w:r w:rsidR="00E555D9" w:rsidRPr="00341833">
        <w:rPr>
          <w:rFonts w:cs="Arial"/>
          <w:color w:val="000000"/>
          <w:szCs w:val="24"/>
        </w:rPr>
        <w:t>o</w:t>
      </w:r>
      <w:r w:rsidR="00E213E7">
        <w:rPr>
          <w:rFonts w:cs="Arial"/>
          <w:color w:val="000000"/>
          <w:szCs w:val="24"/>
        </w:rPr>
        <w:t>.</w:t>
      </w:r>
      <w:r w:rsidR="00E555D9" w:rsidRPr="00341833">
        <w:rPr>
          <w:rFonts w:cs="Arial"/>
          <w:color w:val="000000"/>
          <w:szCs w:val="24"/>
        </w:rPr>
        <w:t xml:space="preserve"> </w:t>
      </w:r>
      <w:r w:rsidR="00E213E7">
        <w:rPr>
          <w:rFonts w:cs="Arial"/>
          <w:color w:val="000000"/>
          <w:szCs w:val="24"/>
        </w:rPr>
        <w:t>E</w:t>
      </w:r>
      <w:r w:rsidR="00E555D9" w:rsidRPr="00341833">
        <w:rPr>
          <w:rFonts w:cs="Arial"/>
          <w:color w:val="000000"/>
          <w:szCs w:val="24"/>
        </w:rPr>
        <w:t xml:space="preserve">l resto de </w:t>
      </w:r>
      <w:r w:rsidR="00562DA7" w:rsidRPr="00341833">
        <w:rPr>
          <w:rFonts w:cs="Arial"/>
          <w:color w:val="000000"/>
          <w:szCs w:val="24"/>
        </w:rPr>
        <w:t>las consecuencias</w:t>
      </w:r>
      <w:r w:rsidR="00E555D9" w:rsidRPr="00341833">
        <w:rPr>
          <w:rFonts w:cs="Arial"/>
          <w:color w:val="000000"/>
          <w:szCs w:val="24"/>
        </w:rPr>
        <w:t xml:space="preserve"> se pueden observar en el cuadro 18.</w:t>
      </w:r>
    </w:p>
    <w:p w14:paraId="27ECDCE6" w14:textId="77777777" w:rsidR="00791592" w:rsidRDefault="00791592" w:rsidP="00BF5349">
      <w:pPr>
        <w:widowControl/>
        <w:autoSpaceDE w:val="0"/>
        <w:autoSpaceDN w:val="0"/>
        <w:adjustRightInd w:val="0"/>
        <w:jc w:val="center"/>
        <w:rPr>
          <w:rFonts w:cs="Arial"/>
          <w:color w:val="000000"/>
          <w:szCs w:val="24"/>
        </w:rPr>
      </w:pPr>
    </w:p>
    <w:p w14:paraId="41506101" w14:textId="77777777" w:rsidR="009E086F" w:rsidRPr="00E213E7" w:rsidRDefault="009E086F" w:rsidP="00E213E7">
      <w:pPr>
        <w:widowControl/>
        <w:autoSpaceDE w:val="0"/>
        <w:autoSpaceDN w:val="0"/>
        <w:adjustRightInd w:val="0"/>
        <w:jc w:val="center"/>
        <w:rPr>
          <w:rFonts w:cs="Arial"/>
          <w:color w:val="000000"/>
          <w:sz w:val="20"/>
        </w:rPr>
      </w:pPr>
      <w:r w:rsidRPr="00E213E7">
        <w:rPr>
          <w:rFonts w:cs="Arial"/>
          <w:color w:val="000000"/>
          <w:sz w:val="20"/>
        </w:rPr>
        <w:t>Cuadro 18</w:t>
      </w:r>
    </w:p>
    <w:p w14:paraId="73619C4B" w14:textId="77777777" w:rsidR="00E213E7" w:rsidRDefault="009E086F" w:rsidP="00E213E7">
      <w:pPr>
        <w:widowControl/>
        <w:autoSpaceDE w:val="0"/>
        <w:autoSpaceDN w:val="0"/>
        <w:adjustRightInd w:val="0"/>
        <w:jc w:val="center"/>
        <w:rPr>
          <w:rFonts w:cs="Arial"/>
          <w:b/>
          <w:bCs/>
          <w:smallCaps/>
          <w:color w:val="000000" w:themeColor="text1"/>
          <w:sz w:val="22"/>
          <w:szCs w:val="22"/>
        </w:rPr>
      </w:pPr>
      <w:r w:rsidRPr="00E213E7">
        <w:rPr>
          <w:rFonts w:cs="Arial"/>
          <w:b/>
          <w:bCs/>
          <w:smallCaps/>
          <w:color w:val="000000"/>
          <w:sz w:val="22"/>
          <w:szCs w:val="22"/>
        </w:rPr>
        <w:t>Personas en alguna o</w:t>
      </w:r>
      <w:r w:rsidRPr="00E213E7">
        <w:rPr>
          <w:rFonts w:cs="Arial"/>
          <w:b/>
          <w:bCs/>
          <w:smallCaps/>
          <w:color w:val="000000" w:themeColor="text1"/>
          <w:sz w:val="22"/>
          <w:szCs w:val="22"/>
        </w:rPr>
        <w:t xml:space="preserve">cupación no permitida por consecuencia principal por dejar </w:t>
      </w:r>
    </w:p>
    <w:p w14:paraId="43A6323A" w14:textId="2E89B13F" w:rsidR="009E086F" w:rsidRPr="00E213E7" w:rsidRDefault="009E086F" w:rsidP="00E213E7">
      <w:pPr>
        <w:widowControl/>
        <w:autoSpaceDE w:val="0"/>
        <w:autoSpaceDN w:val="0"/>
        <w:adjustRightInd w:val="0"/>
        <w:jc w:val="center"/>
        <w:rPr>
          <w:rFonts w:cs="Arial"/>
          <w:b/>
          <w:bCs/>
          <w:smallCaps/>
          <w:color w:val="000000" w:themeColor="text1"/>
          <w:sz w:val="22"/>
          <w:szCs w:val="22"/>
        </w:rPr>
      </w:pPr>
      <w:r w:rsidRPr="00E213E7">
        <w:rPr>
          <w:rFonts w:cs="Arial"/>
          <w:b/>
          <w:bCs/>
          <w:smallCaps/>
          <w:color w:val="000000" w:themeColor="text1"/>
          <w:sz w:val="22"/>
          <w:szCs w:val="22"/>
        </w:rPr>
        <w:t>de trabajar</w:t>
      </w:r>
      <w:r w:rsidR="002E3423" w:rsidRPr="00E213E7">
        <w:rPr>
          <w:rFonts w:cs="Arial"/>
          <w:b/>
          <w:bCs/>
          <w:smallCaps/>
          <w:color w:val="000000" w:themeColor="text1"/>
          <w:sz w:val="22"/>
          <w:szCs w:val="22"/>
        </w:rPr>
        <w:t>,</w:t>
      </w:r>
      <w:r w:rsidRPr="00E213E7">
        <w:rPr>
          <w:rFonts w:cs="Arial"/>
          <w:b/>
          <w:bCs/>
          <w:smallCaps/>
          <w:color w:val="000000" w:themeColor="text1"/>
          <w:sz w:val="22"/>
          <w:szCs w:val="22"/>
        </w:rPr>
        <w:t xml:space="preserve"> según sexo</w:t>
      </w:r>
    </w:p>
    <w:p w14:paraId="59E1A88B" w14:textId="77777777" w:rsidR="009E086F" w:rsidRPr="005E25D0" w:rsidRDefault="009E086F" w:rsidP="00E213E7">
      <w:pPr>
        <w:widowControl/>
        <w:autoSpaceDE w:val="0"/>
        <w:autoSpaceDN w:val="0"/>
        <w:adjustRightInd w:val="0"/>
        <w:ind w:left="851" w:right="51" w:hanging="851"/>
        <w:jc w:val="center"/>
        <w:rPr>
          <w:rFonts w:cs="Arial"/>
          <w:bCs/>
          <w:sz w:val="18"/>
          <w:szCs w:val="18"/>
        </w:rPr>
      </w:pPr>
      <w:r w:rsidRPr="005E25D0">
        <w:rPr>
          <w:rFonts w:cs="Arial"/>
          <w:bCs/>
          <w:sz w:val="18"/>
          <w:szCs w:val="18"/>
        </w:rPr>
        <w:t>(distribución porcentual)</w:t>
      </w:r>
    </w:p>
    <w:tbl>
      <w:tblPr>
        <w:tblW w:w="9780" w:type="dxa"/>
        <w:tblCellMar>
          <w:left w:w="70" w:type="dxa"/>
          <w:right w:w="70" w:type="dxa"/>
        </w:tblCellMar>
        <w:tblLook w:val="04A0" w:firstRow="1" w:lastRow="0" w:firstColumn="1" w:lastColumn="0" w:noHBand="0" w:noVBand="1"/>
      </w:tblPr>
      <w:tblGrid>
        <w:gridCol w:w="220"/>
        <w:gridCol w:w="4760"/>
        <w:gridCol w:w="1600"/>
        <w:gridCol w:w="1600"/>
        <w:gridCol w:w="1600"/>
      </w:tblGrid>
      <w:tr w:rsidR="009E086F" w:rsidRPr="004F40DF" w14:paraId="49A34D05" w14:textId="77777777" w:rsidTr="00562DA7">
        <w:trPr>
          <w:trHeight w:val="315"/>
        </w:trPr>
        <w:tc>
          <w:tcPr>
            <w:tcW w:w="4980" w:type="dxa"/>
            <w:gridSpan w:val="2"/>
            <w:tcBorders>
              <w:top w:val="nil"/>
              <w:left w:val="nil"/>
              <w:bottom w:val="nil"/>
              <w:right w:val="nil"/>
            </w:tcBorders>
            <w:shd w:val="clear" w:color="auto" w:fill="338B99"/>
            <w:vAlign w:val="center"/>
            <w:hideMark/>
          </w:tcPr>
          <w:p w14:paraId="410BD5A8" w14:textId="77777777" w:rsidR="009E086F" w:rsidRPr="004F40DF" w:rsidRDefault="009E086F" w:rsidP="00562DA7">
            <w:pPr>
              <w:widowControl/>
              <w:jc w:val="left"/>
              <w:rPr>
                <w:rFonts w:cs="Arial"/>
                <w:b/>
                <w:bCs/>
                <w:color w:val="FFFFFF"/>
                <w:sz w:val="20"/>
                <w:lang w:eastAsia="es-MX"/>
              </w:rPr>
            </w:pPr>
            <w:r w:rsidRPr="004F40DF">
              <w:rPr>
                <w:rFonts w:cs="Arial"/>
                <w:b/>
                <w:bCs/>
                <w:color w:val="FFFFFF" w:themeColor="background1"/>
                <w:sz w:val="20"/>
                <w:lang w:eastAsia="es-MX"/>
              </w:rPr>
              <w:t>Consecuencia principal por dejar de trabajar</w:t>
            </w:r>
          </w:p>
        </w:tc>
        <w:tc>
          <w:tcPr>
            <w:tcW w:w="1600" w:type="dxa"/>
            <w:tcBorders>
              <w:top w:val="nil"/>
              <w:left w:val="nil"/>
              <w:bottom w:val="nil"/>
              <w:right w:val="nil"/>
            </w:tcBorders>
            <w:shd w:val="clear" w:color="auto" w:fill="338B99"/>
            <w:vAlign w:val="center"/>
            <w:hideMark/>
          </w:tcPr>
          <w:p w14:paraId="7E105CDA" w14:textId="77777777" w:rsidR="009E086F" w:rsidRPr="004F40DF" w:rsidRDefault="009E086F" w:rsidP="00562DA7">
            <w:pPr>
              <w:widowControl/>
              <w:jc w:val="center"/>
              <w:rPr>
                <w:rFonts w:cs="Arial"/>
                <w:b/>
                <w:bCs/>
                <w:color w:val="FFFFFF"/>
                <w:sz w:val="20"/>
                <w:lang w:eastAsia="es-MX"/>
              </w:rPr>
            </w:pPr>
            <w:r w:rsidRPr="004F40DF">
              <w:rPr>
                <w:rFonts w:cs="Arial"/>
                <w:b/>
                <w:bCs/>
                <w:color w:val="FFFFFF"/>
                <w:sz w:val="20"/>
                <w:lang w:eastAsia="es-MX"/>
              </w:rPr>
              <w:t>Total</w:t>
            </w:r>
          </w:p>
        </w:tc>
        <w:tc>
          <w:tcPr>
            <w:tcW w:w="1600" w:type="dxa"/>
            <w:tcBorders>
              <w:top w:val="nil"/>
              <w:left w:val="nil"/>
              <w:bottom w:val="nil"/>
              <w:right w:val="nil"/>
            </w:tcBorders>
            <w:shd w:val="clear" w:color="auto" w:fill="338B99"/>
            <w:vAlign w:val="center"/>
            <w:hideMark/>
          </w:tcPr>
          <w:p w14:paraId="54C71AB2" w14:textId="77777777" w:rsidR="009E086F" w:rsidRPr="004F40DF" w:rsidRDefault="009E086F" w:rsidP="00562DA7">
            <w:pPr>
              <w:widowControl/>
              <w:jc w:val="center"/>
              <w:rPr>
                <w:rFonts w:cs="Arial"/>
                <w:b/>
                <w:bCs/>
                <w:color w:val="FFFFFF"/>
                <w:sz w:val="20"/>
                <w:lang w:eastAsia="es-MX"/>
              </w:rPr>
            </w:pPr>
            <w:r w:rsidRPr="004F40DF">
              <w:rPr>
                <w:rFonts w:cs="Arial"/>
                <w:b/>
                <w:bCs/>
                <w:color w:val="FFFFFF"/>
                <w:sz w:val="20"/>
                <w:lang w:eastAsia="es-MX"/>
              </w:rPr>
              <w:t>Niños</w:t>
            </w:r>
          </w:p>
        </w:tc>
        <w:tc>
          <w:tcPr>
            <w:tcW w:w="1600" w:type="dxa"/>
            <w:tcBorders>
              <w:top w:val="nil"/>
              <w:left w:val="nil"/>
              <w:bottom w:val="nil"/>
              <w:right w:val="nil"/>
            </w:tcBorders>
            <w:shd w:val="clear" w:color="auto" w:fill="338B99"/>
            <w:vAlign w:val="center"/>
            <w:hideMark/>
          </w:tcPr>
          <w:p w14:paraId="7557F01C" w14:textId="77777777" w:rsidR="009E086F" w:rsidRPr="004F40DF" w:rsidRDefault="009E086F" w:rsidP="00562DA7">
            <w:pPr>
              <w:widowControl/>
              <w:jc w:val="center"/>
              <w:rPr>
                <w:rFonts w:cs="Arial"/>
                <w:b/>
                <w:bCs/>
                <w:color w:val="FFFFFF"/>
                <w:sz w:val="20"/>
                <w:lang w:eastAsia="es-MX"/>
              </w:rPr>
            </w:pPr>
            <w:r w:rsidRPr="004F40DF">
              <w:rPr>
                <w:rFonts w:cs="Arial"/>
                <w:b/>
                <w:bCs/>
                <w:color w:val="FFFFFF"/>
                <w:sz w:val="20"/>
                <w:lang w:eastAsia="es-MX"/>
              </w:rPr>
              <w:t>Niñas</w:t>
            </w:r>
          </w:p>
        </w:tc>
      </w:tr>
      <w:tr w:rsidR="009E086F" w:rsidRPr="004F40DF" w14:paraId="3685BA48" w14:textId="77777777" w:rsidTr="00562DA7">
        <w:trPr>
          <w:trHeight w:val="300"/>
        </w:trPr>
        <w:tc>
          <w:tcPr>
            <w:tcW w:w="4980" w:type="dxa"/>
            <w:gridSpan w:val="2"/>
            <w:tcBorders>
              <w:top w:val="nil"/>
              <w:left w:val="nil"/>
              <w:bottom w:val="nil"/>
              <w:right w:val="nil"/>
            </w:tcBorders>
            <w:shd w:val="clear" w:color="auto" w:fill="66A8B3"/>
            <w:vAlign w:val="center"/>
            <w:hideMark/>
          </w:tcPr>
          <w:p w14:paraId="18CE938F" w14:textId="77777777" w:rsidR="009E086F" w:rsidRPr="004F40DF" w:rsidRDefault="009E086F" w:rsidP="00562DA7">
            <w:pPr>
              <w:widowControl/>
              <w:jc w:val="left"/>
              <w:rPr>
                <w:rFonts w:cs="Arial"/>
                <w:b/>
                <w:bCs/>
                <w:color w:val="000000"/>
                <w:sz w:val="20"/>
                <w:lang w:eastAsia="es-MX"/>
              </w:rPr>
            </w:pPr>
            <w:r w:rsidRPr="004F40DF">
              <w:rPr>
                <w:rFonts w:cs="Arial"/>
                <w:b/>
                <w:bCs/>
                <w:color w:val="000000"/>
                <w:sz w:val="20"/>
                <w:lang w:eastAsia="es-MX"/>
              </w:rPr>
              <w:t>Ocupación no permitida</w:t>
            </w:r>
          </w:p>
        </w:tc>
        <w:tc>
          <w:tcPr>
            <w:tcW w:w="1600" w:type="dxa"/>
            <w:tcBorders>
              <w:top w:val="nil"/>
              <w:left w:val="nil"/>
              <w:bottom w:val="nil"/>
              <w:right w:val="nil"/>
            </w:tcBorders>
            <w:shd w:val="clear" w:color="auto" w:fill="66A8B3"/>
            <w:vAlign w:val="center"/>
            <w:hideMark/>
          </w:tcPr>
          <w:p w14:paraId="47FF8727" w14:textId="77777777" w:rsidR="009E086F" w:rsidRPr="004F40DF" w:rsidRDefault="009E086F" w:rsidP="00562DA7">
            <w:pPr>
              <w:widowControl/>
              <w:jc w:val="center"/>
              <w:rPr>
                <w:rFonts w:cs="Arial"/>
                <w:b/>
                <w:bCs/>
                <w:color w:val="000000"/>
                <w:sz w:val="20"/>
                <w:lang w:eastAsia="es-MX"/>
              </w:rPr>
            </w:pPr>
            <w:r w:rsidRPr="004F40DF">
              <w:rPr>
                <w:rFonts w:cs="Arial"/>
                <w:b/>
                <w:bCs/>
                <w:sz w:val="20"/>
                <w:lang w:eastAsia="es-MX"/>
              </w:rPr>
              <w:t>100.0</w:t>
            </w:r>
          </w:p>
        </w:tc>
        <w:tc>
          <w:tcPr>
            <w:tcW w:w="1600" w:type="dxa"/>
            <w:tcBorders>
              <w:top w:val="nil"/>
              <w:left w:val="nil"/>
              <w:bottom w:val="nil"/>
              <w:right w:val="nil"/>
            </w:tcBorders>
            <w:shd w:val="clear" w:color="auto" w:fill="66A8B3"/>
            <w:vAlign w:val="center"/>
            <w:hideMark/>
          </w:tcPr>
          <w:p w14:paraId="30F0B178" w14:textId="77777777" w:rsidR="009E086F" w:rsidRPr="004F40DF" w:rsidRDefault="009E086F" w:rsidP="00562DA7">
            <w:pPr>
              <w:widowControl/>
              <w:jc w:val="center"/>
              <w:rPr>
                <w:rFonts w:cs="Arial"/>
                <w:b/>
                <w:bCs/>
                <w:color w:val="000000"/>
                <w:sz w:val="20"/>
                <w:lang w:eastAsia="es-MX"/>
              </w:rPr>
            </w:pPr>
            <w:r w:rsidRPr="004F40DF">
              <w:rPr>
                <w:rFonts w:cs="Arial"/>
                <w:b/>
                <w:bCs/>
                <w:sz w:val="20"/>
                <w:lang w:eastAsia="es-MX"/>
              </w:rPr>
              <w:t>100.0</w:t>
            </w:r>
          </w:p>
        </w:tc>
        <w:tc>
          <w:tcPr>
            <w:tcW w:w="1600" w:type="dxa"/>
            <w:tcBorders>
              <w:top w:val="nil"/>
              <w:left w:val="nil"/>
              <w:bottom w:val="nil"/>
              <w:right w:val="nil"/>
            </w:tcBorders>
            <w:shd w:val="clear" w:color="auto" w:fill="66A8B3"/>
            <w:vAlign w:val="center"/>
            <w:hideMark/>
          </w:tcPr>
          <w:p w14:paraId="1CD51B51" w14:textId="77777777" w:rsidR="009E086F" w:rsidRPr="004F40DF" w:rsidRDefault="009E086F" w:rsidP="00562DA7">
            <w:pPr>
              <w:widowControl/>
              <w:jc w:val="center"/>
              <w:rPr>
                <w:rFonts w:cs="Arial"/>
                <w:b/>
                <w:bCs/>
                <w:color w:val="000000"/>
                <w:sz w:val="20"/>
                <w:lang w:eastAsia="es-MX"/>
              </w:rPr>
            </w:pPr>
            <w:r w:rsidRPr="004F40DF">
              <w:rPr>
                <w:rFonts w:cs="Arial"/>
                <w:b/>
                <w:bCs/>
                <w:sz w:val="20"/>
                <w:lang w:eastAsia="es-MX"/>
              </w:rPr>
              <w:t>100.0</w:t>
            </w:r>
          </w:p>
        </w:tc>
      </w:tr>
      <w:tr w:rsidR="009E086F" w:rsidRPr="004F40DF" w14:paraId="20BB15D2" w14:textId="77777777" w:rsidTr="00562DA7">
        <w:trPr>
          <w:trHeight w:val="300"/>
        </w:trPr>
        <w:tc>
          <w:tcPr>
            <w:tcW w:w="220" w:type="dxa"/>
            <w:tcBorders>
              <w:top w:val="nil"/>
              <w:left w:val="nil"/>
              <w:bottom w:val="nil"/>
              <w:right w:val="nil"/>
            </w:tcBorders>
            <w:shd w:val="clear" w:color="auto" w:fill="CCE2E6"/>
            <w:noWrap/>
            <w:vAlign w:val="bottom"/>
            <w:hideMark/>
          </w:tcPr>
          <w:p w14:paraId="43483D6A" w14:textId="77777777" w:rsidR="009E086F" w:rsidRPr="004F40DF" w:rsidRDefault="009E086F" w:rsidP="00562DA7">
            <w:pPr>
              <w:widowControl/>
              <w:jc w:val="left"/>
              <w:rPr>
                <w:rFonts w:ascii="Times New Roman" w:hAnsi="Times New Roman"/>
                <w:color w:val="000000"/>
                <w:sz w:val="20"/>
                <w:lang w:eastAsia="es-MX"/>
              </w:rPr>
            </w:pPr>
            <w:r w:rsidRPr="004F40DF">
              <w:rPr>
                <w:rFonts w:ascii="Times New Roman" w:hAnsi="Times New Roman"/>
                <w:color w:val="000000"/>
                <w:sz w:val="20"/>
                <w:lang w:eastAsia="es-MX"/>
              </w:rPr>
              <w:t> </w:t>
            </w:r>
          </w:p>
        </w:tc>
        <w:tc>
          <w:tcPr>
            <w:tcW w:w="4760" w:type="dxa"/>
            <w:tcBorders>
              <w:top w:val="nil"/>
              <w:left w:val="nil"/>
              <w:bottom w:val="nil"/>
              <w:right w:val="nil"/>
            </w:tcBorders>
            <w:shd w:val="clear" w:color="auto" w:fill="CCE2E6"/>
            <w:vAlign w:val="center"/>
            <w:hideMark/>
          </w:tcPr>
          <w:p w14:paraId="4568DC81" w14:textId="77777777" w:rsidR="009E086F" w:rsidRPr="004F40DF" w:rsidRDefault="009E086F" w:rsidP="00562DA7">
            <w:pPr>
              <w:widowControl/>
              <w:jc w:val="left"/>
              <w:rPr>
                <w:rFonts w:cs="Arial"/>
                <w:color w:val="000000"/>
                <w:sz w:val="20"/>
                <w:lang w:eastAsia="es-MX"/>
              </w:rPr>
            </w:pPr>
            <w:r w:rsidRPr="004F40DF">
              <w:rPr>
                <w:rFonts w:cs="Arial"/>
                <w:sz w:val="20"/>
                <w:lang w:eastAsia="es-MX"/>
              </w:rPr>
              <w:t>No tendría dinero para vestirse y calzarse</w:t>
            </w:r>
          </w:p>
        </w:tc>
        <w:tc>
          <w:tcPr>
            <w:tcW w:w="1600" w:type="dxa"/>
            <w:tcBorders>
              <w:top w:val="nil"/>
              <w:left w:val="nil"/>
              <w:bottom w:val="nil"/>
              <w:right w:val="nil"/>
            </w:tcBorders>
            <w:shd w:val="clear" w:color="auto" w:fill="CCE2E6"/>
            <w:vAlign w:val="center"/>
            <w:hideMark/>
          </w:tcPr>
          <w:p w14:paraId="62E02843" w14:textId="77777777" w:rsidR="009E086F" w:rsidRPr="004F40DF" w:rsidRDefault="009E086F" w:rsidP="00562DA7">
            <w:pPr>
              <w:widowControl/>
              <w:jc w:val="center"/>
              <w:rPr>
                <w:rFonts w:cs="Arial"/>
                <w:color w:val="000000"/>
                <w:sz w:val="20"/>
                <w:lang w:eastAsia="es-MX"/>
              </w:rPr>
            </w:pPr>
            <w:r w:rsidRPr="004F40DF">
              <w:rPr>
                <w:rFonts w:cs="Arial"/>
                <w:sz w:val="20"/>
                <w:lang w:eastAsia="es-MX"/>
              </w:rPr>
              <w:t>22.2</w:t>
            </w:r>
          </w:p>
        </w:tc>
        <w:tc>
          <w:tcPr>
            <w:tcW w:w="1600" w:type="dxa"/>
            <w:tcBorders>
              <w:top w:val="nil"/>
              <w:left w:val="nil"/>
              <w:bottom w:val="nil"/>
              <w:right w:val="nil"/>
            </w:tcBorders>
            <w:shd w:val="clear" w:color="auto" w:fill="CCE2E6"/>
            <w:vAlign w:val="center"/>
            <w:hideMark/>
          </w:tcPr>
          <w:p w14:paraId="4C7585A7" w14:textId="77777777" w:rsidR="009E086F" w:rsidRPr="004F40DF" w:rsidRDefault="009E086F" w:rsidP="00562DA7">
            <w:pPr>
              <w:widowControl/>
              <w:jc w:val="center"/>
              <w:rPr>
                <w:rFonts w:cs="Arial"/>
                <w:color w:val="000000"/>
                <w:sz w:val="20"/>
                <w:lang w:eastAsia="es-MX"/>
              </w:rPr>
            </w:pPr>
            <w:r w:rsidRPr="004F40DF">
              <w:rPr>
                <w:rFonts w:cs="Arial"/>
                <w:sz w:val="20"/>
                <w:lang w:eastAsia="es-MX"/>
              </w:rPr>
              <w:t>22.7</w:t>
            </w:r>
          </w:p>
        </w:tc>
        <w:tc>
          <w:tcPr>
            <w:tcW w:w="1600" w:type="dxa"/>
            <w:tcBorders>
              <w:top w:val="nil"/>
              <w:left w:val="nil"/>
              <w:bottom w:val="nil"/>
              <w:right w:val="nil"/>
            </w:tcBorders>
            <w:shd w:val="clear" w:color="auto" w:fill="CCE2E6"/>
            <w:vAlign w:val="center"/>
            <w:hideMark/>
          </w:tcPr>
          <w:p w14:paraId="53954669" w14:textId="77777777" w:rsidR="009E086F" w:rsidRPr="004F40DF" w:rsidRDefault="009E086F" w:rsidP="00562DA7">
            <w:pPr>
              <w:widowControl/>
              <w:jc w:val="center"/>
              <w:rPr>
                <w:rFonts w:cs="Arial"/>
                <w:color w:val="000000"/>
                <w:sz w:val="20"/>
                <w:lang w:eastAsia="es-MX"/>
              </w:rPr>
            </w:pPr>
            <w:r w:rsidRPr="004F40DF">
              <w:rPr>
                <w:rFonts w:cs="Arial"/>
                <w:sz w:val="20"/>
                <w:lang w:eastAsia="es-MX"/>
              </w:rPr>
              <w:t>21.0</w:t>
            </w:r>
          </w:p>
        </w:tc>
      </w:tr>
      <w:tr w:rsidR="009E086F" w:rsidRPr="004F40DF" w14:paraId="2089D09E" w14:textId="77777777" w:rsidTr="00562DA7">
        <w:trPr>
          <w:trHeight w:val="300"/>
        </w:trPr>
        <w:tc>
          <w:tcPr>
            <w:tcW w:w="220" w:type="dxa"/>
            <w:tcBorders>
              <w:top w:val="nil"/>
              <w:left w:val="nil"/>
              <w:bottom w:val="nil"/>
              <w:right w:val="nil"/>
            </w:tcBorders>
            <w:shd w:val="clear" w:color="auto" w:fill="CCE2E6"/>
            <w:noWrap/>
            <w:vAlign w:val="bottom"/>
            <w:hideMark/>
          </w:tcPr>
          <w:p w14:paraId="4440CD70" w14:textId="77777777" w:rsidR="009E086F" w:rsidRPr="004F40DF" w:rsidRDefault="009E086F" w:rsidP="00562DA7">
            <w:pPr>
              <w:widowControl/>
              <w:jc w:val="left"/>
              <w:rPr>
                <w:rFonts w:ascii="Times New Roman" w:hAnsi="Times New Roman"/>
                <w:color w:val="000000"/>
                <w:sz w:val="20"/>
                <w:lang w:eastAsia="es-MX"/>
              </w:rPr>
            </w:pPr>
            <w:r w:rsidRPr="004F40DF">
              <w:rPr>
                <w:rFonts w:ascii="Times New Roman" w:hAnsi="Times New Roman"/>
                <w:color w:val="000000"/>
                <w:sz w:val="20"/>
                <w:lang w:eastAsia="es-MX"/>
              </w:rPr>
              <w:t> </w:t>
            </w:r>
          </w:p>
        </w:tc>
        <w:tc>
          <w:tcPr>
            <w:tcW w:w="4760" w:type="dxa"/>
            <w:tcBorders>
              <w:top w:val="nil"/>
              <w:left w:val="nil"/>
              <w:bottom w:val="nil"/>
              <w:right w:val="nil"/>
            </w:tcBorders>
            <w:shd w:val="clear" w:color="auto" w:fill="CCE2E6"/>
            <w:vAlign w:val="center"/>
            <w:hideMark/>
          </w:tcPr>
          <w:p w14:paraId="05162BB7" w14:textId="77777777" w:rsidR="009E086F" w:rsidRPr="004F40DF" w:rsidRDefault="009E086F" w:rsidP="00562DA7">
            <w:pPr>
              <w:widowControl/>
              <w:jc w:val="left"/>
              <w:rPr>
                <w:rFonts w:cs="Arial"/>
                <w:color w:val="000000"/>
                <w:sz w:val="20"/>
                <w:lang w:eastAsia="es-MX"/>
              </w:rPr>
            </w:pPr>
            <w:r w:rsidRPr="004F40DF">
              <w:rPr>
                <w:rFonts w:cs="Arial"/>
                <w:sz w:val="20"/>
                <w:lang w:eastAsia="es-MX"/>
              </w:rPr>
              <w:t>No tendría dinero para su diversión o gastos</w:t>
            </w:r>
          </w:p>
        </w:tc>
        <w:tc>
          <w:tcPr>
            <w:tcW w:w="1600" w:type="dxa"/>
            <w:tcBorders>
              <w:top w:val="nil"/>
              <w:left w:val="nil"/>
              <w:bottom w:val="nil"/>
              <w:right w:val="nil"/>
            </w:tcBorders>
            <w:shd w:val="clear" w:color="auto" w:fill="CCE2E6"/>
            <w:vAlign w:val="center"/>
            <w:hideMark/>
          </w:tcPr>
          <w:p w14:paraId="3E97BFC8" w14:textId="77777777" w:rsidR="009E086F" w:rsidRPr="004F40DF" w:rsidRDefault="009E086F" w:rsidP="00562DA7">
            <w:pPr>
              <w:widowControl/>
              <w:jc w:val="center"/>
              <w:rPr>
                <w:rFonts w:cs="Arial"/>
                <w:color w:val="000000"/>
                <w:sz w:val="20"/>
                <w:lang w:eastAsia="es-MX"/>
              </w:rPr>
            </w:pPr>
            <w:r w:rsidRPr="004F40DF">
              <w:rPr>
                <w:rFonts w:cs="Arial"/>
                <w:sz w:val="20"/>
                <w:lang w:eastAsia="es-MX"/>
              </w:rPr>
              <w:t>23.0</w:t>
            </w:r>
          </w:p>
        </w:tc>
        <w:tc>
          <w:tcPr>
            <w:tcW w:w="1600" w:type="dxa"/>
            <w:tcBorders>
              <w:top w:val="nil"/>
              <w:left w:val="nil"/>
              <w:bottom w:val="nil"/>
              <w:right w:val="nil"/>
            </w:tcBorders>
            <w:shd w:val="clear" w:color="auto" w:fill="CCE2E6"/>
            <w:vAlign w:val="center"/>
            <w:hideMark/>
          </w:tcPr>
          <w:p w14:paraId="5EA52D40" w14:textId="77777777" w:rsidR="009E086F" w:rsidRPr="004F40DF" w:rsidRDefault="009E086F" w:rsidP="00562DA7">
            <w:pPr>
              <w:widowControl/>
              <w:jc w:val="center"/>
              <w:rPr>
                <w:rFonts w:cs="Arial"/>
                <w:color w:val="000000"/>
                <w:sz w:val="20"/>
                <w:lang w:eastAsia="es-MX"/>
              </w:rPr>
            </w:pPr>
            <w:r w:rsidRPr="004F40DF">
              <w:rPr>
                <w:rFonts w:cs="Arial"/>
                <w:sz w:val="20"/>
                <w:lang w:eastAsia="es-MX"/>
              </w:rPr>
              <w:t>22.6</w:t>
            </w:r>
          </w:p>
        </w:tc>
        <w:tc>
          <w:tcPr>
            <w:tcW w:w="1600" w:type="dxa"/>
            <w:tcBorders>
              <w:top w:val="nil"/>
              <w:left w:val="nil"/>
              <w:bottom w:val="nil"/>
              <w:right w:val="nil"/>
            </w:tcBorders>
            <w:shd w:val="clear" w:color="auto" w:fill="CCE2E6"/>
            <w:vAlign w:val="center"/>
            <w:hideMark/>
          </w:tcPr>
          <w:p w14:paraId="01C5E90A" w14:textId="77777777" w:rsidR="009E086F" w:rsidRPr="004F40DF" w:rsidRDefault="009E086F" w:rsidP="00562DA7">
            <w:pPr>
              <w:widowControl/>
              <w:jc w:val="center"/>
              <w:rPr>
                <w:rFonts w:cs="Arial"/>
                <w:color w:val="000000"/>
                <w:sz w:val="20"/>
                <w:lang w:eastAsia="es-MX"/>
              </w:rPr>
            </w:pPr>
            <w:r w:rsidRPr="004F40DF">
              <w:rPr>
                <w:rFonts w:cs="Arial"/>
                <w:sz w:val="20"/>
                <w:lang w:eastAsia="es-MX"/>
              </w:rPr>
              <w:t>24.2</w:t>
            </w:r>
          </w:p>
        </w:tc>
      </w:tr>
      <w:tr w:rsidR="009E086F" w:rsidRPr="004F40DF" w14:paraId="4E3319E4" w14:textId="77777777" w:rsidTr="00562DA7">
        <w:trPr>
          <w:trHeight w:val="300"/>
        </w:trPr>
        <w:tc>
          <w:tcPr>
            <w:tcW w:w="220" w:type="dxa"/>
            <w:tcBorders>
              <w:top w:val="nil"/>
              <w:left w:val="nil"/>
              <w:bottom w:val="nil"/>
              <w:right w:val="nil"/>
            </w:tcBorders>
            <w:shd w:val="clear" w:color="auto" w:fill="CCE2E6"/>
            <w:noWrap/>
            <w:vAlign w:val="bottom"/>
            <w:hideMark/>
          </w:tcPr>
          <w:p w14:paraId="621508C7" w14:textId="77777777" w:rsidR="009E086F" w:rsidRPr="004F40DF" w:rsidRDefault="009E086F" w:rsidP="00562DA7">
            <w:pPr>
              <w:widowControl/>
              <w:jc w:val="left"/>
              <w:rPr>
                <w:rFonts w:ascii="Times New Roman" w:hAnsi="Times New Roman"/>
                <w:color w:val="000000"/>
                <w:sz w:val="20"/>
                <w:lang w:eastAsia="es-MX"/>
              </w:rPr>
            </w:pPr>
            <w:r w:rsidRPr="004F40DF">
              <w:rPr>
                <w:rFonts w:ascii="Times New Roman" w:hAnsi="Times New Roman"/>
                <w:color w:val="000000"/>
                <w:sz w:val="20"/>
                <w:lang w:eastAsia="es-MX"/>
              </w:rPr>
              <w:t> </w:t>
            </w:r>
          </w:p>
        </w:tc>
        <w:tc>
          <w:tcPr>
            <w:tcW w:w="4760" w:type="dxa"/>
            <w:tcBorders>
              <w:top w:val="nil"/>
              <w:left w:val="nil"/>
              <w:bottom w:val="nil"/>
              <w:right w:val="nil"/>
            </w:tcBorders>
            <w:shd w:val="clear" w:color="auto" w:fill="CCE2E6"/>
            <w:vAlign w:val="center"/>
            <w:hideMark/>
          </w:tcPr>
          <w:p w14:paraId="5BFEA0CB" w14:textId="77777777" w:rsidR="009E086F" w:rsidRPr="004F40DF" w:rsidRDefault="009E086F" w:rsidP="00562DA7">
            <w:pPr>
              <w:widowControl/>
              <w:jc w:val="left"/>
              <w:rPr>
                <w:rFonts w:cs="Arial"/>
                <w:color w:val="000000"/>
                <w:sz w:val="20"/>
                <w:lang w:eastAsia="es-MX"/>
              </w:rPr>
            </w:pPr>
            <w:r w:rsidRPr="004F40DF">
              <w:rPr>
                <w:rFonts w:cs="Arial"/>
                <w:sz w:val="20"/>
                <w:lang w:eastAsia="es-MX"/>
              </w:rPr>
              <w:t>No aprendería un oficio</w:t>
            </w:r>
          </w:p>
        </w:tc>
        <w:tc>
          <w:tcPr>
            <w:tcW w:w="1600" w:type="dxa"/>
            <w:tcBorders>
              <w:top w:val="nil"/>
              <w:left w:val="nil"/>
              <w:bottom w:val="nil"/>
              <w:right w:val="nil"/>
            </w:tcBorders>
            <w:shd w:val="clear" w:color="auto" w:fill="CCE2E6"/>
            <w:vAlign w:val="center"/>
            <w:hideMark/>
          </w:tcPr>
          <w:p w14:paraId="526B782B" w14:textId="77777777" w:rsidR="009E086F" w:rsidRPr="004F40DF" w:rsidRDefault="009E086F" w:rsidP="00562DA7">
            <w:pPr>
              <w:widowControl/>
              <w:jc w:val="center"/>
              <w:rPr>
                <w:rFonts w:cs="Arial"/>
                <w:color w:val="000000"/>
                <w:sz w:val="20"/>
                <w:lang w:eastAsia="es-MX"/>
              </w:rPr>
            </w:pPr>
            <w:r w:rsidRPr="004F40DF">
              <w:rPr>
                <w:rFonts w:cs="Arial"/>
                <w:sz w:val="20"/>
                <w:lang w:eastAsia="es-MX"/>
              </w:rPr>
              <w:t>12.2</w:t>
            </w:r>
          </w:p>
        </w:tc>
        <w:tc>
          <w:tcPr>
            <w:tcW w:w="1600" w:type="dxa"/>
            <w:tcBorders>
              <w:top w:val="nil"/>
              <w:left w:val="nil"/>
              <w:bottom w:val="nil"/>
              <w:right w:val="nil"/>
            </w:tcBorders>
            <w:shd w:val="clear" w:color="auto" w:fill="CCE2E6"/>
            <w:vAlign w:val="center"/>
            <w:hideMark/>
          </w:tcPr>
          <w:p w14:paraId="7FEDDD16" w14:textId="77777777" w:rsidR="009E086F" w:rsidRPr="004F40DF" w:rsidRDefault="009E086F" w:rsidP="00562DA7">
            <w:pPr>
              <w:widowControl/>
              <w:jc w:val="center"/>
              <w:rPr>
                <w:rFonts w:cs="Arial"/>
                <w:color w:val="000000"/>
                <w:sz w:val="20"/>
                <w:lang w:eastAsia="es-MX"/>
              </w:rPr>
            </w:pPr>
            <w:r w:rsidRPr="004F40DF">
              <w:rPr>
                <w:rFonts w:cs="Arial"/>
                <w:sz w:val="20"/>
                <w:lang w:eastAsia="es-MX"/>
              </w:rPr>
              <w:t>14.8</w:t>
            </w:r>
          </w:p>
        </w:tc>
        <w:tc>
          <w:tcPr>
            <w:tcW w:w="1600" w:type="dxa"/>
            <w:tcBorders>
              <w:top w:val="nil"/>
              <w:left w:val="nil"/>
              <w:bottom w:val="nil"/>
              <w:right w:val="nil"/>
            </w:tcBorders>
            <w:shd w:val="clear" w:color="auto" w:fill="CCE2E6"/>
            <w:vAlign w:val="center"/>
            <w:hideMark/>
          </w:tcPr>
          <w:p w14:paraId="6347A288" w14:textId="77777777" w:rsidR="009E086F" w:rsidRPr="004F40DF" w:rsidRDefault="009E086F" w:rsidP="00562DA7">
            <w:pPr>
              <w:widowControl/>
              <w:jc w:val="center"/>
              <w:rPr>
                <w:rFonts w:cs="Arial"/>
                <w:color w:val="000000"/>
                <w:sz w:val="20"/>
                <w:lang w:eastAsia="es-MX"/>
              </w:rPr>
            </w:pPr>
            <w:r w:rsidRPr="004F40DF">
              <w:rPr>
                <w:rFonts w:cs="Arial"/>
                <w:sz w:val="20"/>
                <w:lang w:eastAsia="es-MX"/>
              </w:rPr>
              <w:t>5.6</w:t>
            </w:r>
          </w:p>
        </w:tc>
      </w:tr>
      <w:tr w:rsidR="009E086F" w:rsidRPr="004F40DF" w14:paraId="5CD4D4F9" w14:textId="77777777" w:rsidTr="00562DA7">
        <w:trPr>
          <w:trHeight w:val="300"/>
        </w:trPr>
        <w:tc>
          <w:tcPr>
            <w:tcW w:w="220" w:type="dxa"/>
            <w:tcBorders>
              <w:top w:val="nil"/>
              <w:left w:val="nil"/>
              <w:bottom w:val="nil"/>
              <w:right w:val="nil"/>
            </w:tcBorders>
            <w:shd w:val="clear" w:color="auto" w:fill="CCE2E6"/>
            <w:noWrap/>
            <w:vAlign w:val="bottom"/>
            <w:hideMark/>
          </w:tcPr>
          <w:p w14:paraId="19751B8B" w14:textId="77777777" w:rsidR="009E086F" w:rsidRPr="004F40DF" w:rsidRDefault="009E086F" w:rsidP="00562DA7">
            <w:pPr>
              <w:widowControl/>
              <w:jc w:val="left"/>
              <w:rPr>
                <w:rFonts w:ascii="Times New Roman" w:hAnsi="Times New Roman"/>
                <w:color w:val="000000"/>
                <w:sz w:val="20"/>
                <w:lang w:eastAsia="es-MX"/>
              </w:rPr>
            </w:pPr>
            <w:r w:rsidRPr="004F40DF">
              <w:rPr>
                <w:rFonts w:ascii="Times New Roman" w:hAnsi="Times New Roman" w:cs="Arial"/>
                <w:color w:val="000000"/>
                <w:sz w:val="20"/>
                <w:lang w:eastAsia="es-MX"/>
              </w:rPr>
              <w:t> </w:t>
            </w:r>
          </w:p>
        </w:tc>
        <w:tc>
          <w:tcPr>
            <w:tcW w:w="4760" w:type="dxa"/>
            <w:tcBorders>
              <w:top w:val="nil"/>
              <w:left w:val="nil"/>
              <w:bottom w:val="nil"/>
              <w:right w:val="nil"/>
            </w:tcBorders>
            <w:shd w:val="clear" w:color="auto" w:fill="CCE2E6"/>
            <w:vAlign w:val="center"/>
            <w:hideMark/>
          </w:tcPr>
          <w:p w14:paraId="3CAE638F" w14:textId="77777777" w:rsidR="009E086F" w:rsidRPr="004F40DF" w:rsidRDefault="009E086F" w:rsidP="00562DA7">
            <w:pPr>
              <w:widowControl/>
              <w:jc w:val="left"/>
              <w:rPr>
                <w:rFonts w:cs="Arial"/>
                <w:color w:val="000000"/>
                <w:sz w:val="20"/>
                <w:lang w:eastAsia="es-MX"/>
              </w:rPr>
            </w:pPr>
            <w:r w:rsidRPr="004F40DF">
              <w:rPr>
                <w:rFonts w:cs="Arial"/>
                <w:sz w:val="20"/>
                <w:lang w:eastAsia="es-MX"/>
              </w:rPr>
              <w:t>Volvería a la escuela o los quehaceres del hogar</w:t>
            </w:r>
          </w:p>
        </w:tc>
        <w:tc>
          <w:tcPr>
            <w:tcW w:w="1600" w:type="dxa"/>
            <w:tcBorders>
              <w:top w:val="nil"/>
              <w:left w:val="nil"/>
              <w:bottom w:val="nil"/>
              <w:right w:val="nil"/>
            </w:tcBorders>
            <w:shd w:val="clear" w:color="auto" w:fill="CCE2E6"/>
            <w:vAlign w:val="center"/>
            <w:hideMark/>
          </w:tcPr>
          <w:p w14:paraId="092E4A68" w14:textId="77777777" w:rsidR="009E086F" w:rsidRPr="004F40DF" w:rsidRDefault="009E086F" w:rsidP="00562DA7">
            <w:pPr>
              <w:widowControl/>
              <w:jc w:val="center"/>
              <w:rPr>
                <w:rFonts w:cs="Arial"/>
                <w:color w:val="000000"/>
                <w:sz w:val="20"/>
                <w:lang w:eastAsia="es-MX"/>
              </w:rPr>
            </w:pPr>
            <w:r w:rsidRPr="004F40DF">
              <w:rPr>
                <w:rFonts w:cs="Arial"/>
                <w:sz w:val="20"/>
                <w:lang w:eastAsia="es-MX"/>
              </w:rPr>
              <w:t>2.2</w:t>
            </w:r>
          </w:p>
        </w:tc>
        <w:tc>
          <w:tcPr>
            <w:tcW w:w="1600" w:type="dxa"/>
            <w:tcBorders>
              <w:top w:val="nil"/>
              <w:left w:val="nil"/>
              <w:bottom w:val="nil"/>
              <w:right w:val="nil"/>
            </w:tcBorders>
            <w:shd w:val="clear" w:color="auto" w:fill="CCE2E6"/>
            <w:vAlign w:val="center"/>
            <w:hideMark/>
          </w:tcPr>
          <w:p w14:paraId="4FE92902" w14:textId="77777777" w:rsidR="009E086F" w:rsidRPr="004F40DF" w:rsidRDefault="009E086F" w:rsidP="00562DA7">
            <w:pPr>
              <w:widowControl/>
              <w:jc w:val="center"/>
              <w:rPr>
                <w:rFonts w:cs="Arial"/>
                <w:color w:val="000000"/>
                <w:sz w:val="20"/>
                <w:lang w:eastAsia="es-MX"/>
              </w:rPr>
            </w:pPr>
            <w:r w:rsidRPr="004F40DF">
              <w:rPr>
                <w:rFonts w:cs="Arial"/>
                <w:sz w:val="20"/>
                <w:lang w:eastAsia="es-MX"/>
              </w:rPr>
              <w:t>1.9</w:t>
            </w:r>
          </w:p>
        </w:tc>
        <w:tc>
          <w:tcPr>
            <w:tcW w:w="1600" w:type="dxa"/>
            <w:tcBorders>
              <w:top w:val="nil"/>
              <w:left w:val="nil"/>
              <w:bottom w:val="nil"/>
              <w:right w:val="nil"/>
            </w:tcBorders>
            <w:shd w:val="clear" w:color="auto" w:fill="CCE2E6"/>
            <w:vAlign w:val="center"/>
            <w:hideMark/>
          </w:tcPr>
          <w:p w14:paraId="3ED71887" w14:textId="77777777" w:rsidR="009E086F" w:rsidRPr="004F40DF" w:rsidRDefault="009E086F" w:rsidP="00562DA7">
            <w:pPr>
              <w:widowControl/>
              <w:jc w:val="center"/>
              <w:rPr>
                <w:rFonts w:cs="Arial"/>
                <w:color w:val="000000"/>
                <w:sz w:val="20"/>
                <w:lang w:eastAsia="es-MX"/>
              </w:rPr>
            </w:pPr>
            <w:r w:rsidRPr="004F40DF">
              <w:rPr>
                <w:rFonts w:cs="Arial"/>
                <w:sz w:val="20"/>
                <w:lang w:eastAsia="es-MX"/>
              </w:rPr>
              <w:t>2.9</w:t>
            </w:r>
          </w:p>
        </w:tc>
      </w:tr>
      <w:tr w:rsidR="009E086F" w:rsidRPr="004F40DF" w14:paraId="1C8A0B34" w14:textId="77777777" w:rsidTr="00562DA7">
        <w:trPr>
          <w:trHeight w:val="300"/>
        </w:trPr>
        <w:tc>
          <w:tcPr>
            <w:tcW w:w="220" w:type="dxa"/>
            <w:tcBorders>
              <w:top w:val="nil"/>
              <w:left w:val="nil"/>
              <w:bottom w:val="nil"/>
              <w:right w:val="nil"/>
            </w:tcBorders>
            <w:shd w:val="clear" w:color="auto" w:fill="CCE2E6"/>
            <w:noWrap/>
            <w:vAlign w:val="bottom"/>
            <w:hideMark/>
          </w:tcPr>
          <w:p w14:paraId="6BFB3DCE" w14:textId="77777777" w:rsidR="009E086F" w:rsidRPr="004F40DF" w:rsidRDefault="009E086F" w:rsidP="00562DA7">
            <w:pPr>
              <w:widowControl/>
              <w:jc w:val="left"/>
              <w:rPr>
                <w:rFonts w:ascii="Times New Roman" w:hAnsi="Times New Roman"/>
                <w:color w:val="000000"/>
                <w:sz w:val="20"/>
                <w:lang w:eastAsia="es-MX"/>
              </w:rPr>
            </w:pPr>
            <w:r w:rsidRPr="004F40DF">
              <w:rPr>
                <w:rFonts w:ascii="Times New Roman" w:hAnsi="Times New Roman" w:cs="Arial"/>
                <w:color w:val="000000"/>
                <w:sz w:val="20"/>
                <w:lang w:eastAsia="es-MX"/>
              </w:rPr>
              <w:t> </w:t>
            </w:r>
          </w:p>
        </w:tc>
        <w:tc>
          <w:tcPr>
            <w:tcW w:w="4760" w:type="dxa"/>
            <w:tcBorders>
              <w:top w:val="nil"/>
              <w:left w:val="nil"/>
              <w:bottom w:val="nil"/>
              <w:right w:val="nil"/>
            </w:tcBorders>
            <w:shd w:val="clear" w:color="auto" w:fill="CCE2E6"/>
            <w:vAlign w:val="center"/>
            <w:hideMark/>
          </w:tcPr>
          <w:p w14:paraId="207EF083" w14:textId="77777777" w:rsidR="009E086F" w:rsidRPr="004F40DF" w:rsidRDefault="009E086F" w:rsidP="00562DA7">
            <w:pPr>
              <w:widowControl/>
              <w:jc w:val="left"/>
              <w:rPr>
                <w:rFonts w:cs="Arial"/>
                <w:color w:val="000000"/>
                <w:sz w:val="20"/>
                <w:lang w:eastAsia="es-MX"/>
              </w:rPr>
            </w:pPr>
            <w:r w:rsidRPr="004F40DF">
              <w:rPr>
                <w:rFonts w:cs="Arial"/>
                <w:sz w:val="20"/>
                <w:lang w:eastAsia="es-MX"/>
              </w:rPr>
              <w:t>Se volvería irresponsable o andaría de vago</w:t>
            </w:r>
          </w:p>
        </w:tc>
        <w:tc>
          <w:tcPr>
            <w:tcW w:w="1600" w:type="dxa"/>
            <w:tcBorders>
              <w:top w:val="nil"/>
              <w:left w:val="nil"/>
              <w:bottom w:val="nil"/>
              <w:right w:val="nil"/>
            </w:tcBorders>
            <w:shd w:val="clear" w:color="auto" w:fill="CCE2E6"/>
            <w:vAlign w:val="center"/>
            <w:hideMark/>
          </w:tcPr>
          <w:p w14:paraId="40DDA1FD" w14:textId="77777777" w:rsidR="009E086F" w:rsidRPr="004F40DF" w:rsidRDefault="009E086F" w:rsidP="00562DA7">
            <w:pPr>
              <w:widowControl/>
              <w:jc w:val="center"/>
              <w:rPr>
                <w:rFonts w:cs="Arial"/>
                <w:color w:val="000000"/>
                <w:sz w:val="20"/>
                <w:lang w:eastAsia="es-MX"/>
              </w:rPr>
            </w:pPr>
            <w:r w:rsidRPr="004F40DF">
              <w:rPr>
                <w:rFonts w:cs="Arial"/>
                <w:sz w:val="20"/>
                <w:lang w:eastAsia="es-MX"/>
              </w:rPr>
              <w:t>4.3</w:t>
            </w:r>
          </w:p>
        </w:tc>
        <w:tc>
          <w:tcPr>
            <w:tcW w:w="1600" w:type="dxa"/>
            <w:tcBorders>
              <w:top w:val="nil"/>
              <w:left w:val="nil"/>
              <w:bottom w:val="nil"/>
              <w:right w:val="nil"/>
            </w:tcBorders>
            <w:shd w:val="clear" w:color="auto" w:fill="CCE2E6"/>
            <w:vAlign w:val="center"/>
            <w:hideMark/>
          </w:tcPr>
          <w:p w14:paraId="119C3CEE" w14:textId="77777777" w:rsidR="009E086F" w:rsidRPr="004F40DF" w:rsidRDefault="009E086F" w:rsidP="00562DA7">
            <w:pPr>
              <w:widowControl/>
              <w:jc w:val="center"/>
              <w:rPr>
                <w:rFonts w:cs="Arial"/>
                <w:color w:val="000000"/>
                <w:sz w:val="20"/>
                <w:lang w:eastAsia="es-MX"/>
              </w:rPr>
            </w:pPr>
            <w:r w:rsidRPr="004F40DF">
              <w:rPr>
                <w:rFonts w:cs="Arial"/>
                <w:sz w:val="20"/>
                <w:lang w:eastAsia="es-MX"/>
              </w:rPr>
              <w:t>5.3</w:t>
            </w:r>
          </w:p>
        </w:tc>
        <w:tc>
          <w:tcPr>
            <w:tcW w:w="1600" w:type="dxa"/>
            <w:tcBorders>
              <w:top w:val="nil"/>
              <w:left w:val="nil"/>
              <w:bottom w:val="nil"/>
              <w:right w:val="nil"/>
            </w:tcBorders>
            <w:shd w:val="clear" w:color="auto" w:fill="CCE2E6"/>
            <w:vAlign w:val="center"/>
            <w:hideMark/>
          </w:tcPr>
          <w:p w14:paraId="31DA3E05" w14:textId="77777777" w:rsidR="009E086F" w:rsidRPr="004F40DF" w:rsidRDefault="009E086F" w:rsidP="00562DA7">
            <w:pPr>
              <w:widowControl/>
              <w:jc w:val="center"/>
              <w:rPr>
                <w:rFonts w:cs="Arial"/>
                <w:color w:val="000000"/>
                <w:sz w:val="20"/>
                <w:lang w:eastAsia="es-MX"/>
              </w:rPr>
            </w:pPr>
            <w:r w:rsidRPr="004F40DF">
              <w:rPr>
                <w:rFonts w:cs="Arial"/>
                <w:sz w:val="20"/>
                <w:lang w:eastAsia="es-MX"/>
              </w:rPr>
              <w:t>1.9</w:t>
            </w:r>
          </w:p>
        </w:tc>
      </w:tr>
      <w:tr w:rsidR="009E086F" w:rsidRPr="004F40DF" w14:paraId="402FB58F" w14:textId="77777777" w:rsidTr="00562DA7">
        <w:trPr>
          <w:trHeight w:val="510"/>
        </w:trPr>
        <w:tc>
          <w:tcPr>
            <w:tcW w:w="220" w:type="dxa"/>
            <w:tcBorders>
              <w:top w:val="nil"/>
              <w:left w:val="nil"/>
              <w:bottom w:val="nil"/>
              <w:right w:val="nil"/>
            </w:tcBorders>
            <w:shd w:val="clear" w:color="auto" w:fill="CCE2E6"/>
            <w:noWrap/>
            <w:vAlign w:val="bottom"/>
            <w:hideMark/>
          </w:tcPr>
          <w:p w14:paraId="76DC8502" w14:textId="77777777" w:rsidR="009E086F" w:rsidRPr="004F40DF" w:rsidRDefault="009E086F" w:rsidP="00562DA7">
            <w:pPr>
              <w:widowControl/>
              <w:jc w:val="left"/>
              <w:rPr>
                <w:rFonts w:ascii="Times New Roman" w:hAnsi="Times New Roman"/>
                <w:color w:val="000000"/>
                <w:sz w:val="20"/>
                <w:lang w:eastAsia="es-MX"/>
              </w:rPr>
            </w:pPr>
            <w:r w:rsidRPr="004F40DF">
              <w:rPr>
                <w:rFonts w:ascii="Times New Roman" w:hAnsi="Times New Roman"/>
                <w:color w:val="000000"/>
                <w:sz w:val="20"/>
                <w:lang w:eastAsia="es-MX"/>
              </w:rPr>
              <w:t> </w:t>
            </w:r>
          </w:p>
        </w:tc>
        <w:tc>
          <w:tcPr>
            <w:tcW w:w="4760" w:type="dxa"/>
            <w:tcBorders>
              <w:top w:val="nil"/>
              <w:left w:val="nil"/>
              <w:bottom w:val="nil"/>
              <w:right w:val="nil"/>
            </w:tcBorders>
            <w:shd w:val="clear" w:color="auto" w:fill="CCE2E6"/>
            <w:vAlign w:val="center"/>
            <w:hideMark/>
          </w:tcPr>
          <w:p w14:paraId="04E783A2" w14:textId="77777777" w:rsidR="009E086F" w:rsidRPr="004F40DF" w:rsidRDefault="009E086F" w:rsidP="00562DA7">
            <w:pPr>
              <w:widowControl/>
              <w:jc w:val="left"/>
              <w:rPr>
                <w:rFonts w:cs="Arial"/>
                <w:color w:val="000000"/>
                <w:sz w:val="20"/>
                <w:lang w:eastAsia="es-MX"/>
              </w:rPr>
            </w:pPr>
            <w:r w:rsidRPr="004F40DF">
              <w:rPr>
                <w:rFonts w:cs="Arial"/>
                <w:sz w:val="20"/>
                <w:lang w:eastAsia="es-MX"/>
              </w:rPr>
              <w:t>Se dedicaría a jugar o hacer deporte y otra consecuencia</w:t>
            </w:r>
          </w:p>
        </w:tc>
        <w:tc>
          <w:tcPr>
            <w:tcW w:w="1600" w:type="dxa"/>
            <w:tcBorders>
              <w:top w:val="nil"/>
              <w:left w:val="nil"/>
              <w:bottom w:val="nil"/>
              <w:right w:val="nil"/>
            </w:tcBorders>
            <w:shd w:val="clear" w:color="auto" w:fill="CCE2E6"/>
            <w:vAlign w:val="center"/>
            <w:hideMark/>
          </w:tcPr>
          <w:p w14:paraId="40B19287" w14:textId="77777777" w:rsidR="009E086F" w:rsidRPr="004F40DF" w:rsidRDefault="009E086F" w:rsidP="00562DA7">
            <w:pPr>
              <w:widowControl/>
              <w:jc w:val="center"/>
              <w:rPr>
                <w:rFonts w:cs="Arial"/>
                <w:color w:val="000000"/>
                <w:sz w:val="20"/>
                <w:lang w:eastAsia="es-MX"/>
              </w:rPr>
            </w:pPr>
            <w:r w:rsidRPr="004F40DF">
              <w:rPr>
                <w:rFonts w:cs="Arial"/>
                <w:sz w:val="20"/>
                <w:lang w:eastAsia="es-MX"/>
              </w:rPr>
              <w:t>8.0</w:t>
            </w:r>
          </w:p>
        </w:tc>
        <w:tc>
          <w:tcPr>
            <w:tcW w:w="1600" w:type="dxa"/>
            <w:tcBorders>
              <w:top w:val="nil"/>
              <w:left w:val="nil"/>
              <w:bottom w:val="nil"/>
              <w:right w:val="nil"/>
            </w:tcBorders>
            <w:shd w:val="clear" w:color="auto" w:fill="CCE2E6"/>
            <w:vAlign w:val="center"/>
            <w:hideMark/>
          </w:tcPr>
          <w:p w14:paraId="774F131D" w14:textId="77777777" w:rsidR="009E086F" w:rsidRPr="004F40DF" w:rsidRDefault="009E086F" w:rsidP="00562DA7">
            <w:pPr>
              <w:widowControl/>
              <w:jc w:val="center"/>
              <w:rPr>
                <w:rFonts w:cs="Arial"/>
                <w:color w:val="000000"/>
                <w:sz w:val="20"/>
                <w:lang w:eastAsia="es-MX"/>
              </w:rPr>
            </w:pPr>
            <w:r w:rsidRPr="004F40DF">
              <w:rPr>
                <w:rFonts w:cs="Arial"/>
                <w:sz w:val="20"/>
                <w:lang w:eastAsia="es-MX"/>
              </w:rPr>
              <w:t>7.5</w:t>
            </w:r>
          </w:p>
        </w:tc>
        <w:tc>
          <w:tcPr>
            <w:tcW w:w="1600" w:type="dxa"/>
            <w:tcBorders>
              <w:top w:val="nil"/>
              <w:left w:val="nil"/>
              <w:bottom w:val="nil"/>
              <w:right w:val="nil"/>
            </w:tcBorders>
            <w:shd w:val="clear" w:color="auto" w:fill="CCE2E6"/>
            <w:vAlign w:val="center"/>
            <w:hideMark/>
          </w:tcPr>
          <w:p w14:paraId="2F9D4A14" w14:textId="77777777" w:rsidR="009E086F" w:rsidRPr="004F40DF" w:rsidRDefault="009E086F" w:rsidP="00562DA7">
            <w:pPr>
              <w:widowControl/>
              <w:jc w:val="center"/>
              <w:rPr>
                <w:rFonts w:cs="Arial"/>
                <w:color w:val="000000"/>
                <w:sz w:val="20"/>
                <w:lang w:eastAsia="es-MX"/>
              </w:rPr>
            </w:pPr>
            <w:r w:rsidRPr="004F40DF">
              <w:rPr>
                <w:rFonts w:cs="Arial"/>
                <w:sz w:val="20"/>
                <w:lang w:eastAsia="es-MX"/>
              </w:rPr>
              <w:t>9.1</w:t>
            </w:r>
          </w:p>
        </w:tc>
      </w:tr>
      <w:tr w:rsidR="009E086F" w:rsidRPr="004F40DF" w14:paraId="459EFBB9" w14:textId="77777777" w:rsidTr="00562DA7">
        <w:trPr>
          <w:trHeight w:val="300"/>
        </w:trPr>
        <w:tc>
          <w:tcPr>
            <w:tcW w:w="220" w:type="dxa"/>
            <w:tcBorders>
              <w:top w:val="nil"/>
              <w:left w:val="nil"/>
              <w:right w:val="nil"/>
            </w:tcBorders>
            <w:shd w:val="clear" w:color="auto" w:fill="CCE2E6"/>
            <w:noWrap/>
            <w:vAlign w:val="bottom"/>
            <w:hideMark/>
          </w:tcPr>
          <w:p w14:paraId="0155160E" w14:textId="77777777" w:rsidR="009E086F" w:rsidRPr="004F40DF" w:rsidRDefault="009E086F" w:rsidP="00562DA7">
            <w:pPr>
              <w:widowControl/>
              <w:jc w:val="left"/>
              <w:rPr>
                <w:rFonts w:ascii="Times New Roman" w:hAnsi="Times New Roman"/>
                <w:color w:val="000000"/>
                <w:sz w:val="20"/>
                <w:lang w:eastAsia="es-MX"/>
              </w:rPr>
            </w:pPr>
            <w:r w:rsidRPr="004F40DF">
              <w:rPr>
                <w:rFonts w:ascii="Times New Roman" w:hAnsi="Times New Roman" w:cs="Arial"/>
                <w:color w:val="000000"/>
                <w:sz w:val="20"/>
                <w:lang w:eastAsia="es-MX"/>
              </w:rPr>
              <w:t> </w:t>
            </w:r>
          </w:p>
        </w:tc>
        <w:tc>
          <w:tcPr>
            <w:tcW w:w="4760" w:type="dxa"/>
            <w:tcBorders>
              <w:top w:val="nil"/>
              <w:left w:val="nil"/>
              <w:right w:val="nil"/>
            </w:tcBorders>
            <w:shd w:val="clear" w:color="auto" w:fill="CCE2E6"/>
            <w:vAlign w:val="center"/>
            <w:hideMark/>
          </w:tcPr>
          <w:p w14:paraId="383BC82A" w14:textId="77777777" w:rsidR="009E086F" w:rsidRPr="004F40DF" w:rsidRDefault="009E086F" w:rsidP="00562DA7">
            <w:pPr>
              <w:widowControl/>
              <w:jc w:val="left"/>
              <w:rPr>
                <w:rFonts w:cs="Arial"/>
                <w:color w:val="000000"/>
                <w:sz w:val="20"/>
                <w:lang w:eastAsia="es-MX"/>
              </w:rPr>
            </w:pPr>
            <w:r w:rsidRPr="004F40DF">
              <w:rPr>
                <w:rFonts w:cs="Arial"/>
                <w:sz w:val="20"/>
                <w:lang w:eastAsia="es-MX"/>
              </w:rPr>
              <w:t>No habría consecuencia</w:t>
            </w:r>
          </w:p>
        </w:tc>
        <w:tc>
          <w:tcPr>
            <w:tcW w:w="1600" w:type="dxa"/>
            <w:tcBorders>
              <w:top w:val="nil"/>
              <w:left w:val="nil"/>
              <w:right w:val="nil"/>
            </w:tcBorders>
            <w:shd w:val="clear" w:color="auto" w:fill="CCE2E6"/>
            <w:vAlign w:val="center"/>
            <w:hideMark/>
          </w:tcPr>
          <w:p w14:paraId="687ACC1F" w14:textId="77777777" w:rsidR="009E086F" w:rsidRPr="004F40DF" w:rsidRDefault="009E086F" w:rsidP="00562DA7">
            <w:pPr>
              <w:widowControl/>
              <w:jc w:val="center"/>
              <w:rPr>
                <w:rFonts w:cs="Arial"/>
                <w:color w:val="000000"/>
                <w:sz w:val="20"/>
                <w:lang w:eastAsia="es-MX"/>
              </w:rPr>
            </w:pPr>
            <w:r w:rsidRPr="004F40DF">
              <w:rPr>
                <w:rFonts w:cs="Arial"/>
                <w:sz w:val="20"/>
                <w:lang w:eastAsia="es-MX"/>
              </w:rPr>
              <w:t>27.3</w:t>
            </w:r>
          </w:p>
        </w:tc>
        <w:tc>
          <w:tcPr>
            <w:tcW w:w="1600" w:type="dxa"/>
            <w:tcBorders>
              <w:top w:val="nil"/>
              <w:left w:val="nil"/>
              <w:right w:val="nil"/>
            </w:tcBorders>
            <w:shd w:val="clear" w:color="auto" w:fill="CCE2E6"/>
            <w:vAlign w:val="center"/>
            <w:hideMark/>
          </w:tcPr>
          <w:p w14:paraId="49F5B6E6" w14:textId="77777777" w:rsidR="009E086F" w:rsidRPr="004F40DF" w:rsidRDefault="009E086F" w:rsidP="00562DA7">
            <w:pPr>
              <w:widowControl/>
              <w:jc w:val="center"/>
              <w:rPr>
                <w:rFonts w:cs="Arial"/>
                <w:color w:val="000000"/>
                <w:sz w:val="20"/>
                <w:lang w:eastAsia="es-MX"/>
              </w:rPr>
            </w:pPr>
            <w:r w:rsidRPr="004F40DF">
              <w:rPr>
                <w:rFonts w:cs="Arial"/>
                <w:sz w:val="20"/>
                <w:lang w:eastAsia="es-MX"/>
              </w:rPr>
              <w:t>24.3</w:t>
            </w:r>
          </w:p>
        </w:tc>
        <w:tc>
          <w:tcPr>
            <w:tcW w:w="1600" w:type="dxa"/>
            <w:tcBorders>
              <w:top w:val="nil"/>
              <w:left w:val="nil"/>
              <w:right w:val="nil"/>
            </w:tcBorders>
            <w:shd w:val="clear" w:color="auto" w:fill="CCE2E6"/>
            <w:vAlign w:val="center"/>
            <w:hideMark/>
          </w:tcPr>
          <w:p w14:paraId="72767622" w14:textId="77777777" w:rsidR="009E086F" w:rsidRPr="004F40DF" w:rsidRDefault="009E086F" w:rsidP="00562DA7">
            <w:pPr>
              <w:widowControl/>
              <w:jc w:val="center"/>
              <w:rPr>
                <w:rFonts w:cs="Arial"/>
                <w:color w:val="000000"/>
                <w:sz w:val="20"/>
                <w:lang w:eastAsia="es-MX"/>
              </w:rPr>
            </w:pPr>
            <w:r w:rsidRPr="004F40DF">
              <w:rPr>
                <w:rFonts w:cs="Arial"/>
                <w:sz w:val="20"/>
                <w:lang w:eastAsia="es-MX"/>
              </w:rPr>
              <w:t>34.8</w:t>
            </w:r>
          </w:p>
        </w:tc>
      </w:tr>
      <w:tr w:rsidR="009E086F" w:rsidRPr="004F40DF" w14:paraId="13A2E72E" w14:textId="77777777" w:rsidTr="00562DA7">
        <w:trPr>
          <w:trHeight w:val="300"/>
        </w:trPr>
        <w:tc>
          <w:tcPr>
            <w:tcW w:w="220" w:type="dxa"/>
            <w:tcBorders>
              <w:top w:val="nil"/>
              <w:left w:val="nil"/>
              <w:right w:val="nil"/>
            </w:tcBorders>
            <w:shd w:val="clear" w:color="auto" w:fill="CCE2E6"/>
            <w:vAlign w:val="center"/>
            <w:hideMark/>
          </w:tcPr>
          <w:p w14:paraId="7F2BCE55" w14:textId="77777777" w:rsidR="009E086F" w:rsidRPr="004F40DF" w:rsidRDefault="009E086F" w:rsidP="00562DA7">
            <w:pPr>
              <w:widowControl/>
              <w:jc w:val="left"/>
              <w:rPr>
                <w:rFonts w:ascii="Times New Roman" w:hAnsi="Times New Roman"/>
                <w:color w:val="000000"/>
                <w:sz w:val="20"/>
                <w:lang w:eastAsia="es-MX"/>
              </w:rPr>
            </w:pPr>
            <w:r w:rsidRPr="004F40DF">
              <w:rPr>
                <w:rFonts w:ascii="Times New Roman" w:hAnsi="Times New Roman" w:cs="Arial"/>
                <w:color w:val="000000"/>
                <w:sz w:val="20"/>
                <w:lang w:eastAsia="es-MX"/>
              </w:rPr>
              <w:t> </w:t>
            </w:r>
          </w:p>
        </w:tc>
        <w:tc>
          <w:tcPr>
            <w:tcW w:w="4760" w:type="dxa"/>
            <w:tcBorders>
              <w:top w:val="nil"/>
              <w:left w:val="nil"/>
              <w:right w:val="nil"/>
            </w:tcBorders>
            <w:shd w:val="clear" w:color="auto" w:fill="CCE2E6"/>
            <w:vAlign w:val="center"/>
            <w:hideMark/>
          </w:tcPr>
          <w:p w14:paraId="4E9782D2" w14:textId="77777777" w:rsidR="009E086F" w:rsidRPr="004F40DF" w:rsidRDefault="009E086F" w:rsidP="00562DA7">
            <w:pPr>
              <w:widowControl/>
              <w:jc w:val="left"/>
              <w:rPr>
                <w:rFonts w:cs="Arial"/>
                <w:color w:val="000000"/>
                <w:sz w:val="20"/>
                <w:lang w:eastAsia="es-MX"/>
              </w:rPr>
            </w:pPr>
            <w:r w:rsidRPr="004F40DF">
              <w:rPr>
                <w:rFonts w:cs="Arial"/>
                <w:sz w:val="20"/>
                <w:lang w:eastAsia="es-MX"/>
              </w:rPr>
              <w:t>No especificado</w:t>
            </w:r>
          </w:p>
        </w:tc>
        <w:tc>
          <w:tcPr>
            <w:tcW w:w="1600" w:type="dxa"/>
            <w:tcBorders>
              <w:top w:val="nil"/>
              <w:left w:val="nil"/>
              <w:right w:val="nil"/>
            </w:tcBorders>
            <w:shd w:val="clear" w:color="auto" w:fill="CCE2E6"/>
            <w:vAlign w:val="center"/>
            <w:hideMark/>
          </w:tcPr>
          <w:p w14:paraId="25829A84" w14:textId="77777777" w:rsidR="009E086F" w:rsidRPr="004F40DF" w:rsidRDefault="009E086F" w:rsidP="00562DA7">
            <w:pPr>
              <w:widowControl/>
              <w:jc w:val="center"/>
              <w:rPr>
                <w:rFonts w:cs="Arial"/>
                <w:color w:val="000000"/>
                <w:sz w:val="20"/>
                <w:lang w:eastAsia="es-MX"/>
              </w:rPr>
            </w:pPr>
            <w:r w:rsidRPr="004F40DF">
              <w:rPr>
                <w:rFonts w:cs="Arial"/>
                <w:sz w:val="20"/>
                <w:lang w:eastAsia="es-MX"/>
              </w:rPr>
              <w:t>0.8</w:t>
            </w:r>
          </w:p>
        </w:tc>
        <w:tc>
          <w:tcPr>
            <w:tcW w:w="1600" w:type="dxa"/>
            <w:tcBorders>
              <w:top w:val="nil"/>
              <w:left w:val="nil"/>
              <w:right w:val="nil"/>
            </w:tcBorders>
            <w:shd w:val="clear" w:color="auto" w:fill="CCE2E6"/>
            <w:vAlign w:val="center"/>
            <w:hideMark/>
          </w:tcPr>
          <w:p w14:paraId="1E6E86D5" w14:textId="77777777" w:rsidR="009E086F" w:rsidRPr="004F40DF" w:rsidRDefault="009E086F" w:rsidP="00562DA7">
            <w:pPr>
              <w:widowControl/>
              <w:jc w:val="center"/>
              <w:rPr>
                <w:rFonts w:cs="Arial"/>
                <w:color w:val="000000"/>
                <w:sz w:val="20"/>
                <w:lang w:eastAsia="es-MX"/>
              </w:rPr>
            </w:pPr>
            <w:r w:rsidRPr="004F40DF">
              <w:rPr>
                <w:rFonts w:cs="Arial"/>
                <w:sz w:val="20"/>
                <w:lang w:eastAsia="es-MX"/>
              </w:rPr>
              <w:t>0.9</w:t>
            </w:r>
          </w:p>
        </w:tc>
        <w:tc>
          <w:tcPr>
            <w:tcW w:w="1600" w:type="dxa"/>
            <w:tcBorders>
              <w:top w:val="nil"/>
              <w:left w:val="nil"/>
              <w:right w:val="nil"/>
            </w:tcBorders>
            <w:shd w:val="clear" w:color="auto" w:fill="CCE2E6"/>
            <w:vAlign w:val="center"/>
            <w:hideMark/>
          </w:tcPr>
          <w:p w14:paraId="11375ACB" w14:textId="77777777" w:rsidR="009E086F" w:rsidRPr="004F40DF" w:rsidRDefault="009E086F" w:rsidP="00562DA7">
            <w:pPr>
              <w:widowControl/>
              <w:jc w:val="center"/>
              <w:rPr>
                <w:rFonts w:cs="Arial"/>
                <w:color w:val="000000"/>
                <w:sz w:val="20"/>
                <w:lang w:eastAsia="es-MX"/>
              </w:rPr>
            </w:pPr>
            <w:r w:rsidRPr="004F40DF">
              <w:rPr>
                <w:rFonts w:cs="Arial"/>
                <w:sz w:val="20"/>
                <w:lang w:eastAsia="es-MX"/>
              </w:rPr>
              <w:t>0.6</w:t>
            </w:r>
          </w:p>
        </w:tc>
      </w:tr>
    </w:tbl>
    <w:p w14:paraId="6B8B837C" w14:textId="40DA6282" w:rsidR="009E086F" w:rsidRPr="00560388" w:rsidRDefault="009E086F" w:rsidP="009E086F">
      <w:pPr>
        <w:widowControl/>
        <w:autoSpaceDE w:val="0"/>
        <w:autoSpaceDN w:val="0"/>
        <w:adjustRightInd w:val="0"/>
        <w:rPr>
          <w:rFonts w:cs="Arial"/>
          <w:sz w:val="16"/>
          <w:szCs w:val="16"/>
        </w:rPr>
      </w:pPr>
      <w:r w:rsidRPr="00560388">
        <w:rPr>
          <w:rFonts w:cs="Arial"/>
          <w:color w:val="000000" w:themeColor="text1"/>
          <w:sz w:val="16"/>
          <w:szCs w:val="16"/>
        </w:rPr>
        <w:lastRenderedPageBreak/>
        <w:t>Fuente: INEGI, ENTI. 2022.</w:t>
      </w:r>
    </w:p>
    <w:p w14:paraId="0268C393" w14:textId="77777777" w:rsidR="00B1333D" w:rsidRPr="009E086F" w:rsidRDefault="00B1333D" w:rsidP="00B1333D">
      <w:pPr>
        <w:widowControl/>
        <w:autoSpaceDE w:val="0"/>
        <w:autoSpaceDN w:val="0"/>
        <w:adjustRightInd w:val="0"/>
        <w:rPr>
          <w:rFonts w:cs="Arial"/>
          <w:szCs w:val="24"/>
        </w:rPr>
      </w:pPr>
    </w:p>
    <w:p w14:paraId="4381327D" w14:textId="79A39DB9" w:rsidR="00791592" w:rsidRPr="005D3B91" w:rsidRDefault="00791592" w:rsidP="00DA1FFF">
      <w:pPr>
        <w:widowControl/>
        <w:autoSpaceDE w:val="0"/>
        <w:autoSpaceDN w:val="0"/>
        <w:adjustRightInd w:val="0"/>
        <w:ind w:left="851" w:hanging="567"/>
        <w:jc w:val="left"/>
        <w:rPr>
          <w:rFonts w:cs="Arial"/>
          <w:b/>
          <w:bCs/>
          <w:color w:val="000000"/>
          <w:szCs w:val="24"/>
        </w:rPr>
      </w:pPr>
      <w:r>
        <w:rPr>
          <w:rFonts w:cs="Arial"/>
          <w:b/>
          <w:bCs/>
          <w:color w:val="000000"/>
          <w:szCs w:val="24"/>
        </w:rPr>
        <w:t>2.3</w:t>
      </w:r>
      <w:r>
        <w:rPr>
          <w:rFonts w:cs="Arial"/>
          <w:b/>
          <w:bCs/>
          <w:color w:val="000000"/>
          <w:szCs w:val="24"/>
        </w:rPr>
        <w:tab/>
        <w:t>Ocupación peligrosa</w:t>
      </w:r>
      <w:r w:rsidR="00BF5349">
        <w:rPr>
          <w:rStyle w:val="Refdenotaalpie"/>
          <w:b w:val="0"/>
          <w:bCs/>
          <w:color w:val="000000"/>
          <w:szCs w:val="24"/>
        </w:rPr>
        <w:footnoteReference w:id="12"/>
      </w:r>
    </w:p>
    <w:p w14:paraId="4E7ABE46" w14:textId="77777777" w:rsidR="00791592" w:rsidRDefault="00791592" w:rsidP="00BF5349">
      <w:pPr>
        <w:widowControl/>
        <w:autoSpaceDE w:val="0"/>
        <w:autoSpaceDN w:val="0"/>
        <w:adjustRightInd w:val="0"/>
        <w:rPr>
          <w:rFonts w:cs="Arial"/>
          <w:color w:val="000000"/>
          <w:szCs w:val="24"/>
        </w:rPr>
      </w:pPr>
    </w:p>
    <w:p w14:paraId="39C09D79" w14:textId="36274420" w:rsidR="00791592" w:rsidRDefault="00693FBE" w:rsidP="00E213E7">
      <w:pPr>
        <w:widowControl/>
        <w:autoSpaceDE w:val="0"/>
        <w:autoSpaceDN w:val="0"/>
        <w:adjustRightInd w:val="0"/>
        <w:ind w:right="51"/>
        <w:rPr>
          <w:rFonts w:cs="Arial"/>
          <w:szCs w:val="24"/>
        </w:rPr>
      </w:pPr>
      <w:r w:rsidRPr="00693FBE">
        <w:rPr>
          <w:rFonts w:cs="Arial"/>
          <w:szCs w:val="24"/>
        </w:rPr>
        <w:t>De los 2.1 millones de niñas</w:t>
      </w:r>
      <w:r>
        <w:rPr>
          <w:rFonts w:cs="Arial"/>
          <w:szCs w:val="24"/>
        </w:rPr>
        <w:t>,</w:t>
      </w:r>
      <w:r w:rsidRPr="00693FBE">
        <w:rPr>
          <w:rFonts w:cs="Arial"/>
          <w:szCs w:val="24"/>
        </w:rPr>
        <w:t xml:space="preserve"> niñ</w:t>
      </w:r>
      <w:r>
        <w:rPr>
          <w:rFonts w:cs="Arial"/>
          <w:szCs w:val="24"/>
        </w:rPr>
        <w:t>o</w:t>
      </w:r>
      <w:r w:rsidRPr="00693FBE">
        <w:rPr>
          <w:rFonts w:cs="Arial"/>
          <w:szCs w:val="24"/>
        </w:rPr>
        <w:t>s</w:t>
      </w:r>
      <w:r>
        <w:rPr>
          <w:rFonts w:cs="Arial"/>
          <w:szCs w:val="24"/>
        </w:rPr>
        <w:t xml:space="preserve"> y adolescentes</w:t>
      </w:r>
      <w:r w:rsidRPr="00693FBE">
        <w:rPr>
          <w:rFonts w:cs="Arial"/>
          <w:szCs w:val="24"/>
        </w:rPr>
        <w:t xml:space="preserve"> en ocupación no permitida, 2 millones </w:t>
      </w:r>
      <w:r w:rsidR="00341833">
        <w:rPr>
          <w:rFonts w:cs="Arial"/>
          <w:szCs w:val="24"/>
        </w:rPr>
        <w:t xml:space="preserve">                              </w:t>
      </w:r>
      <w:r w:rsidRPr="00693FBE">
        <w:rPr>
          <w:rFonts w:cs="Arial"/>
          <w:szCs w:val="24"/>
        </w:rPr>
        <w:t xml:space="preserve">(92.5 %) lo hizo en actividades consideradas de carácter peligroso, de acuerdo con lo que establece la Ley Federal de Trabajo (LFT). De ellos, 1.5 millones (73.7 %) fueron niños y </w:t>
      </w:r>
      <w:r w:rsidR="00E213E7">
        <w:rPr>
          <w:rFonts w:cs="Arial"/>
          <w:szCs w:val="24"/>
        </w:rPr>
        <w:br/>
      </w:r>
      <w:r w:rsidRPr="00693FBE">
        <w:rPr>
          <w:rFonts w:cs="Arial"/>
          <w:szCs w:val="24"/>
        </w:rPr>
        <w:t>0.5 millones (26.3 %), niñas. En 2022, de acuerdo con la edad, la ocupación peligrosa de 5 a 14 años fue de 765 mil (38.8 %) y de 15 a 17 años, de 1.2 millones (62.2 %).</w:t>
      </w:r>
    </w:p>
    <w:p w14:paraId="2D65F37D" w14:textId="77777777" w:rsidR="00791592" w:rsidRDefault="00791592" w:rsidP="00E213E7">
      <w:pPr>
        <w:widowControl/>
        <w:autoSpaceDE w:val="0"/>
        <w:autoSpaceDN w:val="0"/>
        <w:adjustRightInd w:val="0"/>
        <w:ind w:right="51"/>
        <w:rPr>
          <w:rFonts w:cs="Arial"/>
          <w:szCs w:val="24"/>
        </w:rPr>
      </w:pPr>
    </w:p>
    <w:p w14:paraId="5B23604D" w14:textId="458107CB" w:rsidR="00791592" w:rsidRPr="00341833" w:rsidRDefault="00791592" w:rsidP="00E213E7">
      <w:pPr>
        <w:widowControl/>
        <w:autoSpaceDE w:val="0"/>
        <w:autoSpaceDN w:val="0"/>
        <w:adjustRightInd w:val="0"/>
        <w:ind w:right="51"/>
        <w:rPr>
          <w:rFonts w:cs="Arial"/>
          <w:szCs w:val="24"/>
        </w:rPr>
      </w:pPr>
      <w:r w:rsidRPr="00341833">
        <w:rPr>
          <w:rFonts w:cs="Arial"/>
          <w:szCs w:val="24"/>
        </w:rPr>
        <w:t>Las dimensiones de la ocupación peligrosa</w:t>
      </w:r>
      <w:r w:rsidR="00BF5349" w:rsidRPr="00341833">
        <w:rPr>
          <w:rStyle w:val="Refdenotaalpie"/>
          <w:szCs w:val="24"/>
        </w:rPr>
        <w:footnoteReference w:id="13"/>
      </w:r>
      <w:r w:rsidRPr="00341833">
        <w:rPr>
          <w:rFonts w:cs="Arial"/>
          <w:szCs w:val="24"/>
        </w:rPr>
        <w:t xml:space="preserve"> </w:t>
      </w:r>
      <w:r w:rsidR="00F743D5" w:rsidRPr="00341833">
        <w:rPr>
          <w:rStyle w:val="ui-provider"/>
        </w:rPr>
        <w:t>mostraron que 1.2 millones (63.1 %) se encontraban en ocupaciones peligrosas, 1.1 millones (57.5 %) realizaron actividades que afectaron la salud y el desarrollo (cargar cosas pesadas, sufrieron problemas físicos, entre otros), 1.1 millones (54.0 %) en sectores de actividad económica peligrosos, 846 mil (42.9 %) estuvieron expuestos en su ocupación a riesgos, 437 mil (22.2 %) tuvieron horarios de trabajo prolongados, y 210 mil (10.6 %) laboraron jornadas de trabajo no apropiadas (horarios mixtos, nocturnos o rolar turnos) (ver cuadro 19)</w:t>
      </w:r>
      <w:r w:rsidRPr="00341833">
        <w:rPr>
          <w:rFonts w:cs="Arial"/>
          <w:szCs w:val="24"/>
        </w:rPr>
        <w:t>.</w:t>
      </w:r>
    </w:p>
    <w:p w14:paraId="773254BE" w14:textId="77777777" w:rsidR="00791592" w:rsidRDefault="00791592" w:rsidP="00E213E7">
      <w:pPr>
        <w:widowControl/>
        <w:autoSpaceDE w:val="0"/>
        <w:autoSpaceDN w:val="0"/>
        <w:adjustRightInd w:val="0"/>
        <w:ind w:right="51"/>
        <w:rPr>
          <w:rFonts w:cs="Arial"/>
          <w:szCs w:val="24"/>
        </w:rPr>
      </w:pPr>
    </w:p>
    <w:p w14:paraId="60E9F701" w14:textId="4D58B88A" w:rsidR="00791592" w:rsidRPr="0067366D" w:rsidRDefault="00F743D5" w:rsidP="00E213E7">
      <w:pPr>
        <w:widowControl/>
        <w:autoSpaceDE w:val="0"/>
        <w:autoSpaceDN w:val="0"/>
        <w:adjustRightInd w:val="0"/>
        <w:ind w:right="51"/>
        <w:rPr>
          <w:rFonts w:cs="Arial"/>
          <w:szCs w:val="24"/>
        </w:rPr>
      </w:pPr>
      <w:r w:rsidRPr="00F743D5">
        <w:rPr>
          <w:rFonts w:cs="Arial"/>
          <w:szCs w:val="24"/>
        </w:rPr>
        <w:t>Las dimensiones presentaron algunas diferencias entre niñas y niños. Por ejemplo, en sectores de actividad peligrosos laboraron 61.7 % de los niños contra 32.6 % de las niñas; en ocupaciones peligrosas el porcentaje de niños fue de 67.7 % frente a 53.1 % de las niñas; en actividades que afectan la salud y el desarrollo el porcentaje de niños fue de 60.9 y 48 % de las niñas.</w:t>
      </w:r>
    </w:p>
    <w:p w14:paraId="0AB5D67B" w14:textId="77777777" w:rsidR="00791592" w:rsidRDefault="00791592" w:rsidP="00E213E7">
      <w:pPr>
        <w:widowControl/>
        <w:autoSpaceDE w:val="0"/>
        <w:autoSpaceDN w:val="0"/>
        <w:adjustRightInd w:val="0"/>
        <w:rPr>
          <w:rFonts w:cs="Arial"/>
          <w:szCs w:val="24"/>
        </w:rPr>
      </w:pPr>
    </w:p>
    <w:p w14:paraId="040EB9CE" w14:textId="77777777" w:rsidR="009E086F" w:rsidRPr="00E213E7" w:rsidRDefault="009E086F" w:rsidP="00E213E7">
      <w:pPr>
        <w:widowControl/>
        <w:autoSpaceDE w:val="0"/>
        <w:autoSpaceDN w:val="0"/>
        <w:adjustRightInd w:val="0"/>
        <w:jc w:val="center"/>
        <w:rPr>
          <w:rFonts w:cs="Arial"/>
          <w:sz w:val="20"/>
        </w:rPr>
      </w:pPr>
      <w:r w:rsidRPr="00E213E7">
        <w:rPr>
          <w:rFonts w:cs="Arial"/>
          <w:sz w:val="20"/>
        </w:rPr>
        <w:t>Cuadro 19</w:t>
      </w:r>
    </w:p>
    <w:p w14:paraId="413662A1" w14:textId="77777777" w:rsidR="00E213E7" w:rsidRDefault="009E086F" w:rsidP="00E213E7">
      <w:pPr>
        <w:widowControl/>
        <w:autoSpaceDE w:val="0"/>
        <w:autoSpaceDN w:val="0"/>
        <w:adjustRightInd w:val="0"/>
        <w:jc w:val="center"/>
        <w:rPr>
          <w:rFonts w:cs="Arial"/>
          <w:b/>
          <w:bCs/>
          <w:smallCaps/>
          <w:color w:val="000000" w:themeColor="text1"/>
          <w:sz w:val="22"/>
          <w:szCs w:val="22"/>
        </w:rPr>
      </w:pPr>
      <w:r w:rsidRPr="00E213E7">
        <w:rPr>
          <w:rFonts w:cs="Arial"/>
          <w:b/>
          <w:bCs/>
          <w:smallCaps/>
          <w:color w:val="000000"/>
          <w:sz w:val="22"/>
          <w:szCs w:val="22"/>
        </w:rPr>
        <w:t>Personas en alguna o</w:t>
      </w:r>
      <w:r w:rsidRPr="00E213E7">
        <w:rPr>
          <w:rFonts w:cs="Arial"/>
          <w:b/>
          <w:bCs/>
          <w:smallCaps/>
          <w:color w:val="000000" w:themeColor="text1"/>
          <w:sz w:val="22"/>
          <w:szCs w:val="22"/>
        </w:rPr>
        <w:t>cupación peligrosa por dimensión de la ocupación peligrosa</w:t>
      </w:r>
      <w:r w:rsidR="002E3423" w:rsidRPr="00E213E7">
        <w:rPr>
          <w:rFonts w:cs="Arial"/>
          <w:b/>
          <w:bCs/>
          <w:smallCaps/>
          <w:color w:val="000000" w:themeColor="text1"/>
          <w:sz w:val="22"/>
          <w:szCs w:val="22"/>
        </w:rPr>
        <w:t>,</w:t>
      </w:r>
      <w:r w:rsidRPr="00E213E7">
        <w:rPr>
          <w:rFonts w:cs="Arial"/>
          <w:b/>
          <w:bCs/>
          <w:smallCaps/>
          <w:color w:val="000000" w:themeColor="text1"/>
          <w:sz w:val="22"/>
          <w:szCs w:val="22"/>
        </w:rPr>
        <w:t xml:space="preserve"> </w:t>
      </w:r>
    </w:p>
    <w:p w14:paraId="43FAC297" w14:textId="550879D2" w:rsidR="009E086F" w:rsidRPr="00E213E7" w:rsidRDefault="009E086F" w:rsidP="00E213E7">
      <w:pPr>
        <w:widowControl/>
        <w:autoSpaceDE w:val="0"/>
        <w:autoSpaceDN w:val="0"/>
        <w:adjustRightInd w:val="0"/>
        <w:jc w:val="center"/>
        <w:rPr>
          <w:rFonts w:cs="Arial"/>
          <w:b/>
          <w:bCs/>
          <w:smallCaps/>
          <w:color w:val="000000" w:themeColor="text1"/>
          <w:sz w:val="22"/>
          <w:szCs w:val="22"/>
        </w:rPr>
      </w:pPr>
      <w:r w:rsidRPr="00E213E7">
        <w:rPr>
          <w:rFonts w:cs="Arial"/>
          <w:b/>
          <w:bCs/>
          <w:smallCaps/>
          <w:color w:val="000000" w:themeColor="text1"/>
          <w:sz w:val="22"/>
          <w:szCs w:val="22"/>
        </w:rPr>
        <w:t>según sexo</w:t>
      </w:r>
    </w:p>
    <w:tbl>
      <w:tblPr>
        <w:tblW w:w="9662" w:type="dxa"/>
        <w:tblCellMar>
          <w:left w:w="70" w:type="dxa"/>
          <w:right w:w="70" w:type="dxa"/>
        </w:tblCellMar>
        <w:tblLook w:val="04A0" w:firstRow="1" w:lastRow="0" w:firstColumn="1" w:lastColumn="0" w:noHBand="0" w:noVBand="1"/>
      </w:tblPr>
      <w:tblGrid>
        <w:gridCol w:w="223"/>
        <w:gridCol w:w="3297"/>
        <w:gridCol w:w="752"/>
        <w:gridCol w:w="1063"/>
        <w:gridCol w:w="866"/>
        <w:gridCol w:w="1009"/>
        <w:gridCol w:w="72"/>
        <w:gridCol w:w="1081"/>
        <w:gridCol w:w="1299"/>
      </w:tblGrid>
      <w:tr w:rsidR="009E086F" w:rsidRPr="00695303" w14:paraId="76AD36D6" w14:textId="77777777" w:rsidTr="00E213E7">
        <w:trPr>
          <w:trHeight w:val="479"/>
        </w:trPr>
        <w:tc>
          <w:tcPr>
            <w:tcW w:w="3520" w:type="dxa"/>
            <w:gridSpan w:val="2"/>
            <w:vMerge w:val="restart"/>
            <w:tcBorders>
              <w:top w:val="nil"/>
              <w:left w:val="nil"/>
              <w:bottom w:val="nil"/>
              <w:right w:val="nil"/>
            </w:tcBorders>
            <w:shd w:val="clear" w:color="auto" w:fill="338B99"/>
            <w:vAlign w:val="center"/>
            <w:hideMark/>
          </w:tcPr>
          <w:p w14:paraId="060801E3" w14:textId="792B9946" w:rsidR="009E086F" w:rsidRPr="00695303" w:rsidRDefault="009E086F" w:rsidP="009E086F">
            <w:pPr>
              <w:widowControl/>
              <w:jc w:val="left"/>
              <w:rPr>
                <w:rFonts w:cs="Arial"/>
                <w:b/>
                <w:bCs/>
                <w:color w:val="FFFFFF"/>
                <w:sz w:val="20"/>
                <w:lang w:eastAsia="es-MX"/>
              </w:rPr>
            </w:pPr>
            <w:r w:rsidRPr="00695303">
              <w:rPr>
                <w:rFonts w:cs="Arial"/>
                <w:b/>
                <w:bCs/>
                <w:color w:val="FFFFFF"/>
                <w:sz w:val="20"/>
                <w:lang w:eastAsia="es-MX"/>
              </w:rPr>
              <w:t>Dimensión de la ocupación peligrosa</w:t>
            </w:r>
          </w:p>
        </w:tc>
        <w:tc>
          <w:tcPr>
            <w:tcW w:w="2681" w:type="dxa"/>
            <w:gridSpan w:val="3"/>
            <w:tcBorders>
              <w:top w:val="single" w:sz="8" w:space="0" w:color="FFFFFF"/>
              <w:left w:val="nil"/>
              <w:bottom w:val="single" w:sz="4" w:space="0" w:color="FFFFFF"/>
              <w:right w:val="nil"/>
            </w:tcBorders>
            <w:shd w:val="clear" w:color="auto" w:fill="338B99"/>
            <w:vAlign w:val="center"/>
            <w:hideMark/>
          </w:tcPr>
          <w:p w14:paraId="7C3D0B92" w14:textId="6AB073E8" w:rsidR="009E086F" w:rsidRPr="00695303" w:rsidRDefault="009E086F" w:rsidP="009E086F">
            <w:pPr>
              <w:widowControl/>
              <w:jc w:val="center"/>
              <w:rPr>
                <w:rFonts w:cs="Arial"/>
                <w:b/>
                <w:bCs/>
                <w:color w:val="FFFFFF"/>
                <w:sz w:val="20"/>
                <w:lang w:eastAsia="es-MX"/>
              </w:rPr>
            </w:pPr>
            <w:r>
              <w:rPr>
                <w:rFonts w:cs="Arial"/>
                <w:b/>
                <w:bCs/>
                <w:color w:val="FFFFFF"/>
                <w:sz w:val="20"/>
                <w:lang w:eastAsia="es-MX"/>
              </w:rPr>
              <w:t>Miles de personas</w:t>
            </w:r>
            <w:r w:rsidRPr="00695303">
              <w:rPr>
                <w:rFonts w:cs="Arial"/>
                <w:b/>
                <w:bCs/>
                <w:color w:val="FFFFFF"/>
                <w:sz w:val="20"/>
                <w:lang w:eastAsia="es-MX"/>
              </w:rPr>
              <w:t xml:space="preserve"> </w:t>
            </w:r>
          </w:p>
        </w:tc>
        <w:tc>
          <w:tcPr>
            <w:tcW w:w="3461" w:type="dxa"/>
            <w:gridSpan w:val="4"/>
            <w:tcBorders>
              <w:top w:val="single" w:sz="8" w:space="0" w:color="FFFFFF"/>
              <w:left w:val="nil"/>
              <w:bottom w:val="single" w:sz="4" w:space="0" w:color="FFFFFF"/>
              <w:right w:val="nil"/>
            </w:tcBorders>
            <w:shd w:val="clear" w:color="auto" w:fill="338B99"/>
            <w:vAlign w:val="center"/>
            <w:hideMark/>
          </w:tcPr>
          <w:p w14:paraId="4CF1E363" w14:textId="68258FAD" w:rsidR="009E086F" w:rsidRPr="00695303" w:rsidRDefault="009E086F" w:rsidP="009E086F">
            <w:pPr>
              <w:widowControl/>
              <w:jc w:val="center"/>
              <w:rPr>
                <w:rFonts w:cs="Arial"/>
                <w:b/>
                <w:bCs/>
                <w:color w:val="FFFFFF"/>
                <w:sz w:val="20"/>
                <w:lang w:eastAsia="es-MX"/>
              </w:rPr>
            </w:pPr>
            <w:r w:rsidRPr="00695303">
              <w:rPr>
                <w:rFonts w:cs="Arial"/>
                <w:b/>
                <w:bCs/>
                <w:color w:val="FFFFFF"/>
                <w:sz w:val="20"/>
                <w:lang w:eastAsia="es-MX"/>
              </w:rPr>
              <w:t>Porcentaje respecto a la ocupación peligrosa</w:t>
            </w:r>
          </w:p>
        </w:tc>
      </w:tr>
      <w:tr w:rsidR="009E086F" w:rsidRPr="00695303" w14:paraId="33DE85DF" w14:textId="77777777" w:rsidTr="00E213E7">
        <w:trPr>
          <w:trHeight w:val="282"/>
        </w:trPr>
        <w:tc>
          <w:tcPr>
            <w:tcW w:w="3520" w:type="dxa"/>
            <w:gridSpan w:val="2"/>
            <w:vMerge/>
            <w:tcBorders>
              <w:top w:val="nil"/>
              <w:left w:val="nil"/>
              <w:bottom w:val="nil"/>
              <w:right w:val="nil"/>
            </w:tcBorders>
            <w:shd w:val="clear" w:color="auto" w:fill="338B99"/>
            <w:vAlign w:val="center"/>
            <w:hideMark/>
          </w:tcPr>
          <w:p w14:paraId="6E1DA2D4" w14:textId="77777777" w:rsidR="009E086F" w:rsidRPr="00695303" w:rsidRDefault="009E086F" w:rsidP="009E086F">
            <w:pPr>
              <w:widowControl/>
              <w:jc w:val="left"/>
              <w:rPr>
                <w:rFonts w:cs="Arial"/>
                <w:b/>
                <w:bCs/>
                <w:color w:val="FFFFFF"/>
                <w:sz w:val="20"/>
                <w:lang w:eastAsia="es-MX"/>
              </w:rPr>
            </w:pPr>
          </w:p>
        </w:tc>
        <w:tc>
          <w:tcPr>
            <w:tcW w:w="752" w:type="dxa"/>
            <w:tcBorders>
              <w:top w:val="nil"/>
              <w:left w:val="nil"/>
              <w:bottom w:val="nil"/>
              <w:right w:val="nil"/>
            </w:tcBorders>
            <w:shd w:val="clear" w:color="auto" w:fill="338B99"/>
            <w:vAlign w:val="center"/>
            <w:hideMark/>
          </w:tcPr>
          <w:p w14:paraId="01FC9F39" w14:textId="6C2FB568" w:rsidR="009E086F" w:rsidRPr="00695303" w:rsidRDefault="009E086F" w:rsidP="009E086F">
            <w:pPr>
              <w:widowControl/>
              <w:jc w:val="center"/>
              <w:rPr>
                <w:rFonts w:cs="Arial"/>
                <w:b/>
                <w:bCs/>
                <w:color w:val="FFFFFF"/>
                <w:sz w:val="20"/>
                <w:lang w:eastAsia="es-MX"/>
              </w:rPr>
            </w:pPr>
            <w:r w:rsidRPr="00695303">
              <w:rPr>
                <w:rFonts w:cs="Arial"/>
                <w:b/>
                <w:bCs/>
                <w:color w:val="FFFFFF"/>
                <w:sz w:val="20"/>
                <w:lang w:eastAsia="es-MX"/>
              </w:rPr>
              <w:t>Total</w:t>
            </w:r>
          </w:p>
        </w:tc>
        <w:tc>
          <w:tcPr>
            <w:tcW w:w="1063" w:type="dxa"/>
            <w:tcBorders>
              <w:top w:val="nil"/>
              <w:left w:val="nil"/>
              <w:bottom w:val="nil"/>
              <w:right w:val="nil"/>
            </w:tcBorders>
            <w:shd w:val="clear" w:color="auto" w:fill="338B99"/>
            <w:vAlign w:val="center"/>
            <w:hideMark/>
          </w:tcPr>
          <w:p w14:paraId="5374F917" w14:textId="66110727" w:rsidR="009E086F" w:rsidRPr="00695303" w:rsidRDefault="009E086F" w:rsidP="009E086F">
            <w:pPr>
              <w:widowControl/>
              <w:jc w:val="center"/>
              <w:rPr>
                <w:rFonts w:cs="Arial"/>
                <w:b/>
                <w:bCs/>
                <w:color w:val="FFFFFF"/>
                <w:sz w:val="20"/>
                <w:lang w:eastAsia="es-MX"/>
              </w:rPr>
            </w:pPr>
            <w:r w:rsidRPr="00695303">
              <w:rPr>
                <w:rFonts w:cs="Arial"/>
                <w:b/>
                <w:bCs/>
                <w:color w:val="FFFFFF"/>
                <w:sz w:val="20"/>
                <w:lang w:eastAsia="es-MX"/>
              </w:rPr>
              <w:t>Niños</w:t>
            </w:r>
          </w:p>
        </w:tc>
        <w:tc>
          <w:tcPr>
            <w:tcW w:w="865" w:type="dxa"/>
            <w:tcBorders>
              <w:top w:val="nil"/>
              <w:left w:val="nil"/>
              <w:bottom w:val="nil"/>
              <w:right w:val="nil"/>
            </w:tcBorders>
            <w:shd w:val="clear" w:color="auto" w:fill="338B99"/>
            <w:vAlign w:val="center"/>
            <w:hideMark/>
          </w:tcPr>
          <w:p w14:paraId="4984C7B7" w14:textId="77777777" w:rsidR="009E086F" w:rsidRPr="00695303" w:rsidRDefault="009E086F" w:rsidP="009E086F">
            <w:pPr>
              <w:widowControl/>
              <w:jc w:val="center"/>
              <w:rPr>
                <w:rFonts w:cs="Arial"/>
                <w:b/>
                <w:bCs/>
                <w:color w:val="FFFFFF"/>
                <w:sz w:val="20"/>
                <w:lang w:eastAsia="es-MX"/>
              </w:rPr>
            </w:pPr>
            <w:r w:rsidRPr="00695303">
              <w:rPr>
                <w:rFonts w:cs="Arial"/>
                <w:b/>
                <w:bCs/>
                <w:color w:val="FFFFFF"/>
                <w:sz w:val="20"/>
                <w:lang w:eastAsia="es-MX"/>
              </w:rPr>
              <w:t>Niñas</w:t>
            </w:r>
          </w:p>
        </w:tc>
        <w:tc>
          <w:tcPr>
            <w:tcW w:w="1009" w:type="dxa"/>
            <w:tcBorders>
              <w:top w:val="nil"/>
              <w:left w:val="nil"/>
              <w:bottom w:val="nil"/>
              <w:right w:val="nil"/>
            </w:tcBorders>
            <w:shd w:val="clear" w:color="auto" w:fill="338B99"/>
            <w:vAlign w:val="center"/>
            <w:hideMark/>
          </w:tcPr>
          <w:p w14:paraId="05EE9897" w14:textId="2A569327" w:rsidR="009E086F" w:rsidRPr="00695303" w:rsidRDefault="009E086F" w:rsidP="009E086F">
            <w:pPr>
              <w:widowControl/>
              <w:jc w:val="center"/>
              <w:rPr>
                <w:rFonts w:cs="Arial"/>
                <w:b/>
                <w:bCs/>
                <w:color w:val="FFFFFF"/>
                <w:sz w:val="20"/>
                <w:lang w:eastAsia="es-MX"/>
              </w:rPr>
            </w:pPr>
            <w:r w:rsidRPr="00695303">
              <w:rPr>
                <w:rFonts w:cs="Arial"/>
                <w:b/>
                <w:bCs/>
                <w:color w:val="FFFFFF"/>
                <w:sz w:val="20"/>
                <w:lang w:eastAsia="es-MX"/>
              </w:rPr>
              <w:t>Total</w:t>
            </w:r>
          </w:p>
        </w:tc>
        <w:tc>
          <w:tcPr>
            <w:tcW w:w="1153" w:type="dxa"/>
            <w:gridSpan w:val="2"/>
            <w:tcBorders>
              <w:top w:val="nil"/>
              <w:left w:val="nil"/>
              <w:bottom w:val="nil"/>
              <w:right w:val="nil"/>
            </w:tcBorders>
            <w:shd w:val="clear" w:color="auto" w:fill="338B99"/>
            <w:vAlign w:val="center"/>
            <w:hideMark/>
          </w:tcPr>
          <w:p w14:paraId="2D609BEB" w14:textId="0A688E8F" w:rsidR="009E086F" w:rsidRPr="00695303" w:rsidRDefault="009E086F" w:rsidP="009E086F">
            <w:pPr>
              <w:widowControl/>
              <w:jc w:val="center"/>
              <w:rPr>
                <w:rFonts w:cs="Arial"/>
                <w:b/>
                <w:bCs/>
                <w:color w:val="FFFFFF"/>
                <w:sz w:val="20"/>
                <w:lang w:eastAsia="es-MX"/>
              </w:rPr>
            </w:pPr>
            <w:r w:rsidRPr="00695303">
              <w:rPr>
                <w:rFonts w:cs="Arial"/>
                <w:b/>
                <w:bCs/>
                <w:color w:val="FFFFFF"/>
                <w:sz w:val="20"/>
                <w:lang w:eastAsia="es-MX"/>
              </w:rPr>
              <w:t>Niños</w:t>
            </w:r>
          </w:p>
        </w:tc>
        <w:tc>
          <w:tcPr>
            <w:tcW w:w="1298" w:type="dxa"/>
            <w:tcBorders>
              <w:top w:val="nil"/>
              <w:left w:val="nil"/>
              <w:bottom w:val="nil"/>
              <w:right w:val="nil"/>
            </w:tcBorders>
            <w:shd w:val="clear" w:color="auto" w:fill="338B99"/>
            <w:vAlign w:val="center"/>
            <w:hideMark/>
          </w:tcPr>
          <w:p w14:paraId="6E4A4FA6" w14:textId="77777777" w:rsidR="009E086F" w:rsidRPr="00695303" w:rsidRDefault="009E086F" w:rsidP="009E086F">
            <w:pPr>
              <w:widowControl/>
              <w:jc w:val="center"/>
              <w:rPr>
                <w:rFonts w:cs="Arial"/>
                <w:b/>
                <w:bCs/>
                <w:color w:val="FFFFFF"/>
                <w:sz w:val="20"/>
                <w:lang w:eastAsia="es-MX"/>
              </w:rPr>
            </w:pPr>
            <w:r w:rsidRPr="00695303">
              <w:rPr>
                <w:rFonts w:cs="Arial"/>
                <w:b/>
                <w:bCs/>
                <w:color w:val="FFFFFF"/>
                <w:sz w:val="20"/>
                <w:lang w:eastAsia="es-MX"/>
              </w:rPr>
              <w:t>Niñas</w:t>
            </w:r>
          </w:p>
        </w:tc>
      </w:tr>
      <w:tr w:rsidR="009E086F" w:rsidRPr="00695303" w14:paraId="58340900" w14:textId="77777777" w:rsidTr="00E213E7">
        <w:trPr>
          <w:trHeight w:val="282"/>
        </w:trPr>
        <w:tc>
          <w:tcPr>
            <w:tcW w:w="3520" w:type="dxa"/>
            <w:gridSpan w:val="2"/>
            <w:tcBorders>
              <w:top w:val="nil"/>
              <w:left w:val="nil"/>
              <w:bottom w:val="nil"/>
              <w:right w:val="nil"/>
            </w:tcBorders>
            <w:shd w:val="clear" w:color="auto" w:fill="66A8B3"/>
            <w:vAlign w:val="center"/>
            <w:hideMark/>
          </w:tcPr>
          <w:p w14:paraId="7AC28B82" w14:textId="77777777" w:rsidR="009E086F" w:rsidRPr="00695303" w:rsidRDefault="009E086F" w:rsidP="009E086F">
            <w:pPr>
              <w:widowControl/>
              <w:jc w:val="left"/>
              <w:rPr>
                <w:rFonts w:cs="Arial"/>
                <w:b/>
                <w:bCs/>
                <w:color w:val="000000"/>
                <w:sz w:val="20"/>
                <w:lang w:eastAsia="es-MX"/>
              </w:rPr>
            </w:pPr>
            <w:r w:rsidRPr="00695303">
              <w:rPr>
                <w:rFonts w:cs="Arial"/>
                <w:b/>
                <w:bCs/>
                <w:sz w:val="20"/>
                <w:lang w:eastAsia="es-MX"/>
              </w:rPr>
              <w:t>Ocupación peligrosa</w:t>
            </w:r>
          </w:p>
        </w:tc>
        <w:tc>
          <w:tcPr>
            <w:tcW w:w="752" w:type="dxa"/>
            <w:tcBorders>
              <w:top w:val="nil"/>
              <w:left w:val="nil"/>
              <w:bottom w:val="nil"/>
              <w:right w:val="nil"/>
            </w:tcBorders>
            <w:shd w:val="clear" w:color="auto" w:fill="66A8B3"/>
            <w:noWrap/>
            <w:vAlign w:val="bottom"/>
            <w:hideMark/>
          </w:tcPr>
          <w:p w14:paraId="146EEFB8" w14:textId="0483F839" w:rsidR="009E086F" w:rsidRPr="00695303" w:rsidRDefault="009E086F" w:rsidP="009E086F">
            <w:pPr>
              <w:widowControl/>
              <w:jc w:val="center"/>
              <w:rPr>
                <w:rFonts w:cs="Arial"/>
                <w:b/>
                <w:bCs/>
                <w:sz w:val="20"/>
                <w:lang w:eastAsia="es-MX"/>
              </w:rPr>
            </w:pPr>
            <w:r w:rsidRPr="00695303">
              <w:rPr>
                <w:rFonts w:cs="Arial"/>
                <w:b/>
                <w:bCs/>
                <w:sz w:val="20"/>
                <w:lang w:eastAsia="es-MX"/>
              </w:rPr>
              <w:t>1</w:t>
            </w:r>
            <w:r w:rsidR="00E213E7">
              <w:rPr>
                <w:rFonts w:cs="Arial"/>
                <w:b/>
                <w:bCs/>
                <w:sz w:val="20"/>
                <w:lang w:eastAsia="es-MX"/>
              </w:rPr>
              <w:t xml:space="preserve"> </w:t>
            </w:r>
            <w:r w:rsidRPr="00695303">
              <w:rPr>
                <w:rFonts w:cs="Arial"/>
                <w:b/>
                <w:bCs/>
                <w:sz w:val="20"/>
                <w:lang w:eastAsia="es-MX"/>
              </w:rPr>
              <w:t>973</w:t>
            </w:r>
          </w:p>
        </w:tc>
        <w:tc>
          <w:tcPr>
            <w:tcW w:w="1063" w:type="dxa"/>
            <w:tcBorders>
              <w:top w:val="nil"/>
              <w:left w:val="nil"/>
              <w:bottom w:val="nil"/>
              <w:right w:val="nil"/>
            </w:tcBorders>
            <w:shd w:val="clear" w:color="auto" w:fill="66A8B3"/>
            <w:noWrap/>
            <w:vAlign w:val="bottom"/>
            <w:hideMark/>
          </w:tcPr>
          <w:p w14:paraId="7EEF121F" w14:textId="1864F564" w:rsidR="009E086F" w:rsidRPr="00695303" w:rsidRDefault="009E086F" w:rsidP="009E086F">
            <w:pPr>
              <w:widowControl/>
              <w:jc w:val="center"/>
              <w:rPr>
                <w:rFonts w:cs="Arial"/>
                <w:b/>
                <w:bCs/>
                <w:sz w:val="20"/>
                <w:lang w:eastAsia="es-MX"/>
              </w:rPr>
            </w:pPr>
            <w:r w:rsidRPr="00695303">
              <w:rPr>
                <w:rFonts w:cs="Arial"/>
                <w:b/>
                <w:bCs/>
                <w:sz w:val="20"/>
                <w:lang w:eastAsia="es-MX"/>
              </w:rPr>
              <w:t>1</w:t>
            </w:r>
            <w:r w:rsidR="00E213E7">
              <w:rPr>
                <w:rFonts w:cs="Arial"/>
                <w:b/>
                <w:bCs/>
                <w:sz w:val="20"/>
                <w:lang w:eastAsia="es-MX"/>
              </w:rPr>
              <w:t xml:space="preserve"> </w:t>
            </w:r>
            <w:r w:rsidRPr="00695303">
              <w:rPr>
                <w:rFonts w:cs="Arial"/>
                <w:b/>
                <w:bCs/>
                <w:sz w:val="20"/>
                <w:lang w:eastAsia="es-MX"/>
              </w:rPr>
              <w:t>453</w:t>
            </w:r>
          </w:p>
        </w:tc>
        <w:tc>
          <w:tcPr>
            <w:tcW w:w="865" w:type="dxa"/>
            <w:tcBorders>
              <w:top w:val="nil"/>
              <w:left w:val="nil"/>
              <w:bottom w:val="nil"/>
              <w:right w:val="nil"/>
            </w:tcBorders>
            <w:shd w:val="clear" w:color="auto" w:fill="66A8B3"/>
            <w:noWrap/>
            <w:vAlign w:val="bottom"/>
            <w:hideMark/>
          </w:tcPr>
          <w:p w14:paraId="34973CE1" w14:textId="77777777" w:rsidR="009E086F" w:rsidRPr="00695303" w:rsidRDefault="009E086F" w:rsidP="009E086F">
            <w:pPr>
              <w:widowControl/>
              <w:jc w:val="center"/>
              <w:rPr>
                <w:rFonts w:cs="Arial"/>
                <w:b/>
                <w:bCs/>
                <w:sz w:val="20"/>
                <w:lang w:eastAsia="es-MX"/>
              </w:rPr>
            </w:pPr>
            <w:r w:rsidRPr="00695303">
              <w:rPr>
                <w:rFonts w:cs="Arial"/>
                <w:b/>
                <w:bCs/>
                <w:sz w:val="20"/>
                <w:lang w:eastAsia="es-MX"/>
              </w:rPr>
              <w:t>519</w:t>
            </w:r>
          </w:p>
        </w:tc>
        <w:tc>
          <w:tcPr>
            <w:tcW w:w="1081" w:type="dxa"/>
            <w:gridSpan w:val="2"/>
            <w:tcBorders>
              <w:top w:val="nil"/>
              <w:left w:val="nil"/>
              <w:bottom w:val="nil"/>
              <w:right w:val="nil"/>
            </w:tcBorders>
            <w:shd w:val="clear" w:color="auto" w:fill="66A8B3"/>
            <w:vAlign w:val="center"/>
            <w:hideMark/>
          </w:tcPr>
          <w:p w14:paraId="0409AD24" w14:textId="3163AA41" w:rsidR="009E086F" w:rsidRPr="00695303" w:rsidRDefault="009E086F" w:rsidP="009E086F">
            <w:pPr>
              <w:widowControl/>
              <w:jc w:val="center"/>
              <w:rPr>
                <w:rFonts w:cs="Arial"/>
                <w:b/>
                <w:bCs/>
                <w:color w:val="000000"/>
                <w:sz w:val="20"/>
                <w:lang w:eastAsia="es-MX"/>
              </w:rPr>
            </w:pPr>
            <w:r>
              <w:rPr>
                <w:rFonts w:cs="Arial"/>
                <w:b/>
                <w:bCs/>
                <w:color w:val="000000"/>
                <w:sz w:val="20"/>
                <w:lang w:eastAsia="es-MX"/>
              </w:rPr>
              <w:t>100.0</w:t>
            </w:r>
          </w:p>
        </w:tc>
        <w:tc>
          <w:tcPr>
            <w:tcW w:w="1081" w:type="dxa"/>
            <w:tcBorders>
              <w:top w:val="nil"/>
              <w:left w:val="nil"/>
              <w:bottom w:val="nil"/>
              <w:right w:val="nil"/>
            </w:tcBorders>
            <w:shd w:val="clear" w:color="auto" w:fill="66A8B3"/>
            <w:vAlign w:val="center"/>
          </w:tcPr>
          <w:p w14:paraId="290742E8" w14:textId="56642439" w:rsidR="009E086F" w:rsidRPr="00695303" w:rsidRDefault="009E086F" w:rsidP="009E086F">
            <w:pPr>
              <w:widowControl/>
              <w:jc w:val="left"/>
              <w:rPr>
                <w:rFonts w:cs="Arial"/>
                <w:b/>
                <w:bCs/>
                <w:color w:val="000000"/>
                <w:sz w:val="20"/>
                <w:lang w:eastAsia="es-MX"/>
              </w:rPr>
            </w:pPr>
            <w:r>
              <w:rPr>
                <w:rFonts w:cs="Arial"/>
                <w:b/>
                <w:bCs/>
                <w:color w:val="000000"/>
                <w:sz w:val="20"/>
                <w:lang w:eastAsia="es-MX"/>
              </w:rPr>
              <w:t xml:space="preserve">   100.0</w:t>
            </w:r>
          </w:p>
        </w:tc>
        <w:tc>
          <w:tcPr>
            <w:tcW w:w="1298" w:type="dxa"/>
            <w:tcBorders>
              <w:top w:val="nil"/>
              <w:left w:val="nil"/>
              <w:bottom w:val="nil"/>
              <w:right w:val="nil"/>
            </w:tcBorders>
            <w:shd w:val="clear" w:color="auto" w:fill="66A8B3"/>
            <w:vAlign w:val="center"/>
            <w:hideMark/>
          </w:tcPr>
          <w:p w14:paraId="169E767B" w14:textId="31E668DE" w:rsidR="009E086F" w:rsidRPr="00695303" w:rsidRDefault="009E086F" w:rsidP="009E086F">
            <w:pPr>
              <w:widowControl/>
              <w:jc w:val="center"/>
              <w:rPr>
                <w:rFonts w:cs="Arial"/>
                <w:b/>
                <w:bCs/>
                <w:color w:val="000000"/>
                <w:sz w:val="20"/>
                <w:lang w:eastAsia="es-MX"/>
              </w:rPr>
            </w:pPr>
            <w:r>
              <w:rPr>
                <w:rFonts w:cs="Arial"/>
                <w:b/>
                <w:bCs/>
                <w:color w:val="000000"/>
                <w:sz w:val="20"/>
                <w:lang w:eastAsia="es-MX"/>
              </w:rPr>
              <w:t>100.0</w:t>
            </w:r>
          </w:p>
        </w:tc>
      </w:tr>
      <w:tr w:rsidR="009E086F" w:rsidRPr="00695303" w14:paraId="686E00CB" w14:textId="77777777" w:rsidTr="00E213E7">
        <w:trPr>
          <w:trHeight w:val="282"/>
        </w:trPr>
        <w:tc>
          <w:tcPr>
            <w:tcW w:w="223" w:type="dxa"/>
            <w:tcBorders>
              <w:top w:val="nil"/>
              <w:left w:val="nil"/>
              <w:bottom w:val="nil"/>
              <w:right w:val="nil"/>
            </w:tcBorders>
            <w:shd w:val="clear" w:color="auto" w:fill="CCE2E6"/>
            <w:noWrap/>
            <w:vAlign w:val="center"/>
            <w:hideMark/>
          </w:tcPr>
          <w:p w14:paraId="5F4A274E" w14:textId="77777777" w:rsidR="009E086F" w:rsidRPr="00695303" w:rsidRDefault="009E086F" w:rsidP="00562DA7">
            <w:pPr>
              <w:widowControl/>
              <w:jc w:val="left"/>
              <w:rPr>
                <w:rFonts w:ascii="Times New Roman" w:hAnsi="Times New Roman"/>
                <w:color w:val="000000"/>
                <w:sz w:val="20"/>
                <w:lang w:eastAsia="es-MX"/>
              </w:rPr>
            </w:pPr>
            <w:r w:rsidRPr="00695303">
              <w:rPr>
                <w:rFonts w:ascii="Times New Roman" w:hAnsi="Times New Roman"/>
                <w:color w:val="000000"/>
                <w:sz w:val="20"/>
                <w:lang w:eastAsia="es-MX"/>
              </w:rPr>
              <w:t> </w:t>
            </w:r>
          </w:p>
        </w:tc>
        <w:tc>
          <w:tcPr>
            <w:tcW w:w="3296" w:type="dxa"/>
            <w:tcBorders>
              <w:top w:val="nil"/>
              <w:left w:val="nil"/>
              <w:bottom w:val="nil"/>
              <w:right w:val="nil"/>
            </w:tcBorders>
            <w:shd w:val="clear" w:color="auto" w:fill="CCE2E6"/>
            <w:vAlign w:val="center"/>
            <w:hideMark/>
          </w:tcPr>
          <w:p w14:paraId="3AD2C12A" w14:textId="77777777" w:rsidR="009E086F" w:rsidRPr="00695303" w:rsidRDefault="009E086F" w:rsidP="00562DA7">
            <w:pPr>
              <w:widowControl/>
              <w:jc w:val="left"/>
              <w:rPr>
                <w:rFonts w:cs="Arial"/>
                <w:color w:val="000000"/>
                <w:sz w:val="20"/>
                <w:lang w:eastAsia="es-MX"/>
              </w:rPr>
            </w:pPr>
            <w:r w:rsidRPr="00695303">
              <w:rPr>
                <w:rFonts w:cs="Arial"/>
                <w:sz w:val="20"/>
                <w:lang w:eastAsia="es-MX"/>
              </w:rPr>
              <w:t>En sectores de actividad peligrosos</w:t>
            </w:r>
          </w:p>
        </w:tc>
        <w:tc>
          <w:tcPr>
            <w:tcW w:w="752" w:type="dxa"/>
            <w:tcBorders>
              <w:top w:val="nil"/>
              <w:left w:val="nil"/>
              <w:bottom w:val="nil"/>
              <w:right w:val="nil"/>
            </w:tcBorders>
            <w:shd w:val="clear" w:color="auto" w:fill="CCE2E6"/>
            <w:noWrap/>
            <w:vAlign w:val="bottom"/>
            <w:hideMark/>
          </w:tcPr>
          <w:p w14:paraId="42493C54" w14:textId="77777777" w:rsidR="009E086F" w:rsidRPr="00695303" w:rsidRDefault="009E086F" w:rsidP="00562DA7">
            <w:pPr>
              <w:widowControl/>
              <w:jc w:val="center"/>
              <w:rPr>
                <w:rFonts w:cs="Arial"/>
                <w:sz w:val="20"/>
                <w:lang w:eastAsia="es-MX"/>
              </w:rPr>
            </w:pPr>
            <w:r w:rsidRPr="00695303">
              <w:rPr>
                <w:rFonts w:cs="Arial"/>
                <w:sz w:val="20"/>
                <w:lang w:eastAsia="es-MX"/>
              </w:rPr>
              <w:t>1,066</w:t>
            </w:r>
          </w:p>
        </w:tc>
        <w:tc>
          <w:tcPr>
            <w:tcW w:w="1063" w:type="dxa"/>
            <w:tcBorders>
              <w:top w:val="nil"/>
              <w:left w:val="nil"/>
              <w:bottom w:val="nil"/>
              <w:right w:val="nil"/>
            </w:tcBorders>
            <w:shd w:val="clear" w:color="auto" w:fill="CCE2E6"/>
            <w:noWrap/>
            <w:vAlign w:val="bottom"/>
            <w:hideMark/>
          </w:tcPr>
          <w:p w14:paraId="0E9C34B7" w14:textId="77777777" w:rsidR="009E086F" w:rsidRPr="00695303" w:rsidRDefault="009E086F" w:rsidP="00562DA7">
            <w:pPr>
              <w:widowControl/>
              <w:jc w:val="center"/>
              <w:rPr>
                <w:rFonts w:cs="Arial"/>
                <w:sz w:val="20"/>
                <w:lang w:eastAsia="es-MX"/>
              </w:rPr>
            </w:pPr>
            <w:r w:rsidRPr="00695303">
              <w:rPr>
                <w:rFonts w:cs="Arial"/>
                <w:sz w:val="20"/>
                <w:lang w:eastAsia="es-MX"/>
              </w:rPr>
              <w:t>896</w:t>
            </w:r>
          </w:p>
        </w:tc>
        <w:tc>
          <w:tcPr>
            <w:tcW w:w="865" w:type="dxa"/>
            <w:tcBorders>
              <w:top w:val="nil"/>
              <w:left w:val="nil"/>
              <w:bottom w:val="nil"/>
              <w:right w:val="nil"/>
            </w:tcBorders>
            <w:shd w:val="clear" w:color="auto" w:fill="CCE2E6"/>
            <w:noWrap/>
            <w:vAlign w:val="bottom"/>
            <w:hideMark/>
          </w:tcPr>
          <w:p w14:paraId="199F0DED" w14:textId="77777777" w:rsidR="009E086F" w:rsidRPr="00695303" w:rsidRDefault="009E086F" w:rsidP="00562DA7">
            <w:pPr>
              <w:widowControl/>
              <w:jc w:val="center"/>
              <w:rPr>
                <w:rFonts w:cs="Arial"/>
                <w:sz w:val="20"/>
                <w:lang w:eastAsia="es-MX"/>
              </w:rPr>
            </w:pPr>
            <w:r w:rsidRPr="00695303">
              <w:rPr>
                <w:rFonts w:cs="Arial"/>
                <w:sz w:val="20"/>
                <w:lang w:eastAsia="es-MX"/>
              </w:rPr>
              <w:t>169</w:t>
            </w:r>
          </w:p>
        </w:tc>
        <w:tc>
          <w:tcPr>
            <w:tcW w:w="1009" w:type="dxa"/>
            <w:tcBorders>
              <w:top w:val="nil"/>
              <w:left w:val="nil"/>
              <w:bottom w:val="nil"/>
              <w:right w:val="nil"/>
            </w:tcBorders>
            <w:shd w:val="clear" w:color="auto" w:fill="CCE2E6"/>
            <w:vAlign w:val="center"/>
            <w:hideMark/>
          </w:tcPr>
          <w:p w14:paraId="05E5EE7B" w14:textId="77777777" w:rsidR="009E086F" w:rsidRPr="00695303" w:rsidRDefault="009E086F" w:rsidP="00562DA7">
            <w:pPr>
              <w:widowControl/>
              <w:jc w:val="center"/>
              <w:rPr>
                <w:rFonts w:cs="Arial"/>
                <w:color w:val="000000"/>
                <w:sz w:val="20"/>
                <w:lang w:eastAsia="es-MX"/>
              </w:rPr>
            </w:pPr>
            <w:r w:rsidRPr="00695303">
              <w:rPr>
                <w:rFonts w:cs="Arial"/>
                <w:color w:val="000000"/>
                <w:sz w:val="20"/>
                <w:lang w:eastAsia="es-MX"/>
              </w:rPr>
              <w:t>54.0</w:t>
            </w:r>
          </w:p>
        </w:tc>
        <w:tc>
          <w:tcPr>
            <w:tcW w:w="1153" w:type="dxa"/>
            <w:gridSpan w:val="2"/>
            <w:tcBorders>
              <w:top w:val="nil"/>
              <w:left w:val="nil"/>
              <w:bottom w:val="nil"/>
              <w:right w:val="nil"/>
            </w:tcBorders>
            <w:shd w:val="clear" w:color="auto" w:fill="CCE2E6"/>
            <w:vAlign w:val="center"/>
            <w:hideMark/>
          </w:tcPr>
          <w:p w14:paraId="60FA8CB2" w14:textId="77777777" w:rsidR="009E086F" w:rsidRPr="00695303" w:rsidRDefault="009E086F" w:rsidP="00562DA7">
            <w:pPr>
              <w:widowControl/>
              <w:jc w:val="center"/>
              <w:rPr>
                <w:rFonts w:cs="Arial"/>
                <w:color w:val="000000"/>
                <w:sz w:val="20"/>
                <w:lang w:eastAsia="es-MX"/>
              </w:rPr>
            </w:pPr>
            <w:r w:rsidRPr="00695303">
              <w:rPr>
                <w:rFonts w:cs="Arial"/>
                <w:color w:val="000000"/>
                <w:sz w:val="20"/>
                <w:lang w:eastAsia="es-MX"/>
              </w:rPr>
              <w:t>61.7</w:t>
            </w:r>
          </w:p>
        </w:tc>
        <w:tc>
          <w:tcPr>
            <w:tcW w:w="1298" w:type="dxa"/>
            <w:tcBorders>
              <w:top w:val="nil"/>
              <w:left w:val="nil"/>
              <w:bottom w:val="nil"/>
              <w:right w:val="nil"/>
            </w:tcBorders>
            <w:shd w:val="clear" w:color="auto" w:fill="CCE2E6"/>
            <w:vAlign w:val="center"/>
            <w:hideMark/>
          </w:tcPr>
          <w:p w14:paraId="06F4625B" w14:textId="77777777" w:rsidR="009E086F" w:rsidRPr="00695303" w:rsidRDefault="009E086F" w:rsidP="00562DA7">
            <w:pPr>
              <w:widowControl/>
              <w:jc w:val="center"/>
              <w:rPr>
                <w:rFonts w:cs="Arial"/>
                <w:color w:val="000000"/>
                <w:sz w:val="20"/>
                <w:lang w:eastAsia="es-MX"/>
              </w:rPr>
            </w:pPr>
            <w:r w:rsidRPr="00695303">
              <w:rPr>
                <w:rFonts w:cs="Arial"/>
                <w:color w:val="000000"/>
                <w:sz w:val="20"/>
                <w:lang w:eastAsia="es-MX"/>
              </w:rPr>
              <w:t>32.6</w:t>
            </w:r>
          </w:p>
        </w:tc>
      </w:tr>
      <w:tr w:rsidR="009E086F" w:rsidRPr="00695303" w14:paraId="721E4683" w14:textId="77777777" w:rsidTr="00E213E7">
        <w:trPr>
          <w:trHeight w:val="282"/>
        </w:trPr>
        <w:tc>
          <w:tcPr>
            <w:tcW w:w="223" w:type="dxa"/>
            <w:tcBorders>
              <w:top w:val="nil"/>
              <w:left w:val="nil"/>
              <w:bottom w:val="nil"/>
              <w:right w:val="nil"/>
            </w:tcBorders>
            <w:shd w:val="clear" w:color="auto" w:fill="CCE2E6"/>
            <w:noWrap/>
            <w:vAlign w:val="center"/>
            <w:hideMark/>
          </w:tcPr>
          <w:p w14:paraId="5F214D60" w14:textId="77777777" w:rsidR="009E086F" w:rsidRPr="00695303" w:rsidRDefault="009E086F" w:rsidP="00562DA7">
            <w:pPr>
              <w:widowControl/>
              <w:jc w:val="left"/>
              <w:rPr>
                <w:rFonts w:ascii="Times New Roman" w:hAnsi="Times New Roman"/>
                <w:color w:val="000000"/>
                <w:sz w:val="20"/>
                <w:lang w:eastAsia="es-MX"/>
              </w:rPr>
            </w:pPr>
            <w:r w:rsidRPr="00695303">
              <w:rPr>
                <w:rFonts w:ascii="Times New Roman" w:hAnsi="Times New Roman"/>
                <w:color w:val="000000"/>
                <w:sz w:val="20"/>
                <w:lang w:eastAsia="es-MX"/>
              </w:rPr>
              <w:t> </w:t>
            </w:r>
          </w:p>
        </w:tc>
        <w:tc>
          <w:tcPr>
            <w:tcW w:w="3296" w:type="dxa"/>
            <w:tcBorders>
              <w:top w:val="nil"/>
              <w:left w:val="nil"/>
              <w:bottom w:val="nil"/>
              <w:right w:val="nil"/>
            </w:tcBorders>
            <w:shd w:val="clear" w:color="auto" w:fill="CCE2E6"/>
            <w:vAlign w:val="center"/>
            <w:hideMark/>
          </w:tcPr>
          <w:p w14:paraId="1BA24FB7" w14:textId="77777777" w:rsidR="009E086F" w:rsidRPr="00695303" w:rsidRDefault="009E086F" w:rsidP="00562DA7">
            <w:pPr>
              <w:widowControl/>
              <w:jc w:val="left"/>
              <w:rPr>
                <w:rFonts w:cs="Arial"/>
                <w:color w:val="000000"/>
                <w:sz w:val="20"/>
                <w:lang w:eastAsia="es-MX"/>
              </w:rPr>
            </w:pPr>
            <w:r w:rsidRPr="00695303">
              <w:rPr>
                <w:rFonts w:cs="Arial"/>
                <w:sz w:val="20"/>
                <w:lang w:eastAsia="es-MX"/>
              </w:rPr>
              <w:t>En ocupaciones peligrosas</w:t>
            </w:r>
          </w:p>
        </w:tc>
        <w:tc>
          <w:tcPr>
            <w:tcW w:w="752" w:type="dxa"/>
            <w:tcBorders>
              <w:top w:val="nil"/>
              <w:left w:val="nil"/>
              <w:bottom w:val="nil"/>
              <w:right w:val="nil"/>
            </w:tcBorders>
            <w:shd w:val="clear" w:color="auto" w:fill="CCE2E6"/>
            <w:noWrap/>
            <w:vAlign w:val="bottom"/>
            <w:hideMark/>
          </w:tcPr>
          <w:p w14:paraId="3CD8F247" w14:textId="77777777" w:rsidR="009E086F" w:rsidRPr="00695303" w:rsidRDefault="009E086F" w:rsidP="00562DA7">
            <w:pPr>
              <w:widowControl/>
              <w:jc w:val="center"/>
              <w:rPr>
                <w:rFonts w:cs="Arial"/>
                <w:sz w:val="20"/>
                <w:lang w:eastAsia="es-MX"/>
              </w:rPr>
            </w:pPr>
            <w:r w:rsidRPr="00695303">
              <w:rPr>
                <w:rFonts w:cs="Arial"/>
                <w:sz w:val="20"/>
                <w:lang w:eastAsia="es-MX"/>
              </w:rPr>
              <w:t>1,245</w:t>
            </w:r>
          </w:p>
        </w:tc>
        <w:tc>
          <w:tcPr>
            <w:tcW w:w="1063" w:type="dxa"/>
            <w:tcBorders>
              <w:top w:val="nil"/>
              <w:left w:val="nil"/>
              <w:bottom w:val="nil"/>
              <w:right w:val="nil"/>
            </w:tcBorders>
            <w:shd w:val="clear" w:color="auto" w:fill="CCE2E6"/>
            <w:noWrap/>
            <w:vAlign w:val="bottom"/>
            <w:hideMark/>
          </w:tcPr>
          <w:p w14:paraId="69D35C9E" w14:textId="77777777" w:rsidR="009E086F" w:rsidRPr="00695303" w:rsidRDefault="009E086F" w:rsidP="00562DA7">
            <w:pPr>
              <w:widowControl/>
              <w:jc w:val="center"/>
              <w:rPr>
                <w:rFonts w:cs="Arial"/>
                <w:sz w:val="20"/>
                <w:lang w:eastAsia="es-MX"/>
              </w:rPr>
            </w:pPr>
            <w:r w:rsidRPr="00695303">
              <w:rPr>
                <w:rFonts w:cs="Arial"/>
                <w:sz w:val="20"/>
                <w:lang w:eastAsia="es-MX"/>
              </w:rPr>
              <w:t>969</w:t>
            </w:r>
          </w:p>
        </w:tc>
        <w:tc>
          <w:tcPr>
            <w:tcW w:w="865" w:type="dxa"/>
            <w:tcBorders>
              <w:top w:val="nil"/>
              <w:left w:val="nil"/>
              <w:bottom w:val="nil"/>
              <w:right w:val="nil"/>
            </w:tcBorders>
            <w:shd w:val="clear" w:color="auto" w:fill="CCE2E6"/>
            <w:noWrap/>
            <w:vAlign w:val="bottom"/>
            <w:hideMark/>
          </w:tcPr>
          <w:p w14:paraId="6C94F688" w14:textId="77777777" w:rsidR="009E086F" w:rsidRPr="00695303" w:rsidRDefault="009E086F" w:rsidP="00562DA7">
            <w:pPr>
              <w:widowControl/>
              <w:jc w:val="center"/>
              <w:rPr>
                <w:rFonts w:cs="Arial"/>
                <w:sz w:val="20"/>
                <w:lang w:eastAsia="es-MX"/>
              </w:rPr>
            </w:pPr>
            <w:r w:rsidRPr="00695303">
              <w:rPr>
                <w:rFonts w:cs="Arial"/>
                <w:sz w:val="20"/>
                <w:lang w:eastAsia="es-MX"/>
              </w:rPr>
              <w:t>276</w:t>
            </w:r>
          </w:p>
        </w:tc>
        <w:tc>
          <w:tcPr>
            <w:tcW w:w="1009" w:type="dxa"/>
            <w:tcBorders>
              <w:top w:val="nil"/>
              <w:left w:val="nil"/>
              <w:bottom w:val="nil"/>
              <w:right w:val="nil"/>
            </w:tcBorders>
            <w:shd w:val="clear" w:color="auto" w:fill="CCE2E6"/>
            <w:vAlign w:val="center"/>
            <w:hideMark/>
          </w:tcPr>
          <w:p w14:paraId="29C2B725" w14:textId="77777777" w:rsidR="009E086F" w:rsidRPr="00695303" w:rsidRDefault="009E086F" w:rsidP="00562DA7">
            <w:pPr>
              <w:widowControl/>
              <w:jc w:val="center"/>
              <w:rPr>
                <w:rFonts w:cs="Arial"/>
                <w:color w:val="000000"/>
                <w:sz w:val="20"/>
                <w:lang w:eastAsia="es-MX"/>
              </w:rPr>
            </w:pPr>
            <w:r w:rsidRPr="00695303">
              <w:rPr>
                <w:rFonts w:cs="Arial"/>
                <w:color w:val="000000"/>
                <w:sz w:val="20"/>
                <w:lang w:eastAsia="es-MX"/>
              </w:rPr>
              <w:t>63.1</w:t>
            </w:r>
          </w:p>
        </w:tc>
        <w:tc>
          <w:tcPr>
            <w:tcW w:w="1153" w:type="dxa"/>
            <w:gridSpan w:val="2"/>
            <w:tcBorders>
              <w:top w:val="nil"/>
              <w:left w:val="nil"/>
              <w:bottom w:val="nil"/>
              <w:right w:val="nil"/>
            </w:tcBorders>
            <w:shd w:val="clear" w:color="auto" w:fill="CCE2E6"/>
            <w:vAlign w:val="center"/>
            <w:hideMark/>
          </w:tcPr>
          <w:p w14:paraId="2DF8C41C" w14:textId="77777777" w:rsidR="009E086F" w:rsidRPr="00695303" w:rsidRDefault="009E086F" w:rsidP="00562DA7">
            <w:pPr>
              <w:widowControl/>
              <w:jc w:val="center"/>
              <w:rPr>
                <w:rFonts w:cs="Arial"/>
                <w:color w:val="000000"/>
                <w:sz w:val="20"/>
                <w:lang w:eastAsia="es-MX"/>
              </w:rPr>
            </w:pPr>
            <w:r w:rsidRPr="00695303">
              <w:rPr>
                <w:rFonts w:cs="Arial"/>
                <w:color w:val="000000"/>
                <w:sz w:val="20"/>
                <w:lang w:eastAsia="es-MX"/>
              </w:rPr>
              <w:t>66.7</w:t>
            </w:r>
          </w:p>
        </w:tc>
        <w:tc>
          <w:tcPr>
            <w:tcW w:w="1298" w:type="dxa"/>
            <w:tcBorders>
              <w:top w:val="nil"/>
              <w:left w:val="nil"/>
              <w:bottom w:val="nil"/>
              <w:right w:val="nil"/>
            </w:tcBorders>
            <w:shd w:val="clear" w:color="auto" w:fill="CCE2E6"/>
            <w:vAlign w:val="center"/>
            <w:hideMark/>
          </w:tcPr>
          <w:p w14:paraId="3B882C75" w14:textId="77777777" w:rsidR="009E086F" w:rsidRPr="00695303" w:rsidRDefault="009E086F" w:rsidP="00562DA7">
            <w:pPr>
              <w:widowControl/>
              <w:jc w:val="center"/>
              <w:rPr>
                <w:rFonts w:cs="Arial"/>
                <w:color w:val="000000"/>
                <w:sz w:val="20"/>
                <w:lang w:eastAsia="es-MX"/>
              </w:rPr>
            </w:pPr>
            <w:r w:rsidRPr="00695303">
              <w:rPr>
                <w:rFonts w:cs="Arial"/>
                <w:color w:val="000000"/>
                <w:sz w:val="20"/>
                <w:lang w:eastAsia="es-MX"/>
              </w:rPr>
              <w:t>53.1</w:t>
            </w:r>
          </w:p>
        </w:tc>
      </w:tr>
      <w:tr w:rsidR="009E086F" w:rsidRPr="00695303" w14:paraId="631BCCAE" w14:textId="77777777" w:rsidTr="00E213E7">
        <w:trPr>
          <w:trHeight w:val="549"/>
        </w:trPr>
        <w:tc>
          <w:tcPr>
            <w:tcW w:w="223" w:type="dxa"/>
            <w:tcBorders>
              <w:top w:val="nil"/>
              <w:left w:val="nil"/>
              <w:bottom w:val="nil"/>
              <w:right w:val="nil"/>
            </w:tcBorders>
            <w:shd w:val="clear" w:color="auto" w:fill="CCE2E6"/>
            <w:noWrap/>
            <w:vAlign w:val="center"/>
            <w:hideMark/>
          </w:tcPr>
          <w:p w14:paraId="0E8410C5" w14:textId="77777777" w:rsidR="009E086F" w:rsidRPr="00695303" w:rsidRDefault="009E086F" w:rsidP="00562DA7">
            <w:pPr>
              <w:widowControl/>
              <w:jc w:val="left"/>
              <w:rPr>
                <w:rFonts w:ascii="Times New Roman" w:hAnsi="Times New Roman"/>
                <w:color w:val="000000"/>
                <w:sz w:val="20"/>
                <w:lang w:eastAsia="es-MX"/>
              </w:rPr>
            </w:pPr>
            <w:r w:rsidRPr="00695303">
              <w:rPr>
                <w:rFonts w:ascii="Times New Roman" w:hAnsi="Times New Roman" w:cs="Arial"/>
                <w:color w:val="000000"/>
                <w:sz w:val="20"/>
                <w:lang w:eastAsia="es-MX"/>
              </w:rPr>
              <w:t> </w:t>
            </w:r>
          </w:p>
        </w:tc>
        <w:tc>
          <w:tcPr>
            <w:tcW w:w="3296" w:type="dxa"/>
            <w:tcBorders>
              <w:top w:val="nil"/>
              <w:left w:val="nil"/>
              <w:bottom w:val="nil"/>
              <w:right w:val="nil"/>
            </w:tcBorders>
            <w:shd w:val="clear" w:color="auto" w:fill="CCE2E6"/>
            <w:vAlign w:val="center"/>
            <w:hideMark/>
          </w:tcPr>
          <w:p w14:paraId="7B840EBC" w14:textId="77777777" w:rsidR="009E086F" w:rsidRPr="00695303" w:rsidRDefault="009E086F" w:rsidP="00562DA7">
            <w:pPr>
              <w:widowControl/>
              <w:jc w:val="left"/>
              <w:rPr>
                <w:rFonts w:cs="Arial"/>
                <w:color w:val="000000"/>
                <w:sz w:val="20"/>
                <w:lang w:eastAsia="es-MX"/>
              </w:rPr>
            </w:pPr>
            <w:r w:rsidRPr="00695303">
              <w:rPr>
                <w:rFonts w:cs="Arial"/>
                <w:sz w:val="20"/>
                <w:lang w:eastAsia="es-MX"/>
              </w:rPr>
              <w:t>En actividades con exposición a riesgos</w:t>
            </w:r>
          </w:p>
        </w:tc>
        <w:tc>
          <w:tcPr>
            <w:tcW w:w="752" w:type="dxa"/>
            <w:tcBorders>
              <w:top w:val="nil"/>
              <w:left w:val="nil"/>
              <w:bottom w:val="nil"/>
              <w:right w:val="nil"/>
            </w:tcBorders>
            <w:shd w:val="clear" w:color="auto" w:fill="CCE2E6"/>
            <w:noWrap/>
            <w:vAlign w:val="bottom"/>
            <w:hideMark/>
          </w:tcPr>
          <w:p w14:paraId="143632D8" w14:textId="77777777" w:rsidR="009E086F" w:rsidRPr="00695303" w:rsidRDefault="009E086F" w:rsidP="00562DA7">
            <w:pPr>
              <w:widowControl/>
              <w:jc w:val="center"/>
              <w:rPr>
                <w:rFonts w:cs="Arial"/>
                <w:sz w:val="20"/>
                <w:lang w:eastAsia="es-MX"/>
              </w:rPr>
            </w:pPr>
            <w:r w:rsidRPr="00695303">
              <w:rPr>
                <w:rFonts w:cs="Arial"/>
                <w:sz w:val="20"/>
                <w:lang w:eastAsia="es-MX"/>
              </w:rPr>
              <w:t>846</w:t>
            </w:r>
          </w:p>
        </w:tc>
        <w:tc>
          <w:tcPr>
            <w:tcW w:w="1063" w:type="dxa"/>
            <w:tcBorders>
              <w:top w:val="nil"/>
              <w:left w:val="nil"/>
              <w:bottom w:val="nil"/>
              <w:right w:val="nil"/>
            </w:tcBorders>
            <w:shd w:val="clear" w:color="auto" w:fill="CCE2E6"/>
            <w:noWrap/>
            <w:vAlign w:val="bottom"/>
            <w:hideMark/>
          </w:tcPr>
          <w:p w14:paraId="7E493559" w14:textId="77777777" w:rsidR="009E086F" w:rsidRPr="00695303" w:rsidRDefault="009E086F" w:rsidP="00562DA7">
            <w:pPr>
              <w:widowControl/>
              <w:jc w:val="center"/>
              <w:rPr>
                <w:rFonts w:cs="Arial"/>
                <w:sz w:val="20"/>
                <w:lang w:eastAsia="es-MX"/>
              </w:rPr>
            </w:pPr>
            <w:r w:rsidRPr="00695303">
              <w:rPr>
                <w:rFonts w:cs="Arial"/>
                <w:sz w:val="20"/>
                <w:lang w:eastAsia="es-MX"/>
              </w:rPr>
              <w:t>701</w:t>
            </w:r>
          </w:p>
        </w:tc>
        <w:tc>
          <w:tcPr>
            <w:tcW w:w="865" w:type="dxa"/>
            <w:tcBorders>
              <w:top w:val="nil"/>
              <w:left w:val="nil"/>
              <w:bottom w:val="nil"/>
              <w:right w:val="nil"/>
            </w:tcBorders>
            <w:shd w:val="clear" w:color="auto" w:fill="CCE2E6"/>
            <w:noWrap/>
            <w:vAlign w:val="bottom"/>
            <w:hideMark/>
          </w:tcPr>
          <w:p w14:paraId="59908FF7" w14:textId="77777777" w:rsidR="009E086F" w:rsidRPr="00695303" w:rsidRDefault="009E086F" w:rsidP="00562DA7">
            <w:pPr>
              <w:widowControl/>
              <w:jc w:val="center"/>
              <w:rPr>
                <w:rFonts w:cs="Arial"/>
                <w:sz w:val="20"/>
                <w:lang w:eastAsia="es-MX"/>
              </w:rPr>
            </w:pPr>
            <w:r w:rsidRPr="00695303">
              <w:rPr>
                <w:rFonts w:cs="Arial"/>
                <w:sz w:val="20"/>
                <w:lang w:eastAsia="es-MX"/>
              </w:rPr>
              <w:t>144</w:t>
            </w:r>
          </w:p>
        </w:tc>
        <w:tc>
          <w:tcPr>
            <w:tcW w:w="1009" w:type="dxa"/>
            <w:tcBorders>
              <w:top w:val="nil"/>
              <w:left w:val="nil"/>
              <w:bottom w:val="nil"/>
              <w:right w:val="nil"/>
            </w:tcBorders>
            <w:shd w:val="clear" w:color="auto" w:fill="CCE2E6"/>
            <w:vAlign w:val="center"/>
            <w:hideMark/>
          </w:tcPr>
          <w:p w14:paraId="19EFE1A8" w14:textId="77777777" w:rsidR="009E086F" w:rsidRPr="00695303" w:rsidRDefault="009E086F" w:rsidP="00562DA7">
            <w:pPr>
              <w:widowControl/>
              <w:jc w:val="center"/>
              <w:rPr>
                <w:rFonts w:cs="Arial"/>
                <w:color w:val="000000"/>
                <w:sz w:val="20"/>
                <w:lang w:eastAsia="es-MX"/>
              </w:rPr>
            </w:pPr>
            <w:r w:rsidRPr="00695303">
              <w:rPr>
                <w:rFonts w:cs="Arial"/>
                <w:color w:val="000000"/>
                <w:sz w:val="20"/>
                <w:lang w:eastAsia="es-MX"/>
              </w:rPr>
              <w:t>42.9</w:t>
            </w:r>
          </w:p>
        </w:tc>
        <w:tc>
          <w:tcPr>
            <w:tcW w:w="1153" w:type="dxa"/>
            <w:gridSpan w:val="2"/>
            <w:tcBorders>
              <w:top w:val="nil"/>
              <w:left w:val="nil"/>
              <w:bottom w:val="nil"/>
              <w:right w:val="nil"/>
            </w:tcBorders>
            <w:shd w:val="clear" w:color="auto" w:fill="CCE2E6"/>
            <w:vAlign w:val="center"/>
            <w:hideMark/>
          </w:tcPr>
          <w:p w14:paraId="22B0A53A" w14:textId="77777777" w:rsidR="009E086F" w:rsidRPr="00695303" w:rsidRDefault="009E086F" w:rsidP="00562DA7">
            <w:pPr>
              <w:widowControl/>
              <w:jc w:val="center"/>
              <w:rPr>
                <w:rFonts w:cs="Arial"/>
                <w:color w:val="000000"/>
                <w:sz w:val="20"/>
                <w:lang w:eastAsia="es-MX"/>
              </w:rPr>
            </w:pPr>
            <w:r w:rsidRPr="00695303">
              <w:rPr>
                <w:rFonts w:cs="Arial"/>
                <w:color w:val="000000"/>
                <w:sz w:val="20"/>
                <w:lang w:eastAsia="es-MX"/>
              </w:rPr>
              <w:t>48.3</w:t>
            </w:r>
          </w:p>
        </w:tc>
        <w:tc>
          <w:tcPr>
            <w:tcW w:w="1298" w:type="dxa"/>
            <w:tcBorders>
              <w:top w:val="nil"/>
              <w:left w:val="nil"/>
              <w:bottom w:val="nil"/>
              <w:right w:val="nil"/>
            </w:tcBorders>
            <w:shd w:val="clear" w:color="auto" w:fill="CCE2E6"/>
            <w:vAlign w:val="center"/>
            <w:hideMark/>
          </w:tcPr>
          <w:p w14:paraId="6DBF6893" w14:textId="77777777" w:rsidR="009E086F" w:rsidRPr="00695303" w:rsidRDefault="009E086F" w:rsidP="00562DA7">
            <w:pPr>
              <w:widowControl/>
              <w:jc w:val="center"/>
              <w:rPr>
                <w:rFonts w:cs="Arial"/>
                <w:color w:val="000000"/>
                <w:sz w:val="20"/>
                <w:lang w:eastAsia="es-MX"/>
              </w:rPr>
            </w:pPr>
            <w:r w:rsidRPr="00695303">
              <w:rPr>
                <w:rFonts w:cs="Arial"/>
                <w:color w:val="000000"/>
                <w:sz w:val="20"/>
                <w:lang w:eastAsia="es-MX"/>
              </w:rPr>
              <w:t>27.8</w:t>
            </w:r>
          </w:p>
        </w:tc>
      </w:tr>
      <w:tr w:rsidR="009E086F" w:rsidRPr="00695303" w14:paraId="18BF47FC" w14:textId="77777777" w:rsidTr="00E213E7">
        <w:trPr>
          <w:trHeight w:val="282"/>
        </w:trPr>
        <w:tc>
          <w:tcPr>
            <w:tcW w:w="223" w:type="dxa"/>
            <w:tcBorders>
              <w:top w:val="nil"/>
              <w:left w:val="nil"/>
              <w:bottom w:val="nil"/>
              <w:right w:val="nil"/>
            </w:tcBorders>
            <w:shd w:val="clear" w:color="auto" w:fill="CCE2E6"/>
            <w:noWrap/>
            <w:vAlign w:val="center"/>
            <w:hideMark/>
          </w:tcPr>
          <w:p w14:paraId="3C882406" w14:textId="77777777" w:rsidR="009E086F" w:rsidRPr="00695303" w:rsidRDefault="009E086F" w:rsidP="00562DA7">
            <w:pPr>
              <w:widowControl/>
              <w:jc w:val="left"/>
              <w:rPr>
                <w:rFonts w:ascii="Times New Roman" w:hAnsi="Times New Roman"/>
                <w:color w:val="000000"/>
                <w:sz w:val="20"/>
                <w:lang w:eastAsia="es-MX"/>
              </w:rPr>
            </w:pPr>
            <w:r w:rsidRPr="00695303">
              <w:rPr>
                <w:rFonts w:ascii="Times New Roman" w:hAnsi="Times New Roman"/>
                <w:color w:val="000000"/>
                <w:sz w:val="20"/>
                <w:lang w:eastAsia="es-MX"/>
              </w:rPr>
              <w:t> </w:t>
            </w:r>
          </w:p>
        </w:tc>
        <w:tc>
          <w:tcPr>
            <w:tcW w:w="3296" w:type="dxa"/>
            <w:tcBorders>
              <w:top w:val="nil"/>
              <w:left w:val="nil"/>
              <w:bottom w:val="nil"/>
              <w:right w:val="nil"/>
            </w:tcBorders>
            <w:shd w:val="clear" w:color="auto" w:fill="CCE2E6"/>
            <w:vAlign w:val="center"/>
            <w:hideMark/>
          </w:tcPr>
          <w:p w14:paraId="4DDADAD6" w14:textId="77777777" w:rsidR="009E086F" w:rsidRPr="00695303" w:rsidRDefault="009E086F" w:rsidP="00562DA7">
            <w:pPr>
              <w:widowControl/>
              <w:jc w:val="left"/>
              <w:rPr>
                <w:rFonts w:cs="Arial"/>
                <w:color w:val="000000"/>
                <w:sz w:val="20"/>
                <w:lang w:eastAsia="es-MX"/>
              </w:rPr>
            </w:pPr>
            <w:r w:rsidRPr="00695303">
              <w:rPr>
                <w:rFonts w:cs="Arial"/>
                <w:color w:val="000000"/>
                <w:sz w:val="20"/>
                <w:lang w:eastAsia="es-MX"/>
              </w:rPr>
              <w:t>En lugares de trabajo no apropiados</w:t>
            </w:r>
          </w:p>
        </w:tc>
        <w:tc>
          <w:tcPr>
            <w:tcW w:w="752" w:type="dxa"/>
            <w:tcBorders>
              <w:top w:val="nil"/>
              <w:left w:val="nil"/>
              <w:bottom w:val="nil"/>
              <w:right w:val="nil"/>
            </w:tcBorders>
            <w:shd w:val="clear" w:color="auto" w:fill="CCE2E6"/>
            <w:noWrap/>
            <w:vAlign w:val="bottom"/>
            <w:hideMark/>
          </w:tcPr>
          <w:p w14:paraId="600A29B8" w14:textId="77777777" w:rsidR="009E086F" w:rsidRPr="00695303" w:rsidRDefault="009E086F" w:rsidP="00562DA7">
            <w:pPr>
              <w:widowControl/>
              <w:jc w:val="center"/>
              <w:rPr>
                <w:rFonts w:cs="Arial"/>
                <w:sz w:val="20"/>
                <w:lang w:eastAsia="es-MX"/>
              </w:rPr>
            </w:pPr>
            <w:r w:rsidRPr="00695303">
              <w:rPr>
                <w:rFonts w:cs="Arial"/>
                <w:sz w:val="20"/>
                <w:lang w:eastAsia="es-MX"/>
              </w:rPr>
              <w:t>121</w:t>
            </w:r>
          </w:p>
        </w:tc>
        <w:tc>
          <w:tcPr>
            <w:tcW w:w="1063" w:type="dxa"/>
            <w:tcBorders>
              <w:top w:val="nil"/>
              <w:left w:val="nil"/>
              <w:bottom w:val="nil"/>
              <w:right w:val="nil"/>
            </w:tcBorders>
            <w:shd w:val="clear" w:color="auto" w:fill="CCE2E6"/>
            <w:noWrap/>
            <w:vAlign w:val="bottom"/>
            <w:hideMark/>
          </w:tcPr>
          <w:p w14:paraId="00EF59DB" w14:textId="77777777" w:rsidR="009E086F" w:rsidRPr="00695303" w:rsidRDefault="009E086F" w:rsidP="00562DA7">
            <w:pPr>
              <w:widowControl/>
              <w:jc w:val="center"/>
              <w:rPr>
                <w:rFonts w:cs="Arial"/>
                <w:sz w:val="20"/>
                <w:lang w:eastAsia="es-MX"/>
              </w:rPr>
            </w:pPr>
            <w:r w:rsidRPr="00695303">
              <w:rPr>
                <w:rFonts w:cs="Arial"/>
                <w:sz w:val="20"/>
                <w:lang w:eastAsia="es-MX"/>
              </w:rPr>
              <w:t>95</w:t>
            </w:r>
          </w:p>
        </w:tc>
        <w:tc>
          <w:tcPr>
            <w:tcW w:w="865" w:type="dxa"/>
            <w:tcBorders>
              <w:top w:val="nil"/>
              <w:left w:val="nil"/>
              <w:bottom w:val="nil"/>
              <w:right w:val="nil"/>
            </w:tcBorders>
            <w:shd w:val="clear" w:color="auto" w:fill="CCE2E6"/>
            <w:noWrap/>
            <w:vAlign w:val="bottom"/>
            <w:hideMark/>
          </w:tcPr>
          <w:p w14:paraId="7956CA25" w14:textId="77777777" w:rsidR="009E086F" w:rsidRPr="00695303" w:rsidRDefault="009E086F" w:rsidP="00562DA7">
            <w:pPr>
              <w:widowControl/>
              <w:jc w:val="center"/>
              <w:rPr>
                <w:rFonts w:cs="Arial"/>
                <w:sz w:val="20"/>
                <w:lang w:eastAsia="es-MX"/>
              </w:rPr>
            </w:pPr>
            <w:r w:rsidRPr="00695303">
              <w:rPr>
                <w:rFonts w:cs="Arial"/>
                <w:sz w:val="20"/>
                <w:lang w:eastAsia="es-MX"/>
              </w:rPr>
              <w:t>26</w:t>
            </w:r>
          </w:p>
        </w:tc>
        <w:tc>
          <w:tcPr>
            <w:tcW w:w="1009" w:type="dxa"/>
            <w:tcBorders>
              <w:top w:val="nil"/>
              <w:left w:val="nil"/>
              <w:bottom w:val="nil"/>
              <w:right w:val="nil"/>
            </w:tcBorders>
            <w:shd w:val="clear" w:color="auto" w:fill="CCE2E6"/>
            <w:vAlign w:val="center"/>
            <w:hideMark/>
          </w:tcPr>
          <w:p w14:paraId="1195F85D" w14:textId="77777777" w:rsidR="009E086F" w:rsidRPr="00695303" w:rsidRDefault="009E086F" w:rsidP="00562DA7">
            <w:pPr>
              <w:widowControl/>
              <w:jc w:val="center"/>
              <w:rPr>
                <w:rFonts w:cs="Arial"/>
                <w:color w:val="000000"/>
                <w:sz w:val="20"/>
                <w:lang w:eastAsia="es-MX"/>
              </w:rPr>
            </w:pPr>
            <w:r w:rsidRPr="00695303">
              <w:rPr>
                <w:rFonts w:cs="Arial"/>
                <w:color w:val="000000"/>
                <w:sz w:val="20"/>
                <w:lang w:eastAsia="es-MX"/>
              </w:rPr>
              <w:t>6.1</w:t>
            </w:r>
          </w:p>
        </w:tc>
        <w:tc>
          <w:tcPr>
            <w:tcW w:w="1153" w:type="dxa"/>
            <w:gridSpan w:val="2"/>
            <w:tcBorders>
              <w:top w:val="nil"/>
              <w:left w:val="nil"/>
              <w:bottom w:val="nil"/>
              <w:right w:val="nil"/>
            </w:tcBorders>
            <w:shd w:val="clear" w:color="auto" w:fill="CCE2E6"/>
            <w:vAlign w:val="center"/>
            <w:hideMark/>
          </w:tcPr>
          <w:p w14:paraId="4165BDA9" w14:textId="77777777" w:rsidR="009E086F" w:rsidRPr="00695303" w:rsidRDefault="009E086F" w:rsidP="00562DA7">
            <w:pPr>
              <w:widowControl/>
              <w:jc w:val="center"/>
              <w:rPr>
                <w:rFonts w:cs="Arial"/>
                <w:color w:val="000000"/>
                <w:sz w:val="20"/>
                <w:lang w:eastAsia="es-MX"/>
              </w:rPr>
            </w:pPr>
            <w:r w:rsidRPr="00695303">
              <w:rPr>
                <w:rFonts w:cs="Arial"/>
                <w:color w:val="000000"/>
                <w:sz w:val="20"/>
                <w:lang w:eastAsia="es-MX"/>
              </w:rPr>
              <w:t>6.5</w:t>
            </w:r>
          </w:p>
        </w:tc>
        <w:tc>
          <w:tcPr>
            <w:tcW w:w="1298" w:type="dxa"/>
            <w:tcBorders>
              <w:top w:val="nil"/>
              <w:left w:val="nil"/>
              <w:bottom w:val="nil"/>
              <w:right w:val="nil"/>
            </w:tcBorders>
            <w:shd w:val="clear" w:color="auto" w:fill="CCE2E6"/>
            <w:vAlign w:val="center"/>
            <w:hideMark/>
          </w:tcPr>
          <w:p w14:paraId="7729C6DF" w14:textId="77777777" w:rsidR="009E086F" w:rsidRPr="00695303" w:rsidRDefault="009E086F" w:rsidP="00562DA7">
            <w:pPr>
              <w:widowControl/>
              <w:jc w:val="center"/>
              <w:rPr>
                <w:rFonts w:cs="Arial"/>
                <w:color w:val="000000"/>
                <w:sz w:val="20"/>
                <w:lang w:eastAsia="es-MX"/>
              </w:rPr>
            </w:pPr>
            <w:r w:rsidRPr="00695303">
              <w:rPr>
                <w:rFonts w:cs="Arial"/>
                <w:color w:val="000000"/>
                <w:sz w:val="20"/>
                <w:lang w:eastAsia="es-MX"/>
              </w:rPr>
              <w:t>5.0</w:t>
            </w:r>
          </w:p>
        </w:tc>
      </w:tr>
      <w:tr w:rsidR="009E086F" w:rsidRPr="00695303" w14:paraId="3F089CDB" w14:textId="77777777" w:rsidTr="00E213E7">
        <w:trPr>
          <w:trHeight w:val="535"/>
        </w:trPr>
        <w:tc>
          <w:tcPr>
            <w:tcW w:w="223" w:type="dxa"/>
            <w:tcBorders>
              <w:top w:val="nil"/>
              <w:left w:val="nil"/>
              <w:bottom w:val="nil"/>
              <w:right w:val="nil"/>
            </w:tcBorders>
            <w:shd w:val="clear" w:color="auto" w:fill="CCE2E6"/>
            <w:noWrap/>
            <w:vAlign w:val="center"/>
            <w:hideMark/>
          </w:tcPr>
          <w:p w14:paraId="7D394278" w14:textId="77777777" w:rsidR="009E086F" w:rsidRPr="00695303" w:rsidRDefault="009E086F" w:rsidP="00562DA7">
            <w:pPr>
              <w:widowControl/>
              <w:jc w:val="left"/>
              <w:rPr>
                <w:rFonts w:ascii="Times New Roman" w:hAnsi="Times New Roman"/>
                <w:color w:val="000000"/>
                <w:sz w:val="20"/>
                <w:lang w:eastAsia="es-MX"/>
              </w:rPr>
            </w:pPr>
            <w:r w:rsidRPr="00695303">
              <w:rPr>
                <w:rFonts w:ascii="Times New Roman" w:hAnsi="Times New Roman" w:cs="Arial"/>
                <w:color w:val="000000"/>
                <w:sz w:val="20"/>
                <w:lang w:eastAsia="es-MX"/>
              </w:rPr>
              <w:t> </w:t>
            </w:r>
          </w:p>
        </w:tc>
        <w:tc>
          <w:tcPr>
            <w:tcW w:w="3296" w:type="dxa"/>
            <w:tcBorders>
              <w:top w:val="nil"/>
              <w:left w:val="nil"/>
              <w:bottom w:val="nil"/>
              <w:right w:val="nil"/>
            </w:tcBorders>
            <w:shd w:val="clear" w:color="auto" w:fill="CCE2E6"/>
            <w:vAlign w:val="center"/>
            <w:hideMark/>
          </w:tcPr>
          <w:p w14:paraId="18B7F114" w14:textId="77777777" w:rsidR="009E086F" w:rsidRPr="00695303" w:rsidRDefault="009E086F" w:rsidP="00562DA7">
            <w:pPr>
              <w:widowControl/>
              <w:jc w:val="left"/>
              <w:rPr>
                <w:rFonts w:cs="Arial"/>
                <w:color w:val="000000"/>
                <w:sz w:val="20"/>
                <w:lang w:eastAsia="es-MX"/>
              </w:rPr>
            </w:pPr>
            <w:r w:rsidRPr="00695303">
              <w:rPr>
                <w:rFonts w:cs="Arial"/>
                <w:sz w:val="20"/>
                <w:lang w:eastAsia="es-MX"/>
              </w:rPr>
              <w:t>En actividades que afectan la salud y desarrollo</w:t>
            </w:r>
          </w:p>
        </w:tc>
        <w:tc>
          <w:tcPr>
            <w:tcW w:w="752" w:type="dxa"/>
            <w:tcBorders>
              <w:top w:val="nil"/>
              <w:left w:val="nil"/>
              <w:bottom w:val="nil"/>
              <w:right w:val="nil"/>
            </w:tcBorders>
            <w:shd w:val="clear" w:color="auto" w:fill="CCE2E6"/>
            <w:noWrap/>
            <w:vAlign w:val="bottom"/>
            <w:hideMark/>
          </w:tcPr>
          <w:p w14:paraId="63A84CED" w14:textId="77777777" w:rsidR="009E086F" w:rsidRPr="00695303" w:rsidRDefault="009E086F" w:rsidP="00562DA7">
            <w:pPr>
              <w:widowControl/>
              <w:jc w:val="center"/>
              <w:rPr>
                <w:rFonts w:cs="Arial"/>
                <w:sz w:val="20"/>
                <w:lang w:eastAsia="es-MX"/>
              </w:rPr>
            </w:pPr>
            <w:r w:rsidRPr="00695303">
              <w:rPr>
                <w:rFonts w:cs="Arial"/>
                <w:sz w:val="20"/>
                <w:lang w:eastAsia="es-MX"/>
              </w:rPr>
              <w:t>1,135</w:t>
            </w:r>
          </w:p>
        </w:tc>
        <w:tc>
          <w:tcPr>
            <w:tcW w:w="1063" w:type="dxa"/>
            <w:tcBorders>
              <w:top w:val="nil"/>
              <w:left w:val="nil"/>
              <w:bottom w:val="nil"/>
              <w:right w:val="nil"/>
            </w:tcBorders>
            <w:shd w:val="clear" w:color="auto" w:fill="CCE2E6"/>
            <w:noWrap/>
            <w:vAlign w:val="bottom"/>
            <w:hideMark/>
          </w:tcPr>
          <w:p w14:paraId="4A9C16EF" w14:textId="77777777" w:rsidR="009E086F" w:rsidRPr="00695303" w:rsidRDefault="009E086F" w:rsidP="00562DA7">
            <w:pPr>
              <w:widowControl/>
              <w:jc w:val="center"/>
              <w:rPr>
                <w:rFonts w:cs="Arial"/>
                <w:sz w:val="20"/>
                <w:lang w:eastAsia="es-MX"/>
              </w:rPr>
            </w:pPr>
            <w:r w:rsidRPr="00695303">
              <w:rPr>
                <w:rFonts w:cs="Arial"/>
                <w:sz w:val="20"/>
                <w:lang w:eastAsia="es-MX"/>
              </w:rPr>
              <w:t>886</w:t>
            </w:r>
          </w:p>
        </w:tc>
        <w:tc>
          <w:tcPr>
            <w:tcW w:w="865" w:type="dxa"/>
            <w:tcBorders>
              <w:top w:val="nil"/>
              <w:left w:val="nil"/>
              <w:bottom w:val="nil"/>
              <w:right w:val="nil"/>
            </w:tcBorders>
            <w:shd w:val="clear" w:color="auto" w:fill="CCE2E6"/>
            <w:noWrap/>
            <w:vAlign w:val="bottom"/>
            <w:hideMark/>
          </w:tcPr>
          <w:p w14:paraId="6128ABCF" w14:textId="77777777" w:rsidR="009E086F" w:rsidRPr="00695303" w:rsidRDefault="009E086F" w:rsidP="00562DA7">
            <w:pPr>
              <w:widowControl/>
              <w:jc w:val="center"/>
              <w:rPr>
                <w:rFonts w:cs="Arial"/>
                <w:sz w:val="20"/>
                <w:lang w:eastAsia="es-MX"/>
              </w:rPr>
            </w:pPr>
            <w:r w:rsidRPr="00695303">
              <w:rPr>
                <w:rFonts w:cs="Arial"/>
                <w:sz w:val="20"/>
                <w:lang w:eastAsia="es-MX"/>
              </w:rPr>
              <w:t>249</w:t>
            </w:r>
          </w:p>
        </w:tc>
        <w:tc>
          <w:tcPr>
            <w:tcW w:w="1009" w:type="dxa"/>
            <w:tcBorders>
              <w:top w:val="nil"/>
              <w:left w:val="nil"/>
              <w:bottom w:val="nil"/>
              <w:right w:val="nil"/>
            </w:tcBorders>
            <w:shd w:val="clear" w:color="auto" w:fill="CCE2E6"/>
            <w:vAlign w:val="center"/>
            <w:hideMark/>
          </w:tcPr>
          <w:p w14:paraId="70540DFF" w14:textId="77777777" w:rsidR="009E086F" w:rsidRPr="00695303" w:rsidRDefault="009E086F" w:rsidP="00562DA7">
            <w:pPr>
              <w:widowControl/>
              <w:jc w:val="center"/>
              <w:rPr>
                <w:rFonts w:cs="Arial"/>
                <w:color w:val="000000"/>
                <w:sz w:val="20"/>
                <w:lang w:eastAsia="es-MX"/>
              </w:rPr>
            </w:pPr>
            <w:r w:rsidRPr="00695303">
              <w:rPr>
                <w:rFonts w:cs="Arial"/>
                <w:color w:val="000000"/>
                <w:sz w:val="20"/>
                <w:lang w:eastAsia="es-MX"/>
              </w:rPr>
              <w:t>57.5</w:t>
            </w:r>
          </w:p>
        </w:tc>
        <w:tc>
          <w:tcPr>
            <w:tcW w:w="1153" w:type="dxa"/>
            <w:gridSpan w:val="2"/>
            <w:tcBorders>
              <w:top w:val="nil"/>
              <w:left w:val="nil"/>
              <w:bottom w:val="nil"/>
              <w:right w:val="nil"/>
            </w:tcBorders>
            <w:shd w:val="clear" w:color="auto" w:fill="CCE2E6"/>
            <w:vAlign w:val="center"/>
            <w:hideMark/>
          </w:tcPr>
          <w:p w14:paraId="63A9DBC2" w14:textId="77777777" w:rsidR="009E086F" w:rsidRPr="00695303" w:rsidRDefault="009E086F" w:rsidP="00562DA7">
            <w:pPr>
              <w:widowControl/>
              <w:jc w:val="center"/>
              <w:rPr>
                <w:rFonts w:cs="Arial"/>
                <w:color w:val="000000"/>
                <w:sz w:val="20"/>
                <w:lang w:eastAsia="es-MX"/>
              </w:rPr>
            </w:pPr>
            <w:r w:rsidRPr="00695303">
              <w:rPr>
                <w:rFonts w:cs="Arial"/>
                <w:color w:val="000000"/>
                <w:sz w:val="20"/>
                <w:lang w:eastAsia="es-MX"/>
              </w:rPr>
              <w:t>60.9</w:t>
            </w:r>
          </w:p>
        </w:tc>
        <w:tc>
          <w:tcPr>
            <w:tcW w:w="1298" w:type="dxa"/>
            <w:tcBorders>
              <w:top w:val="nil"/>
              <w:left w:val="nil"/>
              <w:bottom w:val="nil"/>
              <w:right w:val="nil"/>
            </w:tcBorders>
            <w:shd w:val="clear" w:color="auto" w:fill="CCE2E6"/>
            <w:vAlign w:val="center"/>
            <w:hideMark/>
          </w:tcPr>
          <w:p w14:paraId="06607F84" w14:textId="77777777" w:rsidR="009E086F" w:rsidRPr="00695303" w:rsidRDefault="009E086F" w:rsidP="00562DA7">
            <w:pPr>
              <w:widowControl/>
              <w:jc w:val="center"/>
              <w:rPr>
                <w:rFonts w:cs="Arial"/>
                <w:color w:val="000000"/>
                <w:sz w:val="20"/>
                <w:lang w:eastAsia="es-MX"/>
              </w:rPr>
            </w:pPr>
            <w:r w:rsidRPr="00695303">
              <w:rPr>
                <w:rFonts w:cs="Arial"/>
                <w:color w:val="000000"/>
                <w:sz w:val="20"/>
                <w:lang w:eastAsia="es-MX"/>
              </w:rPr>
              <w:t>48.0</w:t>
            </w:r>
          </w:p>
        </w:tc>
      </w:tr>
      <w:tr w:rsidR="009E086F" w:rsidRPr="00695303" w14:paraId="09FD7D50" w14:textId="77777777" w:rsidTr="00E213E7">
        <w:trPr>
          <w:trHeight w:val="423"/>
        </w:trPr>
        <w:tc>
          <w:tcPr>
            <w:tcW w:w="223" w:type="dxa"/>
            <w:tcBorders>
              <w:top w:val="nil"/>
              <w:left w:val="nil"/>
              <w:right w:val="nil"/>
            </w:tcBorders>
            <w:shd w:val="clear" w:color="auto" w:fill="CCE2E6"/>
            <w:noWrap/>
            <w:vAlign w:val="center"/>
            <w:hideMark/>
          </w:tcPr>
          <w:p w14:paraId="48765659" w14:textId="77777777" w:rsidR="009E086F" w:rsidRPr="00695303" w:rsidRDefault="009E086F" w:rsidP="00562DA7">
            <w:pPr>
              <w:widowControl/>
              <w:jc w:val="left"/>
              <w:rPr>
                <w:rFonts w:ascii="Times New Roman" w:hAnsi="Times New Roman"/>
                <w:color w:val="000000"/>
                <w:sz w:val="20"/>
                <w:lang w:eastAsia="es-MX"/>
              </w:rPr>
            </w:pPr>
            <w:r w:rsidRPr="00695303">
              <w:rPr>
                <w:rFonts w:ascii="Times New Roman" w:hAnsi="Times New Roman" w:cs="Arial"/>
                <w:color w:val="000000"/>
                <w:sz w:val="20"/>
                <w:lang w:eastAsia="es-MX"/>
              </w:rPr>
              <w:t> </w:t>
            </w:r>
          </w:p>
        </w:tc>
        <w:tc>
          <w:tcPr>
            <w:tcW w:w="3296" w:type="dxa"/>
            <w:tcBorders>
              <w:top w:val="nil"/>
              <w:left w:val="nil"/>
              <w:right w:val="nil"/>
            </w:tcBorders>
            <w:shd w:val="clear" w:color="auto" w:fill="CCE2E6"/>
            <w:vAlign w:val="center"/>
            <w:hideMark/>
          </w:tcPr>
          <w:p w14:paraId="7EDB7789" w14:textId="77777777" w:rsidR="009E086F" w:rsidRPr="00695303" w:rsidRDefault="009E086F" w:rsidP="00562DA7">
            <w:pPr>
              <w:widowControl/>
              <w:jc w:val="left"/>
              <w:rPr>
                <w:rFonts w:cs="Arial"/>
                <w:color w:val="000000"/>
                <w:sz w:val="20"/>
                <w:lang w:eastAsia="es-MX"/>
              </w:rPr>
            </w:pPr>
            <w:r w:rsidRPr="00695303">
              <w:rPr>
                <w:rFonts w:cs="Arial"/>
                <w:sz w:val="20"/>
                <w:lang w:eastAsia="es-MX"/>
              </w:rPr>
              <w:t>En jornadas de trabajo no apropiadas</w:t>
            </w:r>
          </w:p>
        </w:tc>
        <w:tc>
          <w:tcPr>
            <w:tcW w:w="752" w:type="dxa"/>
            <w:tcBorders>
              <w:top w:val="nil"/>
              <w:left w:val="nil"/>
              <w:right w:val="nil"/>
            </w:tcBorders>
            <w:shd w:val="clear" w:color="auto" w:fill="CCE2E6"/>
            <w:noWrap/>
            <w:vAlign w:val="bottom"/>
            <w:hideMark/>
          </w:tcPr>
          <w:p w14:paraId="4485AF7E" w14:textId="77777777" w:rsidR="009E086F" w:rsidRPr="00695303" w:rsidRDefault="009E086F" w:rsidP="00562DA7">
            <w:pPr>
              <w:widowControl/>
              <w:jc w:val="center"/>
              <w:rPr>
                <w:rFonts w:cs="Arial"/>
                <w:sz w:val="20"/>
                <w:lang w:eastAsia="es-MX"/>
              </w:rPr>
            </w:pPr>
            <w:r w:rsidRPr="00695303">
              <w:rPr>
                <w:rFonts w:cs="Arial"/>
                <w:sz w:val="20"/>
                <w:lang w:eastAsia="es-MX"/>
              </w:rPr>
              <w:t>210</w:t>
            </w:r>
          </w:p>
        </w:tc>
        <w:tc>
          <w:tcPr>
            <w:tcW w:w="1063" w:type="dxa"/>
            <w:tcBorders>
              <w:top w:val="nil"/>
              <w:left w:val="nil"/>
              <w:right w:val="nil"/>
            </w:tcBorders>
            <w:shd w:val="clear" w:color="auto" w:fill="CCE2E6"/>
            <w:noWrap/>
            <w:vAlign w:val="bottom"/>
            <w:hideMark/>
          </w:tcPr>
          <w:p w14:paraId="57AA3DD4" w14:textId="77777777" w:rsidR="009E086F" w:rsidRPr="00695303" w:rsidRDefault="009E086F" w:rsidP="00562DA7">
            <w:pPr>
              <w:widowControl/>
              <w:jc w:val="center"/>
              <w:rPr>
                <w:rFonts w:cs="Arial"/>
                <w:sz w:val="20"/>
                <w:lang w:eastAsia="es-MX"/>
              </w:rPr>
            </w:pPr>
            <w:r w:rsidRPr="00695303">
              <w:rPr>
                <w:rFonts w:cs="Arial"/>
                <w:sz w:val="20"/>
                <w:lang w:eastAsia="es-MX"/>
              </w:rPr>
              <w:t>139</w:t>
            </w:r>
          </w:p>
        </w:tc>
        <w:tc>
          <w:tcPr>
            <w:tcW w:w="865" w:type="dxa"/>
            <w:tcBorders>
              <w:top w:val="nil"/>
              <w:left w:val="nil"/>
              <w:right w:val="nil"/>
            </w:tcBorders>
            <w:shd w:val="clear" w:color="auto" w:fill="CCE2E6"/>
            <w:noWrap/>
            <w:vAlign w:val="bottom"/>
            <w:hideMark/>
          </w:tcPr>
          <w:p w14:paraId="3912CBAD" w14:textId="77777777" w:rsidR="009E086F" w:rsidRPr="00695303" w:rsidRDefault="009E086F" w:rsidP="00562DA7">
            <w:pPr>
              <w:widowControl/>
              <w:jc w:val="center"/>
              <w:rPr>
                <w:rFonts w:cs="Arial"/>
                <w:sz w:val="20"/>
                <w:lang w:eastAsia="es-MX"/>
              </w:rPr>
            </w:pPr>
            <w:r w:rsidRPr="00695303">
              <w:rPr>
                <w:rFonts w:cs="Arial"/>
                <w:sz w:val="20"/>
                <w:lang w:eastAsia="es-MX"/>
              </w:rPr>
              <w:t>71</w:t>
            </w:r>
          </w:p>
        </w:tc>
        <w:tc>
          <w:tcPr>
            <w:tcW w:w="1009" w:type="dxa"/>
            <w:tcBorders>
              <w:top w:val="nil"/>
              <w:left w:val="nil"/>
              <w:right w:val="nil"/>
            </w:tcBorders>
            <w:shd w:val="clear" w:color="auto" w:fill="CCE2E6"/>
            <w:vAlign w:val="center"/>
            <w:hideMark/>
          </w:tcPr>
          <w:p w14:paraId="211C87A3" w14:textId="77777777" w:rsidR="009E086F" w:rsidRPr="00695303" w:rsidRDefault="009E086F" w:rsidP="00562DA7">
            <w:pPr>
              <w:widowControl/>
              <w:jc w:val="center"/>
              <w:rPr>
                <w:rFonts w:cs="Arial"/>
                <w:color w:val="000000"/>
                <w:sz w:val="20"/>
                <w:lang w:eastAsia="es-MX"/>
              </w:rPr>
            </w:pPr>
            <w:r w:rsidRPr="00695303">
              <w:rPr>
                <w:rFonts w:cs="Arial"/>
                <w:color w:val="000000"/>
                <w:sz w:val="20"/>
                <w:lang w:eastAsia="es-MX"/>
              </w:rPr>
              <w:t>10.6</w:t>
            </w:r>
          </w:p>
        </w:tc>
        <w:tc>
          <w:tcPr>
            <w:tcW w:w="1153" w:type="dxa"/>
            <w:gridSpan w:val="2"/>
            <w:tcBorders>
              <w:top w:val="nil"/>
              <w:left w:val="nil"/>
              <w:right w:val="nil"/>
            </w:tcBorders>
            <w:shd w:val="clear" w:color="auto" w:fill="CCE2E6"/>
            <w:vAlign w:val="center"/>
            <w:hideMark/>
          </w:tcPr>
          <w:p w14:paraId="5E8C3F3F" w14:textId="77777777" w:rsidR="009E086F" w:rsidRPr="00695303" w:rsidRDefault="009E086F" w:rsidP="00562DA7">
            <w:pPr>
              <w:widowControl/>
              <w:jc w:val="center"/>
              <w:rPr>
                <w:rFonts w:cs="Arial"/>
                <w:color w:val="000000"/>
                <w:sz w:val="20"/>
                <w:lang w:eastAsia="es-MX"/>
              </w:rPr>
            </w:pPr>
            <w:r w:rsidRPr="00695303">
              <w:rPr>
                <w:rFonts w:cs="Arial"/>
                <w:color w:val="000000"/>
                <w:sz w:val="20"/>
                <w:lang w:eastAsia="es-MX"/>
              </w:rPr>
              <w:t>9.6</w:t>
            </w:r>
          </w:p>
        </w:tc>
        <w:tc>
          <w:tcPr>
            <w:tcW w:w="1298" w:type="dxa"/>
            <w:tcBorders>
              <w:top w:val="nil"/>
              <w:left w:val="nil"/>
              <w:right w:val="nil"/>
            </w:tcBorders>
            <w:shd w:val="clear" w:color="auto" w:fill="CCE2E6"/>
            <w:vAlign w:val="center"/>
            <w:hideMark/>
          </w:tcPr>
          <w:p w14:paraId="45633538" w14:textId="77777777" w:rsidR="009E086F" w:rsidRPr="00695303" w:rsidRDefault="009E086F" w:rsidP="00562DA7">
            <w:pPr>
              <w:widowControl/>
              <w:jc w:val="center"/>
              <w:rPr>
                <w:rFonts w:cs="Arial"/>
                <w:color w:val="000000"/>
                <w:sz w:val="20"/>
                <w:lang w:eastAsia="es-MX"/>
              </w:rPr>
            </w:pPr>
            <w:r w:rsidRPr="00695303">
              <w:rPr>
                <w:rFonts w:cs="Arial"/>
                <w:color w:val="000000"/>
                <w:sz w:val="20"/>
                <w:lang w:eastAsia="es-MX"/>
              </w:rPr>
              <w:t>13.6</w:t>
            </w:r>
          </w:p>
        </w:tc>
      </w:tr>
      <w:tr w:rsidR="009E086F" w:rsidRPr="00695303" w14:paraId="63375EBD" w14:textId="77777777" w:rsidTr="00E213E7">
        <w:trPr>
          <w:trHeight w:val="282"/>
        </w:trPr>
        <w:tc>
          <w:tcPr>
            <w:tcW w:w="223" w:type="dxa"/>
            <w:tcBorders>
              <w:top w:val="nil"/>
              <w:left w:val="nil"/>
              <w:right w:val="nil"/>
            </w:tcBorders>
            <w:shd w:val="clear" w:color="auto" w:fill="CCE2E6"/>
            <w:vAlign w:val="center"/>
            <w:hideMark/>
          </w:tcPr>
          <w:p w14:paraId="5CBD22FA" w14:textId="77777777" w:rsidR="009E086F" w:rsidRPr="00695303" w:rsidRDefault="009E086F" w:rsidP="00562DA7">
            <w:pPr>
              <w:widowControl/>
              <w:jc w:val="left"/>
              <w:rPr>
                <w:rFonts w:ascii="Times New Roman" w:hAnsi="Times New Roman"/>
                <w:color w:val="000000"/>
                <w:sz w:val="20"/>
                <w:lang w:eastAsia="es-MX"/>
              </w:rPr>
            </w:pPr>
            <w:r w:rsidRPr="00695303">
              <w:rPr>
                <w:rFonts w:ascii="Times New Roman" w:hAnsi="Times New Roman" w:cs="Arial"/>
                <w:color w:val="000000"/>
                <w:sz w:val="20"/>
                <w:lang w:eastAsia="es-MX"/>
              </w:rPr>
              <w:t> </w:t>
            </w:r>
          </w:p>
        </w:tc>
        <w:tc>
          <w:tcPr>
            <w:tcW w:w="3296" w:type="dxa"/>
            <w:tcBorders>
              <w:top w:val="nil"/>
              <w:left w:val="nil"/>
              <w:right w:val="nil"/>
            </w:tcBorders>
            <w:shd w:val="clear" w:color="auto" w:fill="CCE2E6"/>
            <w:vAlign w:val="center"/>
            <w:hideMark/>
          </w:tcPr>
          <w:p w14:paraId="5EF3C482" w14:textId="77777777" w:rsidR="009E086F" w:rsidRPr="00695303" w:rsidRDefault="009E086F" w:rsidP="00562DA7">
            <w:pPr>
              <w:widowControl/>
              <w:jc w:val="left"/>
              <w:rPr>
                <w:rFonts w:cs="Arial"/>
                <w:color w:val="000000"/>
                <w:sz w:val="20"/>
                <w:lang w:eastAsia="es-MX"/>
              </w:rPr>
            </w:pPr>
            <w:r w:rsidRPr="00695303">
              <w:rPr>
                <w:rFonts w:cs="Arial"/>
                <w:sz w:val="20"/>
                <w:lang w:eastAsia="es-MX"/>
              </w:rPr>
              <w:t>En horarios de trabajo prolongado</w:t>
            </w:r>
          </w:p>
        </w:tc>
        <w:tc>
          <w:tcPr>
            <w:tcW w:w="752" w:type="dxa"/>
            <w:tcBorders>
              <w:top w:val="nil"/>
              <w:left w:val="nil"/>
              <w:right w:val="nil"/>
            </w:tcBorders>
            <w:shd w:val="clear" w:color="auto" w:fill="CCE2E6"/>
            <w:vAlign w:val="center"/>
            <w:hideMark/>
          </w:tcPr>
          <w:p w14:paraId="48C69A73" w14:textId="77777777" w:rsidR="009E086F" w:rsidRPr="00695303" w:rsidRDefault="009E086F" w:rsidP="00562DA7">
            <w:pPr>
              <w:widowControl/>
              <w:jc w:val="center"/>
              <w:rPr>
                <w:rFonts w:cs="Arial"/>
                <w:color w:val="000000"/>
                <w:sz w:val="20"/>
                <w:lang w:eastAsia="es-MX"/>
              </w:rPr>
            </w:pPr>
            <w:r w:rsidRPr="00695303">
              <w:rPr>
                <w:rFonts w:cs="Arial"/>
                <w:color w:val="000000"/>
                <w:sz w:val="20"/>
                <w:lang w:eastAsia="es-MX"/>
              </w:rPr>
              <w:t>437</w:t>
            </w:r>
          </w:p>
        </w:tc>
        <w:tc>
          <w:tcPr>
            <w:tcW w:w="1063" w:type="dxa"/>
            <w:tcBorders>
              <w:top w:val="nil"/>
              <w:left w:val="nil"/>
              <w:right w:val="nil"/>
            </w:tcBorders>
            <w:shd w:val="clear" w:color="auto" w:fill="CCE2E6"/>
            <w:vAlign w:val="center"/>
            <w:hideMark/>
          </w:tcPr>
          <w:p w14:paraId="062004D9" w14:textId="77777777" w:rsidR="009E086F" w:rsidRPr="00695303" w:rsidRDefault="009E086F" w:rsidP="00562DA7">
            <w:pPr>
              <w:widowControl/>
              <w:jc w:val="center"/>
              <w:rPr>
                <w:rFonts w:cs="Arial"/>
                <w:color w:val="000000"/>
                <w:sz w:val="20"/>
                <w:lang w:eastAsia="es-MX"/>
              </w:rPr>
            </w:pPr>
            <w:r w:rsidRPr="00695303">
              <w:rPr>
                <w:rFonts w:cs="Arial"/>
                <w:color w:val="000000"/>
                <w:sz w:val="20"/>
                <w:lang w:eastAsia="es-MX"/>
              </w:rPr>
              <w:t>334</w:t>
            </w:r>
          </w:p>
        </w:tc>
        <w:tc>
          <w:tcPr>
            <w:tcW w:w="865" w:type="dxa"/>
            <w:tcBorders>
              <w:top w:val="nil"/>
              <w:left w:val="nil"/>
              <w:right w:val="nil"/>
            </w:tcBorders>
            <w:shd w:val="clear" w:color="auto" w:fill="CCE2E6"/>
            <w:vAlign w:val="center"/>
            <w:hideMark/>
          </w:tcPr>
          <w:p w14:paraId="1566AEDC" w14:textId="77777777" w:rsidR="009E086F" w:rsidRPr="00695303" w:rsidRDefault="009E086F" w:rsidP="00562DA7">
            <w:pPr>
              <w:widowControl/>
              <w:jc w:val="center"/>
              <w:rPr>
                <w:rFonts w:cs="Arial"/>
                <w:color w:val="000000"/>
                <w:sz w:val="20"/>
                <w:lang w:eastAsia="es-MX"/>
              </w:rPr>
            </w:pPr>
            <w:r w:rsidRPr="00695303">
              <w:rPr>
                <w:rFonts w:cs="Arial"/>
                <w:color w:val="000000"/>
                <w:sz w:val="20"/>
                <w:lang w:eastAsia="es-MX"/>
              </w:rPr>
              <w:t>103</w:t>
            </w:r>
          </w:p>
        </w:tc>
        <w:tc>
          <w:tcPr>
            <w:tcW w:w="1009" w:type="dxa"/>
            <w:tcBorders>
              <w:top w:val="nil"/>
              <w:left w:val="nil"/>
              <w:right w:val="nil"/>
            </w:tcBorders>
            <w:shd w:val="clear" w:color="auto" w:fill="CCE2E6"/>
            <w:vAlign w:val="center"/>
            <w:hideMark/>
          </w:tcPr>
          <w:p w14:paraId="1F4EDFFA" w14:textId="77777777" w:rsidR="009E086F" w:rsidRPr="00695303" w:rsidRDefault="009E086F" w:rsidP="00562DA7">
            <w:pPr>
              <w:widowControl/>
              <w:jc w:val="center"/>
              <w:rPr>
                <w:rFonts w:cs="Arial"/>
                <w:color w:val="000000"/>
                <w:sz w:val="20"/>
                <w:lang w:eastAsia="es-MX"/>
              </w:rPr>
            </w:pPr>
            <w:r w:rsidRPr="00695303">
              <w:rPr>
                <w:rFonts w:cs="Arial"/>
                <w:color w:val="000000"/>
                <w:sz w:val="20"/>
                <w:lang w:eastAsia="es-MX"/>
              </w:rPr>
              <w:t>22.2</w:t>
            </w:r>
          </w:p>
        </w:tc>
        <w:tc>
          <w:tcPr>
            <w:tcW w:w="1153" w:type="dxa"/>
            <w:gridSpan w:val="2"/>
            <w:tcBorders>
              <w:top w:val="nil"/>
              <w:left w:val="nil"/>
              <w:right w:val="nil"/>
            </w:tcBorders>
            <w:shd w:val="clear" w:color="auto" w:fill="CCE2E6"/>
            <w:vAlign w:val="center"/>
            <w:hideMark/>
          </w:tcPr>
          <w:p w14:paraId="2FF33A2F" w14:textId="77777777" w:rsidR="009E086F" w:rsidRPr="00695303" w:rsidRDefault="009E086F" w:rsidP="00562DA7">
            <w:pPr>
              <w:widowControl/>
              <w:jc w:val="center"/>
              <w:rPr>
                <w:rFonts w:cs="Arial"/>
                <w:color w:val="000000"/>
                <w:sz w:val="20"/>
                <w:lang w:eastAsia="es-MX"/>
              </w:rPr>
            </w:pPr>
            <w:r w:rsidRPr="00695303">
              <w:rPr>
                <w:rFonts w:cs="Arial"/>
                <w:color w:val="000000"/>
                <w:sz w:val="20"/>
                <w:lang w:eastAsia="es-MX"/>
              </w:rPr>
              <w:t>23.0</w:t>
            </w:r>
          </w:p>
        </w:tc>
        <w:tc>
          <w:tcPr>
            <w:tcW w:w="1298" w:type="dxa"/>
            <w:tcBorders>
              <w:top w:val="nil"/>
              <w:left w:val="nil"/>
              <w:right w:val="nil"/>
            </w:tcBorders>
            <w:shd w:val="clear" w:color="auto" w:fill="CCE2E6"/>
            <w:vAlign w:val="center"/>
            <w:hideMark/>
          </w:tcPr>
          <w:p w14:paraId="210BF80A" w14:textId="77777777" w:rsidR="009E086F" w:rsidRPr="00695303" w:rsidRDefault="009E086F" w:rsidP="00562DA7">
            <w:pPr>
              <w:widowControl/>
              <w:jc w:val="center"/>
              <w:rPr>
                <w:rFonts w:cs="Arial"/>
                <w:color w:val="000000"/>
                <w:sz w:val="20"/>
                <w:lang w:eastAsia="es-MX"/>
              </w:rPr>
            </w:pPr>
            <w:r w:rsidRPr="00695303">
              <w:rPr>
                <w:rFonts w:cs="Arial"/>
                <w:color w:val="000000"/>
                <w:sz w:val="20"/>
                <w:lang w:eastAsia="es-MX"/>
              </w:rPr>
              <w:t>19.9</w:t>
            </w:r>
          </w:p>
        </w:tc>
      </w:tr>
    </w:tbl>
    <w:p w14:paraId="3867725C" w14:textId="77777777" w:rsidR="00E213E7" w:rsidRDefault="009E086F" w:rsidP="00E172F9">
      <w:pPr>
        <w:widowControl/>
        <w:autoSpaceDE w:val="0"/>
        <w:autoSpaceDN w:val="0"/>
        <w:adjustRightInd w:val="0"/>
        <w:spacing w:line="276" w:lineRule="auto"/>
        <w:ind w:left="426" w:hanging="426"/>
        <w:rPr>
          <w:rFonts w:cs="Arial"/>
          <w:color w:val="000000"/>
          <w:sz w:val="16"/>
          <w:szCs w:val="16"/>
        </w:rPr>
      </w:pPr>
      <w:r w:rsidRPr="00560388">
        <w:rPr>
          <w:rFonts w:cs="Arial"/>
          <w:color w:val="000000"/>
          <w:sz w:val="16"/>
          <w:szCs w:val="16"/>
        </w:rPr>
        <w:lastRenderedPageBreak/>
        <w:t xml:space="preserve">Nota. </w:t>
      </w:r>
      <w:r w:rsidR="00E213E7">
        <w:rPr>
          <w:rFonts w:cs="Arial"/>
          <w:color w:val="000000"/>
          <w:sz w:val="16"/>
          <w:szCs w:val="16"/>
        </w:rPr>
        <w:t xml:space="preserve">    </w:t>
      </w:r>
      <w:r w:rsidRPr="00560388">
        <w:rPr>
          <w:rFonts w:cs="Arial"/>
          <w:color w:val="000000"/>
          <w:sz w:val="16"/>
          <w:szCs w:val="16"/>
        </w:rPr>
        <w:t xml:space="preserve">Los parciales suman más que el total, debido a que las niñas, niños y adolescentes en ocupación no permitida se pueden presentar </w:t>
      </w:r>
      <w:r w:rsidR="00834808">
        <w:rPr>
          <w:rFonts w:cs="Arial"/>
          <w:color w:val="000000"/>
          <w:sz w:val="16"/>
          <w:szCs w:val="16"/>
        </w:rPr>
        <w:t xml:space="preserve">   </w:t>
      </w:r>
      <w:r w:rsidR="00E213E7">
        <w:rPr>
          <w:rFonts w:cs="Arial"/>
          <w:color w:val="000000"/>
          <w:sz w:val="16"/>
          <w:szCs w:val="16"/>
        </w:rPr>
        <w:t xml:space="preserve">   </w:t>
      </w:r>
    </w:p>
    <w:p w14:paraId="5E3A60F5" w14:textId="12E20664" w:rsidR="009E086F" w:rsidRPr="00560388" w:rsidRDefault="00E213E7" w:rsidP="00E172F9">
      <w:pPr>
        <w:widowControl/>
        <w:autoSpaceDE w:val="0"/>
        <w:autoSpaceDN w:val="0"/>
        <w:adjustRightInd w:val="0"/>
        <w:spacing w:line="276" w:lineRule="auto"/>
        <w:ind w:left="426" w:hanging="426"/>
        <w:rPr>
          <w:rFonts w:cs="Arial"/>
          <w:color w:val="000000"/>
          <w:sz w:val="16"/>
          <w:szCs w:val="16"/>
        </w:rPr>
      </w:pPr>
      <w:r>
        <w:rPr>
          <w:rFonts w:cs="Arial"/>
          <w:color w:val="000000"/>
          <w:sz w:val="16"/>
          <w:szCs w:val="16"/>
        </w:rPr>
        <w:t xml:space="preserve">             </w:t>
      </w:r>
      <w:r w:rsidR="009E086F" w:rsidRPr="00560388">
        <w:rPr>
          <w:rFonts w:cs="Arial"/>
          <w:color w:val="000000"/>
          <w:sz w:val="16"/>
          <w:szCs w:val="16"/>
        </w:rPr>
        <w:t>en más de una dimensión.</w:t>
      </w:r>
    </w:p>
    <w:p w14:paraId="00A69137" w14:textId="77777777" w:rsidR="009E086F" w:rsidRPr="00560388" w:rsidRDefault="009E086F" w:rsidP="009E086F">
      <w:pPr>
        <w:widowControl/>
        <w:autoSpaceDE w:val="0"/>
        <w:autoSpaceDN w:val="0"/>
        <w:adjustRightInd w:val="0"/>
        <w:rPr>
          <w:rFonts w:cs="Arial"/>
          <w:sz w:val="16"/>
          <w:szCs w:val="16"/>
        </w:rPr>
      </w:pPr>
      <w:r w:rsidRPr="00560388">
        <w:rPr>
          <w:rFonts w:cs="Arial"/>
          <w:color w:val="000000" w:themeColor="text1"/>
          <w:sz w:val="16"/>
          <w:szCs w:val="16"/>
        </w:rPr>
        <w:t>Fuente: INEGI, ENTI. 2022.</w:t>
      </w:r>
    </w:p>
    <w:p w14:paraId="60A8638E" w14:textId="693C15E5" w:rsidR="00783CC2" w:rsidRDefault="00783CC2" w:rsidP="000E1EBC">
      <w:pPr>
        <w:widowControl/>
        <w:autoSpaceDE w:val="0"/>
        <w:autoSpaceDN w:val="0"/>
        <w:adjustRightInd w:val="0"/>
        <w:ind w:right="51"/>
        <w:rPr>
          <w:rFonts w:cs="Arial"/>
          <w:color w:val="000000"/>
          <w:szCs w:val="24"/>
        </w:rPr>
      </w:pPr>
      <w:r>
        <w:rPr>
          <w:rFonts w:cs="Arial"/>
          <w:color w:val="000000"/>
          <w:szCs w:val="24"/>
        </w:rPr>
        <w:t xml:space="preserve">La tasa de ocupación peligrosa en el periodo </w:t>
      </w:r>
      <w:r w:rsidR="00D57452">
        <w:rPr>
          <w:rFonts w:cs="Arial"/>
          <w:color w:val="000000"/>
          <w:szCs w:val="24"/>
        </w:rPr>
        <w:t xml:space="preserve">de </w:t>
      </w:r>
      <w:r w:rsidR="0054126E">
        <w:rPr>
          <w:rFonts w:cs="Arial"/>
          <w:color w:val="000000"/>
          <w:szCs w:val="24"/>
        </w:rPr>
        <w:t xml:space="preserve">2017 </w:t>
      </w:r>
      <w:r w:rsidR="00D57452">
        <w:rPr>
          <w:rFonts w:cs="Arial"/>
          <w:color w:val="000000"/>
          <w:szCs w:val="24"/>
        </w:rPr>
        <w:t>a</w:t>
      </w:r>
      <w:r w:rsidR="00A508AF">
        <w:rPr>
          <w:rFonts w:cs="Arial"/>
          <w:color w:val="000000"/>
          <w:szCs w:val="24"/>
        </w:rPr>
        <w:t xml:space="preserve"> </w:t>
      </w:r>
      <w:r>
        <w:rPr>
          <w:rFonts w:cs="Arial"/>
          <w:color w:val="000000"/>
          <w:szCs w:val="24"/>
        </w:rPr>
        <w:t xml:space="preserve">2022 </w:t>
      </w:r>
      <w:r w:rsidR="0076142F">
        <w:rPr>
          <w:rFonts w:cs="Arial"/>
          <w:color w:val="000000"/>
          <w:szCs w:val="24"/>
        </w:rPr>
        <w:t>pasó</w:t>
      </w:r>
      <w:r>
        <w:rPr>
          <w:rFonts w:cs="Arial"/>
          <w:color w:val="000000"/>
          <w:szCs w:val="24"/>
        </w:rPr>
        <w:t xml:space="preserve"> de 6.</w:t>
      </w:r>
      <w:r w:rsidR="0054126E">
        <w:rPr>
          <w:rFonts w:cs="Arial"/>
          <w:color w:val="000000"/>
          <w:szCs w:val="24"/>
        </w:rPr>
        <w:t>4</w:t>
      </w:r>
      <w:r>
        <w:rPr>
          <w:rFonts w:cs="Arial"/>
          <w:color w:val="000000"/>
          <w:szCs w:val="24"/>
        </w:rPr>
        <w:t xml:space="preserve"> a 6.9</w:t>
      </w:r>
      <w:r w:rsidR="004C13BC">
        <w:rPr>
          <w:rFonts w:cs="Arial"/>
          <w:color w:val="000000"/>
          <w:szCs w:val="24"/>
        </w:rPr>
        <w:t xml:space="preserve"> </w:t>
      </w:r>
      <w:r w:rsidR="007E5FEB">
        <w:rPr>
          <w:rFonts w:cs="Arial"/>
          <w:color w:val="000000"/>
          <w:szCs w:val="24"/>
        </w:rPr>
        <w:t>%</w:t>
      </w:r>
      <w:r w:rsidR="004C13BC">
        <w:rPr>
          <w:rFonts w:cs="Arial"/>
          <w:color w:val="000000"/>
          <w:szCs w:val="24"/>
        </w:rPr>
        <w:t>;</w:t>
      </w:r>
      <w:r w:rsidR="0054126E">
        <w:rPr>
          <w:rFonts w:cs="Arial"/>
          <w:color w:val="000000"/>
          <w:szCs w:val="24"/>
        </w:rPr>
        <w:t xml:space="preserve"> en el caso de los niños</w:t>
      </w:r>
      <w:r w:rsidR="004C13BC">
        <w:rPr>
          <w:rFonts w:cs="Arial"/>
          <w:color w:val="000000"/>
          <w:szCs w:val="24"/>
        </w:rPr>
        <w:t>,</w:t>
      </w:r>
      <w:r w:rsidR="0054126E">
        <w:rPr>
          <w:rFonts w:cs="Arial"/>
          <w:color w:val="000000"/>
          <w:szCs w:val="24"/>
        </w:rPr>
        <w:t xml:space="preserve"> pasó de 9.</w:t>
      </w:r>
      <w:r w:rsidR="00F7211E">
        <w:rPr>
          <w:rFonts w:cs="Arial"/>
          <w:color w:val="000000"/>
          <w:szCs w:val="24"/>
        </w:rPr>
        <w:t>5</w:t>
      </w:r>
      <w:r w:rsidR="0054126E">
        <w:rPr>
          <w:rFonts w:cs="Arial"/>
          <w:color w:val="000000"/>
          <w:szCs w:val="24"/>
        </w:rPr>
        <w:t xml:space="preserve"> a </w:t>
      </w:r>
      <w:r w:rsidR="00D3014A">
        <w:rPr>
          <w:rFonts w:cs="Arial"/>
          <w:color w:val="000000"/>
          <w:szCs w:val="24"/>
        </w:rPr>
        <w:t>10.0</w:t>
      </w:r>
      <w:r w:rsidR="004C13BC">
        <w:rPr>
          <w:rFonts w:cs="Arial"/>
          <w:color w:val="000000"/>
          <w:szCs w:val="24"/>
        </w:rPr>
        <w:t xml:space="preserve"> </w:t>
      </w:r>
      <w:r w:rsidR="0054126E">
        <w:rPr>
          <w:rFonts w:cs="Arial"/>
          <w:color w:val="000000"/>
          <w:szCs w:val="24"/>
        </w:rPr>
        <w:t>% y de las niñas de 3.</w:t>
      </w:r>
      <w:r w:rsidR="00F7211E">
        <w:rPr>
          <w:rFonts w:cs="Arial"/>
          <w:color w:val="000000"/>
          <w:szCs w:val="24"/>
        </w:rPr>
        <w:t>3</w:t>
      </w:r>
      <w:r w:rsidR="0054126E">
        <w:rPr>
          <w:rFonts w:cs="Arial"/>
          <w:color w:val="000000"/>
          <w:szCs w:val="24"/>
        </w:rPr>
        <w:t xml:space="preserve"> a 3.7 </w:t>
      </w:r>
      <w:r w:rsidR="00E213E7">
        <w:rPr>
          <w:rFonts w:cs="Arial"/>
          <w:color w:val="000000"/>
          <w:szCs w:val="24"/>
        </w:rPr>
        <w:t xml:space="preserve">5 </w:t>
      </w:r>
      <w:r w:rsidR="00D3014A">
        <w:rPr>
          <w:rFonts w:cs="Arial"/>
          <w:szCs w:val="24"/>
        </w:rPr>
        <w:t>(ver gráfica 13)</w:t>
      </w:r>
      <w:r w:rsidR="00E213E7">
        <w:rPr>
          <w:rFonts w:cs="Arial"/>
          <w:szCs w:val="24"/>
        </w:rPr>
        <w:t>.</w:t>
      </w:r>
    </w:p>
    <w:p w14:paraId="253D49BB" w14:textId="77777777" w:rsidR="0054126E" w:rsidRPr="00E213E7" w:rsidRDefault="0054126E" w:rsidP="004C13BC">
      <w:pPr>
        <w:widowControl/>
        <w:autoSpaceDE w:val="0"/>
        <w:autoSpaceDN w:val="0"/>
        <w:adjustRightInd w:val="0"/>
        <w:rPr>
          <w:rFonts w:cs="Arial"/>
          <w:color w:val="000000"/>
          <w:sz w:val="20"/>
        </w:rPr>
      </w:pPr>
    </w:p>
    <w:p w14:paraId="67F3E390" w14:textId="280BB387" w:rsidR="00114F00" w:rsidRPr="00E213E7" w:rsidRDefault="00114F00" w:rsidP="000E1EBC">
      <w:pPr>
        <w:widowControl/>
        <w:autoSpaceDE w:val="0"/>
        <w:autoSpaceDN w:val="0"/>
        <w:adjustRightInd w:val="0"/>
        <w:jc w:val="center"/>
        <w:rPr>
          <w:rFonts w:cs="Arial"/>
          <w:color w:val="000000"/>
          <w:sz w:val="20"/>
        </w:rPr>
      </w:pPr>
      <w:r w:rsidRPr="00E213E7">
        <w:rPr>
          <w:rFonts w:cs="Arial"/>
          <w:color w:val="000000"/>
          <w:sz w:val="20"/>
        </w:rPr>
        <w:t>Gráfica 13</w:t>
      </w:r>
    </w:p>
    <w:p w14:paraId="126DE71A" w14:textId="77777777" w:rsidR="00114F00" w:rsidRPr="00E213E7" w:rsidRDefault="00114F00" w:rsidP="000E1EBC">
      <w:pPr>
        <w:widowControl/>
        <w:autoSpaceDE w:val="0"/>
        <w:autoSpaceDN w:val="0"/>
        <w:adjustRightInd w:val="0"/>
        <w:ind w:left="709" w:right="616" w:hanging="709"/>
        <w:jc w:val="center"/>
        <w:rPr>
          <w:rFonts w:cs="Arial"/>
          <w:b/>
          <w:bCs/>
          <w:smallCaps/>
          <w:color w:val="000000"/>
          <w:sz w:val="22"/>
          <w:szCs w:val="22"/>
        </w:rPr>
      </w:pPr>
      <w:r w:rsidRPr="00E213E7">
        <w:rPr>
          <w:rFonts w:cs="Arial"/>
          <w:b/>
          <w:bCs/>
          <w:smallCaps/>
          <w:color w:val="000000"/>
          <w:sz w:val="22"/>
          <w:szCs w:val="22"/>
        </w:rPr>
        <w:t>Tasa de ocupación peligrosa, 2017-2022</w:t>
      </w:r>
    </w:p>
    <w:p w14:paraId="1D47977B" w14:textId="266D8A1D" w:rsidR="00114F00" w:rsidRPr="0003346F" w:rsidRDefault="00114F00" w:rsidP="000E1EBC">
      <w:pPr>
        <w:widowControl/>
        <w:autoSpaceDE w:val="0"/>
        <w:autoSpaceDN w:val="0"/>
        <w:adjustRightInd w:val="0"/>
        <w:ind w:left="709" w:right="616" w:hanging="709"/>
        <w:jc w:val="center"/>
        <w:rPr>
          <w:rFonts w:cs="Arial"/>
          <w:color w:val="000000"/>
          <w:sz w:val="18"/>
          <w:szCs w:val="18"/>
        </w:rPr>
      </w:pPr>
      <w:r w:rsidRPr="0003346F">
        <w:rPr>
          <w:rFonts w:cs="Arial"/>
          <w:color w:val="000000"/>
          <w:sz w:val="18"/>
          <w:szCs w:val="18"/>
        </w:rPr>
        <w:t>(</w:t>
      </w:r>
      <w:r w:rsidR="00A14475">
        <w:rPr>
          <w:rFonts w:cs="Arial"/>
          <w:color w:val="000000"/>
          <w:sz w:val="18"/>
          <w:szCs w:val="18"/>
        </w:rPr>
        <w:t>p</w:t>
      </w:r>
      <w:r w:rsidRPr="0003346F">
        <w:rPr>
          <w:rFonts w:cs="Arial"/>
          <w:color w:val="000000"/>
          <w:sz w:val="18"/>
          <w:szCs w:val="18"/>
        </w:rPr>
        <w:t xml:space="preserve">orcentaje respecto a la población de 5 a 17 años) </w:t>
      </w:r>
    </w:p>
    <w:p w14:paraId="5E8B04A7" w14:textId="5925FF0F" w:rsidR="00114F00" w:rsidRDefault="00C00F1A" w:rsidP="00114F00">
      <w:pPr>
        <w:widowControl/>
        <w:autoSpaceDE w:val="0"/>
        <w:autoSpaceDN w:val="0"/>
        <w:adjustRightInd w:val="0"/>
        <w:rPr>
          <w:rFonts w:cs="Arial"/>
          <w:color w:val="000000"/>
          <w:szCs w:val="24"/>
        </w:rPr>
      </w:pPr>
      <w:r>
        <w:rPr>
          <w:noProof/>
        </w:rPr>
        <w:drawing>
          <wp:inline distT="0" distB="0" distL="0" distR="0" wp14:anchorId="21B6CD99" wp14:editId="0F781CEA">
            <wp:extent cx="6333490" cy="3024000"/>
            <wp:effectExtent l="0" t="0" r="0" b="0"/>
            <wp:docPr id="1195800253" name="Gráfico 1">
              <a:extLst xmlns:a="http://schemas.openxmlformats.org/drawingml/2006/main">
                <a:ext uri="{FF2B5EF4-FFF2-40B4-BE49-F238E27FC236}">
                  <a16:creationId xmlns:a16="http://schemas.microsoft.com/office/drawing/2014/main" id="{787795B8-6084-4E7F-ABC5-231E8460C0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163E52A3" w14:textId="049BCDB9" w:rsidR="00114F00" w:rsidRPr="00CD6FE9" w:rsidRDefault="00545C8C" w:rsidP="000E1EBC">
      <w:pPr>
        <w:widowControl/>
        <w:tabs>
          <w:tab w:val="left" w:pos="993"/>
        </w:tabs>
        <w:autoSpaceDE w:val="0"/>
        <w:autoSpaceDN w:val="0"/>
        <w:adjustRightInd w:val="0"/>
        <w:spacing w:line="276" w:lineRule="auto"/>
        <w:jc w:val="left"/>
        <w:rPr>
          <w:rFonts w:cs="Arial"/>
          <w:color w:val="000000"/>
          <w:sz w:val="16"/>
          <w:szCs w:val="16"/>
        </w:rPr>
      </w:pPr>
      <w:r>
        <w:rPr>
          <w:rFonts w:cs="Arial"/>
          <w:color w:val="000000" w:themeColor="text1"/>
          <w:sz w:val="16"/>
          <w:szCs w:val="16"/>
        </w:rPr>
        <w:t xml:space="preserve">  </w:t>
      </w:r>
      <w:r w:rsidR="00114F00" w:rsidRPr="00CD6FE9">
        <w:rPr>
          <w:rFonts w:cs="Arial"/>
          <w:color w:val="000000" w:themeColor="text1"/>
          <w:sz w:val="16"/>
          <w:szCs w:val="16"/>
        </w:rPr>
        <w:t>Fuente:</w:t>
      </w:r>
      <w:r w:rsidR="000E1EBC">
        <w:rPr>
          <w:rFonts w:cs="Arial"/>
          <w:color w:val="000000" w:themeColor="text1"/>
          <w:sz w:val="16"/>
          <w:szCs w:val="16"/>
        </w:rPr>
        <w:t xml:space="preserve"> </w:t>
      </w:r>
      <w:r w:rsidR="00114F00" w:rsidRPr="00CD6FE9">
        <w:rPr>
          <w:rFonts w:cs="Arial"/>
          <w:color w:val="000000" w:themeColor="text1"/>
          <w:sz w:val="16"/>
          <w:szCs w:val="16"/>
        </w:rPr>
        <w:t xml:space="preserve">INEGI, </w:t>
      </w:r>
      <w:r w:rsidR="00114F00">
        <w:rPr>
          <w:rFonts w:cs="Arial"/>
          <w:color w:val="000000" w:themeColor="text1"/>
          <w:sz w:val="16"/>
          <w:szCs w:val="16"/>
        </w:rPr>
        <w:t xml:space="preserve">MTI. 2017. </w:t>
      </w:r>
      <w:r w:rsidR="00114F00" w:rsidRPr="00CD6FE9">
        <w:rPr>
          <w:rFonts w:cs="Arial"/>
          <w:color w:val="000000" w:themeColor="text1"/>
          <w:sz w:val="16"/>
          <w:szCs w:val="16"/>
        </w:rPr>
        <w:t>ENTI</w:t>
      </w:r>
      <w:r w:rsidR="00E172F9">
        <w:rPr>
          <w:rFonts w:cs="Arial"/>
          <w:color w:val="000000" w:themeColor="text1"/>
          <w:sz w:val="16"/>
          <w:szCs w:val="16"/>
        </w:rPr>
        <w:t>.</w:t>
      </w:r>
      <w:r w:rsidR="00114F00" w:rsidRPr="00CD6FE9">
        <w:rPr>
          <w:rFonts w:cs="Arial"/>
          <w:color w:val="000000" w:themeColor="text1"/>
          <w:sz w:val="16"/>
          <w:szCs w:val="16"/>
        </w:rPr>
        <w:t xml:space="preserve"> 2019 y 2022.</w:t>
      </w:r>
    </w:p>
    <w:p w14:paraId="5A46F297" w14:textId="6ED582F7" w:rsidR="009553AC" w:rsidRDefault="009553AC" w:rsidP="009E43F3">
      <w:pPr>
        <w:widowControl/>
        <w:autoSpaceDE w:val="0"/>
        <w:autoSpaceDN w:val="0"/>
        <w:adjustRightInd w:val="0"/>
        <w:rPr>
          <w:rFonts w:cs="Arial"/>
          <w:color w:val="000000"/>
          <w:szCs w:val="24"/>
        </w:rPr>
      </w:pPr>
    </w:p>
    <w:p w14:paraId="4A392A56" w14:textId="7D7CEE92" w:rsidR="00791592" w:rsidRPr="0037646C" w:rsidRDefault="00F53141" w:rsidP="00136A32">
      <w:pPr>
        <w:pStyle w:val="Prrafodelista"/>
        <w:widowControl/>
        <w:numPr>
          <w:ilvl w:val="0"/>
          <w:numId w:val="9"/>
        </w:numPr>
        <w:autoSpaceDE w:val="0"/>
        <w:autoSpaceDN w:val="0"/>
        <w:adjustRightInd w:val="0"/>
        <w:ind w:left="567" w:hanging="567"/>
        <w:jc w:val="center"/>
        <w:rPr>
          <w:rFonts w:cs="Arial"/>
          <w:b/>
          <w:bCs/>
          <w:color w:val="000000"/>
          <w:szCs w:val="24"/>
        </w:rPr>
      </w:pPr>
      <w:r w:rsidRPr="00DA1FFF">
        <w:rPr>
          <w:rFonts w:ascii="Arial Negrita" w:hAnsi="Arial Negrita" w:cs="Arial"/>
          <w:b/>
          <w:bCs/>
          <w:smallCaps/>
          <w:color w:val="000000"/>
          <w:szCs w:val="24"/>
        </w:rPr>
        <w:t>Quehaceres domésticos en condiciones no adecuadas</w:t>
      </w:r>
      <w:r w:rsidR="005432EE">
        <w:rPr>
          <w:rStyle w:val="Refdenotaalpie"/>
          <w:b w:val="0"/>
          <w:bCs/>
          <w:color w:val="000000"/>
          <w:szCs w:val="24"/>
        </w:rPr>
        <w:footnoteReference w:id="14"/>
      </w:r>
    </w:p>
    <w:p w14:paraId="0E19FFFC" w14:textId="77777777" w:rsidR="00791592" w:rsidRPr="00341833" w:rsidRDefault="00791592" w:rsidP="009E43F3">
      <w:pPr>
        <w:widowControl/>
        <w:autoSpaceDE w:val="0"/>
        <w:autoSpaceDN w:val="0"/>
        <w:adjustRightInd w:val="0"/>
        <w:rPr>
          <w:rFonts w:cs="Arial"/>
          <w:color w:val="000000"/>
          <w:szCs w:val="24"/>
        </w:rPr>
      </w:pPr>
    </w:p>
    <w:p w14:paraId="1CD1AA53" w14:textId="346B53D1" w:rsidR="00791592" w:rsidRPr="00341833" w:rsidRDefault="00791592" w:rsidP="000E1EBC">
      <w:pPr>
        <w:widowControl/>
        <w:autoSpaceDE w:val="0"/>
        <w:autoSpaceDN w:val="0"/>
        <w:adjustRightInd w:val="0"/>
        <w:ind w:right="51"/>
        <w:rPr>
          <w:rFonts w:cs="Arial"/>
          <w:color w:val="000000"/>
          <w:szCs w:val="24"/>
        </w:rPr>
      </w:pPr>
      <w:r w:rsidRPr="00341833">
        <w:rPr>
          <w:rFonts w:cs="Arial"/>
          <w:color w:val="000000"/>
          <w:szCs w:val="24"/>
        </w:rPr>
        <w:t xml:space="preserve">En 2022, 1.9 millones de </w:t>
      </w:r>
      <w:r w:rsidR="00191949" w:rsidRPr="00341833">
        <w:rPr>
          <w:rFonts w:cs="Arial"/>
          <w:color w:val="000000"/>
          <w:szCs w:val="24"/>
        </w:rPr>
        <w:t xml:space="preserve">niñas y niños </w:t>
      </w:r>
      <w:r w:rsidRPr="00341833">
        <w:rPr>
          <w:rFonts w:cs="Arial"/>
          <w:color w:val="000000"/>
          <w:szCs w:val="24"/>
        </w:rPr>
        <w:t>de 5 a 17 años realizaron quehaceres domésticos en sus hogares en condiciones no adecuadas</w:t>
      </w:r>
      <w:r w:rsidRPr="00341833">
        <w:rPr>
          <w:rFonts w:cs="Arial"/>
          <w:szCs w:val="24"/>
        </w:rPr>
        <w:t xml:space="preserve">; de los cuales, </w:t>
      </w:r>
      <w:r w:rsidR="005432EE" w:rsidRPr="00341833">
        <w:rPr>
          <w:rFonts w:cs="Arial"/>
          <w:szCs w:val="24"/>
        </w:rPr>
        <w:t>un</w:t>
      </w:r>
      <w:r w:rsidR="006130D7" w:rsidRPr="00341833">
        <w:rPr>
          <w:rFonts w:cs="Arial"/>
          <w:szCs w:val="24"/>
        </w:rPr>
        <w:t xml:space="preserve"> millón (51.8 %) eran niñas y </w:t>
      </w:r>
      <w:r w:rsidR="005432EE" w:rsidRPr="00341833">
        <w:rPr>
          <w:rFonts w:cs="Arial"/>
          <w:szCs w:val="24"/>
        </w:rPr>
        <w:br/>
      </w:r>
      <w:r w:rsidR="001E6A92" w:rsidRPr="00341833">
        <w:rPr>
          <w:rFonts w:cs="Arial"/>
          <w:szCs w:val="24"/>
        </w:rPr>
        <w:t>0.9</w:t>
      </w:r>
      <w:r w:rsidRPr="00341833">
        <w:rPr>
          <w:rFonts w:cs="Arial"/>
          <w:szCs w:val="24"/>
        </w:rPr>
        <w:t xml:space="preserve"> millones (</w:t>
      </w:r>
      <w:r w:rsidR="001E6A92" w:rsidRPr="00341833">
        <w:rPr>
          <w:rFonts w:cs="Arial"/>
          <w:szCs w:val="24"/>
        </w:rPr>
        <w:t>48.2</w:t>
      </w:r>
      <w:r w:rsidRPr="00341833">
        <w:rPr>
          <w:rFonts w:cs="Arial"/>
          <w:szCs w:val="24"/>
        </w:rPr>
        <w:t xml:space="preserve"> %)</w:t>
      </w:r>
      <w:r w:rsidR="005432EE" w:rsidRPr="00341833">
        <w:rPr>
          <w:rFonts w:cs="Arial"/>
          <w:szCs w:val="24"/>
        </w:rPr>
        <w:t>,</w:t>
      </w:r>
      <w:r w:rsidRPr="00341833">
        <w:rPr>
          <w:rFonts w:cs="Arial"/>
          <w:szCs w:val="24"/>
        </w:rPr>
        <w:t xml:space="preserve"> niños.</w:t>
      </w:r>
      <w:r w:rsidR="00076EED" w:rsidRPr="00341833">
        <w:rPr>
          <w:rFonts w:cs="Arial"/>
          <w:color w:val="000000"/>
          <w:szCs w:val="24"/>
        </w:rPr>
        <w:t xml:space="preserve"> </w:t>
      </w:r>
      <w:r w:rsidR="00191949" w:rsidRPr="00341833">
        <w:rPr>
          <w:rFonts w:cs="Arial"/>
          <w:color w:val="000000"/>
          <w:szCs w:val="24"/>
        </w:rPr>
        <w:t>Aquellos</w:t>
      </w:r>
      <w:r w:rsidRPr="00341833">
        <w:rPr>
          <w:rFonts w:cs="Arial"/>
          <w:color w:val="000000"/>
          <w:szCs w:val="24"/>
        </w:rPr>
        <w:t xml:space="preserve"> que realizaron quehaceres domésticos en condiciones no adecuad</w:t>
      </w:r>
      <w:r w:rsidR="00556C55" w:rsidRPr="00341833">
        <w:rPr>
          <w:rFonts w:cs="Arial"/>
          <w:color w:val="000000"/>
          <w:szCs w:val="24"/>
        </w:rPr>
        <w:t>a</w:t>
      </w:r>
      <w:r w:rsidRPr="00341833">
        <w:rPr>
          <w:rFonts w:cs="Arial"/>
          <w:color w:val="000000"/>
          <w:szCs w:val="24"/>
        </w:rPr>
        <w:t>s en forma exclusiva fueron 1.6 millones (83.4 %) y l</w:t>
      </w:r>
      <w:r w:rsidR="00191949" w:rsidRPr="00341833">
        <w:rPr>
          <w:rFonts w:cs="Arial"/>
          <w:color w:val="000000"/>
          <w:szCs w:val="24"/>
        </w:rPr>
        <w:t>o</w:t>
      </w:r>
      <w:r w:rsidRPr="00341833">
        <w:rPr>
          <w:rFonts w:cs="Arial"/>
          <w:color w:val="000000"/>
          <w:szCs w:val="24"/>
        </w:rPr>
        <w:t xml:space="preserve">s que combinaron </w:t>
      </w:r>
      <w:r w:rsidR="00F41BF9" w:rsidRPr="00341833">
        <w:rPr>
          <w:rFonts w:cs="Arial"/>
          <w:color w:val="000000"/>
          <w:szCs w:val="24"/>
        </w:rPr>
        <w:t xml:space="preserve">la ocupación no permitida y </w:t>
      </w:r>
      <w:r w:rsidRPr="00341833">
        <w:rPr>
          <w:rFonts w:cs="Arial"/>
          <w:color w:val="000000"/>
          <w:szCs w:val="24"/>
        </w:rPr>
        <w:t xml:space="preserve">los quehaceres domésticos en condiciones no adecuadas fueron </w:t>
      </w:r>
      <w:r w:rsidR="005432EE" w:rsidRPr="00341833">
        <w:rPr>
          <w:rFonts w:cs="Arial"/>
          <w:color w:val="000000"/>
          <w:szCs w:val="24"/>
        </w:rPr>
        <w:br/>
      </w:r>
      <w:r w:rsidRPr="00341833">
        <w:rPr>
          <w:rFonts w:cs="Arial"/>
          <w:color w:val="000000"/>
          <w:szCs w:val="24"/>
        </w:rPr>
        <w:t>0.3 millones (</w:t>
      </w:r>
      <w:r w:rsidR="001E6A92" w:rsidRPr="00341833">
        <w:rPr>
          <w:rFonts w:cs="Arial"/>
          <w:color w:val="000000"/>
          <w:szCs w:val="24"/>
        </w:rPr>
        <w:t>16.6</w:t>
      </w:r>
      <w:r w:rsidRPr="00341833">
        <w:rPr>
          <w:rFonts w:cs="Arial"/>
          <w:color w:val="000000"/>
          <w:szCs w:val="24"/>
        </w:rPr>
        <w:t xml:space="preserve"> %)</w:t>
      </w:r>
      <w:r w:rsidR="00654B65" w:rsidRPr="00341833">
        <w:rPr>
          <w:rFonts w:cs="Arial"/>
          <w:color w:val="000000"/>
          <w:szCs w:val="24"/>
        </w:rPr>
        <w:t xml:space="preserve"> lo que se puede ver en el </w:t>
      </w:r>
      <w:r w:rsidR="00D3014A" w:rsidRPr="00341833">
        <w:rPr>
          <w:rFonts w:cs="Arial"/>
          <w:szCs w:val="24"/>
        </w:rPr>
        <w:t>cuadro 20</w:t>
      </w:r>
      <w:r w:rsidRPr="00341833">
        <w:rPr>
          <w:rFonts w:cs="Arial"/>
          <w:color w:val="000000"/>
          <w:szCs w:val="24"/>
        </w:rPr>
        <w:t>.</w:t>
      </w:r>
    </w:p>
    <w:p w14:paraId="7C1A5CE7" w14:textId="77777777" w:rsidR="009E086F" w:rsidRDefault="009E086F" w:rsidP="005432EE">
      <w:pPr>
        <w:widowControl/>
        <w:autoSpaceDE w:val="0"/>
        <w:autoSpaceDN w:val="0"/>
        <w:adjustRightInd w:val="0"/>
        <w:rPr>
          <w:rFonts w:cs="Arial"/>
          <w:szCs w:val="24"/>
        </w:rPr>
      </w:pPr>
    </w:p>
    <w:p w14:paraId="4C494EFD" w14:textId="77777777" w:rsidR="000E1EBC" w:rsidRDefault="000E1EBC" w:rsidP="005432EE">
      <w:pPr>
        <w:widowControl/>
        <w:autoSpaceDE w:val="0"/>
        <w:autoSpaceDN w:val="0"/>
        <w:adjustRightInd w:val="0"/>
        <w:rPr>
          <w:rFonts w:cs="Arial"/>
          <w:szCs w:val="24"/>
        </w:rPr>
      </w:pPr>
    </w:p>
    <w:p w14:paraId="3E1AB09E" w14:textId="77777777" w:rsidR="000E1EBC" w:rsidRDefault="000E1EBC" w:rsidP="005432EE">
      <w:pPr>
        <w:widowControl/>
        <w:autoSpaceDE w:val="0"/>
        <w:autoSpaceDN w:val="0"/>
        <w:adjustRightInd w:val="0"/>
        <w:rPr>
          <w:rFonts w:cs="Arial"/>
          <w:szCs w:val="24"/>
        </w:rPr>
      </w:pPr>
    </w:p>
    <w:p w14:paraId="29AB17F2" w14:textId="77777777" w:rsidR="000E1EBC" w:rsidRDefault="000E1EBC" w:rsidP="005432EE">
      <w:pPr>
        <w:widowControl/>
        <w:autoSpaceDE w:val="0"/>
        <w:autoSpaceDN w:val="0"/>
        <w:adjustRightInd w:val="0"/>
        <w:rPr>
          <w:rFonts w:cs="Arial"/>
          <w:szCs w:val="24"/>
        </w:rPr>
      </w:pPr>
    </w:p>
    <w:p w14:paraId="7606FCA3" w14:textId="77777777" w:rsidR="000E1EBC" w:rsidRDefault="000E1EBC" w:rsidP="005432EE">
      <w:pPr>
        <w:widowControl/>
        <w:autoSpaceDE w:val="0"/>
        <w:autoSpaceDN w:val="0"/>
        <w:adjustRightInd w:val="0"/>
        <w:rPr>
          <w:rFonts w:cs="Arial"/>
          <w:szCs w:val="24"/>
        </w:rPr>
      </w:pPr>
    </w:p>
    <w:p w14:paraId="5B96C49F" w14:textId="77777777" w:rsidR="000E1EBC" w:rsidRDefault="000E1EBC" w:rsidP="005432EE">
      <w:pPr>
        <w:widowControl/>
        <w:autoSpaceDE w:val="0"/>
        <w:autoSpaceDN w:val="0"/>
        <w:adjustRightInd w:val="0"/>
        <w:rPr>
          <w:rFonts w:cs="Arial"/>
          <w:szCs w:val="24"/>
        </w:rPr>
      </w:pPr>
    </w:p>
    <w:p w14:paraId="6015A1A3" w14:textId="77777777" w:rsidR="000E1EBC" w:rsidRDefault="000E1EBC" w:rsidP="005432EE">
      <w:pPr>
        <w:widowControl/>
        <w:autoSpaceDE w:val="0"/>
        <w:autoSpaceDN w:val="0"/>
        <w:adjustRightInd w:val="0"/>
        <w:rPr>
          <w:rFonts w:cs="Arial"/>
          <w:szCs w:val="24"/>
        </w:rPr>
      </w:pPr>
    </w:p>
    <w:p w14:paraId="0B68D751" w14:textId="77777777" w:rsidR="000E1EBC" w:rsidRDefault="000E1EBC" w:rsidP="005432EE">
      <w:pPr>
        <w:widowControl/>
        <w:autoSpaceDE w:val="0"/>
        <w:autoSpaceDN w:val="0"/>
        <w:adjustRightInd w:val="0"/>
        <w:rPr>
          <w:rFonts w:cs="Arial"/>
          <w:szCs w:val="24"/>
        </w:rPr>
      </w:pPr>
    </w:p>
    <w:p w14:paraId="694F8DB7" w14:textId="77777777" w:rsidR="000E1EBC" w:rsidRDefault="000E1EBC" w:rsidP="005432EE">
      <w:pPr>
        <w:widowControl/>
        <w:autoSpaceDE w:val="0"/>
        <w:autoSpaceDN w:val="0"/>
        <w:adjustRightInd w:val="0"/>
        <w:rPr>
          <w:rFonts w:cs="Arial"/>
          <w:szCs w:val="24"/>
        </w:rPr>
      </w:pPr>
    </w:p>
    <w:p w14:paraId="1453746F" w14:textId="77777777" w:rsidR="000E1EBC" w:rsidRDefault="000E1EBC" w:rsidP="005432EE">
      <w:pPr>
        <w:widowControl/>
        <w:autoSpaceDE w:val="0"/>
        <w:autoSpaceDN w:val="0"/>
        <w:adjustRightInd w:val="0"/>
        <w:rPr>
          <w:rFonts w:cs="Arial"/>
          <w:szCs w:val="24"/>
        </w:rPr>
      </w:pPr>
    </w:p>
    <w:p w14:paraId="6BE254B5" w14:textId="77777777" w:rsidR="009E086F" w:rsidRPr="000E1EBC" w:rsidRDefault="009E086F" w:rsidP="009E086F">
      <w:pPr>
        <w:widowControl/>
        <w:autoSpaceDE w:val="0"/>
        <w:autoSpaceDN w:val="0"/>
        <w:adjustRightInd w:val="0"/>
        <w:jc w:val="center"/>
        <w:rPr>
          <w:rFonts w:cs="Arial"/>
          <w:color w:val="000000"/>
          <w:sz w:val="20"/>
        </w:rPr>
      </w:pPr>
      <w:r w:rsidRPr="000E1EBC">
        <w:rPr>
          <w:rFonts w:cs="Arial"/>
          <w:color w:val="000000"/>
          <w:sz w:val="20"/>
        </w:rPr>
        <w:t>Cuadro 20</w:t>
      </w:r>
    </w:p>
    <w:p w14:paraId="64D88B3A" w14:textId="395893D4" w:rsidR="009E086F" w:rsidRPr="000E1EBC" w:rsidRDefault="009E086F" w:rsidP="009E086F">
      <w:pPr>
        <w:widowControl/>
        <w:autoSpaceDE w:val="0"/>
        <w:autoSpaceDN w:val="0"/>
        <w:adjustRightInd w:val="0"/>
        <w:spacing w:after="120"/>
        <w:jc w:val="center"/>
        <w:rPr>
          <w:rFonts w:cs="Arial"/>
          <w:b/>
          <w:bCs/>
          <w:smallCaps/>
          <w:color w:val="000000" w:themeColor="text1"/>
          <w:sz w:val="22"/>
          <w:szCs w:val="22"/>
        </w:rPr>
      </w:pPr>
      <w:r w:rsidRPr="000E1EBC">
        <w:rPr>
          <w:rFonts w:cs="Arial"/>
          <w:b/>
          <w:bCs/>
          <w:smallCaps/>
          <w:color w:val="000000"/>
          <w:sz w:val="22"/>
          <w:szCs w:val="22"/>
        </w:rPr>
        <w:t>Personas en q</w:t>
      </w:r>
      <w:r w:rsidRPr="000E1EBC">
        <w:rPr>
          <w:rFonts w:cs="Arial"/>
          <w:b/>
          <w:bCs/>
          <w:smallCaps/>
          <w:color w:val="000000" w:themeColor="text1"/>
          <w:sz w:val="22"/>
          <w:szCs w:val="22"/>
        </w:rPr>
        <w:t>uehaceres domésticos en condiciones no adecuadas por forma de trabajo</w:t>
      </w:r>
      <w:r w:rsidR="002E3423" w:rsidRPr="000E1EBC">
        <w:rPr>
          <w:rFonts w:cs="Arial"/>
          <w:b/>
          <w:bCs/>
          <w:smallCaps/>
          <w:color w:val="000000" w:themeColor="text1"/>
          <w:sz w:val="22"/>
          <w:szCs w:val="22"/>
        </w:rPr>
        <w:t>,</w:t>
      </w:r>
      <w:r w:rsidRPr="000E1EBC">
        <w:rPr>
          <w:rFonts w:cs="Arial"/>
          <w:b/>
          <w:bCs/>
          <w:smallCaps/>
          <w:color w:val="000000" w:themeColor="text1"/>
          <w:sz w:val="22"/>
          <w:szCs w:val="22"/>
        </w:rPr>
        <w:t xml:space="preserve"> según sexo</w:t>
      </w:r>
    </w:p>
    <w:tbl>
      <w:tblPr>
        <w:tblW w:w="9639" w:type="dxa"/>
        <w:tblCellMar>
          <w:left w:w="70" w:type="dxa"/>
          <w:right w:w="70" w:type="dxa"/>
        </w:tblCellMar>
        <w:tblLook w:val="04A0" w:firstRow="1" w:lastRow="0" w:firstColumn="1" w:lastColumn="0" w:noHBand="0" w:noVBand="1"/>
      </w:tblPr>
      <w:tblGrid>
        <w:gridCol w:w="220"/>
        <w:gridCol w:w="2580"/>
        <w:gridCol w:w="1169"/>
        <w:gridCol w:w="851"/>
        <w:gridCol w:w="1134"/>
        <w:gridCol w:w="1134"/>
        <w:gridCol w:w="1276"/>
        <w:gridCol w:w="1275"/>
      </w:tblGrid>
      <w:tr w:rsidR="009E086F" w:rsidRPr="00714081" w14:paraId="08406D3B" w14:textId="77777777" w:rsidTr="00562DA7">
        <w:trPr>
          <w:trHeight w:val="510"/>
        </w:trPr>
        <w:tc>
          <w:tcPr>
            <w:tcW w:w="2800" w:type="dxa"/>
            <w:gridSpan w:val="2"/>
            <w:vMerge w:val="restart"/>
            <w:tcBorders>
              <w:top w:val="nil"/>
              <w:left w:val="nil"/>
              <w:bottom w:val="nil"/>
              <w:right w:val="nil"/>
            </w:tcBorders>
            <w:shd w:val="clear" w:color="auto" w:fill="338B99"/>
            <w:vAlign w:val="center"/>
            <w:hideMark/>
          </w:tcPr>
          <w:p w14:paraId="62622A6D" w14:textId="60FFBDFB" w:rsidR="009E086F" w:rsidRPr="00714081" w:rsidRDefault="009E086F" w:rsidP="009E086F">
            <w:pPr>
              <w:widowControl/>
              <w:jc w:val="left"/>
              <w:rPr>
                <w:rFonts w:cs="Arial"/>
                <w:b/>
                <w:bCs/>
                <w:color w:val="FFFFFF"/>
                <w:sz w:val="20"/>
                <w:lang w:eastAsia="es-MX"/>
              </w:rPr>
            </w:pPr>
            <w:r w:rsidRPr="00714081">
              <w:rPr>
                <w:rFonts w:cs="Arial"/>
                <w:b/>
                <w:bCs/>
                <w:color w:val="FFFFFF"/>
                <w:sz w:val="20"/>
                <w:lang w:eastAsia="es-MX"/>
              </w:rPr>
              <w:t>Forma de trabajo</w:t>
            </w:r>
            <w:r w:rsidRPr="00714081">
              <w:rPr>
                <w:rFonts w:cs="Arial"/>
                <w:color w:val="000000"/>
                <w:sz w:val="20"/>
                <w:lang w:eastAsia="es-MX"/>
              </w:rPr>
              <w:t> </w:t>
            </w:r>
          </w:p>
        </w:tc>
        <w:tc>
          <w:tcPr>
            <w:tcW w:w="3154" w:type="dxa"/>
            <w:gridSpan w:val="3"/>
            <w:tcBorders>
              <w:top w:val="nil"/>
              <w:left w:val="nil"/>
              <w:bottom w:val="single" w:sz="4" w:space="0" w:color="FFFFFF"/>
              <w:right w:val="nil"/>
            </w:tcBorders>
            <w:shd w:val="clear" w:color="auto" w:fill="338B99"/>
            <w:vAlign w:val="center"/>
            <w:hideMark/>
          </w:tcPr>
          <w:p w14:paraId="6B028930" w14:textId="755E4C78" w:rsidR="009E086F" w:rsidRPr="00714081" w:rsidRDefault="009E086F" w:rsidP="009E086F">
            <w:pPr>
              <w:widowControl/>
              <w:jc w:val="center"/>
              <w:rPr>
                <w:rFonts w:cs="Arial"/>
                <w:b/>
                <w:bCs/>
                <w:color w:val="FFFFFF"/>
                <w:sz w:val="20"/>
                <w:lang w:eastAsia="es-MX"/>
              </w:rPr>
            </w:pPr>
            <w:r>
              <w:rPr>
                <w:rFonts w:cs="Arial"/>
                <w:b/>
                <w:bCs/>
                <w:color w:val="FFFFFF"/>
                <w:sz w:val="20"/>
                <w:lang w:eastAsia="es-MX"/>
              </w:rPr>
              <w:t>Millones de personas</w:t>
            </w:r>
            <w:r w:rsidRPr="00714081">
              <w:rPr>
                <w:rFonts w:cs="Arial"/>
                <w:b/>
                <w:bCs/>
                <w:color w:val="FFFFFF"/>
                <w:sz w:val="20"/>
                <w:lang w:eastAsia="es-MX"/>
              </w:rPr>
              <w:t xml:space="preserve"> </w:t>
            </w:r>
          </w:p>
        </w:tc>
        <w:tc>
          <w:tcPr>
            <w:tcW w:w="3685" w:type="dxa"/>
            <w:gridSpan w:val="3"/>
            <w:tcBorders>
              <w:top w:val="nil"/>
              <w:left w:val="nil"/>
              <w:bottom w:val="single" w:sz="4" w:space="0" w:color="FFFFFF"/>
              <w:right w:val="nil"/>
            </w:tcBorders>
            <w:shd w:val="clear" w:color="auto" w:fill="338B99"/>
            <w:vAlign w:val="center"/>
            <w:hideMark/>
          </w:tcPr>
          <w:p w14:paraId="5B55DE5D" w14:textId="05281DA4" w:rsidR="009E086F" w:rsidRPr="00714081" w:rsidRDefault="009E086F" w:rsidP="009E086F">
            <w:pPr>
              <w:widowControl/>
              <w:jc w:val="center"/>
              <w:rPr>
                <w:rFonts w:cs="Arial"/>
                <w:b/>
                <w:bCs/>
                <w:color w:val="FFFFFF"/>
                <w:sz w:val="20"/>
                <w:lang w:eastAsia="es-MX"/>
              </w:rPr>
            </w:pPr>
            <w:r w:rsidRPr="00714081">
              <w:rPr>
                <w:rFonts w:cs="Arial"/>
                <w:b/>
                <w:bCs/>
                <w:color w:val="FFFFFF"/>
                <w:sz w:val="20"/>
                <w:lang w:eastAsia="es-MX"/>
              </w:rPr>
              <w:t>Distribu</w:t>
            </w:r>
            <w:r>
              <w:rPr>
                <w:rFonts w:cs="Arial"/>
                <w:b/>
                <w:bCs/>
                <w:color w:val="FFFFFF"/>
                <w:sz w:val="20"/>
                <w:lang w:eastAsia="es-MX"/>
              </w:rPr>
              <w:t>c</w:t>
            </w:r>
            <w:r w:rsidRPr="00714081">
              <w:rPr>
                <w:rFonts w:cs="Arial"/>
                <w:b/>
                <w:bCs/>
                <w:color w:val="FFFFFF"/>
                <w:sz w:val="20"/>
                <w:lang w:eastAsia="es-MX"/>
              </w:rPr>
              <w:t>ión</w:t>
            </w:r>
            <w:r>
              <w:rPr>
                <w:rFonts w:cs="Arial"/>
                <w:b/>
                <w:bCs/>
                <w:color w:val="FFFFFF"/>
                <w:sz w:val="20"/>
                <w:lang w:eastAsia="es-MX"/>
              </w:rPr>
              <w:t xml:space="preserve"> porcentual</w:t>
            </w:r>
          </w:p>
        </w:tc>
      </w:tr>
      <w:tr w:rsidR="009E086F" w:rsidRPr="00714081" w14:paraId="14476CD9" w14:textId="77777777" w:rsidTr="00562DA7">
        <w:trPr>
          <w:trHeight w:val="340"/>
        </w:trPr>
        <w:tc>
          <w:tcPr>
            <w:tcW w:w="2800" w:type="dxa"/>
            <w:gridSpan w:val="2"/>
            <w:vMerge/>
            <w:tcBorders>
              <w:top w:val="nil"/>
              <w:left w:val="nil"/>
              <w:bottom w:val="nil"/>
              <w:right w:val="nil"/>
            </w:tcBorders>
            <w:shd w:val="clear" w:color="auto" w:fill="338B99"/>
            <w:vAlign w:val="center"/>
            <w:hideMark/>
          </w:tcPr>
          <w:p w14:paraId="2AAB22F0" w14:textId="77777777" w:rsidR="009E086F" w:rsidRPr="00714081" w:rsidRDefault="009E086F" w:rsidP="009E086F">
            <w:pPr>
              <w:widowControl/>
              <w:jc w:val="left"/>
              <w:rPr>
                <w:rFonts w:cs="Arial"/>
                <w:b/>
                <w:bCs/>
                <w:color w:val="FFFFFF"/>
                <w:sz w:val="20"/>
                <w:lang w:eastAsia="es-MX"/>
              </w:rPr>
            </w:pPr>
          </w:p>
        </w:tc>
        <w:tc>
          <w:tcPr>
            <w:tcW w:w="1169" w:type="dxa"/>
            <w:tcBorders>
              <w:top w:val="nil"/>
              <w:left w:val="nil"/>
              <w:bottom w:val="nil"/>
              <w:right w:val="nil"/>
            </w:tcBorders>
            <w:shd w:val="clear" w:color="auto" w:fill="338B99"/>
            <w:vAlign w:val="center"/>
            <w:hideMark/>
          </w:tcPr>
          <w:p w14:paraId="02681500" w14:textId="4B876C37" w:rsidR="009E086F" w:rsidRPr="00714081" w:rsidRDefault="009E086F" w:rsidP="009E086F">
            <w:pPr>
              <w:widowControl/>
              <w:jc w:val="center"/>
              <w:rPr>
                <w:rFonts w:cs="Arial"/>
                <w:b/>
                <w:bCs/>
                <w:color w:val="FFFFFF"/>
                <w:sz w:val="20"/>
                <w:lang w:eastAsia="es-MX"/>
              </w:rPr>
            </w:pPr>
            <w:r w:rsidRPr="00714081">
              <w:rPr>
                <w:rFonts w:cs="Arial"/>
                <w:b/>
                <w:bCs/>
                <w:color w:val="FFFFFF"/>
                <w:sz w:val="20"/>
                <w:lang w:eastAsia="es-MX"/>
              </w:rPr>
              <w:t>Total</w:t>
            </w:r>
          </w:p>
        </w:tc>
        <w:tc>
          <w:tcPr>
            <w:tcW w:w="851" w:type="dxa"/>
            <w:tcBorders>
              <w:top w:val="nil"/>
              <w:left w:val="nil"/>
              <w:bottom w:val="nil"/>
              <w:right w:val="nil"/>
            </w:tcBorders>
            <w:shd w:val="clear" w:color="auto" w:fill="338B99"/>
            <w:vAlign w:val="center"/>
            <w:hideMark/>
          </w:tcPr>
          <w:p w14:paraId="6DFA633C" w14:textId="7223D05E" w:rsidR="009E086F" w:rsidRPr="00714081" w:rsidRDefault="009E086F" w:rsidP="009E086F">
            <w:pPr>
              <w:widowControl/>
              <w:jc w:val="center"/>
              <w:rPr>
                <w:rFonts w:cs="Arial"/>
                <w:b/>
                <w:bCs/>
                <w:color w:val="FFFFFF"/>
                <w:sz w:val="20"/>
                <w:lang w:eastAsia="es-MX"/>
              </w:rPr>
            </w:pPr>
            <w:r w:rsidRPr="00714081">
              <w:rPr>
                <w:rFonts w:cs="Arial"/>
                <w:b/>
                <w:bCs/>
                <w:color w:val="FFFFFF"/>
                <w:sz w:val="20"/>
                <w:lang w:eastAsia="es-MX"/>
              </w:rPr>
              <w:t>Niños</w:t>
            </w:r>
          </w:p>
        </w:tc>
        <w:tc>
          <w:tcPr>
            <w:tcW w:w="1134" w:type="dxa"/>
            <w:tcBorders>
              <w:top w:val="nil"/>
              <w:left w:val="nil"/>
              <w:bottom w:val="nil"/>
              <w:right w:val="nil"/>
            </w:tcBorders>
            <w:shd w:val="clear" w:color="auto" w:fill="338B99"/>
            <w:vAlign w:val="center"/>
            <w:hideMark/>
          </w:tcPr>
          <w:p w14:paraId="39BDE485" w14:textId="77777777" w:rsidR="009E086F" w:rsidRPr="00714081" w:rsidRDefault="009E086F" w:rsidP="009E086F">
            <w:pPr>
              <w:widowControl/>
              <w:jc w:val="center"/>
              <w:rPr>
                <w:rFonts w:cs="Arial"/>
                <w:b/>
                <w:bCs/>
                <w:color w:val="FFFFFF"/>
                <w:sz w:val="20"/>
                <w:lang w:eastAsia="es-MX"/>
              </w:rPr>
            </w:pPr>
            <w:r w:rsidRPr="00714081">
              <w:rPr>
                <w:rFonts w:cs="Arial"/>
                <w:b/>
                <w:bCs/>
                <w:color w:val="FFFFFF"/>
                <w:sz w:val="20"/>
                <w:lang w:eastAsia="es-MX"/>
              </w:rPr>
              <w:t>Niñas</w:t>
            </w:r>
          </w:p>
        </w:tc>
        <w:tc>
          <w:tcPr>
            <w:tcW w:w="1134" w:type="dxa"/>
            <w:tcBorders>
              <w:top w:val="nil"/>
              <w:left w:val="nil"/>
              <w:bottom w:val="nil"/>
              <w:right w:val="nil"/>
            </w:tcBorders>
            <w:shd w:val="clear" w:color="auto" w:fill="338B99"/>
            <w:vAlign w:val="center"/>
            <w:hideMark/>
          </w:tcPr>
          <w:p w14:paraId="44F48620" w14:textId="376AE1E0" w:rsidR="009E086F" w:rsidRPr="00714081" w:rsidRDefault="009E086F" w:rsidP="009E086F">
            <w:pPr>
              <w:widowControl/>
              <w:jc w:val="center"/>
              <w:rPr>
                <w:rFonts w:cs="Arial"/>
                <w:b/>
                <w:bCs/>
                <w:color w:val="FFFFFF"/>
                <w:sz w:val="20"/>
                <w:lang w:eastAsia="es-MX"/>
              </w:rPr>
            </w:pPr>
            <w:r w:rsidRPr="00714081">
              <w:rPr>
                <w:rFonts w:cs="Arial"/>
                <w:b/>
                <w:bCs/>
                <w:color w:val="FFFFFF"/>
                <w:sz w:val="20"/>
                <w:lang w:eastAsia="es-MX"/>
              </w:rPr>
              <w:t>Total</w:t>
            </w:r>
          </w:p>
        </w:tc>
        <w:tc>
          <w:tcPr>
            <w:tcW w:w="1276" w:type="dxa"/>
            <w:tcBorders>
              <w:top w:val="nil"/>
              <w:left w:val="nil"/>
              <w:bottom w:val="nil"/>
              <w:right w:val="nil"/>
            </w:tcBorders>
            <w:shd w:val="clear" w:color="auto" w:fill="338B99"/>
            <w:vAlign w:val="center"/>
            <w:hideMark/>
          </w:tcPr>
          <w:p w14:paraId="73CA6239" w14:textId="27070CBC" w:rsidR="009E086F" w:rsidRPr="00714081" w:rsidRDefault="009E086F" w:rsidP="009E086F">
            <w:pPr>
              <w:widowControl/>
              <w:jc w:val="center"/>
              <w:rPr>
                <w:rFonts w:cs="Arial"/>
                <w:b/>
                <w:bCs/>
                <w:color w:val="FFFFFF"/>
                <w:sz w:val="20"/>
                <w:lang w:eastAsia="es-MX"/>
              </w:rPr>
            </w:pPr>
            <w:r w:rsidRPr="00714081">
              <w:rPr>
                <w:rFonts w:cs="Arial"/>
                <w:b/>
                <w:bCs/>
                <w:color w:val="FFFFFF"/>
                <w:sz w:val="20"/>
                <w:lang w:eastAsia="es-MX"/>
              </w:rPr>
              <w:t>Niños</w:t>
            </w:r>
          </w:p>
        </w:tc>
        <w:tc>
          <w:tcPr>
            <w:tcW w:w="1275" w:type="dxa"/>
            <w:tcBorders>
              <w:top w:val="nil"/>
              <w:left w:val="nil"/>
              <w:bottom w:val="nil"/>
              <w:right w:val="nil"/>
            </w:tcBorders>
            <w:shd w:val="clear" w:color="auto" w:fill="338B99"/>
            <w:vAlign w:val="center"/>
            <w:hideMark/>
          </w:tcPr>
          <w:p w14:paraId="3627146D" w14:textId="77777777" w:rsidR="009E086F" w:rsidRPr="00714081" w:rsidRDefault="009E086F" w:rsidP="009E086F">
            <w:pPr>
              <w:widowControl/>
              <w:jc w:val="center"/>
              <w:rPr>
                <w:rFonts w:cs="Arial"/>
                <w:b/>
                <w:bCs/>
                <w:color w:val="FFFFFF"/>
                <w:sz w:val="20"/>
                <w:lang w:eastAsia="es-MX"/>
              </w:rPr>
            </w:pPr>
            <w:r w:rsidRPr="00714081">
              <w:rPr>
                <w:rFonts w:cs="Arial"/>
                <w:b/>
                <w:bCs/>
                <w:color w:val="FFFFFF"/>
                <w:sz w:val="20"/>
                <w:lang w:eastAsia="es-MX"/>
              </w:rPr>
              <w:t>Niñas</w:t>
            </w:r>
          </w:p>
        </w:tc>
      </w:tr>
      <w:tr w:rsidR="009E086F" w:rsidRPr="00714081" w14:paraId="18794DBC" w14:textId="77777777" w:rsidTr="00562DA7">
        <w:trPr>
          <w:trHeight w:val="510"/>
        </w:trPr>
        <w:tc>
          <w:tcPr>
            <w:tcW w:w="2800" w:type="dxa"/>
            <w:gridSpan w:val="2"/>
            <w:tcBorders>
              <w:top w:val="nil"/>
              <w:left w:val="nil"/>
              <w:bottom w:val="nil"/>
              <w:right w:val="nil"/>
            </w:tcBorders>
            <w:shd w:val="clear" w:color="auto" w:fill="99C5CC"/>
            <w:vAlign w:val="center"/>
            <w:hideMark/>
          </w:tcPr>
          <w:p w14:paraId="27CDE89B" w14:textId="77777777" w:rsidR="009E086F" w:rsidRPr="00714081" w:rsidRDefault="009E086F" w:rsidP="00562DA7">
            <w:pPr>
              <w:widowControl/>
              <w:jc w:val="left"/>
              <w:rPr>
                <w:rFonts w:cs="Arial"/>
                <w:b/>
                <w:bCs/>
                <w:color w:val="000000"/>
                <w:sz w:val="20"/>
                <w:lang w:eastAsia="es-MX"/>
              </w:rPr>
            </w:pPr>
            <w:r w:rsidRPr="00714081">
              <w:rPr>
                <w:rFonts w:cs="Arial"/>
                <w:b/>
                <w:bCs/>
                <w:color w:val="000000"/>
                <w:sz w:val="20"/>
                <w:lang w:eastAsia="es-MX"/>
              </w:rPr>
              <w:t>Quehaceres domésticos en condiciones no adecuadas</w:t>
            </w:r>
          </w:p>
        </w:tc>
        <w:tc>
          <w:tcPr>
            <w:tcW w:w="1169" w:type="dxa"/>
            <w:tcBorders>
              <w:top w:val="nil"/>
              <w:left w:val="nil"/>
              <w:bottom w:val="nil"/>
              <w:right w:val="nil"/>
            </w:tcBorders>
            <w:shd w:val="clear" w:color="auto" w:fill="99C5CC"/>
            <w:vAlign w:val="center"/>
            <w:hideMark/>
          </w:tcPr>
          <w:p w14:paraId="21613B1B" w14:textId="77777777" w:rsidR="009E086F" w:rsidRPr="00714081" w:rsidRDefault="009E086F" w:rsidP="00562DA7">
            <w:pPr>
              <w:widowControl/>
              <w:jc w:val="center"/>
              <w:rPr>
                <w:rFonts w:cs="Arial"/>
                <w:b/>
                <w:bCs/>
                <w:color w:val="000000"/>
                <w:sz w:val="20"/>
                <w:lang w:eastAsia="es-MX"/>
              </w:rPr>
            </w:pPr>
            <w:r w:rsidRPr="00714081">
              <w:rPr>
                <w:rFonts w:cs="Arial"/>
                <w:b/>
                <w:bCs/>
                <w:sz w:val="20"/>
                <w:lang w:eastAsia="es-MX"/>
              </w:rPr>
              <w:t>1.9</w:t>
            </w:r>
          </w:p>
        </w:tc>
        <w:tc>
          <w:tcPr>
            <w:tcW w:w="851" w:type="dxa"/>
            <w:tcBorders>
              <w:top w:val="nil"/>
              <w:left w:val="nil"/>
              <w:bottom w:val="nil"/>
              <w:right w:val="nil"/>
            </w:tcBorders>
            <w:shd w:val="clear" w:color="auto" w:fill="99C5CC"/>
            <w:vAlign w:val="center"/>
            <w:hideMark/>
          </w:tcPr>
          <w:p w14:paraId="2A254883" w14:textId="77777777" w:rsidR="009E086F" w:rsidRPr="00714081" w:rsidRDefault="009E086F" w:rsidP="00562DA7">
            <w:pPr>
              <w:widowControl/>
              <w:jc w:val="center"/>
              <w:rPr>
                <w:rFonts w:cs="Arial"/>
                <w:b/>
                <w:bCs/>
                <w:color w:val="000000"/>
                <w:sz w:val="20"/>
                <w:lang w:eastAsia="es-MX"/>
              </w:rPr>
            </w:pPr>
            <w:r w:rsidRPr="00714081">
              <w:rPr>
                <w:rFonts w:cs="Arial"/>
                <w:b/>
                <w:bCs/>
                <w:sz w:val="20"/>
                <w:lang w:eastAsia="es-MX"/>
              </w:rPr>
              <w:t>0.9</w:t>
            </w:r>
          </w:p>
        </w:tc>
        <w:tc>
          <w:tcPr>
            <w:tcW w:w="1134" w:type="dxa"/>
            <w:tcBorders>
              <w:top w:val="nil"/>
              <w:left w:val="nil"/>
              <w:bottom w:val="nil"/>
              <w:right w:val="nil"/>
            </w:tcBorders>
            <w:shd w:val="clear" w:color="auto" w:fill="99C5CC"/>
            <w:vAlign w:val="center"/>
            <w:hideMark/>
          </w:tcPr>
          <w:p w14:paraId="735B8AED" w14:textId="77777777" w:rsidR="009E086F" w:rsidRPr="00714081" w:rsidRDefault="009E086F" w:rsidP="00562DA7">
            <w:pPr>
              <w:widowControl/>
              <w:jc w:val="center"/>
              <w:rPr>
                <w:rFonts w:cs="Arial"/>
                <w:b/>
                <w:bCs/>
                <w:color w:val="000000"/>
                <w:sz w:val="20"/>
                <w:lang w:eastAsia="es-MX"/>
              </w:rPr>
            </w:pPr>
            <w:r w:rsidRPr="00714081">
              <w:rPr>
                <w:rFonts w:cs="Arial"/>
                <w:b/>
                <w:bCs/>
                <w:sz w:val="20"/>
                <w:lang w:eastAsia="es-MX"/>
              </w:rPr>
              <w:t>1.0</w:t>
            </w:r>
          </w:p>
        </w:tc>
        <w:tc>
          <w:tcPr>
            <w:tcW w:w="1134" w:type="dxa"/>
            <w:tcBorders>
              <w:top w:val="nil"/>
              <w:left w:val="nil"/>
              <w:bottom w:val="nil"/>
              <w:right w:val="nil"/>
            </w:tcBorders>
            <w:shd w:val="clear" w:color="auto" w:fill="99C5CC"/>
            <w:vAlign w:val="center"/>
            <w:hideMark/>
          </w:tcPr>
          <w:p w14:paraId="19ED8EED" w14:textId="77777777" w:rsidR="009E086F" w:rsidRPr="00714081" w:rsidRDefault="009E086F" w:rsidP="00562DA7">
            <w:pPr>
              <w:widowControl/>
              <w:jc w:val="center"/>
              <w:rPr>
                <w:rFonts w:cs="Arial"/>
                <w:b/>
                <w:bCs/>
                <w:color w:val="000000"/>
                <w:sz w:val="20"/>
                <w:lang w:eastAsia="es-MX"/>
              </w:rPr>
            </w:pPr>
            <w:r w:rsidRPr="00714081">
              <w:rPr>
                <w:rFonts w:cs="Arial"/>
                <w:b/>
                <w:bCs/>
                <w:sz w:val="20"/>
                <w:lang w:eastAsia="es-MX"/>
              </w:rPr>
              <w:t>100.0</w:t>
            </w:r>
          </w:p>
        </w:tc>
        <w:tc>
          <w:tcPr>
            <w:tcW w:w="1276" w:type="dxa"/>
            <w:tcBorders>
              <w:top w:val="nil"/>
              <w:left w:val="nil"/>
              <w:bottom w:val="nil"/>
              <w:right w:val="nil"/>
            </w:tcBorders>
            <w:shd w:val="clear" w:color="auto" w:fill="99C5CC"/>
            <w:vAlign w:val="center"/>
            <w:hideMark/>
          </w:tcPr>
          <w:p w14:paraId="4990D212" w14:textId="77777777" w:rsidR="009E086F" w:rsidRPr="00714081" w:rsidRDefault="009E086F" w:rsidP="00562DA7">
            <w:pPr>
              <w:widowControl/>
              <w:jc w:val="center"/>
              <w:rPr>
                <w:rFonts w:cs="Arial"/>
                <w:b/>
                <w:bCs/>
                <w:color w:val="000000"/>
                <w:sz w:val="20"/>
                <w:lang w:eastAsia="es-MX"/>
              </w:rPr>
            </w:pPr>
            <w:r w:rsidRPr="00714081">
              <w:rPr>
                <w:rFonts w:cs="Arial"/>
                <w:b/>
                <w:bCs/>
                <w:sz w:val="20"/>
                <w:lang w:eastAsia="es-MX"/>
              </w:rPr>
              <w:t>100.0</w:t>
            </w:r>
          </w:p>
        </w:tc>
        <w:tc>
          <w:tcPr>
            <w:tcW w:w="1275" w:type="dxa"/>
            <w:tcBorders>
              <w:top w:val="nil"/>
              <w:left w:val="nil"/>
              <w:bottom w:val="nil"/>
              <w:right w:val="nil"/>
            </w:tcBorders>
            <w:shd w:val="clear" w:color="auto" w:fill="99C5CC"/>
            <w:vAlign w:val="center"/>
            <w:hideMark/>
          </w:tcPr>
          <w:p w14:paraId="53D7CA50" w14:textId="77777777" w:rsidR="009E086F" w:rsidRPr="00714081" w:rsidRDefault="009E086F" w:rsidP="00562DA7">
            <w:pPr>
              <w:widowControl/>
              <w:jc w:val="center"/>
              <w:rPr>
                <w:rFonts w:cs="Arial"/>
                <w:b/>
                <w:bCs/>
                <w:color w:val="000000"/>
                <w:sz w:val="20"/>
                <w:lang w:eastAsia="es-MX"/>
              </w:rPr>
            </w:pPr>
            <w:r w:rsidRPr="00714081">
              <w:rPr>
                <w:rFonts w:cs="Arial"/>
                <w:b/>
                <w:bCs/>
                <w:sz w:val="20"/>
                <w:lang w:eastAsia="es-MX"/>
              </w:rPr>
              <w:t>100.0</w:t>
            </w:r>
          </w:p>
        </w:tc>
      </w:tr>
      <w:tr w:rsidR="009E086F" w:rsidRPr="00714081" w14:paraId="613B357C" w14:textId="77777777" w:rsidTr="00562DA7">
        <w:trPr>
          <w:trHeight w:val="765"/>
        </w:trPr>
        <w:tc>
          <w:tcPr>
            <w:tcW w:w="220" w:type="dxa"/>
            <w:tcBorders>
              <w:top w:val="nil"/>
              <w:left w:val="nil"/>
              <w:right w:val="nil"/>
            </w:tcBorders>
            <w:shd w:val="clear" w:color="auto" w:fill="CCE2E6"/>
            <w:vAlign w:val="center"/>
            <w:hideMark/>
          </w:tcPr>
          <w:p w14:paraId="00A7E3A4" w14:textId="77777777" w:rsidR="009E086F" w:rsidRPr="00714081" w:rsidRDefault="009E086F" w:rsidP="00562DA7">
            <w:pPr>
              <w:widowControl/>
              <w:jc w:val="left"/>
              <w:rPr>
                <w:rFonts w:cs="Arial"/>
                <w:color w:val="000000"/>
                <w:sz w:val="20"/>
                <w:lang w:eastAsia="es-MX"/>
              </w:rPr>
            </w:pPr>
            <w:r w:rsidRPr="00714081">
              <w:rPr>
                <w:rFonts w:cs="Arial"/>
                <w:color w:val="000000"/>
                <w:sz w:val="20"/>
                <w:lang w:eastAsia="es-MX"/>
              </w:rPr>
              <w:t> </w:t>
            </w:r>
          </w:p>
        </w:tc>
        <w:tc>
          <w:tcPr>
            <w:tcW w:w="2580" w:type="dxa"/>
            <w:tcBorders>
              <w:top w:val="nil"/>
              <w:left w:val="nil"/>
              <w:right w:val="nil"/>
            </w:tcBorders>
            <w:shd w:val="clear" w:color="auto" w:fill="CCE2E6"/>
            <w:vAlign w:val="center"/>
            <w:hideMark/>
          </w:tcPr>
          <w:p w14:paraId="43D4C2D9" w14:textId="77777777" w:rsidR="009E086F" w:rsidRPr="00714081" w:rsidRDefault="009E086F" w:rsidP="00562DA7">
            <w:pPr>
              <w:widowControl/>
              <w:jc w:val="left"/>
              <w:rPr>
                <w:rFonts w:cs="Arial"/>
                <w:color w:val="000000"/>
                <w:sz w:val="20"/>
                <w:lang w:eastAsia="es-MX"/>
              </w:rPr>
            </w:pPr>
            <w:r w:rsidRPr="00714081">
              <w:rPr>
                <w:rFonts w:cs="Arial"/>
                <w:color w:val="000000"/>
                <w:sz w:val="20"/>
                <w:lang w:eastAsia="es-MX"/>
              </w:rPr>
              <w:t>Solo quehaceres domésticos en condiciones no adecuadas</w:t>
            </w:r>
          </w:p>
        </w:tc>
        <w:tc>
          <w:tcPr>
            <w:tcW w:w="1169" w:type="dxa"/>
            <w:tcBorders>
              <w:top w:val="nil"/>
              <w:left w:val="nil"/>
              <w:right w:val="nil"/>
            </w:tcBorders>
            <w:shd w:val="clear" w:color="auto" w:fill="CCE2E6"/>
            <w:vAlign w:val="center"/>
            <w:hideMark/>
          </w:tcPr>
          <w:p w14:paraId="5443E87B" w14:textId="77777777" w:rsidR="009E086F" w:rsidRPr="00714081" w:rsidRDefault="009E086F" w:rsidP="00562DA7">
            <w:pPr>
              <w:widowControl/>
              <w:jc w:val="center"/>
              <w:rPr>
                <w:rFonts w:cs="Arial"/>
                <w:color w:val="000000"/>
                <w:sz w:val="20"/>
                <w:lang w:eastAsia="es-MX"/>
              </w:rPr>
            </w:pPr>
            <w:r w:rsidRPr="00714081">
              <w:rPr>
                <w:rFonts w:cs="Arial"/>
                <w:sz w:val="20"/>
                <w:lang w:eastAsia="es-MX"/>
              </w:rPr>
              <w:t>1.6</w:t>
            </w:r>
          </w:p>
        </w:tc>
        <w:tc>
          <w:tcPr>
            <w:tcW w:w="851" w:type="dxa"/>
            <w:tcBorders>
              <w:top w:val="nil"/>
              <w:left w:val="nil"/>
              <w:right w:val="nil"/>
            </w:tcBorders>
            <w:shd w:val="clear" w:color="auto" w:fill="CCE2E6"/>
            <w:vAlign w:val="center"/>
            <w:hideMark/>
          </w:tcPr>
          <w:p w14:paraId="4C3AA055" w14:textId="77777777" w:rsidR="009E086F" w:rsidRPr="00714081" w:rsidRDefault="009E086F" w:rsidP="00562DA7">
            <w:pPr>
              <w:widowControl/>
              <w:jc w:val="center"/>
              <w:rPr>
                <w:rFonts w:cs="Arial"/>
                <w:color w:val="000000"/>
                <w:sz w:val="20"/>
                <w:lang w:eastAsia="es-MX"/>
              </w:rPr>
            </w:pPr>
            <w:r w:rsidRPr="00714081">
              <w:rPr>
                <w:rFonts w:cs="Arial"/>
                <w:sz w:val="20"/>
                <w:lang w:eastAsia="es-MX"/>
              </w:rPr>
              <w:t>0.7</w:t>
            </w:r>
          </w:p>
        </w:tc>
        <w:tc>
          <w:tcPr>
            <w:tcW w:w="1134" w:type="dxa"/>
            <w:tcBorders>
              <w:top w:val="nil"/>
              <w:left w:val="nil"/>
              <w:right w:val="nil"/>
            </w:tcBorders>
            <w:shd w:val="clear" w:color="auto" w:fill="CCE2E6"/>
            <w:vAlign w:val="center"/>
            <w:hideMark/>
          </w:tcPr>
          <w:p w14:paraId="0025BB11" w14:textId="77777777" w:rsidR="009E086F" w:rsidRPr="00714081" w:rsidRDefault="009E086F" w:rsidP="00562DA7">
            <w:pPr>
              <w:widowControl/>
              <w:jc w:val="center"/>
              <w:rPr>
                <w:rFonts w:cs="Arial"/>
                <w:color w:val="000000"/>
                <w:sz w:val="20"/>
                <w:lang w:eastAsia="es-MX"/>
              </w:rPr>
            </w:pPr>
            <w:r w:rsidRPr="00714081">
              <w:rPr>
                <w:rFonts w:cs="Arial"/>
                <w:sz w:val="20"/>
                <w:lang w:eastAsia="es-MX"/>
              </w:rPr>
              <w:t>0.9</w:t>
            </w:r>
          </w:p>
        </w:tc>
        <w:tc>
          <w:tcPr>
            <w:tcW w:w="1134" w:type="dxa"/>
            <w:tcBorders>
              <w:top w:val="nil"/>
              <w:left w:val="nil"/>
              <w:right w:val="nil"/>
            </w:tcBorders>
            <w:shd w:val="clear" w:color="auto" w:fill="CCE2E6"/>
            <w:vAlign w:val="center"/>
            <w:hideMark/>
          </w:tcPr>
          <w:p w14:paraId="42863B04" w14:textId="77777777" w:rsidR="009E086F" w:rsidRPr="00714081" w:rsidRDefault="009E086F" w:rsidP="00562DA7">
            <w:pPr>
              <w:widowControl/>
              <w:jc w:val="center"/>
              <w:rPr>
                <w:rFonts w:cs="Arial"/>
                <w:color w:val="000000"/>
                <w:sz w:val="20"/>
                <w:lang w:eastAsia="es-MX"/>
              </w:rPr>
            </w:pPr>
            <w:r w:rsidRPr="00714081">
              <w:rPr>
                <w:rFonts w:cs="Arial"/>
                <w:sz w:val="20"/>
                <w:lang w:eastAsia="es-MX"/>
              </w:rPr>
              <w:t>83.4</w:t>
            </w:r>
          </w:p>
        </w:tc>
        <w:tc>
          <w:tcPr>
            <w:tcW w:w="1276" w:type="dxa"/>
            <w:tcBorders>
              <w:top w:val="nil"/>
              <w:left w:val="nil"/>
              <w:right w:val="nil"/>
            </w:tcBorders>
            <w:shd w:val="clear" w:color="auto" w:fill="CCE2E6"/>
            <w:vAlign w:val="center"/>
            <w:hideMark/>
          </w:tcPr>
          <w:p w14:paraId="3292D901" w14:textId="77777777" w:rsidR="009E086F" w:rsidRPr="00714081" w:rsidRDefault="009E086F" w:rsidP="00562DA7">
            <w:pPr>
              <w:widowControl/>
              <w:jc w:val="center"/>
              <w:rPr>
                <w:rFonts w:cs="Arial"/>
                <w:color w:val="000000"/>
                <w:sz w:val="20"/>
                <w:lang w:eastAsia="es-MX"/>
              </w:rPr>
            </w:pPr>
            <w:r w:rsidRPr="00714081">
              <w:rPr>
                <w:rFonts w:cs="Arial"/>
                <w:sz w:val="20"/>
                <w:lang w:eastAsia="es-MX"/>
              </w:rPr>
              <w:t>77.0</w:t>
            </w:r>
          </w:p>
        </w:tc>
        <w:tc>
          <w:tcPr>
            <w:tcW w:w="1275" w:type="dxa"/>
            <w:tcBorders>
              <w:top w:val="nil"/>
              <w:left w:val="nil"/>
              <w:right w:val="nil"/>
            </w:tcBorders>
            <w:shd w:val="clear" w:color="auto" w:fill="CCE2E6"/>
            <w:vAlign w:val="center"/>
            <w:hideMark/>
          </w:tcPr>
          <w:p w14:paraId="469BC757" w14:textId="77777777" w:rsidR="009E086F" w:rsidRPr="00714081" w:rsidRDefault="009E086F" w:rsidP="00562DA7">
            <w:pPr>
              <w:widowControl/>
              <w:jc w:val="center"/>
              <w:rPr>
                <w:rFonts w:cs="Arial"/>
                <w:color w:val="000000"/>
                <w:sz w:val="20"/>
                <w:lang w:eastAsia="es-MX"/>
              </w:rPr>
            </w:pPr>
            <w:r w:rsidRPr="00714081">
              <w:rPr>
                <w:rFonts w:cs="Arial"/>
                <w:sz w:val="20"/>
                <w:lang w:eastAsia="es-MX"/>
              </w:rPr>
              <w:t>89.4</w:t>
            </w:r>
          </w:p>
        </w:tc>
      </w:tr>
      <w:tr w:rsidR="009E086F" w:rsidRPr="00714081" w14:paraId="1AFC10CB" w14:textId="77777777" w:rsidTr="00562DA7">
        <w:trPr>
          <w:trHeight w:val="765"/>
        </w:trPr>
        <w:tc>
          <w:tcPr>
            <w:tcW w:w="220" w:type="dxa"/>
            <w:tcBorders>
              <w:top w:val="nil"/>
              <w:left w:val="nil"/>
              <w:right w:val="nil"/>
            </w:tcBorders>
            <w:shd w:val="clear" w:color="auto" w:fill="CCE2E6"/>
            <w:vAlign w:val="center"/>
            <w:hideMark/>
          </w:tcPr>
          <w:p w14:paraId="377FD0EE" w14:textId="77777777" w:rsidR="009E086F" w:rsidRPr="00714081" w:rsidRDefault="009E086F" w:rsidP="00562DA7">
            <w:pPr>
              <w:widowControl/>
              <w:jc w:val="left"/>
              <w:rPr>
                <w:rFonts w:ascii="Times New Roman" w:hAnsi="Times New Roman"/>
                <w:color w:val="000000"/>
                <w:sz w:val="20"/>
                <w:lang w:eastAsia="es-MX"/>
              </w:rPr>
            </w:pPr>
            <w:r w:rsidRPr="00714081">
              <w:rPr>
                <w:rFonts w:ascii="Times New Roman" w:hAnsi="Times New Roman"/>
                <w:color w:val="000000"/>
                <w:sz w:val="20"/>
                <w:lang w:eastAsia="es-MX"/>
              </w:rPr>
              <w:t> </w:t>
            </w:r>
          </w:p>
        </w:tc>
        <w:tc>
          <w:tcPr>
            <w:tcW w:w="2580" w:type="dxa"/>
            <w:tcBorders>
              <w:top w:val="nil"/>
              <w:left w:val="nil"/>
              <w:right w:val="nil"/>
            </w:tcBorders>
            <w:shd w:val="clear" w:color="auto" w:fill="CCE2E6"/>
            <w:vAlign w:val="center"/>
            <w:hideMark/>
          </w:tcPr>
          <w:p w14:paraId="3D7F101B" w14:textId="77777777" w:rsidR="009E086F" w:rsidRPr="00714081" w:rsidRDefault="009E086F" w:rsidP="00562DA7">
            <w:pPr>
              <w:widowControl/>
              <w:jc w:val="left"/>
              <w:rPr>
                <w:rFonts w:cs="Arial"/>
                <w:color w:val="000000"/>
                <w:sz w:val="20"/>
                <w:lang w:eastAsia="es-MX"/>
              </w:rPr>
            </w:pPr>
            <w:r w:rsidRPr="00714081">
              <w:rPr>
                <w:rFonts w:cs="Arial"/>
                <w:color w:val="000000"/>
                <w:sz w:val="20"/>
                <w:lang w:eastAsia="es-MX"/>
              </w:rPr>
              <w:t>Ocupación no permitida y quehaceres domésticos en condiciones no adecuadas</w:t>
            </w:r>
          </w:p>
        </w:tc>
        <w:tc>
          <w:tcPr>
            <w:tcW w:w="1169" w:type="dxa"/>
            <w:tcBorders>
              <w:top w:val="nil"/>
              <w:left w:val="nil"/>
              <w:right w:val="nil"/>
            </w:tcBorders>
            <w:shd w:val="clear" w:color="auto" w:fill="CCE2E6"/>
            <w:vAlign w:val="center"/>
            <w:hideMark/>
          </w:tcPr>
          <w:p w14:paraId="4E99A6E3" w14:textId="77777777" w:rsidR="009E086F" w:rsidRPr="00714081" w:rsidRDefault="009E086F" w:rsidP="00562DA7">
            <w:pPr>
              <w:widowControl/>
              <w:jc w:val="center"/>
              <w:rPr>
                <w:rFonts w:cs="Arial"/>
                <w:color w:val="000000"/>
                <w:sz w:val="20"/>
                <w:lang w:eastAsia="es-MX"/>
              </w:rPr>
            </w:pPr>
            <w:r w:rsidRPr="00714081">
              <w:rPr>
                <w:rFonts w:cs="Arial"/>
                <w:sz w:val="20"/>
                <w:lang w:eastAsia="es-MX"/>
              </w:rPr>
              <w:t>0.3</w:t>
            </w:r>
          </w:p>
        </w:tc>
        <w:tc>
          <w:tcPr>
            <w:tcW w:w="851" w:type="dxa"/>
            <w:tcBorders>
              <w:top w:val="nil"/>
              <w:left w:val="nil"/>
              <w:right w:val="nil"/>
            </w:tcBorders>
            <w:shd w:val="clear" w:color="auto" w:fill="CCE2E6"/>
            <w:vAlign w:val="center"/>
            <w:hideMark/>
          </w:tcPr>
          <w:p w14:paraId="77A42C73" w14:textId="77777777" w:rsidR="009E086F" w:rsidRPr="00714081" w:rsidRDefault="009E086F" w:rsidP="00562DA7">
            <w:pPr>
              <w:widowControl/>
              <w:jc w:val="center"/>
              <w:rPr>
                <w:rFonts w:cs="Arial"/>
                <w:color w:val="000000"/>
                <w:sz w:val="20"/>
                <w:lang w:eastAsia="es-MX"/>
              </w:rPr>
            </w:pPr>
            <w:r w:rsidRPr="00714081">
              <w:rPr>
                <w:rFonts w:cs="Arial"/>
                <w:sz w:val="20"/>
                <w:lang w:eastAsia="es-MX"/>
              </w:rPr>
              <w:t>0.2</w:t>
            </w:r>
          </w:p>
        </w:tc>
        <w:tc>
          <w:tcPr>
            <w:tcW w:w="1134" w:type="dxa"/>
            <w:tcBorders>
              <w:top w:val="nil"/>
              <w:left w:val="nil"/>
              <w:right w:val="nil"/>
            </w:tcBorders>
            <w:shd w:val="clear" w:color="auto" w:fill="CCE2E6"/>
            <w:vAlign w:val="center"/>
            <w:hideMark/>
          </w:tcPr>
          <w:p w14:paraId="704A3DBF" w14:textId="77777777" w:rsidR="009E086F" w:rsidRPr="00714081" w:rsidRDefault="009E086F" w:rsidP="00562DA7">
            <w:pPr>
              <w:widowControl/>
              <w:jc w:val="center"/>
              <w:rPr>
                <w:rFonts w:cs="Arial"/>
                <w:color w:val="000000"/>
                <w:sz w:val="20"/>
                <w:lang w:eastAsia="es-MX"/>
              </w:rPr>
            </w:pPr>
            <w:r w:rsidRPr="00714081">
              <w:rPr>
                <w:rFonts w:cs="Arial"/>
                <w:sz w:val="20"/>
                <w:lang w:eastAsia="es-MX"/>
              </w:rPr>
              <w:t>0.1</w:t>
            </w:r>
          </w:p>
        </w:tc>
        <w:tc>
          <w:tcPr>
            <w:tcW w:w="1134" w:type="dxa"/>
            <w:tcBorders>
              <w:top w:val="nil"/>
              <w:left w:val="nil"/>
              <w:right w:val="nil"/>
            </w:tcBorders>
            <w:shd w:val="clear" w:color="auto" w:fill="CCE2E6"/>
            <w:vAlign w:val="center"/>
            <w:hideMark/>
          </w:tcPr>
          <w:p w14:paraId="6B2FBFE5" w14:textId="77777777" w:rsidR="009E086F" w:rsidRPr="00714081" w:rsidRDefault="009E086F" w:rsidP="00562DA7">
            <w:pPr>
              <w:widowControl/>
              <w:jc w:val="center"/>
              <w:rPr>
                <w:rFonts w:cs="Arial"/>
                <w:color w:val="000000"/>
                <w:sz w:val="20"/>
                <w:lang w:eastAsia="es-MX"/>
              </w:rPr>
            </w:pPr>
            <w:r w:rsidRPr="00714081">
              <w:rPr>
                <w:rFonts w:cs="Arial"/>
                <w:sz w:val="20"/>
                <w:lang w:eastAsia="es-MX"/>
              </w:rPr>
              <w:t>16.6</w:t>
            </w:r>
          </w:p>
        </w:tc>
        <w:tc>
          <w:tcPr>
            <w:tcW w:w="1276" w:type="dxa"/>
            <w:tcBorders>
              <w:top w:val="nil"/>
              <w:left w:val="nil"/>
              <w:right w:val="nil"/>
            </w:tcBorders>
            <w:shd w:val="clear" w:color="auto" w:fill="CCE2E6"/>
            <w:vAlign w:val="center"/>
            <w:hideMark/>
          </w:tcPr>
          <w:p w14:paraId="21E1A99B" w14:textId="77777777" w:rsidR="009E086F" w:rsidRPr="00714081" w:rsidRDefault="009E086F" w:rsidP="00562DA7">
            <w:pPr>
              <w:widowControl/>
              <w:jc w:val="center"/>
              <w:rPr>
                <w:rFonts w:cs="Arial"/>
                <w:color w:val="000000"/>
                <w:sz w:val="20"/>
                <w:lang w:eastAsia="es-MX"/>
              </w:rPr>
            </w:pPr>
            <w:r w:rsidRPr="00714081">
              <w:rPr>
                <w:rFonts w:cs="Arial"/>
                <w:sz w:val="20"/>
                <w:lang w:eastAsia="es-MX"/>
              </w:rPr>
              <w:t>23.0</w:t>
            </w:r>
          </w:p>
        </w:tc>
        <w:tc>
          <w:tcPr>
            <w:tcW w:w="1275" w:type="dxa"/>
            <w:tcBorders>
              <w:top w:val="nil"/>
              <w:left w:val="nil"/>
              <w:right w:val="nil"/>
            </w:tcBorders>
            <w:shd w:val="clear" w:color="auto" w:fill="CCE2E6"/>
            <w:vAlign w:val="center"/>
            <w:hideMark/>
          </w:tcPr>
          <w:p w14:paraId="69346B0F" w14:textId="77777777" w:rsidR="009E086F" w:rsidRPr="00714081" w:rsidRDefault="009E086F" w:rsidP="00562DA7">
            <w:pPr>
              <w:widowControl/>
              <w:jc w:val="center"/>
              <w:rPr>
                <w:rFonts w:cs="Arial"/>
                <w:color w:val="000000"/>
                <w:sz w:val="20"/>
                <w:lang w:eastAsia="es-MX"/>
              </w:rPr>
            </w:pPr>
            <w:r w:rsidRPr="00714081">
              <w:rPr>
                <w:rFonts w:cs="Arial"/>
                <w:sz w:val="20"/>
                <w:lang w:eastAsia="es-MX"/>
              </w:rPr>
              <w:t>10.6</w:t>
            </w:r>
          </w:p>
        </w:tc>
      </w:tr>
    </w:tbl>
    <w:p w14:paraId="531CF644" w14:textId="0AF1C29A" w:rsidR="009E086F" w:rsidRPr="00560388" w:rsidRDefault="009E086F" w:rsidP="009E086F">
      <w:pPr>
        <w:widowControl/>
        <w:autoSpaceDE w:val="0"/>
        <w:autoSpaceDN w:val="0"/>
        <w:adjustRightInd w:val="0"/>
        <w:spacing w:line="276" w:lineRule="auto"/>
        <w:ind w:right="333"/>
        <w:rPr>
          <w:rFonts w:cs="Arial"/>
          <w:color w:val="000000"/>
          <w:sz w:val="16"/>
          <w:szCs w:val="16"/>
        </w:rPr>
      </w:pPr>
      <w:r w:rsidRPr="00560388">
        <w:rPr>
          <w:rFonts w:cs="Arial"/>
          <w:color w:val="000000" w:themeColor="text1"/>
          <w:sz w:val="16"/>
          <w:szCs w:val="16"/>
        </w:rPr>
        <w:t>Fuente: INEGI, ENTI. 2022.</w:t>
      </w:r>
    </w:p>
    <w:p w14:paraId="172B1C1D" w14:textId="77777777" w:rsidR="009E086F" w:rsidRDefault="009E086F" w:rsidP="005432EE">
      <w:pPr>
        <w:widowControl/>
        <w:autoSpaceDE w:val="0"/>
        <w:autoSpaceDN w:val="0"/>
        <w:adjustRightInd w:val="0"/>
        <w:rPr>
          <w:rFonts w:cs="Arial"/>
          <w:szCs w:val="24"/>
        </w:rPr>
      </w:pPr>
    </w:p>
    <w:p w14:paraId="7FFD3A98" w14:textId="6DF21B9E" w:rsidR="00654B65" w:rsidRPr="00341833" w:rsidRDefault="00654B65" w:rsidP="000E1EBC">
      <w:pPr>
        <w:widowControl/>
        <w:autoSpaceDE w:val="0"/>
        <w:autoSpaceDN w:val="0"/>
        <w:adjustRightInd w:val="0"/>
        <w:ind w:right="51"/>
        <w:rPr>
          <w:rFonts w:cs="Arial"/>
          <w:color w:val="000000"/>
          <w:szCs w:val="24"/>
        </w:rPr>
      </w:pPr>
      <w:r w:rsidRPr="00341833">
        <w:rPr>
          <w:rFonts w:cs="Arial"/>
          <w:color w:val="000000"/>
          <w:szCs w:val="24"/>
        </w:rPr>
        <w:t>En los quehaceres domésticos en condiciones no adecuadas, la proporción según sexo fue de 51.8 % niñas y 48.2 % niños; sin embargo, en los que combinaron los quehaceres domésticos en condiciones no adecuadas y la ocupación no permitida, la proporción de niños (66.8 %) fue significativamente mayor que la de las niñas (33.2 %).</w:t>
      </w:r>
    </w:p>
    <w:p w14:paraId="7B28D9FC" w14:textId="77777777" w:rsidR="00654B65" w:rsidRPr="00341833" w:rsidRDefault="00654B65" w:rsidP="000E1EBC">
      <w:pPr>
        <w:widowControl/>
        <w:autoSpaceDE w:val="0"/>
        <w:autoSpaceDN w:val="0"/>
        <w:adjustRightInd w:val="0"/>
        <w:ind w:right="51"/>
        <w:rPr>
          <w:rFonts w:cs="Arial"/>
          <w:szCs w:val="24"/>
        </w:rPr>
      </w:pPr>
    </w:p>
    <w:p w14:paraId="1182C5F9" w14:textId="020B6107" w:rsidR="00791592" w:rsidRPr="00341833" w:rsidRDefault="00791592" w:rsidP="000E1EBC">
      <w:pPr>
        <w:widowControl/>
        <w:autoSpaceDE w:val="0"/>
        <w:autoSpaceDN w:val="0"/>
        <w:adjustRightInd w:val="0"/>
        <w:ind w:right="51"/>
        <w:rPr>
          <w:rFonts w:cs="Arial"/>
          <w:szCs w:val="24"/>
        </w:rPr>
      </w:pPr>
      <w:r w:rsidRPr="00341833">
        <w:rPr>
          <w:rFonts w:cs="Arial"/>
          <w:szCs w:val="24"/>
        </w:rPr>
        <w:t xml:space="preserve">En </w:t>
      </w:r>
      <w:r w:rsidR="00F864C4" w:rsidRPr="00341833">
        <w:rPr>
          <w:rFonts w:cs="Arial"/>
          <w:szCs w:val="24"/>
        </w:rPr>
        <w:t>el rango</w:t>
      </w:r>
      <w:r w:rsidRPr="00341833">
        <w:rPr>
          <w:rFonts w:cs="Arial"/>
          <w:szCs w:val="24"/>
        </w:rPr>
        <w:t xml:space="preserve"> de 5 a 14 años, </w:t>
      </w:r>
      <w:r w:rsidR="00600C3D" w:rsidRPr="00341833">
        <w:rPr>
          <w:rFonts w:cs="Arial"/>
          <w:szCs w:val="24"/>
        </w:rPr>
        <w:t xml:space="preserve">1.1 millones (57.8 %) </w:t>
      </w:r>
      <w:r w:rsidR="00730112" w:rsidRPr="00341833">
        <w:rPr>
          <w:rFonts w:cs="Arial"/>
          <w:szCs w:val="24"/>
        </w:rPr>
        <w:t>participaron</w:t>
      </w:r>
      <w:r w:rsidR="00600C3D" w:rsidRPr="00341833">
        <w:rPr>
          <w:rFonts w:cs="Arial"/>
          <w:szCs w:val="24"/>
        </w:rPr>
        <w:t xml:space="preserve"> en </w:t>
      </w:r>
      <w:r w:rsidRPr="00341833">
        <w:rPr>
          <w:rFonts w:cs="Arial"/>
          <w:color w:val="000000"/>
          <w:szCs w:val="24"/>
        </w:rPr>
        <w:t>quehaceres domésticos en condiciones no adecuadas</w:t>
      </w:r>
      <w:r w:rsidRPr="00341833">
        <w:rPr>
          <w:rFonts w:cs="Arial"/>
          <w:szCs w:val="24"/>
        </w:rPr>
        <w:t xml:space="preserve"> y</w:t>
      </w:r>
      <w:r w:rsidR="005432EE" w:rsidRPr="00341833">
        <w:rPr>
          <w:rFonts w:cs="Arial"/>
          <w:szCs w:val="24"/>
        </w:rPr>
        <w:t>,</w:t>
      </w:r>
      <w:r w:rsidRPr="00341833">
        <w:rPr>
          <w:rFonts w:cs="Arial"/>
          <w:szCs w:val="24"/>
        </w:rPr>
        <w:t xml:space="preserve"> de 15 a 17 años </w:t>
      </w:r>
      <w:r w:rsidR="00730112" w:rsidRPr="00341833">
        <w:rPr>
          <w:rFonts w:cs="Arial"/>
          <w:szCs w:val="24"/>
        </w:rPr>
        <w:t>participaron</w:t>
      </w:r>
      <w:r w:rsidRPr="00341833">
        <w:rPr>
          <w:rFonts w:cs="Arial"/>
          <w:szCs w:val="24"/>
        </w:rPr>
        <w:t xml:space="preserve"> 0.8 millones (42.2 %)</w:t>
      </w:r>
      <w:r w:rsidR="001E6A92" w:rsidRPr="00341833">
        <w:rPr>
          <w:rFonts w:cs="Arial"/>
          <w:szCs w:val="24"/>
        </w:rPr>
        <w:t>.</w:t>
      </w:r>
      <w:r w:rsidRPr="00341833">
        <w:rPr>
          <w:rFonts w:cs="Arial"/>
          <w:szCs w:val="24"/>
        </w:rPr>
        <w:t xml:space="preserve"> </w:t>
      </w:r>
      <w:r w:rsidR="005432EE" w:rsidRPr="00341833">
        <w:rPr>
          <w:rFonts w:cs="Arial"/>
          <w:szCs w:val="24"/>
        </w:rPr>
        <w:t>El porcentaje</w:t>
      </w:r>
      <w:r w:rsidRPr="00341833">
        <w:rPr>
          <w:rFonts w:cs="Arial"/>
          <w:szCs w:val="24"/>
        </w:rPr>
        <w:t xml:space="preserve"> de niñ</w:t>
      </w:r>
      <w:r w:rsidR="001E6A92" w:rsidRPr="00341833">
        <w:rPr>
          <w:rFonts w:cs="Arial"/>
          <w:szCs w:val="24"/>
        </w:rPr>
        <w:t>a</w:t>
      </w:r>
      <w:r w:rsidRPr="00341833">
        <w:rPr>
          <w:rFonts w:cs="Arial"/>
          <w:szCs w:val="24"/>
        </w:rPr>
        <w:t xml:space="preserve">s en ambos grupos fue ligeramente </w:t>
      </w:r>
      <w:r w:rsidR="001E6A92" w:rsidRPr="00341833">
        <w:rPr>
          <w:rFonts w:cs="Arial"/>
          <w:szCs w:val="24"/>
        </w:rPr>
        <w:t>mayor</w:t>
      </w:r>
      <w:r w:rsidR="005432EE" w:rsidRPr="00341833">
        <w:rPr>
          <w:rFonts w:cs="Arial"/>
          <w:szCs w:val="24"/>
        </w:rPr>
        <w:t xml:space="preserve">: </w:t>
      </w:r>
      <w:r w:rsidRPr="00341833">
        <w:rPr>
          <w:rFonts w:cs="Arial"/>
          <w:szCs w:val="24"/>
        </w:rPr>
        <w:t>52.5 y 50.9 %, contra 47.5 y 49.1 %</w:t>
      </w:r>
      <w:r w:rsidR="00706A92" w:rsidRPr="00341833">
        <w:rPr>
          <w:rFonts w:cs="Arial"/>
          <w:szCs w:val="24"/>
        </w:rPr>
        <w:t xml:space="preserve"> de niños</w:t>
      </w:r>
      <w:r w:rsidRPr="00341833">
        <w:rPr>
          <w:rFonts w:cs="Arial"/>
          <w:szCs w:val="24"/>
        </w:rPr>
        <w:t>, respectivamente.</w:t>
      </w:r>
      <w:r w:rsidR="00D3014A" w:rsidRPr="00341833">
        <w:rPr>
          <w:rFonts w:cs="Arial"/>
          <w:szCs w:val="24"/>
        </w:rPr>
        <w:t xml:space="preserve"> </w:t>
      </w:r>
      <w:r w:rsidRPr="00341833">
        <w:rPr>
          <w:rFonts w:cs="Arial"/>
          <w:szCs w:val="24"/>
        </w:rPr>
        <w:t xml:space="preserve">En asistencia escolar, 1.5 millones (78.9 %) asistieron a la escuela y 0.4 millones (21.1 %) no </w:t>
      </w:r>
      <w:r w:rsidR="005432EE" w:rsidRPr="00341833">
        <w:rPr>
          <w:rFonts w:cs="Arial"/>
          <w:szCs w:val="24"/>
        </w:rPr>
        <w:t>asist</w:t>
      </w:r>
      <w:r w:rsidR="000F4AEE" w:rsidRPr="00341833">
        <w:rPr>
          <w:rFonts w:cs="Arial"/>
          <w:szCs w:val="24"/>
        </w:rPr>
        <w:t>ieron</w:t>
      </w:r>
      <w:r w:rsidR="00D3014A" w:rsidRPr="00341833">
        <w:rPr>
          <w:rFonts w:cs="Arial"/>
          <w:szCs w:val="24"/>
        </w:rPr>
        <w:t xml:space="preserve"> (ver cuadro 20).</w:t>
      </w:r>
      <w:r w:rsidRPr="00341833">
        <w:rPr>
          <w:rFonts w:cs="Arial"/>
          <w:szCs w:val="24"/>
        </w:rPr>
        <w:t xml:space="preserve"> </w:t>
      </w:r>
      <w:r w:rsidR="005432EE" w:rsidRPr="00341833">
        <w:rPr>
          <w:rFonts w:cs="Arial"/>
          <w:szCs w:val="24"/>
        </w:rPr>
        <w:t>El porcentaje</w:t>
      </w:r>
      <w:r w:rsidRPr="00341833">
        <w:rPr>
          <w:rFonts w:cs="Arial"/>
          <w:szCs w:val="24"/>
        </w:rPr>
        <w:t xml:space="preserve"> de </w:t>
      </w:r>
      <w:r w:rsidR="00C53C90" w:rsidRPr="00341833">
        <w:rPr>
          <w:rFonts w:cs="Arial"/>
          <w:szCs w:val="24"/>
        </w:rPr>
        <w:t>niñas</w:t>
      </w:r>
      <w:r w:rsidR="00C06125" w:rsidRPr="00341833">
        <w:rPr>
          <w:rFonts w:cs="Arial"/>
          <w:szCs w:val="24"/>
        </w:rPr>
        <w:t xml:space="preserve"> y </w:t>
      </w:r>
      <w:r w:rsidR="00C53C90" w:rsidRPr="00341833">
        <w:rPr>
          <w:rFonts w:cs="Arial"/>
          <w:szCs w:val="24"/>
        </w:rPr>
        <w:t>niños</w:t>
      </w:r>
      <w:r w:rsidR="00706A92" w:rsidRPr="00341833">
        <w:rPr>
          <w:rFonts w:cs="Arial"/>
          <w:szCs w:val="24"/>
        </w:rPr>
        <w:t xml:space="preserve"> </w:t>
      </w:r>
      <w:r w:rsidRPr="00341833">
        <w:rPr>
          <w:rFonts w:cs="Arial"/>
          <w:szCs w:val="24"/>
        </w:rPr>
        <w:t>que asist</w:t>
      </w:r>
      <w:r w:rsidR="00706A92" w:rsidRPr="00341833">
        <w:rPr>
          <w:rFonts w:cs="Arial"/>
          <w:szCs w:val="24"/>
        </w:rPr>
        <w:t>ieron</w:t>
      </w:r>
      <w:r w:rsidRPr="00341833">
        <w:rPr>
          <w:rFonts w:cs="Arial"/>
          <w:szCs w:val="24"/>
        </w:rPr>
        <w:t xml:space="preserve"> a la escuela </w:t>
      </w:r>
      <w:r w:rsidR="000E26C2" w:rsidRPr="00341833">
        <w:rPr>
          <w:rFonts w:cs="Arial"/>
          <w:szCs w:val="24"/>
        </w:rPr>
        <w:t xml:space="preserve">fue </w:t>
      </w:r>
      <w:r w:rsidRPr="00341833">
        <w:rPr>
          <w:rFonts w:cs="Arial"/>
          <w:szCs w:val="24"/>
        </w:rPr>
        <w:t>similar, mientras que en los que no asist</w:t>
      </w:r>
      <w:r w:rsidR="00706A92" w:rsidRPr="00341833">
        <w:rPr>
          <w:rFonts w:cs="Arial"/>
          <w:szCs w:val="24"/>
        </w:rPr>
        <w:t>ieron</w:t>
      </w:r>
      <w:r w:rsidRPr="00341833">
        <w:rPr>
          <w:rFonts w:cs="Arial"/>
          <w:szCs w:val="24"/>
        </w:rPr>
        <w:t>, la de niñas (60</w:t>
      </w:r>
      <w:r w:rsidR="008F2F07" w:rsidRPr="00341833">
        <w:rPr>
          <w:rFonts w:cs="Arial"/>
          <w:szCs w:val="24"/>
        </w:rPr>
        <w:t>.0</w:t>
      </w:r>
      <w:r w:rsidRPr="00341833">
        <w:rPr>
          <w:rFonts w:cs="Arial"/>
          <w:szCs w:val="24"/>
        </w:rPr>
        <w:t xml:space="preserve"> %) </w:t>
      </w:r>
      <w:r w:rsidR="00706A92" w:rsidRPr="00341833">
        <w:rPr>
          <w:rFonts w:cs="Arial"/>
          <w:szCs w:val="24"/>
        </w:rPr>
        <w:t>fue</w:t>
      </w:r>
      <w:r w:rsidRPr="00341833">
        <w:rPr>
          <w:rFonts w:cs="Arial"/>
          <w:szCs w:val="24"/>
        </w:rPr>
        <w:t xml:space="preserve"> más alta </w:t>
      </w:r>
      <w:r w:rsidR="008F2F07" w:rsidRPr="00341833">
        <w:rPr>
          <w:rFonts w:cs="Arial"/>
          <w:szCs w:val="24"/>
        </w:rPr>
        <w:t>que la de</w:t>
      </w:r>
      <w:r w:rsidR="00706A92" w:rsidRPr="00341833">
        <w:rPr>
          <w:rFonts w:cs="Arial"/>
          <w:szCs w:val="24"/>
        </w:rPr>
        <w:t xml:space="preserve"> los</w:t>
      </w:r>
      <w:r w:rsidRPr="00341833">
        <w:rPr>
          <w:rFonts w:cs="Arial"/>
          <w:szCs w:val="24"/>
        </w:rPr>
        <w:t xml:space="preserve"> niños (40</w:t>
      </w:r>
      <w:r w:rsidR="008F2F07" w:rsidRPr="00341833">
        <w:rPr>
          <w:rFonts w:cs="Arial"/>
          <w:szCs w:val="24"/>
        </w:rPr>
        <w:t>.0</w:t>
      </w:r>
      <w:r w:rsidRPr="00341833">
        <w:rPr>
          <w:rFonts w:cs="Arial"/>
          <w:szCs w:val="24"/>
        </w:rPr>
        <w:t xml:space="preserve"> </w:t>
      </w:r>
      <w:r w:rsidR="008F2F07" w:rsidRPr="00341833">
        <w:rPr>
          <w:rFonts w:cs="Arial"/>
          <w:szCs w:val="24"/>
        </w:rPr>
        <w:t>%</w:t>
      </w:r>
      <w:r w:rsidR="006F16D8" w:rsidRPr="00341833">
        <w:rPr>
          <w:rFonts w:cs="Arial"/>
          <w:szCs w:val="24"/>
        </w:rPr>
        <w:t>).</w:t>
      </w:r>
    </w:p>
    <w:p w14:paraId="60F19E86" w14:textId="77777777" w:rsidR="00791592" w:rsidRDefault="00791592" w:rsidP="005432EE">
      <w:pPr>
        <w:widowControl/>
        <w:autoSpaceDE w:val="0"/>
        <w:autoSpaceDN w:val="0"/>
        <w:adjustRightInd w:val="0"/>
        <w:rPr>
          <w:rFonts w:cs="Arial"/>
          <w:szCs w:val="24"/>
        </w:rPr>
      </w:pPr>
    </w:p>
    <w:p w14:paraId="292BBBF3" w14:textId="77777777" w:rsidR="009E086F" w:rsidRPr="000E1EBC" w:rsidRDefault="009E086F" w:rsidP="000E1EBC">
      <w:pPr>
        <w:widowControl/>
        <w:autoSpaceDE w:val="0"/>
        <w:autoSpaceDN w:val="0"/>
        <w:adjustRightInd w:val="0"/>
        <w:jc w:val="center"/>
        <w:rPr>
          <w:rFonts w:cs="Arial"/>
          <w:sz w:val="20"/>
        </w:rPr>
      </w:pPr>
      <w:r w:rsidRPr="000E1EBC">
        <w:rPr>
          <w:rFonts w:cs="Arial"/>
          <w:sz w:val="20"/>
        </w:rPr>
        <w:t>Cuadro 21</w:t>
      </w:r>
    </w:p>
    <w:p w14:paraId="223810FD" w14:textId="77777777" w:rsidR="000E1EBC" w:rsidRDefault="009E086F" w:rsidP="000E1EBC">
      <w:pPr>
        <w:widowControl/>
        <w:autoSpaceDE w:val="0"/>
        <w:autoSpaceDN w:val="0"/>
        <w:adjustRightInd w:val="0"/>
        <w:jc w:val="center"/>
        <w:rPr>
          <w:rFonts w:cs="Arial"/>
          <w:b/>
          <w:bCs/>
          <w:smallCaps/>
          <w:color w:val="000000" w:themeColor="text1"/>
          <w:sz w:val="22"/>
          <w:szCs w:val="22"/>
        </w:rPr>
      </w:pPr>
      <w:r w:rsidRPr="000E1EBC">
        <w:rPr>
          <w:rFonts w:cs="Arial"/>
          <w:b/>
          <w:bCs/>
          <w:smallCaps/>
          <w:color w:val="000000"/>
          <w:sz w:val="22"/>
          <w:szCs w:val="22"/>
        </w:rPr>
        <w:t>Personas en q</w:t>
      </w:r>
      <w:r w:rsidRPr="000E1EBC">
        <w:rPr>
          <w:rFonts w:cs="Arial"/>
          <w:b/>
          <w:bCs/>
          <w:smallCaps/>
          <w:color w:val="000000" w:themeColor="text1"/>
          <w:sz w:val="22"/>
          <w:szCs w:val="22"/>
        </w:rPr>
        <w:t xml:space="preserve">uehaceres domésticos en condiciones no adecuadas por grupos de edad </w:t>
      </w:r>
    </w:p>
    <w:p w14:paraId="0DD62C14" w14:textId="2B276AC7" w:rsidR="009E086F" w:rsidRPr="000E1EBC" w:rsidRDefault="009E086F" w:rsidP="000E1EBC">
      <w:pPr>
        <w:widowControl/>
        <w:autoSpaceDE w:val="0"/>
        <w:autoSpaceDN w:val="0"/>
        <w:adjustRightInd w:val="0"/>
        <w:jc w:val="center"/>
        <w:rPr>
          <w:rFonts w:cs="Arial"/>
          <w:b/>
          <w:bCs/>
          <w:smallCaps/>
          <w:color w:val="000000" w:themeColor="text1"/>
          <w:sz w:val="22"/>
          <w:szCs w:val="22"/>
        </w:rPr>
      </w:pPr>
      <w:r w:rsidRPr="000E1EBC">
        <w:rPr>
          <w:rFonts w:cs="Arial"/>
          <w:b/>
          <w:bCs/>
          <w:smallCaps/>
          <w:color w:val="000000" w:themeColor="text1"/>
          <w:sz w:val="22"/>
          <w:szCs w:val="22"/>
        </w:rPr>
        <w:t>y asistencia escolar</w:t>
      </w:r>
      <w:r w:rsidR="002E3423" w:rsidRPr="000E1EBC">
        <w:rPr>
          <w:rFonts w:cs="Arial"/>
          <w:b/>
          <w:bCs/>
          <w:smallCaps/>
          <w:color w:val="000000" w:themeColor="text1"/>
          <w:sz w:val="22"/>
          <w:szCs w:val="22"/>
        </w:rPr>
        <w:t>,</w:t>
      </w:r>
      <w:r w:rsidRPr="000E1EBC">
        <w:rPr>
          <w:rFonts w:cs="Arial"/>
          <w:b/>
          <w:bCs/>
          <w:smallCaps/>
          <w:color w:val="000000" w:themeColor="text1"/>
          <w:sz w:val="22"/>
          <w:szCs w:val="22"/>
        </w:rPr>
        <w:t xml:space="preserve"> según sexo</w:t>
      </w:r>
    </w:p>
    <w:tbl>
      <w:tblPr>
        <w:tblW w:w="9781" w:type="dxa"/>
        <w:tblCellMar>
          <w:left w:w="70" w:type="dxa"/>
          <w:right w:w="70" w:type="dxa"/>
        </w:tblCellMar>
        <w:tblLook w:val="04A0" w:firstRow="1" w:lastRow="0" w:firstColumn="1" w:lastColumn="0" w:noHBand="0" w:noVBand="1"/>
      </w:tblPr>
      <w:tblGrid>
        <w:gridCol w:w="220"/>
        <w:gridCol w:w="2580"/>
        <w:gridCol w:w="880"/>
        <w:gridCol w:w="880"/>
        <w:gridCol w:w="880"/>
        <w:gridCol w:w="1506"/>
        <w:gridCol w:w="1418"/>
        <w:gridCol w:w="1417"/>
      </w:tblGrid>
      <w:tr w:rsidR="009E086F" w:rsidRPr="00106F7A" w14:paraId="6E78E75F" w14:textId="77777777" w:rsidTr="00562DA7">
        <w:trPr>
          <w:trHeight w:val="510"/>
        </w:trPr>
        <w:tc>
          <w:tcPr>
            <w:tcW w:w="2800" w:type="dxa"/>
            <w:gridSpan w:val="2"/>
            <w:vMerge w:val="restart"/>
            <w:tcBorders>
              <w:top w:val="nil"/>
              <w:left w:val="nil"/>
              <w:bottom w:val="nil"/>
              <w:right w:val="nil"/>
            </w:tcBorders>
            <w:shd w:val="clear" w:color="auto" w:fill="338B99"/>
            <w:vAlign w:val="center"/>
            <w:hideMark/>
          </w:tcPr>
          <w:p w14:paraId="6C65A3B9" w14:textId="49563BF8" w:rsidR="009E086F" w:rsidRPr="00106F7A" w:rsidRDefault="009E086F" w:rsidP="009E086F">
            <w:pPr>
              <w:widowControl/>
              <w:jc w:val="left"/>
              <w:rPr>
                <w:rFonts w:cs="Arial"/>
                <w:b/>
                <w:bCs/>
                <w:color w:val="FFFFFF"/>
                <w:sz w:val="20"/>
                <w:lang w:eastAsia="es-MX"/>
              </w:rPr>
            </w:pPr>
            <w:r w:rsidRPr="00106F7A">
              <w:rPr>
                <w:rFonts w:cs="Arial"/>
                <w:b/>
                <w:bCs/>
                <w:color w:val="FFFFFF"/>
                <w:sz w:val="20"/>
                <w:lang w:eastAsia="es-MX"/>
              </w:rPr>
              <w:t>Grupos de edad y</w:t>
            </w:r>
            <w:r w:rsidRPr="00106F7A">
              <w:rPr>
                <w:rFonts w:cs="Arial"/>
                <w:b/>
                <w:bCs/>
                <w:color w:val="FFFFFF"/>
                <w:sz w:val="20"/>
                <w:lang w:eastAsia="es-MX"/>
              </w:rPr>
              <w:br/>
              <w:t>asistencia escolar</w:t>
            </w:r>
            <w:r w:rsidRPr="00106F7A">
              <w:rPr>
                <w:rFonts w:cs="Arial"/>
                <w:color w:val="000000"/>
                <w:sz w:val="20"/>
                <w:lang w:eastAsia="es-MX"/>
              </w:rPr>
              <w:t> </w:t>
            </w:r>
          </w:p>
        </w:tc>
        <w:tc>
          <w:tcPr>
            <w:tcW w:w="2640" w:type="dxa"/>
            <w:gridSpan w:val="3"/>
            <w:tcBorders>
              <w:top w:val="nil"/>
              <w:left w:val="nil"/>
              <w:bottom w:val="single" w:sz="4" w:space="0" w:color="FFFFFF"/>
              <w:right w:val="nil"/>
            </w:tcBorders>
            <w:shd w:val="clear" w:color="auto" w:fill="338B99"/>
            <w:vAlign w:val="center"/>
            <w:hideMark/>
          </w:tcPr>
          <w:p w14:paraId="1246F3B6" w14:textId="2C3F0A6E" w:rsidR="009E086F" w:rsidRPr="00106F7A" w:rsidRDefault="009E086F" w:rsidP="009E086F">
            <w:pPr>
              <w:widowControl/>
              <w:jc w:val="center"/>
              <w:rPr>
                <w:rFonts w:cs="Arial"/>
                <w:b/>
                <w:bCs/>
                <w:color w:val="FFFFFF"/>
                <w:sz w:val="20"/>
                <w:lang w:eastAsia="es-MX"/>
              </w:rPr>
            </w:pPr>
            <w:r>
              <w:rPr>
                <w:rFonts w:cs="Arial"/>
                <w:b/>
                <w:bCs/>
                <w:color w:val="FFFFFF"/>
                <w:sz w:val="20"/>
                <w:lang w:eastAsia="es-MX"/>
              </w:rPr>
              <w:t>Millones de personas</w:t>
            </w:r>
            <w:r w:rsidRPr="00106F7A">
              <w:rPr>
                <w:rFonts w:cs="Arial"/>
                <w:b/>
                <w:bCs/>
                <w:color w:val="FFFFFF"/>
                <w:sz w:val="20"/>
                <w:lang w:eastAsia="es-MX"/>
              </w:rPr>
              <w:t xml:space="preserve"> </w:t>
            </w:r>
          </w:p>
        </w:tc>
        <w:tc>
          <w:tcPr>
            <w:tcW w:w="4341" w:type="dxa"/>
            <w:gridSpan w:val="3"/>
            <w:tcBorders>
              <w:top w:val="nil"/>
              <w:left w:val="nil"/>
              <w:bottom w:val="single" w:sz="4" w:space="0" w:color="FFFFFF"/>
              <w:right w:val="nil"/>
            </w:tcBorders>
            <w:shd w:val="clear" w:color="auto" w:fill="338B99"/>
            <w:vAlign w:val="center"/>
            <w:hideMark/>
          </w:tcPr>
          <w:p w14:paraId="47003833" w14:textId="091F3584" w:rsidR="009E086F" w:rsidRPr="00106F7A" w:rsidRDefault="009E086F" w:rsidP="009E086F">
            <w:pPr>
              <w:widowControl/>
              <w:jc w:val="center"/>
              <w:rPr>
                <w:rFonts w:cs="Arial"/>
                <w:b/>
                <w:bCs/>
                <w:color w:val="FFFFFF"/>
                <w:sz w:val="20"/>
                <w:lang w:eastAsia="es-MX"/>
              </w:rPr>
            </w:pPr>
            <w:r w:rsidRPr="00106F7A">
              <w:rPr>
                <w:rFonts w:cs="Arial"/>
                <w:b/>
                <w:bCs/>
                <w:color w:val="FFFFFF"/>
                <w:sz w:val="20"/>
                <w:lang w:eastAsia="es-MX"/>
              </w:rPr>
              <w:t>Distribución</w:t>
            </w:r>
            <w:r>
              <w:rPr>
                <w:rFonts w:cs="Arial"/>
                <w:b/>
                <w:bCs/>
                <w:color w:val="FFFFFF"/>
                <w:sz w:val="20"/>
                <w:lang w:eastAsia="es-MX"/>
              </w:rPr>
              <w:t xml:space="preserve"> porcentual</w:t>
            </w:r>
          </w:p>
        </w:tc>
      </w:tr>
      <w:tr w:rsidR="009E086F" w:rsidRPr="00106F7A" w14:paraId="5B0B69CD" w14:textId="77777777" w:rsidTr="00562DA7">
        <w:trPr>
          <w:trHeight w:val="300"/>
        </w:trPr>
        <w:tc>
          <w:tcPr>
            <w:tcW w:w="2800" w:type="dxa"/>
            <w:gridSpan w:val="2"/>
            <w:vMerge/>
            <w:tcBorders>
              <w:top w:val="nil"/>
              <w:left w:val="nil"/>
              <w:bottom w:val="nil"/>
              <w:right w:val="nil"/>
            </w:tcBorders>
            <w:shd w:val="clear" w:color="auto" w:fill="338B99"/>
            <w:vAlign w:val="center"/>
            <w:hideMark/>
          </w:tcPr>
          <w:p w14:paraId="2F512877" w14:textId="77777777" w:rsidR="009E086F" w:rsidRPr="00106F7A" w:rsidRDefault="009E086F" w:rsidP="009E086F">
            <w:pPr>
              <w:widowControl/>
              <w:jc w:val="left"/>
              <w:rPr>
                <w:rFonts w:cs="Arial"/>
                <w:b/>
                <w:bCs/>
                <w:color w:val="FFFFFF"/>
                <w:sz w:val="20"/>
                <w:lang w:eastAsia="es-MX"/>
              </w:rPr>
            </w:pPr>
          </w:p>
        </w:tc>
        <w:tc>
          <w:tcPr>
            <w:tcW w:w="880" w:type="dxa"/>
            <w:tcBorders>
              <w:top w:val="nil"/>
              <w:left w:val="nil"/>
              <w:bottom w:val="nil"/>
              <w:right w:val="nil"/>
            </w:tcBorders>
            <w:shd w:val="clear" w:color="auto" w:fill="338B99"/>
            <w:vAlign w:val="center"/>
            <w:hideMark/>
          </w:tcPr>
          <w:p w14:paraId="578A27EF" w14:textId="07BF0EC6" w:rsidR="009E086F" w:rsidRPr="00106F7A" w:rsidRDefault="009E086F" w:rsidP="009E086F">
            <w:pPr>
              <w:widowControl/>
              <w:jc w:val="center"/>
              <w:rPr>
                <w:rFonts w:cs="Arial"/>
                <w:b/>
                <w:bCs/>
                <w:color w:val="FFFFFF"/>
                <w:sz w:val="20"/>
                <w:lang w:eastAsia="es-MX"/>
              </w:rPr>
            </w:pPr>
            <w:r w:rsidRPr="00106F7A">
              <w:rPr>
                <w:rFonts w:cs="Arial"/>
                <w:b/>
                <w:bCs/>
                <w:color w:val="FFFFFF"/>
                <w:sz w:val="20"/>
                <w:lang w:eastAsia="es-MX"/>
              </w:rPr>
              <w:t>Total</w:t>
            </w:r>
          </w:p>
        </w:tc>
        <w:tc>
          <w:tcPr>
            <w:tcW w:w="880" w:type="dxa"/>
            <w:tcBorders>
              <w:top w:val="nil"/>
              <w:left w:val="nil"/>
              <w:bottom w:val="nil"/>
              <w:right w:val="nil"/>
            </w:tcBorders>
            <w:shd w:val="clear" w:color="auto" w:fill="338B99"/>
            <w:vAlign w:val="center"/>
            <w:hideMark/>
          </w:tcPr>
          <w:p w14:paraId="6A2AD955" w14:textId="57BF2AC8" w:rsidR="009E086F" w:rsidRPr="00106F7A" w:rsidRDefault="009E086F" w:rsidP="009E086F">
            <w:pPr>
              <w:widowControl/>
              <w:jc w:val="center"/>
              <w:rPr>
                <w:rFonts w:cs="Arial"/>
                <w:b/>
                <w:bCs/>
                <w:color w:val="FFFFFF"/>
                <w:sz w:val="20"/>
                <w:lang w:eastAsia="es-MX"/>
              </w:rPr>
            </w:pPr>
            <w:r w:rsidRPr="00106F7A">
              <w:rPr>
                <w:rFonts w:cs="Arial"/>
                <w:b/>
                <w:bCs/>
                <w:color w:val="FFFFFF"/>
                <w:sz w:val="20"/>
                <w:lang w:eastAsia="es-MX"/>
              </w:rPr>
              <w:t>Niños</w:t>
            </w:r>
          </w:p>
        </w:tc>
        <w:tc>
          <w:tcPr>
            <w:tcW w:w="880" w:type="dxa"/>
            <w:tcBorders>
              <w:top w:val="nil"/>
              <w:left w:val="nil"/>
              <w:bottom w:val="nil"/>
              <w:right w:val="nil"/>
            </w:tcBorders>
            <w:shd w:val="clear" w:color="auto" w:fill="338B99"/>
            <w:vAlign w:val="center"/>
            <w:hideMark/>
          </w:tcPr>
          <w:p w14:paraId="08E08619" w14:textId="77777777" w:rsidR="009E086F" w:rsidRPr="00106F7A" w:rsidRDefault="009E086F" w:rsidP="009E086F">
            <w:pPr>
              <w:widowControl/>
              <w:jc w:val="center"/>
              <w:rPr>
                <w:rFonts w:cs="Arial"/>
                <w:b/>
                <w:bCs/>
                <w:color w:val="FFFFFF"/>
                <w:sz w:val="20"/>
                <w:lang w:eastAsia="es-MX"/>
              </w:rPr>
            </w:pPr>
            <w:r w:rsidRPr="00106F7A">
              <w:rPr>
                <w:rFonts w:cs="Arial"/>
                <w:b/>
                <w:bCs/>
                <w:color w:val="FFFFFF"/>
                <w:sz w:val="20"/>
                <w:lang w:eastAsia="es-MX"/>
              </w:rPr>
              <w:t>Niñas</w:t>
            </w:r>
          </w:p>
        </w:tc>
        <w:tc>
          <w:tcPr>
            <w:tcW w:w="1506" w:type="dxa"/>
            <w:tcBorders>
              <w:top w:val="nil"/>
              <w:left w:val="nil"/>
              <w:bottom w:val="nil"/>
              <w:right w:val="nil"/>
            </w:tcBorders>
            <w:shd w:val="clear" w:color="auto" w:fill="338B99"/>
            <w:vAlign w:val="center"/>
            <w:hideMark/>
          </w:tcPr>
          <w:p w14:paraId="288515FF" w14:textId="318122FC" w:rsidR="009E086F" w:rsidRPr="00106F7A" w:rsidRDefault="009E086F" w:rsidP="009E086F">
            <w:pPr>
              <w:widowControl/>
              <w:jc w:val="center"/>
              <w:rPr>
                <w:rFonts w:cs="Arial"/>
                <w:b/>
                <w:bCs/>
                <w:color w:val="FFFFFF"/>
                <w:sz w:val="20"/>
                <w:lang w:eastAsia="es-MX"/>
              </w:rPr>
            </w:pPr>
            <w:r w:rsidRPr="00106F7A">
              <w:rPr>
                <w:rFonts w:cs="Arial"/>
                <w:b/>
                <w:bCs/>
                <w:color w:val="FFFFFF"/>
                <w:sz w:val="20"/>
                <w:lang w:eastAsia="es-MX"/>
              </w:rPr>
              <w:t>Total</w:t>
            </w:r>
          </w:p>
        </w:tc>
        <w:tc>
          <w:tcPr>
            <w:tcW w:w="1418" w:type="dxa"/>
            <w:tcBorders>
              <w:top w:val="nil"/>
              <w:left w:val="nil"/>
              <w:bottom w:val="nil"/>
              <w:right w:val="nil"/>
            </w:tcBorders>
            <w:shd w:val="clear" w:color="auto" w:fill="338B99"/>
            <w:vAlign w:val="center"/>
            <w:hideMark/>
          </w:tcPr>
          <w:p w14:paraId="14A991DC" w14:textId="0E2E51F9" w:rsidR="009E086F" w:rsidRPr="00106F7A" w:rsidRDefault="009E086F" w:rsidP="009E086F">
            <w:pPr>
              <w:widowControl/>
              <w:jc w:val="center"/>
              <w:rPr>
                <w:rFonts w:cs="Arial"/>
                <w:b/>
                <w:bCs/>
                <w:color w:val="FFFFFF"/>
                <w:sz w:val="20"/>
                <w:lang w:eastAsia="es-MX"/>
              </w:rPr>
            </w:pPr>
            <w:r w:rsidRPr="00106F7A">
              <w:rPr>
                <w:rFonts w:cs="Arial"/>
                <w:b/>
                <w:bCs/>
                <w:color w:val="FFFFFF"/>
                <w:sz w:val="20"/>
                <w:lang w:eastAsia="es-MX"/>
              </w:rPr>
              <w:t>Niños</w:t>
            </w:r>
          </w:p>
        </w:tc>
        <w:tc>
          <w:tcPr>
            <w:tcW w:w="1417" w:type="dxa"/>
            <w:tcBorders>
              <w:top w:val="nil"/>
              <w:left w:val="nil"/>
              <w:bottom w:val="nil"/>
              <w:right w:val="nil"/>
            </w:tcBorders>
            <w:shd w:val="clear" w:color="auto" w:fill="338B99"/>
            <w:vAlign w:val="center"/>
            <w:hideMark/>
          </w:tcPr>
          <w:p w14:paraId="484D5D91" w14:textId="77777777" w:rsidR="009E086F" w:rsidRPr="00106F7A" w:rsidRDefault="009E086F" w:rsidP="009E086F">
            <w:pPr>
              <w:widowControl/>
              <w:jc w:val="center"/>
              <w:rPr>
                <w:rFonts w:cs="Arial"/>
                <w:b/>
                <w:bCs/>
                <w:color w:val="FFFFFF"/>
                <w:sz w:val="20"/>
                <w:lang w:eastAsia="es-MX"/>
              </w:rPr>
            </w:pPr>
            <w:r w:rsidRPr="00106F7A">
              <w:rPr>
                <w:rFonts w:cs="Arial"/>
                <w:b/>
                <w:bCs/>
                <w:color w:val="FFFFFF"/>
                <w:sz w:val="20"/>
                <w:lang w:eastAsia="es-MX"/>
              </w:rPr>
              <w:t>Niñas</w:t>
            </w:r>
          </w:p>
        </w:tc>
      </w:tr>
      <w:tr w:rsidR="009E086F" w:rsidRPr="00106F7A" w14:paraId="61820B3A" w14:textId="77777777" w:rsidTr="00562DA7">
        <w:trPr>
          <w:trHeight w:val="300"/>
        </w:trPr>
        <w:tc>
          <w:tcPr>
            <w:tcW w:w="2800" w:type="dxa"/>
            <w:gridSpan w:val="2"/>
            <w:tcBorders>
              <w:top w:val="nil"/>
              <w:left w:val="nil"/>
              <w:bottom w:val="nil"/>
              <w:right w:val="nil"/>
            </w:tcBorders>
            <w:shd w:val="clear" w:color="auto" w:fill="99C5CC"/>
            <w:vAlign w:val="center"/>
            <w:hideMark/>
          </w:tcPr>
          <w:p w14:paraId="5FE6CD6A" w14:textId="77777777" w:rsidR="009E086F" w:rsidRPr="00106F7A" w:rsidRDefault="009E086F" w:rsidP="00562DA7">
            <w:pPr>
              <w:widowControl/>
              <w:jc w:val="left"/>
              <w:rPr>
                <w:rFonts w:cs="Arial"/>
                <w:b/>
                <w:bCs/>
                <w:color w:val="000000"/>
                <w:sz w:val="20"/>
                <w:lang w:eastAsia="es-MX"/>
              </w:rPr>
            </w:pPr>
            <w:r w:rsidRPr="00106F7A">
              <w:rPr>
                <w:rFonts w:cs="Arial"/>
                <w:b/>
                <w:bCs/>
                <w:sz w:val="20"/>
                <w:lang w:eastAsia="es-MX"/>
              </w:rPr>
              <w:t>Grupos de edad</w:t>
            </w:r>
          </w:p>
        </w:tc>
        <w:tc>
          <w:tcPr>
            <w:tcW w:w="880" w:type="dxa"/>
            <w:tcBorders>
              <w:top w:val="nil"/>
              <w:left w:val="nil"/>
              <w:bottom w:val="nil"/>
              <w:right w:val="nil"/>
            </w:tcBorders>
            <w:shd w:val="clear" w:color="auto" w:fill="99C5CC"/>
            <w:vAlign w:val="center"/>
            <w:hideMark/>
          </w:tcPr>
          <w:p w14:paraId="34634396" w14:textId="77777777" w:rsidR="009E086F" w:rsidRPr="00106F7A" w:rsidRDefault="009E086F" w:rsidP="00562DA7">
            <w:pPr>
              <w:widowControl/>
              <w:jc w:val="center"/>
              <w:rPr>
                <w:rFonts w:cs="Arial"/>
                <w:b/>
                <w:bCs/>
                <w:color w:val="000000"/>
                <w:sz w:val="20"/>
                <w:lang w:eastAsia="es-MX"/>
              </w:rPr>
            </w:pPr>
            <w:r w:rsidRPr="00106F7A">
              <w:rPr>
                <w:rFonts w:cs="Arial"/>
                <w:b/>
                <w:bCs/>
                <w:sz w:val="20"/>
                <w:lang w:eastAsia="es-MX"/>
              </w:rPr>
              <w:t>1.9</w:t>
            </w:r>
          </w:p>
        </w:tc>
        <w:tc>
          <w:tcPr>
            <w:tcW w:w="880" w:type="dxa"/>
            <w:tcBorders>
              <w:top w:val="nil"/>
              <w:left w:val="nil"/>
              <w:bottom w:val="nil"/>
              <w:right w:val="nil"/>
            </w:tcBorders>
            <w:shd w:val="clear" w:color="auto" w:fill="99C5CC"/>
            <w:vAlign w:val="center"/>
            <w:hideMark/>
          </w:tcPr>
          <w:p w14:paraId="5F24906E" w14:textId="77777777" w:rsidR="009E086F" w:rsidRPr="00106F7A" w:rsidRDefault="009E086F" w:rsidP="00562DA7">
            <w:pPr>
              <w:widowControl/>
              <w:jc w:val="center"/>
              <w:rPr>
                <w:rFonts w:cs="Arial"/>
                <w:b/>
                <w:bCs/>
                <w:color w:val="000000"/>
                <w:sz w:val="20"/>
                <w:lang w:eastAsia="es-MX"/>
              </w:rPr>
            </w:pPr>
            <w:r w:rsidRPr="00106F7A">
              <w:rPr>
                <w:rFonts w:cs="Arial"/>
                <w:b/>
                <w:bCs/>
                <w:sz w:val="20"/>
                <w:lang w:eastAsia="es-MX"/>
              </w:rPr>
              <w:t>0.9</w:t>
            </w:r>
          </w:p>
        </w:tc>
        <w:tc>
          <w:tcPr>
            <w:tcW w:w="880" w:type="dxa"/>
            <w:tcBorders>
              <w:top w:val="nil"/>
              <w:left w:val="nil"/>
              <w:bottom w:val="nil"/>
              <w:right w:val="nil"/>
            </w:tcBorders>
            <w:shd w:val="clear" w:color="auto" w:fill="99C5CC"/>
            <w:vAlign w:val="center"/>
            <w:hideMark/>
          </w:tcPr>
          <w:p w14:paraId="18C5BBFB" w14:textId="77777777" w:rsidR="009E086F" w:rsidRPr="00106F7A" w:rsidRDefault="009E086F" w:rsidP="00562DA7">
            <w:pPr>
              <w:widowControl/>
              <w:jc w:val="center"/>
              <w:rPr>
                <w:rFonts w:cs="Arial"/>
                <w:b/>
                <w:bCs/>
                <w:color w:val="000000"/>
                <w:sz w:val="20"/>
                <w:lang w:eastAsia="es-MX"/>
              </w:rPr>
            </w:pPr>
            <w:r w:rsidRPr="00106F7A">
              <w:rPr>
                <w:rFonts w:cs="Arial"/>
                <w:b/>
                <w:bCs/>
                <w:sz w:val="20"/>
                <w:lang w:eastAsia="es-MX"/>
              </w:rPr>
              <w:t>1.0</w:t>
            </w:r>
          </w:p>
        </w:tc>
        <w:tc>
          <w:tcPr>
            <w:tcW w:w="1506" w:type="dxa"/>
            <w:tcBorders>
              <w:top w:val="nil"/>
              <w:left w:val="nil"/>
              <w:bottom w:val="nil"/>
              <w:right w:val="nil"/>
            </w:tcBorders>
            <w:shd w:val="clear" w:color="auto" w:fill="99C5CC"/>
            <w:vAlign w:val="center"/>
            <w:hideMark/>
          </w:tcPr>
          <w:p w14:paraId="74C954DC" w14:textId="77777777" w:rsidR="009E086F" w:rsidRPr="00106F7A" w:rsidRDefault="009E086F" w:rsidP="00562DA7">
            <w:pPr>
              <w:widowControl/>
              <w:jc w:val="center"/>
              <w:rPr>
                <w:rFonts w:cs="Arial"/>
                <w:b/>
                <w:bCs/>
                <w:color w:val="000000"/>
                <w:sz w:val="20"/>
                <w:lang w:eastAsia="es-MX"/>
              </w:rPr>
            </w:pPr>
            <w:r w:rsidRPr="00106F7A">
              <w:rPr>
                <w:rFonts w:cs="Arial"/>
                <w:b/>
                <w:bCs/>
                <w:sz w:val="20"/>
                <w:lang w:eastAsia="es-MX"/>
              </w:rPr>
              <w:t>100.0</w:t>
            </w:r>
          </w:p>
        </w:tc>
        <w:tc>
          <w:tcPr>
            <w:tcW w:w="1418" w:type="dxa"/>
            <w:tcBorders>
              <w:top w:val="nil"/>
              <w:left w:val="nil"/>
              <w:bottom w:val="nil"/>
              <w:right w:val="nil"/>
            </w:tcBorders>
            <w:shd w:val="clear" w:color="auto" w:fill="99C5CC"/>
            <w:vAlign w:val="center"/>
            <w:hideMark/>
          </w:tcPr>
          <w:p w14:paraId="6AC98377" w14:textId="77777777" w:rsidR="009E086F" w:rsidRPr="00106F7A" w:rsidRDefault="009E086F" w:rsidP="00562DA7">
            <w:pPr>
              <w:widowControl/>
              <w:jc w:val="center"/>
              <w:rPr>
                <w:rFonts w:cs="Arial"/>
                <w:b/>
                <w:bCs/>
                <w:color w:val="000000"/>
                <w:sz w:val="20"/>
                <w:lang w:eastAsia="es-MX"/>
              </w:rPr>
            </w:pPr>
            <w:r w:rsidRPr="00106F7A">
              <w:rPr>
                <w:rFonts w:cs="Arial"/>
                <w:b/>
                <w:bCs/>
                <w:sz w:val="20"/>
                <w:lang w:eastAsia="es-MX"/>
              </w:rPr>
              <w:t>100.0</w:t>
            </w:r>
          </w:p>
        </w:tc>
        <w:tc>
          <w:tcPr>
            <w:tcW w:w="1417" w:type="dxa"/>
            <w:tcBorders>
              <w:top w:val="nil"/>
              <w:left w:val="nil"/>
              <w:bottom w:val="nil"/>
              <w:right w:val="nil"/>
            </w:tcBorders>
            <w:shd w:val="clear" w:color="auto" w:fill="99C5CC"/>
            <w:vAlign w:val="center"/>
            <w:hideMark/>
          </w:tcPr>
          <w:p w14:paraId="4FC55CB2" w14:textId="77777777" w:rsidR="009E086F" w:rsidRPr="00106F7A" w:rsidRDefault="009E086F" w:rsidP="00562DA7">
            <w:pPr>
              <w:widowControl/>
              <w:jc w:val="center"/>
              <w:rPr>
                <w:rFonts w:cs="Arial"/>
                <w:b/>
                <w:bCs/>
                <w:color w:val="000000"/>
                <w:sz w:val="20"/>
                <w:lang w:eastAsia="es-MX"/>
              </w:rPr>
            </w:pPr>
            <w:r w:rsidRPr="00106F7A">
              <w:rPr>
                <w:rFonts w:cs="Arial"/>
                <w:b/>
                <w:bCs/>
                <w:sz w:val="20"/>
                <w:lang w:eastAsia="es-MX"/>
              </w:rPr>
              <w:t>100.0</w:t>
            </w:r>
          </w:p>
        </w:tc>
      </w:tr>
      <w:tr w:rsidR="009E086F" w:rsidRPr="00106F7A" w14:paraId="25291B84" w14:textId="77777777" w:rsidTr="00562DA7">
        <w:trPr>
          <w:trHeight w:val="300"/>
        </w:trPr>
        <w:tc>
          <w:tcPr>
            <w:tcW w:w="220" w:type="dxa"/>
            <w:tcBorders>
              <w:top w:val="nil"/>
              <w:left w:val="nil"/>
              <w:bottom w:val="nil"/>
              <w:right w:val="nil"/>
            </w:tcBorders>
            <w:shd w:val="clear" w:color="auto" w:fill="CCE2E6"/>
            <w:vAlign w:val="center"/>
            <w:hideMark/>
          </w:tcPr>
          <w:p w14:paraId="54F5A5DB" w14:textId="77777777" w:rsidR="009E086F" w:rsidRPr="00106F7A" w:rsidRDefault="009E086F" w:rsidP="00562DA7">
            <w:pPr>
              <w:widowControl/>
              <w:jc w:val="left"/>
              <w:rPr>
                <w:rFonts w:cs="Arial"/>
                <w:color w:val="000000"/>
                <w:sz w:val="20"/>
                <w:lang w:eastAsia="es-MX"/>
              </w:rPr>
            </w:pPr>
            <w:r w:rsidRPr="00106F7A">
              <w:rPr>
                <w:rFonts w:cs="Arial"/>
                <w:color w:val="000000"/>
                <w:sz w:val="20"/>
                <w:lang w:eastAsia="es-MX"/>
              </w:rPr>
              <w:t> </w:t>
            </w:r>
          </w:p>
        </w:tc>
        <w:tc>
          <w:tcPr>
            <w:tcW w:w="2580" w:type="dxa"/>
            <w:tcBorders>
              <w:top w:val="nil"/>
              <w:left w:val="nil"/>
              <w:bottom w:val="nil"/>
              <w:right w:val="nil"/>
            </w:tcBorders>
            <w:shd w:val="clear" w:color="auto" w:fill="CCE2E6"/>
            <w:vAlign w:val="center"/>
            <w:hideMark/>
          </w:tcPr>
          <w:p w14:paraId="6EE8B113" w14:textId="77777777" w:rsidR="009E086F" w:rsidRPr="00106F7A" w:rsidRDefault="009E086F" w:rsidP="00562DA7">
            <w:pPr>
              <w:widowControl/>
              <w:jc w:val="left"/>
              <w:rPr>
                <w:rFonts w:cs="Arial"/>
                <w:color w:val="000000"/>
                <w:sz w:val="20"/>
                <w:lang w:eastAsia="es-MX"/>
              </w:rPr>
            </w:pPr>
            <w:r w:rsidRPr="00106F7A">
              <w:rPr>
                <w:rFonts w:cs="Arial"/>
                <w:sz w:val="20"/>
                <w:lang w:eastAsia="es-MX"/>
              </w:rPr>
              <w:t>5 a 14 años</w:t>
            </w:r>
          </w:p>
        </w:tc>
        <w:tc>
          <w:tcPr>
            <w:tcW w:w="880" w:type="dxa"/>
            <w:tcBorders>
              <w:top w:val="nil"/>
              <w:left w:val="nil"/>
              <w:bottom w:val="nil"/>
              <w:right w:val="nil"/>
            </w:tcBorders>
            <w:shd w:val="clear" w:color="auto" w:fill="CCE2E6"/>
            <w:vAlign w:val="center"/>
            <w:hideMark/>
          </w:tcPr>
          <w:p w14:paraId="6FDE2308" w14:textId="77777777" w:rsidR="009E086F" w:rsidRPr="00106F7A" w:rsidRDefault="009E086F" w:rsidP="00562DA7">
            <w:pPr>
              <w:widowControl/>
              <w:jc w:val="center"/>
              <w:rPr>
                <w:rFonts w:cs="Arial"/>
                <w:color w:val="000000"/>
                <w:sz w:val="20"/>
                <w:lang w:eastAsia="es-MX"/>
              </w:rPr>
            </w:pPr>
            <w:r w:rsidRPr="00106F7A">
              <w:rPr>
                <w:rFonts w:cs="Arial"/>
                <w:sz w:val="20"/>
                <w:lang w:eastAsia="es-MX"/>
              </w:rPr>
              <w:t>1.1</w:t>
            </w:r>
          </w:p>
        </w:tc>
        <w:tc>
          <w:tcPr>
            <w:tcW w:w="880" w:type="dxa"/>
            <w:tcBorders>
              <w:top w:val="nil"/>
              <w:left w:val="nil"/>
              <w:bottom w:val="nil"/>
              <w:right w:val="nil"/>
            </w:tcBorders>
            <w:shd w:val="clear" w:color="auto" w:fill="CCE2E6"/>
            <w:vAlign w:val="center"/>
            <w:hideMark/>
          </w:tcPr>
          <w:p w14:paraId="37F2D0EF" w14:textId="77777777" w:rsidR="009E086F" w:rsidRPr="00106F7A" w:rsidRDefault="009E086F" w:rsidP="00562DA7">
            <w:pPr>
              <w:widowControl/>
              <w:jc w:val="center"/>
              <w:rPr>
                <w:rFonts w:cs="Arial"/>
                <w:color w:val="000000"/>
                <w:sz w:val="20"/>
                <w:lang w:eastAsia="es-MX"/>
              </w:rPr>
            </w:pPr>
            <w:r w:rsidRPr="00106F7A">
              <w:rPr>
                <w:rFonts w:cs="Arial"/>
                <w:sz w:val="20"/>
                <w:lang w:eastAsia="es-MX"/>
              </w:rPr>
              <w:t>0.5</w:t>
            </w:r>
          </w:p>
        </w:tc>
        <w:tc>
          <w:tcPr>
            <w:tcW w:w="880" w:type="dxa"/>
            <w:tcBorders>
              <w:top w:val="nil"/>
              <w:left w:val="nil"/>
              <w:bottom w:val="nil"/>
              <w:right w:val="nil"/>
            </w:tcBorders>
            <w:shd w:val="clear" w:color="auto" w:fill="CCE2E6"/>
            <w:vAlign w:val="center"/>
            <w:hideMark/>
          </w:tcPr>
          <w:p w14:paraId="7946315E" w14:textId="77777777" w:rsidR="009E086F" w:rsidRPr="00106F7A" w:rsidRDefault="009E086F" w:rsidP="00562DA7">
            <w:pPr>
              <w:widowControl/>
              <w:jc w:val="center"/>
              <w:rPr>
                <w:rFonts w:cs="Arial"/>
                <w:color w:val="000000"/>
                <w:sz w:val="20"/>
                <w:lang w:eastAsia="es-MX"/>
              </w:rPr>
            </w:pPr>
            <w:r w:rsidRPr="00106F7A">
              <w:rPr>
                <w:rFonts w:cs="Arial"/>
                <w:sz w:val="20"/>
                <w:lang w:eastAsia="es-MX"/>
              </w:rPr>
              <w:t>0.6</w:t>
            </w:r>
          </w:p>
        </w:tc>
        <w:tc>
          <w:tcPr>
            <w:tcW w:w="1506" w:type="dxa"/>
            <w:tcBorders>
              <w:top w:val="nil"/>
              <w:left w:val="nil"/>
              <w:bottom w:val="nil"/>
              <w:right w:val="nil"/>
            </w:tcBorders>
            <w:shd w:val="clear" w:color="auto" w:fill="CCE2E6"/>
            <w:vAlign w:val="center"/>
            <w:hideMark/>
          </w:tcPr>
          <w:p w14:paraId="14E0ED78" w14:textId="77777777" w:rsidR="009E086F" w:rsidRPr="00106F7A" w:rsidRDefault="009E086F" w:rsidP="00562DA7">
            <w:pPr>
              <w:widowControl/>
              <w:jc w:val="center"/>
              <w:rPr>
                <w:rFonts w:cs="Arial"/>
                <w:color w:val="000000"/>
                <w:sz w:val="20"/>
                <w:lang w:eastAsia="es-MX"/>
              </w:rPr>
            </w:pPr>
            <w:r w:rsidRPr="00106F7A">
              <w:rPr>
                <w:rFonts w:cs="Arial"/>
                <w:sz w:val="20"/>
                <w:lang w:eastAsia="es-MX"/>
              </w:rPr>
              <w:t>57.8</w:t>
            </w:r>
          </w:p>
        </w:tc>
        <w:tc>
          <w:tcPr>
            <w:tcW w:w="1418" w:type="dxa"/>
            <w:tcBorders>
              <w:top w:val="nil"/>
              <w:left w:val="nil"/>
              <w:bottom w:val="nil"/>
              <w:right w:val="nil"/>
            </w:tcBorders>
            <w:shd w:val="clear" w:color="auto" w:fill="CCE2E6"/>
            <w:vAlign w:val="center"/>
            <w:hideMark/>
          </w:tcPr>
          <w:p w14:paraId="1402D410" w14:textId="77777777" w:rsidR="009E086F" w:rsidRPr="00106F7A" w:rsidRDefault="009E086F" w:rsidP="00562DA7">
            <w:pPr>
              <w:widowControl/>
              <w:jc w:val="center"/>
              <w:rPr>
                <w:rFonts w:cs="Arial"/>
                <w:color w:val="000000"/>
                <w:sz w:val="20"/>
                <w:lang w:eastAsia="es-MX"/>
              </w:rPr>
            </w:pPr>
            <w:r w:rsidRPr="00106F7A">
              <w:rPr>
                <w:rFonts w:cs="Arial"/>
                <w:sz w:val="20"/>
                <w:lang w:eastAsia="es-MX"/>
              </w:rPr>
              <w:t>57.0</w:t>
            </w:r>
          </w:p>
        </w:tc>
        <w:tc>
          <w:tcPr>
            <w:tcW w:w="1417" w:type="dxa"/>
            <w:tcBorders>
              <w:top w:val="nil"/>
              <w:left w:val="nil"/>
              <w:bottom w:val="nil"/>
              <w:right w:val="nil"/>
            </w:tcBorders>
            <w:shd w:val="clear" w:color="auto" w:fill="CCE2E6"/>
            <w:vAlign w:val="center"/>
            <w:hideMark/>
          </w:tcPr>
          <w:p w14:paraId="4B8E1785" w14:textId="77777777" w:rsidR="009E086F" w:rsidRPr="00106F7A" w:rsidRDefault="009E086F" w:rsidP="00562DA7">
            <w:pPr>
              <w:widowControl/>
              <w:jc w:val="center"/>
              <w:rPr>
                <w:rFonts w:cs="Arial"/>
                <w:color w:val="000000"/>
                <w:sz w:val="20"/>
                <w:lang w:eastAsia="es-MX"/>
              </w:rPr>
            </w:pPr>
            <w:r w:rsidRPr="00106F7A">
              <w:rPr>
                <w:rFonts w:cs="Arial"/>
                <w:sz w:val="20"/>
                <w:lang w:eastAsia="es-MX"/>
              </w:rPr>
              <w:t>58.5</w:t>
            </w:r>
          </w:p>
        </w:tc>
      </w:tr>
      <w:tr w:rsidR="009E086F" w:rsidRPr="00106F7A" w14:paraId="50054C87" w14:textId="77777777" w:rsidTr="00562DA7">
        <w:trPr>
          <w:trHeight w:val="300"/>
        </w:trPr>
        <w:tc>
          <w:tcPr>
            <w:tcW w:w="220" w:type="dxa"/>
            <w:tcBorders>
              <w:top w:val="nil"/>
              <w:left w:val="nil"/>
              <w:bottom w:val="nil"/>
              <w:right w:val="nil"/>
            </w:tcBorders>
            <w:shd w:val="clear" w:color="auto" w:fill="CCE2E6"/>
            <w:vAlign w:val="center"/>
            <w:hideMark/>
          </w:tcPr>
          <w:p w14:paraId="35115465" w14:textId="77777777" w:rsidR="009E086F" w:rsidRPr="00106F7A" w:rsidRDefault="009E086F" w:rsidP="00562DA7">
            <w:pPr>
              <w:widowControl/>
              <w:jc w:val="left"/>
              <w:rPr>
                <w:rFonts w:cs="Arial"/>
                <w:color w:val="000000"/>
                <w:sz w:val="20"/>
                <w:lang w:eastAsia="es-MX"/>
              </w:rPr>
            </w:pPr>
            <w:r w:rsidRPr="00106F7A">
              <w:rPr>
                <w:rFonts w:cs="Arial"/>
                <w:color w:val="000000"/>
                <w:sz w:val="20"/>
                <w:lang w:eastAsia="es-MX"/>
              </w:rPr>
              <w:t> </w:t>
            </w:r>
          </w:p>
        </w:tc>
        <w:tc>
          <w:tcPr>
            <w:tcW w:w="2580" w:type="dxa"/>
            <w:tcBorders>
              <w:top w:val="nil"/>
              <w:left w:val="nil"/>
              <w:bottom w:val="nil"/>
              <w:right w:val="nil"/>
            </w:tcBorders>
            <w:shd w:val="clear" w:color="auto" w:fill="CCE2E6"/>
            <w:vAlign w:val="center"/>
            <w:hideMark/>
          </w:tcPr>
          <w:p w14:paraId="74DF7E6E" w14:textId="77777777" w:rsidR="009E086F" w:rsidRPr="00106F7A" w:rsidRDefault="009E086F" w:rsidP="00562DA7">
            <w:pPr>
              <w:widowControl/>
              <w:jc w:val="left"/>
              <w:rPr>
                <w:rFonts w:cs="Arial"/>
                <w:color w:val="000000"/>
                <w:sz w:val="20"/>
                <w:lang w:eastAsia="es-MX"/>
              </w:rPr>
            </w:pPr>
            <w:r w:rsidRPr="00106F7A">
              <w:rPr>
                <w:rFonts w:cs="Arial"/>
                <w:sz w:val="20"/>
                <w:lang w:eastAsia="es-MX"/>
              </w:rPr>
              <w:t>15 a 17 años</w:t>
            </w:r>
          </w:p>
        </w:tc>
        <w:tc>
          <w:tcPr>
            <w:tcW w:w="880" w:type="dxa"/>
            <w:tcBorders>
              <w:top w:val="nil"/>
              <w:left w:val="nil"/>
              <w:bottom w:val="nil"/>
              <w:right w:val="nil"/>
            </w:tcBorders>
            <w:shd w:val="clear" w:color="auto" w:fill="CCE2E6"/>
            <w:vAlign w:val="center"/>
            <w:hideMark/>
          </w:tcPr>
          <w:p w14:paraId="3D0236B3" w14:textId="77777777" w:rsidR="009E086F" w:rsidRPr="00106F7A" w:rsidRDefault="009E086F" w:rsidP="00562DA7">
            <w:pPr>
              <w:widowControl/>
              <w:jc w:val="center"/>
              <w:rPr>
                <w:rFonts w:cs="Arial"/>
                <w:color w:val="000000"/>
                <w:sz w:val="20"/>
                <w:lang w:eastAsia="es-MX"/>
              </w:rPr>
            </w:pPr>
            <w:r w:rsidRPr="00106F7A">
              <w:rPr>
                <w:rFonts w:cs="Arial"/>
                <w:sz w:val="20"/>
                <w:lang w:eastAsia="es-MX"/>
              </w:rPr>
              <w:t>0.8</w:t>
            </w:r>
          </w:p>
        </w:tc>
        <w:tc>
          <w:tcPr>
            <w:tcW w:w="880" w:type="dxa"/>
            <w:tcBorders>
              <w:top w:val="nil"/>
              <w:left w:val="nil"/>
              <w:bottom w:val="nil"/>
              <w:right w:val="nil"/>
            </w:tcBorders>
            <w:shd w:val="clear" w:color="auto" w:fill="CCE2E6"/>
            <w:vAlign w:val="center"/>
            <w:hideMark/>
          </w:tcPr>
          <w:p w14:paraId="18F94ADE" w14:textId="77777777" w:rsidR="009E086F" w:rsidRPr="00106F7A" w:rsidRDefault="009E086F" w:rsidP="00562DA7">
            <w:pPr>
              <w:widowControl/>
              <w:jc w:val="center"/>
              <w:rPr>
                <w:rFonts w:cs="Arial"/>
                <w:color w:val="000000"/>
                <w:sz w:val="20"/>
                <w:lang w:eastAsia="es-MX"/>
              </w:rPr>
            </w:pPr>
            <w:r w:rsidRPr="00106F7A">
              <w:rPr>
                <w:rFonts w:cs="Arial"/>
                <w:sz w:val="20"/>
                <w:lang w:eastAsia="es-MX"/>
              </w:rPr>
              <w:t>0.4</w:t>
            </w:r>
          </w:p>
        </w:tc>
        <w:tc>
          <w:tcPr>
            <w:tcW w:w="880" w:type="dxa"/>
            <w:tcBorders>
              <w:top w:val="nil"/>
              <w:left w:val="nil"/>
              <w:bottom w:val="nil"/>
              <w:right w:val="nil"/>
            </w:tcBorders>
            <w:shd w:val="clear" w:color="auto" w:fill="CCE2E6"/>
            <w:vAlign w:val="center"/>
            <w:hideMark/>
          </w:tcPr>
          <w:p w14:paraId="2EB9F852" w14:textId="77777777" w:rsidR="009E086F" w:rsidRPr="00106F7A" w:rsidRDefault="009E086F" w:rsidP="00562DA7">
            <w:pPr>
              <w:widowControl/>
              <w:jc w:val="center"/>
              <w:rPr>
                <w:rFonts w:cs="Arial"/>
                <w:color w:val="000000"/>
                <w:sz w:val="20"/>
                <w:lang w:eastAsia="es-MX"/>
              </w:rPr>
            </w:pPr>
            <w:r w:rsidRPr="00106F7A">
              <w:rPr>
                <w:rFonts w:cs="Arial"/>
                <w:sz w:val="20"/>
                <w:lang w:eastAsia="es-MX"/>
              </w:rPr>
              <w:t>0.4</w:t>
            </w:r>
          </w:p>
        </w:tc>
        <w:tc>
          <w:tcPr>
            <w:tcW w:w="1506" w:type="dxa"/>
            <w:tcBorders>
              <w:top w:val="nil"/>
              <w:left w:val="nil"/>
              <w:bottom w:val="nil"/>
              <w:right w:val="nil"/>
            </w:tcBorders>
            <w:shd w:val="clear" w:color="auto" w:fill="CCE2E6"/>
            <w:vAlign w:val="center"/>
            <w:hideMark/>
          </w:tcPr>
          <w:p w14:paraId="2F783B2E" w14:textId="77777777" w:rsidR="009E086F" w:rsidRPr="00106F7A" w:rsidRDefault="009E086F" w:rsidP="00562DA7">
            <w:pPr>
              <w:widowControl/>
              <w:jc w:val="center"/>
              <w:rPr>
                <w:rFonts w:cs="Arial"/>
                <w:color w:val="000000"/>
                <w:sz w:val="20"/>
                <w:lang w:eastAsia="es-MX"/>
              </w:rPr>
            </w:pPr>
            <w:r w:rsidRPr="00106F7A">
              <w:rPr>
                <w:rFonts w:cs="Arial"/>
                <w:sz w:val="20"/>
                <w:lang w:eastAsia="es-MX"/>
              </w:rPr>
              <w:t>42.2</w:t>
            </w:r>
          </w:p>
        </w:tc>
        <w:tc>
          <w:tcPr>
            <w:tcW w:w="1418" w:type="dxa"/>
            <w:tcBorders>
              <w:top w:val="nil"/>
              <w:left w:val="nil"/>
              <w:bottom w:val="nil"/>
              <w:right w:val="nil"/>
            </w:tcBorders>
            <w:shd w:val="clear" w:color="auto" w:fill="CCE2E6"/>
            <w:vAlign w:val="center"/>
            <w:hideMark/>
          </w:tcPr>
          <w:p w14:paraId="328321F0" w14:textId="77777777" w:rsidR="009E086F" w:rsidRPr="00106F7A" w:rsidRDefault="009E086F" w:rsidP="00562DA7">
            <w:pPr>
              <w:widowControl/>
              <w:jc w:val="center"/>
              <w:rPr>
                <w:rFonts w:cs="Arial"/>
                <w:color w:val="000000"/>
                <w:sz w:val="20"/>
                <w:lang w:eastAsia="es-MX"/>
              </w:rPr>
            </w:pPr>
            <w:r w:rsidRPr="00106F7A">
              <w:rPr>
                <w:rFonts w:cs="Arial"/>
                <w:sz w:val="20"/>
                <w:lang w:eastAsia="es-MX"/>
              </w:rPr>
              <w:t>43.0</w:t>
            </w:r>
          </w:p>
        </w:tc>
        <w:tc>
          <w:tcPr>
            <w:tcW w:w="1417" w:type="dxa"/>
            <w:tcBorders>
              <w:top w:val="nil"/>
              <w:left w:val="nil"/>
              <w:bottom w:val="nil"/>
              <w:right w:val="nil"/>
            </w:tcBorders>
            <w:shd w:val="clear" w:color="auto" w:fill="CCE2E6"/>
            <w:vAlign w:val="center"/>
            <w:hideMark/>
          </w:tcPr>
          <w:p w14:paraId="6BB9BFF0" w14:textId="77777777" w:rsidR="009E086F" w:rsidRPr="00106F7A" w:rsidRDefault="009E086F" w:rsidP="00562DA7">
            <w:pPr>
              <w:widowControl/>
              <w:jc w:val="center"/>
              <w:rPr>
                <w:rFonts w:cs="Arial"/>
                <w:color w:val="000000"/>
                <w:sz w:val="20"/>
                <w:lang w:eastAsia="es-MX"/>
              </w:rPr>
            </w:pPr>
            <w:r w:rsidRPr="00106F7A">
              <w:rPr>
                <w:rFonts w:cs="Arial"/>
                <w:sz w:val="20"/>
                <w:lang w:eastAsia="es-MX"/>
              </w:rPr>
              <w:t>41.5</w:t>
            </w:r>
          </w:p>
        </w:tc>
      </w:tr>
      <w:tr w:rsidR="009E086F" w:rsidRPr="00106F7A" w14:paraId="5A3ACC60" w14:textId="77777777" w:rsidTr="00562DA7">
        <w:trPr>
          <w:trHeight w:val="300"/>
        </w:trPr>
        <w:tc>
          <w:tcPr>
            <w:tcW w:w="2800" w:type="dxa"/>
            <w:gridSpan w:val="2"/>
            <w:tcBorders>
              <w:top w:val="nil"/>
              <w:left w:val="nil"/>
              <w:bottom w:val="nil"/>
              <w:right w:val="nil"/>
            </w:tcBorders>
            <w:shd w:val="clear" w:color="auto" w:fill="99C5CC"/>
            <w:vAlign w:val="center"/>
            <w:hideMark/>
          </w:tcPr>
          <w:p w14:paraId="7655B812" w14:textId="77777777" w:rsidR="009E086F" w:rsidRPr="00106F7A" w:rsidRDefault="009E086F" w:rsidP="00562DA7">
            <w:pPr>
              <w:widowControl/>
              <w:jc w:val="left"/>
              <w:rPr>
                <w:rFonts w:cs="Arial"/>
                <w:b/>
                <w:bCs/>
                <w:color w:val="000000"/>
                <w:sz w:val="20"/>
                <w:lang w:eastAsia="es-MX"/>
              </w:rPr>
            </w:pPr>
            <w:r w:rsidRPr="00106F7A">
              <w:rPr>
                <w:rFonts w:cs="Arial"/>
                <w:b/>
                <w:bCs/>
                <w:sz w:val="20"/>
                <w:lang w:eastAsia="es-MX"/>
              </w:rPr>
              <w:t>Asistencia escolar</w:t>
            </w:r>
          </w:p>
        </w:tc>
        <w:tc>
          <w:tcPr>
            <w:tcW w:w="880" w:type="dxa"/>
            <w:tcBorders>
              <w:top w:val="nil"/>
              <w:left w:val="nil"/>
              <w:bottom w:val="nil"/>
              <w:right w:val="nil"/>
            </w:tcBorders>
            <w:shd w:val="clear" w:color="auto" w:fill="99C5CC"/>
            <w:vAlign w:val="center"/>
            <w:hideMark/>
          </w:tcPr>
          <w:p w14:paraId="5183935B" w14:textId="77777777" w:rsidR="009E086F" w:rsidRPr="00106F7A" w:rsidRDefault="009E086F" w:rsidP="00562DA7">
            <w:pPr>
              <w:widowControl/>
              <w:jc w:val="center"/>
              <w:rPr>
                <w:rFonts w:cs="Arial"/>
                <w:b/>
                <w:bCs/>
                <w:color w:val="000000"/>
                <w:sz w:val="20"/>
                <w:lang w:eastAsia="es-MX"/>
              </w:rPr>
            </w:pPr>
            <w:r w:rsidRPr="00106F7A">
              <w:rPr>
                <w:rFonts w:cs="Arial"/>
                <w:b/>
                <w:bCs/>
                <w:sz w:val="20"/>
                <w:lang w:eastAsia="es-MX"/>
              </w:rPr>
              <w:t>1.9</w:t>
            </w:r>
          </w:p>
        </w:tc>
        <w:tc>
          <w:tcPr>
            <w:tcW w:w="880" w:type="dxa"/>
            <w:tcBorders>
              <w:top w:val="nil"/>
              <w:left w:val="nil"/>
              <w:bottom w:val="nil"/>
              <w:right w:val="nil"/>
            </w:tcBorders>
            <w:shd w:val="clear" w:color="auto" w:fill="99C5CC"/>
            <w:vAlign w:val="center"/>
            <w:hideMark/>
          </w:tcPr>
          <w:p w14:paraId="3FB8FDF9" w14:textId="77777777" w:rsidR="009E086F" w:rsidRPr="00106F7A" w:rsidRDefault="009E086F" w:rsidP="00562DA7">
            <w:pPr>
              <w:widowControl/>
              <w:jc w:val="center"/>
              <w:rPr>
                <w:rFonts w:cs="Arial"/>
                <w:b/>
                <w:bCs/>
                <w:color w:val="000000"/>
                <w:sz w:val="20"/>
                <w:lang w:eastAsia="es-MX"/>
              </w:rPr>
            </w:pPr>
            <w:r w:rsidRPr="00106F7A">
              <w:rPr>
                <w:rFonts w:cs="Arial"/>
                <w:b/>
                <w:bCs/>
                <w:sz w:val="20"/>
                <w:lang w:eastAsia="es-MX"/>
              </w:rPr>
              <w:t>0.9</w:t>
            </w:r>
          </w:p>
        </w:tc>
        <w:tc>
          <w:tcPr>
            <w:tcW w:w="880" w:type="dxa"/>
            <w:tcBorders>
              <w:top w:val="nil"/>
              <w:left w:val="nil"/>
              <w:bottom w:val="nil"/>
              <w:right w:val="nil"/>
            </w:tcBorders>
            <w:shd w:val="clear" w:color="auto" w:fill="99C5CC"/>
            <w:vAlign w:val="center"/>
            <w:hideMark/>
          </w:tcPr>
          <w:p w14:paraId="36F41339" w14:textId="77777777" w:rsidR="009E086F" w:rsidRPr="00106F7A" w:rsidRDefault="009E086F" w:rsidP="00562DA7">
            <w:pPr>
              <w:widowControl/>
              <w:jc w:val="center"/>
              <w:rPr>
                <w:rFonts w:cs="Arial"/>
                <w:b/>
                <w:bCs/>
                <w:color w:val="000000"/>
                <w:sz w:val="20"/>
                <w:lang w:eastAsia="es-MX"/>
              </w:rPr>
            </w:pPr>
            <w:r w:rsidRPr="00106F7A">
              <w:rPr>
                <w:rFonts w:cs="Arial"/>
                <w:b/>
                <w:bCs/>
                <w:sz w:val="20"/>
                <w:lang w:eastAsia="es-MX"/>
              </w:rPr>
              <w:t>1.0</w:t>
            </w:r>
          </w:p>
        </w:tc>
        <w:tc>
          <w:tcPr>
            <w:tcW w:w="1506" w:type="dxa"/>
            <w:tcBorders>
              <w:top w:val="nil"/>
              <w:left w:val="nil"/>
              <w:bottom w:val="nil"/>
              <w:right w:val="nil"/>
            </w:tcBorders>
            <w:shd w:val="clear" w:color="auto" w:fill="99C5CC"/>
            <w:vAlign w:val="center"/>
            <w:hideMark/>
          </w:tcPr>
          <w:p w14:paraId="4C923C69" w14:textId="77777777" w:rsidR="009E086F" w:rsidRPr="00106F7A" w:rsidRDefault="009E086F" w:rsidP="00562DA7">
            <w:pPr>
              <w:widowControl/>
              <w:jc w:val="center"/>
              <w:rPr>
                <w:rFonts w:cs="Arial"/>
                <w:b/>
                <w:bCs/>
                <w:color w:val="000000"/>
                <w:sz w:val="20"/>
                <w:lang w:eastAsia="es-MX"/>
              </w:rPr>
            </w:pPr>
            <w:r w:rsidRPr="00106F7A">
              <w:rPr>
                <w:rFonts w:cs="Arial"/>
                <w:b/>
                <w:bCs/>
                <w:sz w:val="20"/>
                <w:lang w:eastAsia="es-MX"/>
              </w:rPr>
              <w:t>100.0</w:t>
            </w:r>
          </w:p>
        </w:tc>
        <w:tc>
          <w:tcPr>
            <w:tcW w:w="1418" w:type="dxa"/>
            <w:tcBorders>
              <w:top w:val="nil"/>
              <w:left w:val="nil"/>
              <w:bottom w:val="nil"/>
              <w:right w:val="nil"/>
            </w:tcBorders>
            <w:shd w:val="clear" w:color="auto" w:fill="99C5CC"/>
            <w:vAlign w:val="center"/>
            <w:hideMark/>
          </w:tcPr>
          <w:p w14:paraId="212465A8" w14:textId="77777777" w:rsidR="009E086F" w:rsidRPr="00106F7A" w:rsidRDefault="009E086F" w:rsidP="00562DA7">
            <w:pPr>
              <w:widowControl/>
              <w:jc w:val="center"/>
              <w:rPr>
                <w:rFonts w:cs="Arial"/>
                <w:b/>
                <w:bCs/>
                <w:color w:val="000000"/>
                <w:sz w:val="20"/>
                <w:lang w:eastAsia="es-MX"/>
              </w:rPr>
            </w:pPr>
            <w:r w:rsidRPr="00106F7A">
              <w:rPr>
                <w:rFonts w:cs="Arial"/>
                <w:b/>
                <w:bCs/>
                <w:sz w:val="20"/>
                <w:lang w:eastAsia="es-MX"/>
              </w:rPr>
              <w:t>100.0</w:t>
            </w:r>
          </w:p>
        </w:tc>
        <w:tc>
          <w:tcPr>
            <w:tcW w:w="1417" w:type="dxa"/>
            <w:tcBorders>
              <w:top w:val="nil"/>
              <w:left w:val="nil"/>
              <w:bottom w:val="nil"/>
              <w:right w:val="nil"/>
            </w:tcBorders>
            <w:shd w:val="clear" w:color="auto" w:fill="99C5CC"/>
            <w:vAlign w:val="center"/>
            <w:hideMark/>
          </w:tcPr>
          <w:p w14:paraId="0C5CABE3" w14:textId="77777777" w:rsidR="009E086F" w:rsidRPr="00106F7A" w:rsidRDefault="009E086F" w:rsidP="00562DA7">
            <w:pPr>
              <w:widowControl/>
              <w:jc w:val="center"/>
              <w:rPr>
                <w:rFonts w:cs="Arial"/>
                <w:b/>
                <w:bCs/>
                <w:color w:val="000000"/>
                <w:sz w:val="20"/>
                <w:lang w:eastAsia="es-MX"/>
              </w:rPr>
            </w:pPr>
            <w:r w:rsidRPr="00106F7A">
              <w:rPr>
                <w:rFonts w:cs="Arial"/>
                <w:b/>
                <w:bCs/>
                <w:sz w:val="20"/>
                <w:lang w:eastAsia="es-MX"/>
              </w:rPr>
              <w:t>100.0</w:t>
            </w:r>
          </w:p>
        </w:tc>
      </w:tr>
      <w:tr w:rsidR="009E086F" w:rsidRPr="00106F7A" w14:paraId="4EEA0439" w14:textId="77777777" w:rsidTr="00562DA7">
        <w:trPr>
          <w:trHeight w:val="300"/>
        </w:trPr>
        <w:tc>
          <w:tcPr>
            <w:tcW w:w="220" w:type="dxa"/>
            <w:tcBorders>
              <w:top w:val="nil"/>
              <w:left w:val="nil"/>
              <w:right w:val="nil"/>
            </w:tcBorders>
            <w:shd w:val="clear" w:color="auto" w:fill="CCE2E6"/>
            <w:vAlign w:val="center"/>
            <w:hideMark/>
          </w:tcPr>
          <w:p w14:paraId="1CBF5F76" w14:textId="77777777" w:rsidR="009E086F" w:rsidRPr="00106F7A" w:rsidRDefault="009E086F" w:rsidP="00562DA7">
            <w:pPr>
              <w:widowControl/>
              <w:jc w:val="left"/>
              <w:rPr>
                <w:rFonts w:cs="Arial"/>
                <w:color w:val="000000"/>
                <w:sz w:val="20"/>
                <w:lang w:eastAsia="es-MX"/>
              </w:rPr>
            </w:pPr>
            <w:r w:rsidRPr="00106F7A">
              <w:rPr>
                <w:rFonts w:cs="Arial"/>
                <w:color w:val="000000"/>
                <w:sz w:val="20"/>
                <w:lang w:eastAsia="es-MX"/>
              </w:rPr>
              <w:t> </w:t>
            </w:r>
          </w:p>
        </w:tc>
        <w:tc>
          <w:tcPr>
            <w:tcW w:w="2580" w:type="dxa"/>
            <w:tcBorders>
              <w:top w:val="nil"/>
              <w:left w:val="nil"/>
              <w:right w:val="nil"/>
            </w:tcBorders>
            <w:shd w:val="clear" w:color="auto" w:fill="CCE2E6"/>
            <w:vAlign w:val="center"/>
            <w:hideMark/>
          </w:tcPr>
          <w:p w14:paraId="74BDEA83" w14:textId="77777777" w:rsidR="009E086F" w:rsidRPr="00106F7A" w:rsidRDefault="009E086F" w:rsidP="00562DA7">
            <w:pPr>
              <w:widowControl/>
              <w:jc w:val="left"/>
              <w:rPr>
                <w:rFonts w:cs="Arial"/>
                <w:color w:val="000000"/>
                <w:sz w:val="20"/>
                <w:lang w:eastAsia="es-MX"/>
              </w:rPr>
            </w:pPr>
            <w:r w:rsidRPr="00106F7A">
              <w:rPr>
                <w:rFonts w:cs="Arial"/>
                <w:sz w:val="20"/>
                <w:lang w:eastAsia="es-MX"/>
              </w:rPr>
              <w:t>Asiste</w:t>
            </w:r>
          </w:p>
        </w:tc>
        <w:tc>
          <w:tcPr>
            <w:tcW w:w="880" w:type="dxa"/>
            <w:tcBorders>
              <w:top w:val="nil"/>
              <w:left w:val="nil"/>
              <w:right w:val="nil"/>
            </w:tcBorders>
            <w:shd w:val="clear" w:color="auto" w:fill="CCE2E6"/>
            <w:vAlign w:val="center"/>
            <w:hideMark/>
          </w:tcPr>
          <w:p w14:paraId="34DA89B8" w14:textId="77777777" w:rsidR="009E086F" w:rsidRPr="00106F7A" w:rsidRDefault="009E086F" w:rsidP="00562DA7">
            <w:pPr>
              <w:widowControl/>
              <w:jc w:val="center"/>
              <w:rPr>
                <w:rFonts w:cs="Arial"/>
                <w:color w:val="000000"/>
                <w:sz w:val="20"/>
                <w:lang w:eastAsia="es-MX"/>
              </w:rPr>
            </w:pPr>
            <w:r w:rsidRPr="00106F7A">
              <w:rPr>
                <w:rFonts w:cs="Arial"/>
                <w:sz w:val="20"/>
                <w:lang w:eastAsia="es-MX"/>
              </w:rPr>
              <w:t>1.5</w:t>
            </w:r>
          </w:p>
        </w:tc>
        <w:tc>
          <w:tcPr>
            <w:tcW w:w="880" w:type="dxa"/>
            <w:tcBorders>
              <w:top w:val="nil"/>
              <w:left w:val="nil"/>
              <w:right w:val="nil"/>
            </w:tcBorders>
            <w:shd w:val="clear" w:color="auto" w:fill="CCE2E6"/>
            <w:vAlign w:val="center"/>
            <w:hideMark/>
          </w:tcPr>
          <w:p w14:paraId="3EE22180" w14:textId="77777777" w:rsidR="009E086F" w:rsidRPr="00106F7A" w:rsidRDefault="009E086F" w:rsidP="00562DA7">
            <w:pPr>
              <w:widowControl/>
              <w:jc w:val="center"/>
              <w:rPr>
                <w:rFonts w:cs="Arial"/>
                <w:color w:val="000000"/>
                <w:sz w:val="20"/>
                <w:lang w:eastAsia="es-MX"/>
              </w:rPr>
            </w:pPr>
            <w:r w:rsidRPr="00106F7A">
              <w:rPr>
                <w:rFonts w:cs="Arial"/>
                <w:sz w:val="20"/>
                <w:lang w:eastAsia="es-MX"/>
              </w:rPr>
              <w:t>0.8</w:t>
            </w:r>
          </w:p>
        </w:tc>
        <w:tc>
          <w:tcPr>
            <w:tcW w:w="880" w:type="dxa"/>
            <w:tcBorders>
              <w:top w:val="nil"/>
              <w:left w:val="nil"/>
              <w:right w:val="nil"/>
            </w:tcBorders>
            <w:shd w:val="clear" w:color="auto" w:fill="CCE2E6"/>
            <w:vAlign w:val="center"/>
            <w:hideMark/>
          </w:tcPr>
          <w:p w14:paraId="042BF42F" w14:textId="77777777" w:rsidR="009E086F" w:rsidRPr="00106F7A" w:rsidRDefault="009E086F" w:rsidP="00562DA7">
            <w:pPr>
              <w:widowControl/>
              <w:jc w:val="center"/>
              <w:rPr>
                <w:rFonts w:cs="Arial"/>
                <w:color w:val="000000"/>
                <w:sz w:val="20"/>
                <w:lang w:eastAsia="es-MX"/>
              </w:rPr>
            </w:pPr>
            <w:r w:rsidRPr="00106F7A">
              <w:rPr>
                <w:rFonts w:cs="Arial"/>
                <w:sz w:val="20"/>
                <w:lang w:eastAsia="es-MX"/>
              </w:rPr>
              <w:t>0.8</w:t>
            </w:r>
          </w:p>
        </w:tc>
        <w:tc>
          <w:tcPr>
            <w:tcW w:w="1506" w:type="dxa"/>
            <w:tcBorders>
              <w:top w:val="nil"/>
              <w:left w:val="nil"/>
              <w:right w:val="nil"/>
            </w:tcBorders>
            <w:shd w:val="clear" w:color="auto" w:fill="CCE2E6"/>
            <w:vAlign w:val="center"/>
            <w:hideMark/>
          </w:tcPr>
          <w:p w14:paraId="254369E5" w14:textId="77777777" w:rsidR="009E086F" w:rsidRPr="00106F7A" w:rsidRDefault="009E086F" w:rsidP="00562DA7">
            <w:pPr>
              <w:widowControl/>
              <w:jc w:val="center"/>
              <w:rPr>
                <w:rFonts w:cs="Arial"/>
                <w:color w:val="000000"/>
                <w:sz w:val="20"/>
                <w:lang w:eastAsia="es-MX"/>
              </w:rPr>
            </w:pPr>
            <w:r w:rsidRPr="00106F7A">
              <w:rPr>
                <w:rFonts w:cs="Arial"/>
                <w:sz w:val="20"/>
                <w:lang w:eastAsia="es-MX"/>
              </w:rPr>
              <w:t>78.9</w:t>
            </w:r>
          </w:p>
        </w:tc>
        <w:tc>
          <w:tcPr>
            <w:tcW w:w="1418" w:type="dxa"/>
            <w:tcBorders>
              <w:top w:val="nil"/>
              <w:left w:val="nil"/>
              <w:right w:val="nil"/>
            </w:tcBorders>
            <w:shd w:val="clear" w:color="auto" w:fill="CCE2E6"/>
            <w:vAlign w:val="center"/>
            <w:hideMark/>
          </w:tcPr>
          <w:p w14:paraId="26424039" w14:textId="77777777" w:rsidR="009E086F" w:rsidRPr="00106F7A" w:rsidRDefault="009E086F" w:rsidP="00562DA7">
            <w:pPr>
              <w:widowControl/>
              <w:jc w:val="center"/>
              <w:rPr>
                <w:rFonts w:cs="Arial"/>
                <w:color w:val="000000"/>
                <w:sz w:val="20"/>
                <w:lang w:eastAsia="es-MX"/>
              </w:rPr>
            </w:pPr>
            <w:r w:rsidRPr="00106F7A">
              <w:rPr>
                <w:rFonts w:cs="Arial"/>
                <w:sz w:val="20"/>
                <w:lang w:eastAsia="es-MX"/>
              </w:rPr>
              <w:t>82.4</w:t>
            </w:r>
          </w:p>
        </w:tc>
        <w:tc>
          <w:tcPr>
            <w:tcW w:w="1417" w:type="dxa"/>
            <w:tcBorders>
              <w:top w:val="nil"/>
              <w:left w:val="nil"/>
              <w:right w:val="nil"/>
            </w:tcBorders>
            <w:shd w:val="clear" w:color="auto" w:fill="CCE2E6"/>
            <w:vAlign w:val="center"/>
            <w:hideMark/>
          </w:tcPr>
          <w:p w14:paraId="56A68FDD" w14:textId="77777777" w:rsidR="009E086F" w:rsidRPr="00106F7A" w:rsidRDefault="009E086F" w:rsidP="00562DA7">
            <w:pPr>
              <w:widowControl/>
              <w:jc w:val="center"/>
              <w:rPr>
                <w:rFonts w:cs="Arial"/>
                <w:color w:val="000000"/>
                <w:sz w:val="20"/>
                <w:lang w:eastAsia="es-MX"/>
              </w:rPr>
            </w:pPr>
            <w:r w:rsidRPr="00106F7A">
              <w:rPr>
                <w:rFonts w:cs="Arial"/>
                <w:sz w:val="20"/>
                <w:lang w:eastAsia="es-MX"/>
              </w:rPr>
              <w:t>75.5</w:t>
            </w:r>
          </w:p>
        </w:tc>
      </w:tr>
      <w:tr w:rsidR="009E086F" w:rsidRPr="00106F7A" w14:paraId="6B93F2D7" w14:textId="77777777" w:rsidTr="00562DA7">
        <w:trPr>
          <w:trHeight w:val="300"/>
        </w:trPr>
        <w:tc>
          <w:tcPr>
            <w:tcW w:w="220" w:type="dxa"/>
            <w:tcBorders>
              <w:top w:val="nil"/>
              <w:left w:val="nil"/>
              <w:right w:val="nil"/>
            </w:tcBorders>
            <w:shd w:val="clear" w:color="auto" w:fill="CCE2E6"/>
            <w:vAlign w:val="center"/>
            <w:hideMark/>
          </w:tcPr>
          <w:p w14:paraId="02B0F0FA" w14:textId="77777777" w:rsidR="009E086F" w:rsidRPr="00106F7A" w:rsidRDefault="009E086F" w:rsidP="00562DA7">
            <w:pPr>
              <w:widowControl/>
              <w:jc w:val="left"/>
              <w:rPr>
                <w:rFonts w:ascii="Times New Roman" w:hAnsi="Times New Roman"/>
                <w:color w:val="000000"/>
                <w:sz w:val="20"/>
                <w:lang w:eastAsia="es-MX"/>
              </w:rPr>
            </w:pPr>
            <w:r w:rsidRPr="00106F7A">
              <w:rPr>
                <w:rFonts w:ascii="Times New Roman" w:hAnsi="Times New Roman" w:cs="Arial"/>
                <w:color w:val="000000"/>
                <w:sz w:val="20"/>
                <w:lang w:eastAsia="es-MX"/>
              </w:rPr>
              <w:t> </w:t>
            </w:r>
          </w:p>
        </w:tc>
        <w:tc>
          <w:tcPr>
            <w:tcW w:w="2580" w:type="dxa"/>
            <w:tcBorders>
              <w:top w:val="nil"/>
              <w:left w:val="nil"/>
              <w:right w:val="nil"/>
            </w:tcBorders>
            <w:shd w:val="clear" w:color="auto" w:fill="CCE2E6"/>
            <w:vAlign w:val="center"/>
            <w:hideMark/>
          </w:tcPr>
          <w:p w14:paraId="59195A5F" w14:textId="77777777" w:rsidR="009E086F" w:rsidRPr="00106F7A" w:rsidRDefault="009E086F" w:rsidP="00562DA7">
            <w:pPr>
              <w:widowControl/>
              <w:jc w:val="left"/>
              <w:rPr>
                <w:rFonts w:cs="Arial"/>
                <w:color w:val="000000"/>
                <w:sz w:val="20"/>
                <w:lang w:eastAsia="es-MX"/>
              </w:rPr>
            </w:pPr>
            <w:r w:rsidRPr="00106F7A">
              <w:rPr>
                <w:rFonts w:cs="Arial"/>
                <w:sz w:val="20"/>
                <w:lang w:eastAsia="es-MX"/>
              </w:rPr>
              <w:t>No asiste</w:t>
            </w:r>
          </w:p>
        </w:tc>
        <w:tc>
          <w:tcPr>
            <w:tcW w:w="880" w:type="dxa"/>
            <w:tcBorders>
              <w:top w:val="nil"/>
              <w:left w:val="nil"/>
              <w:right w:val="nil"/>
            </w:tcBorders>
            <w:shd w:val="clear" w:color="auto" w:fill="CCE2E6"/>
            <w:vAlign w:val="center"/>
            <w:hideMark/>
          </w:tcPr>
          <w:p w14:paraId="3CACC728" w14:textId="77777777" w:rsidR="009E086F" w:rsidRPr="00106F7A" w:rsidRDefault="009E086F" w:rsidP="00562DA7">
            <w:pPr>
              <w:widowControl/>
              <w:jc w:val="center"/>
              <w:rPr>
                <w:rFonts w:cs="Arial"/>
                <w:color w:val="000000"/>
                <w:sz w:val="20"/>
                <w:lang w:eastAsia="es-MX"/>
              </w:rPr>
            </w:pPr>
            <w:r w:rsidRPr="00106F7A">
              <w:rPr>
                <w:rFonts w:cs="Arial"/>
                <w:sz w:val="20"/>
                <w:lang w:eastAsia="es-MX"/>
              </w:rPr>
              <w:t>0.4</w:t>
            </w:r>
          </w:p>
        </w:tc>
        <w:tc>
          <w:tcPr>
            <w:tcW w:w="880" w:type="dxa"/>
            <w:tcBorders>
              <w:top w:val="nil"/>
              <w:left w:val="nil"/>
              <w:right w:val="nil"/>
            </w:tcBorders>
            <w:shd w:val="clear" w:color="auto" w:fill="CCE2E6"/>
            <w:vAlign w:val="center"/>
            <w:hideMark/>
          </w:tcPr>
          <w:p w14:paraId="4B610F70" w14:textId="77777777" w:rsidR="009E086F" w:rsidRPr="00106F7A" w:rsidRDefault="009E086F" w:rsidP="00562DA7">
            <w:pPr>
              <w:widowControl/>
              <w:jc w:val="center"/>
              <w:rPr>
                <w:rFonts w:cs="Arial"/>
                <w:color w:val="000000"/>
                <w:sz w:val="20"/>
                <w:lang w:eastAsia="es-MX"/>
              </w:rPr>
            </w:pPr>
            <w:r w:rsidRPr="00106F7A">
              <w:rPr>
                <w:rFonts w:cs="Arial"/>
                <w:sz w:val="20"/>
                <w:lang w:eastAsia="es-MX"/>
              </w:rPr>
              <w:t>0.2</w:t>
            </w:r>
          </w:p>
        </w:tc>
        <w:tc>
          <w:tcPr>
            <w:tcW w:w="880" w:type="dxa"/>
            <w:tcBorders>
              <w:top w:val="nil"/>
              <w:left w:val="nil"/>
              <w:right w:val="nil"/>
            </w:tcBorders>
            <w:shd w:val="clear" w:color="auto" w:fill="CCE2E6"/>
            <w:vAlign w:val="center"/>
            <w:hideMark/>
          </w:tcPr>
          <w:p w14:paraId="659A2795" w14:textId="77777777" w:rsidR="009E086F" w:rsidRPr="00106F7A" w:rsidRDefault="009E086F" w:rsidP="00562DA7">
            <w:pPr>
              <w:widowControl/>
              <w:jc w:val="center"/>
              <w:rPr>
                <w:rFonts w:cs="Arial"/>
                <w:color w:val="000000"/>
                <w:sz w:val="20"/>
                <w:lang w:eastAsia="es-MX"/>
              </w:rPr>
            </w:pPr>
            <w:r w:rsidRPr="00106F7A">
              <w:rPr>
                <w:rFonts w:cs="Arial"/>
                <w:sz w:val="20"/>
                <w:lang w:eastAsia="es-MX"/>
              </w:rPr>
              <w:t>0.2</w:t>
            </w:r>
          </w:p>
        </w:tc>
        <w:tc>
          <w:tcPr>
            <w:tcW w:w="1506" w:type="dxa"/>
            <w:tcBorders>
              <w:top w:val="nil"/>
              <w:left w:val="nil"/>
              <w:right w:val="nil"/>
            </w:tcBorders>
            <w:shd w:val="clear" w:color="auto" w:fill="CCE2E6"/>
            <w:vAlign w:val="center"/>
            <w:hideMark/>
          </w:tcPr>
          <w:p w14:paraId="65ED6E8C" w14:textId="77777777" w:rsidR="009E086F" w:rsidRPr="00106F7A" w:rsidRDefault="009E086F" w:rsidP="00562DA7">
            <w:pPr>
              <w:widowControl/>
              <w:jc w:val="center"/>
              <w:rPr>
                <w:rFonts w:cs="Arial"/>
                <w:color w:val="000000"/>
                <w:sz w:val="20"/>
                <w:lang w:eastAsia="es-MX"/>
              </w:rPr>
            </w:pPr>
            <w:r w:rsidRPr="00106F7A">
              <w:rPr>
                <w:rFonts w:cs="Arial"/>
                <w:sz w:val="20"/>
                <w:lang w:eastAsia="es-MX"/>
              </w:rPr>
              <w:t>21.1</w:t>
            </w:r>
          </w:p>
        </w:tc>
        <w:tc>
          <w:tcPr>
            <w:tcW w:w="1418" w:type="dxa"/>
            <w:tcBorders>
              <w:top w:val="nil"/>
              <w:left w:val="nil"/>
              <w:right w:val="nil"/>
            </w:tcBorders>
            <w:shd w:val="clear" w:color="auto" w:fill="CCE2E6"/>
            <w:vAlign w:val="center"/>
            <w:hideMark/>
          </w:tcPr>
          <w:p w14:paraId="60B6CE85" w14:textId="77777777" w:rsidR="009E086F" w:rsidRPr="00106F7A" w:rsidRDefault="009E086F" w:rsidP="00562DA7">
            <w:pPr>
              <w:widowControl/>
              <w:jc w:val="center"/>
              <w:rPr>
                <w:rFonts w:cs="Arial"/>
                <w:color w:val="000000"/>
                <w:sz w:val="20"/>
                <w:lang w:eastAsia="es-MX"/>
              </w:rPr>
            </w:pPr>
            <w:r w:rsidRPr="00106F7A">
              <w:rPr>
                <w:rFonts w:cs="Arial"/>
                <w:sz w:val="20"/>
                <w:lang w:eastAsia="es-MX"/>
              </w:rPr>
              <w:t>17.6</w:t>
            </w:r>
          </w:p>
        </w:tc>
        <w:tc>
          <w:tcPr>
            <w:tcW w:w="1417" w:type="dxa"/>
            <w:tcBorders>
              <w:top w:val="nil"/>
              <w:left w:val="nil"/>
              <w:right w:val="nil"/>
            </w:tcBorders>
            <w:shd w:val="clear" w:color="auto" w:fill="CCE2E6"/>
            <w:vAlign w:val="center"/>
            <w:hideMark/>
          </w:tcPr>
          <w:p w14:paraId="601DA01A" w14:textId="77777777" w:rsidR="009E086F" w:rsidRPr="00106F7A" w:rsidRDefault="009E086F" w:rsidP="00562DA7">
            <w:pPr>
              <w:widowControl/>
              <w:jc w:val="center"/>
              <w:rPr>
                <w:rFonts w:cs="Arial"/>
                <w:color w:val="000000"/>
                <w:sz w:val="20"/>
                <w:lang w:eastAsia="es-MX"/>
              </w:rPr>
            </w:pPr>
            <w:r w:rsidRPr="00106F7A">
              <w:rPr>
                <w:rFonts w:cs="Arial"/>
                <w:sz w:val="20"/>
                <w:lang w:eastAsia="es-MX"/>
              </w:rPr>
              <w:t>24.5</w:t>
            </w:r>
          </w:p>
        </w:tc>
      </w:tr>
    </w:tbl>
    <w:p w14:paraId="25D80370" w14:textId="17FF65ED" w:rsidR="009E086F" w:rsidRPr="00560388" w:rsidRDefault="009E086F" w:rsidP="009E086F">
      <w:pPr>
        <w:widowControl/>
        <w:autoSpaceDE w:val="0"/>
        <w:autoSpaceDN w:val="0"/>
        <w:adjustRightInd w:val="0"/>
        <w:rPr>
          <w:rFonts w:cs="Arial"/>
          <w:sz w:val="16"/>
          <w:szCs w:val="16"/>
        </w:rPr>
      </w:pPr>
      <w:r w:rsidRPr="00560388">
        <w:rPr>
          <w:rFonts w:cs="Arial"/>
          <w:color w:val="000000" w:themeColor="text1"/>
          <w:sz w:val="16"/>
          <w:szCs w:val="16"/>
        </w:rPr>
        <w:t>Fuente: INEGI, ENTI. 2022.</w:t>
      </w:r>
    </w:p>
    <w:p w14:paraId="7CF00D77" w14:textId="77777777" w:rsidR="009E086F" w:rsidRDefault="009E086F" w:rsidP="00114F00">
      <w:pPr>
        <w:widowControl/>
        <w:autoSpaceDE w:val="0"/>
        <w:autoSpaceDN w:val="0"/>
        <w:adjustRightInd w:val="0"/>
        <w:rPr>
          <w:rFonts w:cs="Arial"/>
          <w:szCs w:val="24"/>
        </w:rPr>
      </w:pPr>
    </w:p>
    <w:p w14:paraId="5B3F643F" w14:textId="77777777" w:rsidR="000E1EBC" w:rsidRDefault="000E1EBC" w:rsidP="000E1EBC">
      <w:pPr>
        <w:widowControl/>
        <w:autoSpaceDE w:val="0"/>
        <w:autoSpaceDN w:val="0"/>
        <w:adjustRightInd w:val="0"/>
        <w:ind w:right="51"/>
        <w:rPr>
          <w:rFonts w:cs="Arial"/>
          <w:szCs w:val="24"/>
        </w:rPr>
      </w:pPr>
    </w:p>
    <w:p w14:paraId="4E921A58" w14:textId="77777777" w:rsidR="000E1EBC" w:rsidRDefault="000E1EBC" w:rsidP="000E1EBC">
      <w:pPr>
        <w:widowControl/>
        <w:autoSpaceDE w:val="0"/>
        <w:autoSpaceDN w:val="0"/>
        <w:adjustRightInd w:val="0"/>
        <w:ind w:right="51"/>
        <w:rPr>
          <w:rFonts w:cs="Arial"/>
          <w:szCs w:val="24"/>
        </w:rPr>
      </w:pPr>
    </w:p>
    <w:p w14:paraId="4821205E" w14:textId="77777777" w:rsidR="000E1EBC" w:rsidRDefault="000E1EBC" w:rsidP="000E1EBC">
      <w:pPr>
        <w:widowControl/>
        <w:autoSpaceDE w:val="0"/>
        <w:autoSpaceDN w:val="0"/>
        <w:adjustRightInd w:val="0"/>
        <w:ind w:right="51"/>
        <w:rPr>
          <w:rFonts w:cs="Arial"/>
          <w:szCs w:val="24"/>
        </w:rPr>
      </w:pPr>
    </w:p>
    <w:p w14:paraId="69263971" w14:textId="77777777" w:rsidR="000E1EBC" w:rsidRDefault="000E1EBC" w:rsidP="000E1EBC">
      <w:pPr>
        <w:widowControl/>
        <w:autoSpaceDE w:val="0"/>
        <w:autoSpaceDN w:val="0"/>
        <w:adjustRightInd w:val="0"/>
        <w:ind w:right="51"/>
        <w:rPr>
          <w:rFonts w:cs="Arial"/>
          <w:szCs w:val="24"/>
        </w:rPr>
      </w:pPr>
    </w:p>
    <w:p w14:paraId="4953BC1C" w14:textId="39E389B2" w:rsidR="00791592" w:rsidRPr="00E61E1D" w:rsidRDefault="00791592" w:rsidP="000E1EBC">
      <w:pPr>
        <w:widowControl/>
        <w:autoSpaceDE w:val="0"/>
        <w:autoSpaceDN w:val="0"/>
        <w:adjustRightInd w:val="0"/>
        <w:ind w:right="51"/>
        <w:rPr>
          <w:rFonts w:cs="Arial"/>
          <w:szCs w:val="24"/>
        </w:rPr>
      </w:pPr>
      <w:r w:rsidRPr="00E61E1D">
        <w:rPr>
          <w:rFonts w:cs="Arial"/>
          <w:szCs w:val="24"/>
        </w:rPr>
        <w:t xml:space="preserve">En 2022, </w:t>
      </w:r>
      <w:r w:rsidR="005745D5" w:rsidRPr="00E61E1D">
        <w:rPr>
          <w:rFonts w:cs="Arial"/>
          <w:szCs w:val="24"/>
        </w:rPr>
        <w:t xml:space="preserve">el porcentaje de niñas, niños y adolescentes que realizaban </w:t>
      </w:r>
      <w:r w:rsidRPr="00E61E1D">
        <w:rPr>
          <w:rFonts w:cs="Arial"/>
          <w:color w:val="000000"/>
          <w:szCs w:val="24"/>
        </w:rPr>
        <w:t>quehaceres domésticos en condiciones no adecuadas</w:t>
      </w:r>
      <w:r w:rsidRPr="00E61E1D">
        <w:rPr>
          <w:rFonts w:cs="Arial"/>
          <w:szCs w:val="24"/>
        </w:rPr>
        <w:t xml:space="preserve"> fue de 6.7 %</w:t>
      </w:r>
      <w:r w:rsidR="00076EED" w:rsidRPr="00E61E1D">
        <w:rPr>
          <w:rFonts w:cs="Arial"/>
          <w:szCs w:val="24"/>
        </w:rPr>
        <w:t>;</w:t>
      </w:r>
      <w:r w:rsidR="008F2F07" w:rsidRPr="00E61E1D">
        <w:rPr>
          <w:rFonts w:cs="Arial"/>
          <w:szCs w:val="24"/>
        </w:rPr>
        <w:t xml:space="preserve"> en las niñas fue de 7.1 % y</w:t>
      </w:r>
      <w:r w:rsidRPr="00E61E1D">
        <w:rPr>
          <w:rFonts w:cs="Arial"/>
          <w:szCs w:val="24"/>
        </w:rPr>
        <w:t xml:space="preserve"> en los niños</w:t>
      </w:r>
      <w:r w:rsidR="008F2F07" w:rsidRPr="00E61E1D">
        <w:rPr>
          <w:rFonts w:cs="Arial"/>
          <w:szCs w:val="24"/>
        </w:rPr>
        <w:t>,</w:t>
      </w:r>
      <w:r w:rsidRPr="00E61E1D">
        <w:rPr>
          <w:rFonts w:cs="Arial"/>
          <w:szCs w:val="24"/>
        </w:rPr>
        <w:t xml:space="preserve"> de </w:t>
      </w:r>
      <w:r w:rsidR="008F2F07" w:rsidRPr="00E61E1D">
        <w:rPr>
          <w:rFonts w:cs="Arial"/>
          <w:szCs w:val="24"/>
        </w:rPr>
        <w:br/>
      </w:r>
      <w:r w:rsidRPr="00E61E1D">
        <w:rPr>
          <w:rFonts w:cs="Arial"/>
          <w:szCs w:val="24"/>
        </w:rPr>
        <w:t>6.4</w:t>
      </w:r>
      <w:r w:rsidR="008F2F07" w:rsidRPr="00E61E1D">
        <w:rPr>
          <w:rFonts w:cs="Arial"/>
          <w:szCs w:val="24"/>
        </w:rPr>
        <w:t xml:space="preserve"> </w:t>
      </w:r>
      <w:r w:rsidRPr="00E61E1D">
        <w:rPr>
          <w:rFonts w:cs="Arial"/>
          <w:szCs w:val="24"/>
        </w:rPr>
        <w:t>por ciento.</w:t>
      </w:r>
      <w:r w:rsidR="00076EED" w:rsidRPr="00E61E1D">
        <w:rPr>
          <w:rFonts w:cs="Arial"/>
          <w:szCs w:val="24"/>
        </w:rPr>
        <w:t xml:space="preserve"> </w:t>
      </w:r>
      <w:r w:rsidR="00076EED" w:rsidRPr="00E61E1D">
        <w:rPr>
          <w:rFonts w:cs="Arial"/>
          <w:color w:val="000000"/>
          <w:szCs w:val="24"/>
        </w:rPr>
        <w:t>P</w:t>
      </w:r>
      <w:r w:rsidR="00076EED" w:rsidRPr="00E61E1D">
        <w:rPr>
          <w:rFonts w:cs="Arial"/>
          <w:szCs w:val="24"/>
        </w:rPr>
        <w:t xml:space="preserve">ara </w:t>
      </w:r>
      <w:r w:rsidR="008F2F07" w:rsidRPr="00E61E1D">
        <w:rPr>
          <w:rFonts w:cs="Arial"/>
          <w:szCs w:val="24"/>
        </w:rPr>
        <w:t>el grupo</w:t>
      </w:r>
      <w:r w:rsidRPr="00E61E1D">
        <w:rPr>
          <w:rFonts w:cs="Arial"/>
          <w:szCs w:val="24"/>
        </w:rPr>
        <w:t xml:space="preserve"> de 5 a 14 años fue de 5.2 %</w:t>
      </w:r>
      <w:r w:rsidR="008F2F07" w:rsidRPr="00E61E1D">
        <w:rPr>
          <w:rFonts w:cs="Arial"/>
          <w:szCs w:val="24"/>
        </w:rPr>
        <w:t>:</w:t>
      </w:r>
      <w:r w:rsidRPr="00E61E1D">
        <w:rPr>
          <w:rFonts w:cs="Arial"/>
          <w:szCs w:val="24"/>
        </w:rPr>
        <w:t xml:space="preserve"> en los niños</w:t>
      </w:r>
      <w:r w:rsidR="008F2F07" w:rsidRPr="00E61E1D">
        <w:rPr>
          <w:rFonts w:cs="Arial"/>
          <w:szCs w:val="24"/>
        </w:rPr>
        <w:t>,</w:t>
      </w:r>
      <w:r w:rsidRPr="00E61E1D">
        <w:rPr>
          <w:rFonts w:cs="Arial"/>
          <w:szCs w:val="24"/>
        </w:rPr>
        <w:t xml:space="preserve"> de 4.8 % y en las niñas</w:t>
      </w:r>
      <w:r w:rsidR="008F2F07" w:rsidRPr="00E61E1D">
        <w:rPr>
          <w:rFonts w:cs="Arial"/>
          <w:szCs w:val="24"/>
        </w:rPr>
        <w:t>,</w:t>
      </w:r>
      <w:r w:rsidRPr="00E61E1D">
        <w:rPr>
          <w:rFonts w:cs="Arial"/>
          <w:szCs w:val="24"/>
        </w:rPr>
        <w:t xml:space="preserve"> de 5.6 por ciento</w:t>
      </w:r>
      <w:r w:rsidR="008F2F07" w:rsidRPr="00E61E1D">
        <w:rPr>
          <w:rFonts w:cs="Arial"/>
          <w:szCs w:val="24"/>
        </w:rPr>
        <w:t>. P</w:t>
      </w:r>
      <w:r w:rsidR="00076EED" w:rsidRPr="00E61E1D">
        <w:rPr>
          <w:rFonts w:cs="Arial"/>
          <w:szCs w:val="24"/>
        </w:rPr>
        <w:t>ara los de</w:t>
      </w:r>
      <w:r w:rsidR="00706A92" w:rsidRPr="00E61E1D">
        <w:rPr>
          <w:rFonts w:cs="Arial"/>
          <w:szCs w:val="24"/>
        </w:rPr>
        <w:t xml:space="preserve"> </w:t>
      </w:r>
      <w:r w:rsidRPr="00E61E1D">
        <w:rPr>
          <w:rFonts w:cs="Arial"/>
          <w:szCs w:val="24"/>
        </w:rPr>
        <w:t>15 a 17 años fue de 11.5 %</w:t>
      </w:r>
      <w:r w:rsidR="008F2F07" w:rsidRPr="00E61E1D">
        <w:rPr>
          <w:rFonts w:cs="Arial"/>
          <w:szCs w:val="24"/>
        </w:rPr>
        <w:t>:</w:t>
      </w:r>
      <w:r w:rsidRPr="00E61E1D">
        <w:rPr>
          <w:rFonts w:cs="Arial"/>
          <w:szCs w:val="24"/>
        </w:rPr>
        <w:t xml:space="preserve"> en los niños</w:t>
      </w:r>
      <w:r w:rsidR="008F2F07" w:rsidRPr="00E61E1D">
        <w:rPr>
          <w:rFonts w:cs="Arial"/>
          <w:szCs w:val="24"/>
        </w:rPr>
        <w:t xml:space="preserve"> fue</w:t>
      </w:r>
      <w:r w:rsidRPr="00E61E1D">
        <w:rPr>
          <w:rFonts w:cs="Arial"/>
          <w:szCs w:val="24"/>
        </w:rPr>
        <w:t xml:space="preserve"> de 1</w:t>
      </w:r>
      <w:r w:rsidR="00706A92" w:rsidRPr="00E61E1D">
        <w:rPr>
          <w:rFonts w:cs="Arial"/>
          <w:szCs w:val="24"/>
        </w:rPr>
        <w:t>1.3</w:t>
      </w:r>
      <w:r w:rsidRPr="00E61E1D">
        <w:rPr>
          <w:rFonts w:cs="Arial"/>
          <w:szCs w:val="24"/>
        </w:rPr>
        <w:t xml:space="preserve"> % y en las niñas</w:t>
      </w:r>
      <w:r w:rsidR="008F2F07" w:rsidRPr="00E61E1D">
        <w:rPr>
          <w:rFonts w:cs="Arial"/>
          <w:szCs w:val="24"/>
        </w:rPr>
        <w:t>,</w:t>
      </w:r>
      <w:r w:rsidRPr="00E61E1D">
        <w:rPr>
          <w:rFonts w:cs="Arial"/>
          <w:szCs w:val="24"/>
        </w:rPr>
        <w:t xml:space="preserve"> de </w:t>
      </w:r>
      <w:r w:rsidR="00706A92" w:rsidRPr="00E61E1D">
        <w:rPr>
          <w:rFonts w:cs="Arial"/>
          <w:szCs w:val="24"/>
        </w:rPr>
        <w:t>11.7</w:t>
      </w:r>
      <w:r w:rsidRPr="00E61E1D">
        <w:rPr>
          <w:rFonts w:cs="Arial"/>
          <w:szCs w:val="24"/>
        </w:rPr>
        <w:t xml:space="preserve"> por ciento.</w:t>
      </w:r>
    </w:p>
    <w:p w14:paraId="2C645C35" w14:textId="77777777" w:rsidR="00791592" w:rsidRPr="00E61E1D" w:rsidRDefault="00791592" w:rsidP="008F2F07">
      <w:pPr>
        <w:widowControl/>
        <w:autoSpaceDE w:val="0"/>
        <w:autoSpaceDN w:val="0"/>
        <w:adjustRightInd w:val="0"/>
        <w:rPr>
          <w:rFonts w:cs="Arial"/>
          <w:szCs w:val="24"/>
        </w:rPr>
      </w:pPr>
    </w:p>
    <w:p w14:paraId="000FD705" w14:textId="5C9235BF" w:rsidR="00791592" w:rsidRPr="00E61E1D" w:rsidRDefault="005745D5" w:rsidP="008F2F07">
      <w:pPr>
        <w:widowControl/>
        <w:autoSpaceDE w:val="0"/>
        <w:autoSpaceDN w:val="0"/>
        <w:adjustRightInd w:val="0"/>
        <w:rPr>
          <w:rFonts w:cs="Arial"/>
          <w:szCs w:val="24"/>
        </w:rPr>
      </w:pPr>
      <w:r w:rsidRPr="00E61E1D">
        <w:rPr>
          <w:rFonts w:cs="Arial"/>
          <w:szCs w:val="24"/>
        </w:rPr>
        <w:t>El porcentaje de</w:t>
      </w:r>
      <w:r w:rsidR="00791592" w:rsidRPr="00E61E1D">
        <w:rPr>
          <w:rFonts w:cs="Arial"/>
          <w:szCs w:val="24"/>
        </w:rPr>
        <w:t xml:space="preserve"> </w:t>
      </w:r>
      <w:r w:rsidR="00076EED" w:rsidRPr="00E61E1D">
        <w:rPr>
          <w:rFonts w:cs="Arial"/>
          <w:szCs w:val="24"/>
        </w:rPr>
        <w:t>niñas y niños que realiza</w:t>
      </w:r>
      <w:r w:rsidRPr="00E61E1D">
        <w:rPr>
          <w:rFonts w:cs="Arial"/>
          <w:szCs w:val="24"/>
        </w:rPr>
        <w:t>ro</w:t>
      </w:r>
      <w:r w:rsidR="00076EED" w:rsidRPr="00E61E1D">
        <w:rPr>
          <w:rFonts w:cs="Arial"/>
          <w:szCs w:val="24"/>
        </w:rPr>
        <w:t xml:space="preserve">n </w:t>
      </w:r>
      <w:r w:rsidR="00791592" w:rsidRPr="00E61E1D">
        <w:rPr>
          <w:rFonts w:cs="Arial"/>
          <w:color w:val="000000"/>
          <w:szCs w:val="24"/>
        </w:rPr>
        <w:t>quehaceres domésticos en condiciones no adecuadas</w:t>
      </w:r>
      <w:r w:rsidR="00791592" w:rsidRPr="00E61E1D">
        <w:rPr>
          <w:rFonts w:cs="Arial"/>
          <w:szCs w:val="24"/>
        </w:rPr>
        <w:t xml:space="preserve"> </w:t>
      </w:r>
      <w:r w:rsidR="00076EED" w:rsidRPr="00E61E1D">
        <w:rPr>
          <w:rFonts w:cs="Arial"/>
          <w:szCs w:val="24"/>
        </w:rPr>
        <w:t>y</w:t>
      </w:r>
      <w:r w:rsidR="00791592" w:rsidRPr="00E61E1D">
        <w:rPr>
          <w:rFonts w:cs="Arial"/>
          <w:szCs w:val="24"/>
        </w:rPr>
        <w:t xml:space="preserve"> que asist</w:t>
      </w:r>
      <w:r w:rsidR="00706A92" w:rsidRPr="00E61E1D">
        <w:rPr>
          <w:rFonts w:cs="Arial"/>
          <w:szCs w:val="24"/>
        </w:rPr>
        <w:t>ieron</w:t>
      </w:r>
      <w:r w:rsidR="00791592" w:rsidRPr="00E61E1D">
        <w:rPr>
          <w:rFonts w:cs="Arial"/>
          <w:szCs w:val="24"/>
        </w:rPr>
        <w:t xml:space="preserve"> a la escuela fue de 5.8 %</w:t>
      </w:r>
      <w:r w:rsidR="008F2F07" w:rsidRPr="00E61E1D">
        <w:rPr>
          <w:rFonts w:cs="Arial"/>
          <w:szCs w:val="24"/>
        </w:rPr>
        <w:t>:</w:t>
      </w:r>
      <w:r w:rsidR="00791592" w:rsidRPr="00E61E1D">
        <w:rPr>
          <w:rFonts w:cs="Arial"/>
          <w:szCs w:val="24"/>
        </w:rPr>
        <w:t xml:space="preserve"> en los niños </w:t>
      </w:r>
      <w:r w:rsidR="008F2F07" w:rsidRPr="00E61E1D">
        <w:rPr>
          <w:rFonts w:cs="Arial"/>
          <w:szCs w:val="24"/>
        </w:rPr>
        <w:t xml:space="preserve">fue </w:t>
      </w:r>
      <w:r w:rsidR="00791592" w:rsidRPr="00E61E1D">
        <w:rPr>
          <w:rFonts w:cs="Arial"/>
          <w:szCs w:val="24"/>
        </w:rPr>
        <w:t>de 5.7 % y en las niñas</w:t>
      </w:r>
      <w:r w:rsidR="008F2F07" w:rsidRPr="00E61E1D">
        <w:rPr>
          <w:rFonts w:cs="Arial"/>
          <w:szCs w:val="24"/>
        </w:rPr>
        <w:t>,</w:t>
      </w:r>
      <w:r w:rsidR="00791592" w:rsidRPr="00E61E1D">
        <w:rPr>
          <w:rFonts w:cs="Arial"/>
          <w:szCs w:val="24"/>
        </w:rPr>
        <w:t xml:space="preserve"> de 5.8 </w:t>
      </w:r>
      <w:r w:rsidR="008F2F07" w:rsidRPr="00E61E1D">
        <w:rPr>
          <w:rFonts w:cs="Arial"/>
          <w:szCs w:val="24"/>
        </w:rPr>
        <w:t>por ciento. L</w:t>
      </w:r>
      <w:r w:rsidR="00791592" w:rsidRPr="00E61E1D">
        <w:rPr>
          <w:rFonts w:cs="Arial"/>
          <w:szCs w:val="24"/>
        </w:rPr>
        <w:t>os que no asist</w:t>
      </w:r>
      <w:r w:rsidR="00706A92" w:rsidRPr="00E61E1D">
        <w:rPr>
          <w:rFonts w:cs="Arial"/>
          <w:szCs w:val="24"/>
        </w:rPr>
        <w:t>ieron</w:t>
      </w:r>
      <w:r w:rsidR="00791592" w:rsidRPr="00E61E1D">
        <w:rPr>
          <w:rFonts w:cs="Arial"/>
          <w:szCs w:val="24"/>
        </w:rPr>
        <w:t xml:space="preserve"> a la escuela fue de 18.9 %</w:t>
      </w:r>
      <w:r w:rsidR="008F2F07" w:rsidRPr="00E61E1D">
        <w:rPr>
          <w:rFonts w:cs="Arial"/>
          <w:szCs w:val="24"/>
        </w:rPr>
        <w:t>:</w:t>
      </w:r>
      <w:r w:rsidR="00791592" w:rsidRPr="00E61E1D">
        <w:rPr>
          <w:rFonts w:cs="Arial"/>
          <w:szCs w:val="24"/>
        </w:rPr>
        <w:t xml:space="preserve"> en los niños de 13.7 % y en las niñas</w:t>
      </w:r>
      <w:r w:rsidR="008F2F07" w:rsidRPr="00E61E1D">
        <w:rPr>
          <w:rFonts w:cs="Arial"/>
          <w:szCs w:val="24"/>
        </w:rPr>
        <w:t>,</w:t>
      </w:r>
      <w:r w:rsidR="00791592" w:rsidRPr="00E61E1D">
        <w:rPr>
          <w:rFonts w:cs="Arial"/>
          <w:szCs w:val="24"/>
        </w:rPr>
        <w:t xml:space="preserve"> de 25.3 </w:t>
      </w:r>
      <w:r w:rsidR="000E1EBC">
        <w:rPr>
          <w:rFonts w:cs="Arial"/>
          <w:szCs w:val="24"/>
        </w:rPr>
        <w:t>%</w:t>
      </w:r>
      <w:r w:rsidR="00D3014A" w:rsidRPr="00E61E1D">
        <w:rPr>
          <w:rFonts w:cs="Arial"/>
          <w:szCs w:val="24"/>
        </w:rPr>
        <w:t xml:space="preserve"> (ver cuadro 22).</w:t>
      </w:r>
    </w:p>
    <w:p w14:paraId="264F88DE" w14:textId="77777777" w:rsidR="00A442D6" w:rsidRDefault="00A442D6" w:rsidP="00114F00">
      <w:pPr>
        <w:widowControl/>
        <w:autoSpaceDE w:val="0"/>
        <w:autoSpaceDN w:val="0"/>
        <w:adjustRightInd w:val="0"/>
        <w:ind w:right="51"/>
        <w:jc w:val="center"/>
        <w:rPr>
          <w:rFonts w:cs="Arial"/>
          <w:bCs/>
          <w:szCs w:val="24"/>
        </w:rPr>
      </w:pPr>
    </w:p>
    <w:p w14:paraId="4DFF8BBB" w14:textId="77777777" w:rsidR="009E086F" w:rsidRPr="000E1EBC" w:rsidRDefault="009E086F" w:rsidP="000E1EBC">
      <w:pPr>
        <w:widowControl/>
        <w:autoSpaceDE w:val="0"/>
        <w:autoSpaceDN w:val="0"/>
        <w:adjustRightInd w:val="0"/>
        <w:ind w:right="51"/>
        <w:jc w:val="center"/>
        <w:rPr>
          <w:rFonts w:cs="Arial"/>
          <w:bCs/>
          <w:sz w:val="20"/>
        </w:rPr>
      </w:pPr>
      <w:r w:rsidRPr="000E1EBC">
        <w:rPr>
          <w:rFonts w:cs="Arial"/>
          <w:bCs/>
          <w:sz w:val="20"/>
        </w:rPr>
        <w:t>Cuadro 22</w:t>
      </w:r>
    </w:p>
    <w:p w14:paraId="5FA0552E" w14:textId="6A97E735" w:rsidR="009E086F" w:rsidRPr="000E1EBC" w:rsidRDefault="009E086F" w:rsidP="000E1EBC">
      <w:pPr>
        <w:widowControl/>
        <w:autoSpaceDE w:val="0"/>
        <w:autoSpaceDN w:val="0"/>
        <w:adjustRightInd w:val="0"/>
        <w:ind w:right="51"/>
        <w:jc w:val="center"/>
        <w:rPr>
          <w:rFonts w:cs="Arial"/>
          <w:b/>
          <w:bCs/>
          <w:smallCaps/>
          <w:color w:val="000000" w:themeColor="text1"/>
          <w:sz w:val="22"/>
          <w:szCs w:val="22"/>
        </w:rPr>
      </w:pPr>
      <w:r w:rsidRPr="000E1EBC">
        <w:rPr>
          <w:rFonts w:cs="Arial"/>
          <w:b/>
          <w:smallCaps/>
          <w:sz w:val="22"/>
          <w:szCs w:val="22"/>
        </w:rPr>
        <w:t>T</w:t>
      </w:r>
      <w:r w:rsidRPr="000E1EBC">
        <w:rPr>
          <w:rFonts w:cs="Arial"/>
          <w:b/>
          <w:bCs/>
          <w:smallCaps/>
          <w:color w:val="000000" w:themeColor="text1"/>
          <w:sz w:val="22"/>
          <w:szCs w:val="22"/>
        </w:rPr>
        <w:t>asas de quehaceres domésticos en condiciones no adecuadas por variables seleccionadas</w:t>
      </w:r>
      <w:r w:rsidR="002E3423" w:rsidRPr="000E1EBC">
        <w:rPr>
          <w:rFonts w:cs="Arial"/>
          <w:b/>
          <w:bCs/>
          <w:smallCaps/>
          <w:color w:val="000000" w:themeColor="text1"/>
          <w:sz w:val="22"/>
          <w:szCs w:val="22"/>
        </w:rPr>
        <w:t>,</w:t>
      </w:r>
      <w:r w:rsidRPr="000E1EBC">
        <w:rPr>
          <w:rFonts w:cs="Arial"/>
          <w:b/>
          <w:bCs/>
          <w:smallCaps/>
          <w:color w:val="000000" w:themeColor="text1"/>
          <w:sz w:val="22"/>
          <w:szCs w:val="22"/>
        </w:rPr>
        <w:t xml:space="preserve"> según sexo</w:t>
      </w:r>
    </w:p>
    <w:p w14:paraId="24F0B428" w14:textId="2B0DA3BE" w:rsidR="009E086F" w:rsidRPr="00FC665E" w:rsidRDefault="009E086F" w:rsidP="000E1EBC">
      <w:pPr>
        <w:widowControl/>
        <w:autoSpaceDE w:val="0"/>
        <w:autoSpaceDN w:val="0"/>
        <w:adjustRightInd w:val="0"/>
        <w:ind w:right="51"/>
        <w:jc w:val="center"/>
        <w:rPr>
          <w:rFonts w:cs="Arial"/>
          <w:bCs/>
          <w:sz w:val="18"/>
          <w:szCs w:val="18"/>
        </w:rPr>
      </w:pPr>
      <w:r w:rsidRPr="00FC665E">
        <w:rPr>
          <w:rFonts w:cs="Arial"/>
          <w:bCs/>
          <w:sz w:val="18"/>
          <w:szCs w:val="18"/>
        </w:rPr>
        <w:t>(</w:t>
      </w:r>
      <w:r w:rsidR="002C2946">
        <w:rPr>
          <w:rFonts w:cs="Arial"/>
          <w:bCs/>
          <w:sz w:val="18"/>
          <w:szCs w:val="18"/>
        </w:rPr>
        <w:t>p</w:t>
      </w:r>
      <w:r w:rsidRPr="00FC665E">
        <w:rPr>
          <w:rFonts w:cs="Arial"/>
          <w:bCs/>
          <w:sz w:val="18"/>
          <w:szCs w:val="18"/>
        </w:rPr>
        <w:t>orcentaje respecto a la población de</w:t>
      </w:r>
      <w:r>
        <w:rPr>
          <w:rFonts w:cs="Arial"/>
          <w:bCs/>
          <w:sz w:val="18"/>
          <w:szCs w:val="18"/>
        </w:rPr>
        <w:t xml:space="preserve"> cada categoría</w:t>
      </w:r>
      <w:r w:rsidRPr="00FC665E">
        <w:rPr>
          <w:rFonts w:cs="Arial"/>
          <w:bCs/>
          <w:sz w:val="18"/>
          <w:szCs w:val="18"/>
        </w:rPr>
        <w:t>)</w:t>
      </w:r>
    </w:p>
    <w:tbl>
      <w:tblPr>
        <w:tblW w:w="9780" w:type="dxa"/>
        <w:tblCellMar>
          <w:left w:w="70" w:type="dxa"/>
          <w:right w:w="70" w:type="dxa"/>
        </w:tblCellMar>
        <w:tblLook w:val="04A0" w:firstRow="1" w:lastRow="0" w:firstColumn="1" w:lastColumn="0" w:noHBand="0" w:noVBand="1"/>
      </w:tblPr>
      <w:tblGrid>
        <w:gridCol w:w="220"/>
        <w:gridCol w:w="4760"/>
        <w:gridCol w:w="1600"/>
        <w:gridCol w:w="1600"/>
        <w:gridCol w:w="1600"/>
      </w:tblGrid>
      <w:tr w:rsidR="009E086F" w:rsidRPr="000A71C5" w14:paraId="49FB15D0" w14:textId="77777777" w:rsidTr="00562DA7">
        <w:trPr>
          <w:trHeight w:val="300"/>
        </w:trPr>
        <w:tc>
          <w:tcPr>
            <w:tcW w:w="4980" w:type="dxa"/>
            <w:gridSpan w:val="2"/>
            <w:tcBorders>
              <w:top w:val="nil"/>
              <w:left w:val="nil"/>
              <w:bottom w:val="nil"/>
              <w:right w:val="nil"/>
            </w:tcBorders>
            <w:shd w:val="clear" w:color="auto" w:fill="338B99"/>
            <w:vAlign w:val="center"/>
            <w:hideMark/>
          </w:tcPr>
          <w:p w14:paraId="413C3255" w14:textId="77777777" w:rsidR="009E086F" w:rsidRPr="000A71C5" w:rsidRDefault="009E086F" w:rsidP="00562DA7">
            <w:pPr>
              <w:widowControl/>
              <w:jc w:val="left"/>
              <w:rPr>
                <w:rFonts w:cs="Arial"/>
                <w:b/>
                <w:bCs/>
                <w:color w:val="FFFFFF"/>
                <w:sz w:val="20"/>
                <w:lang w:eastAsia="es-MX"/>
              </w:rPr>
            </w:pPr>
            <w:r w:rsidRPr="000A71C5">
              <w:rPr>
                <w:rFonts w:cs="Arial"/>
                <w:b/>
                <w:bCs/>
                <w:color w:val="FFFFFF"/>
                <w:sz w:val="20"/>
                <w:lang w:eastAsia="es-MX"/>
              </w:rPr>
              <w:t>Grupos de edad, asistencia escolar</w:t>
            </w:r>
          </w:p>
        </w:tc>
        <w:tc>
          <w:tcPr>
            <w:tcW w:w="1600" w:type="dxa"/>
            <w:vMerge w:val="restart"/>
            <w:tcBorders>
              <w:top w:val="nil"/>
              <w:left w:val="nil"/>
              <w:bottom w:val="nil"/>
              <w:right w:val="nil"/>
            </w:tcBorders>
            <w:shd w:val="clear" w:color="auto" w:fill="338B99"/>
            <w:vAlign w:val="center"/>
            <w:hideMark/>
          </w:tcPr>
          <w:p w14:paraId="3D63AB84" w14:textId="77777777" w:rsidR="009E086F" w:rsidRPr="000A71C5" w:rsidRDefault="009E086F" w:rsidP="00562DA7">
            <w:pPr>
              <w:widowControl/>
              <w:jc w:val="center"/>
              <w:rPr>
                <w:rFonts w:cs="Arial"/>
                <w:b/>
                <w:bCs/>
                <w:color w:val="FFFFFF"/>
                <w:sz w:val="20"/>
                <w:lang w:eastAsia="es-MX"/>
              </w:rPr>
            </w:pPr>
            <w:r w:rsidRPr="000A71C5">
              <w:rPr>
                <w:rFonts w:cs="Arial"/>
                <w:b/>
                <w:bCs/>
                <w:color w:val="FFFFFF"/>
                <w:sz w:val="20"/>
                <w:lang w:eastAsia="es-MX"/>
              </w:rPr>
              <w:t>Total</w:t>
            </w:r>
          </w:p>
        </w:tc>
        <w:tc>
          <w:tcPr>
            <w:tcW w:w="1600" w:type="dxa"/>
            <w:vMerge w:val="restart"/>
            <w:tcBorders>
              <w:top w:val="nil"/>
              <w:left w:val="nil"/>
              <w:bottom w:val="nil"/>
              <w:right w:val="nil"/>
            </w:tcBorders>
            <w:shd w:val="clear" w:color="auto" w:fill="338B99"/>
            <w:vAlign w:val="center"/>
            <w:hideMark/>
          </w:tcPr>
          <w:p w14:paraId="33B7A91E" w14:textId="77777777" w:rsidR="009E086F" w:rsidRPr="000A71C5" w:rsidRDefault="009E086F" w:rsidP="00562DA7">
            <w:pPr>
              <w:widowControl/>
              <w:jc w:val="center"/>
              <w:rPr>
                <w:rFonts w:cs="Arial"/>
                <w:b/>
                <w:bCs/>
                <w:color w:val="FFFFFF"/>
                <w:sz w:val="20"/>
                <w:lang w:eastAsia="es-MX"/>
              </w:rPr>
            </w:pPr>
            <w:r w:rsidRPr="000A71C5">
              <w:rPr>
                <w:rFonts w:cs="Arial"/>
                <w:b/>
                <w:bCs/>
                <w:color w:val="FFFFFF"/>
                <w:sz w:val="20"/>
                <w:lang w:eastAsia="es-MX"/>
              </w:rPr>
              <w:t>Niños</w:t>
            </w:r>
          </w:p>
        </w:tc>
        <w:tc>
          <w:tcPr>
            <w:tcW w:w="1600" w:type="dxa"/>
            <w:vMerge w:val="restart"/>
            <w:tcBorders>
              <w:top w:val="nil"/>
              <w:left w:val="nil"/>
              <w:bottom w:val="nil"/>
              <w:right w:val="nil"/>
            </w:tcBorders>
            <w:shd w:val="clear" w:color="auto" w:fill="338B99"/>
            <w:vAlign w:val="center"/>
            <w:hideMark/>
          </w:tcPr>
          <w:p w14:paraId="27DFA649" w14:textId="77777777" w:rsidR="009E086F" w:rsidRPr="000A71C5" w:rsidRDefault="009E086F" w:rsidP="00562DA7">
            <w:pPr>
              <w:widowControl/>
              <w:jc w:val="center"/>
              <w:rPr>
                <w:rFonts w:cs="Arial"/>
                <w:b/>
                <w:bCs/>
                <w:color w:val="FFFFFF"/>
                <w:sz w:val="20"/>
                <w:lang w:eastAsia="es-MX"/>
              </w:rPr>
            </w:pPr>
            <w:r w:rsidRPr="000A71C5">
              <w:rPr>
                <w:rFonts w:cs="Arial"/>
                <w:b/>
                <w:bCs/>
                <w:color w:val="FFFFFF"/>
                <w:sz w:val="20"/>
                <w:lang w:eastAsia="es-MX"/>
              </w:rPr>
              <w:t>Niñas</w:t>
            </w:r>
          </w:p>
        </w:tc>
      </w:tr>
      <w:tr w:rsidR="009E086F" w:rsidRPr="000A71C5" w14:paraId="0DA82F5C" w14:textId="77777777" w:rsidTr="00562DA7">
        <w:trPr>
          <w:trHeight w:val="315"/>
        </w:trPr>
        <w:tc>
          <w:tcPr>
            <w:tcW w:w="4980" w:type="dxa"/>
            <w:gridSpan w:val="2"/>
            <w:tcBorders>
              <w:top w:val="nil"/>
              <w:left w:val="nil"/>
              <w:bottom w:val="nil"/>
              <w:right w:val="nil"/>
            </w:tcBorders>
            <w:shd w:val="clear" w:color="auto" w:fill="338B99"/>
            <w:vAlign w:val="center"/>
            <w:hideMark/>
          </w:tcPr>
          <w:p w14:paraId="4080977E" w14:textId="77777777" w:rsidR="009E086F" w:rsidRPr="000A71C5" w:rsidRDefault="009E086F" w:rsidP="00562DA7">
            <w:pPr>
              <w:widowControl/>
              <w:jc w:val="left"/>
              <w:rPr>
                <w:rFonts w:cs="Arial"/>
                <w:b/>
                <w:bCs/>
                <w:color w:val="FFFFFF"/>
                <w:sz w:val="20"/>
                <w:lang w:eastAsia="es-MX"/>
              </w:rPr>
            </w:pPr>
            <w:r w:rsidRPr="000A71C5">
              <w:rPr>
                <w:rFonts w:cs="Arial"/>
                <w:b/>
                <w:bCs/>
                <w:color w:val="FFFFFF"/>
                <w:sz w:val="20"/>
                <w:lang w:eastAsia="es-MX"/>
              </w:rPr>
              <w:t>y tipo de localidad</w:t>
            </w:r>
          </w:p>
        </w:tc>
        <w:tc>
          <w:tcPr>
            <w:tcW w:w="1600" w:type="dxa"/>
            <w:vMerge/>
            <w:tcBorders>
              <w:top w:val="nil"/>
              <w:left w:val="nil"/>
              <w:bottom w:val="nil"/>
              <w:right w:val="nil"/>
            </w:tcBorders>
            <w:vAlign w:val="center"/>
            <w:hideMark/>
          </w:tcPr>
          <w:p w14:paraId="204088D4" w14:textId="77777777" w:rsidR="009E086F" w:rsidRPr="000A71C5" w:rsidRDefault="009E086F" w:rsidP="00562DA7">
            <w:pPr>
              <w:widowControl/>
              <w:jc w:val="left"/>
              <w:rPr>
                <w:rFonts w:cs="Arial"/>
                <w:b/>
                <w:bCs/>
                <w:color w:val="FFFFFF"/>
                <w:sz w:val="20"/>
                <w:lang w:eastAsia="es-MX"/>
              </w:rPr>
            </w:pPr>
          </w:p>
        </w:tc>
        <w:tc>
          <w:tcPr>
            <w:tcW w:w="1600" w:type="dxa"/>
            <w:vMerge/>
            <w:tcBorders>
              <w:top w:val="nil"/>
              <w:left w:val="nil"/>
              <w:bottom w:val="nil"/>
              <w:right w:val="nil"/>
            </w:tcBorders>
            <w:vAlign w:val="center"/>
            <w:hideMark/>
          </w:tcPr>
          <w:p w14:paraId="66CDEE80" w14:textId="77777777" w:rsidR="009E086F" w:rsidRPr="000A71C5" w:rsidRDefault="009E086F" w:rsidP="00562DA7">
            <w:pPr>
              <w:widowControl/>
              <w:jc w:val="left"/>
              <w:rPr>
                <w:rFonts w:cs="Arial"/>
                <w:b/>
                <w:bCs/>
                <w:color w:val="FFFFFF"/>
                <w:sz w:val="20"/>
                <w:lang w:eastAsia="es-MX"/>
              </w:rPr>
            </w:pPr>
          </w:p>
        </w:tc>
        <w:tc>
          <w:tcPr>
            <w:tcW w:w="1600" w:type="dxa"/>
            <w:vMerge/>
            <w:tcBorders>
              <w:top w:val="nil"/>
              <w:left w:val="nil"/>
              <w:bottom w:val="nil"/>
              <w:right w:val="nil"/>
            </w:tcBorders>
            <w:vAlign w:val="center"/>
            <w:hideMark/>
          </w:tcPr>
          <w:p w14:paraId="05439B44" w14:textId="77777777" w:rsidR="009E086F" w:rsidRPr="000A71C5" w:rsidRDefault="009E086F" w:rsidP="00562DA7">
            <w:pPr>
              <w:widowControl/>
              <w:jc w:val="left"/>
              <w:rPr>
                <w:rFonts w:cs="Arial"/>
                <w:b/>
                <w:bCs/>
                <w:color w:val="FFFFFF"/>
                <w:sz w:val="20"/>
                <w:lang w:eastAsia="es-MX"/>
              </w:rPr>
            </w:pPr>
          </w:p>
        </w:tc>
      </w:tr>
      <w:tr w:rsidR="009E086F" w:rsidRPr="000A71C5" w14:paraId="128DCA5D" w14:textId="77777777" w:rsidTr="00562DA7">
        <w:trPr>
          <w:trHeight w:val="510"/>
        </w:trPr>
        <w:tc>
          <w:tcPr>
            <w:tcW w:w="4980" w:type="dxa"/>
            <w:gridSpan w:val="2"/>
            <w:tcBorders>
              <w:top w:val="nil"/>
              <w:left w:val="nil"/>
              <w:bottom w:val="nil"/>
              <w:right w:val="nil"/>
            </w:tcBorders>
            <w:shd w:val="clear" w:color="auto" w:fill="66A8B3"/>
            <w:vAlign w:val="center"/>
            <w:hideMark/>
          </w:tcPr>
          <w:p w14:paraId="082DA3FB" w14:textId="77777777" w:rsidR="009E086F" w:rsidRPr="000A71C5" w:rsidRDefault="009E086F" w:rsidP="00562DA7">
            <w:pPr>
              <w:widowControl/>
              <w:jc w:val="left"/>
              <w:rPr>
                <w:rFonts w:cs="Arial"/>
                <w:b/>
                <w:bCs/>
                <w:color w:val="000000"/>
                <w:sz w:val="20"/>
                <w:lang w:eastAsia="es-MX"/>
              </w:rPr>
            </w:pPr>
            <w:r w:rsidRPr="000A71C5">
              <w:rPr>
                <w:rFonts w:cs="Arial"/>
                <w:b/>
                <w:bCs/>
                <w:color w:val="000000"/>
                <w:sz w:val="20"/>
                <w:lang w:eastAsia="es-MX"/>
              </w:rPr>
              <w:t>Quehaceres domésticos en condiciones no adecuadas</w:t>
            </w:r>
          </w:p>
        </w:tc>
        <w:tc>
          <w:tcPr>
            <w:tcW w:w="1600" w:type="dxa"/>
            <w:tcBorders>
              <w:top w:val="nil"/>
              <w:left w:val="nil"/>
              <w:bottom w:val="nil"/>
              <w:right w:val="nil"/>
            </w:tcBorders>
            <w:shd w:val="clear" w:color="auto" w:fill="66A8B3"/>
            <w:vAlign w:val="center"/>
            <w:hideMark/>
          </w:tcPr>
          <w:p w14:paraId="59F89991" w14:textId="77777777" w:rsidR="009E086F" w:rsidRPr="000A71C5" w:rsidRDefault="009E086F" w:rsidP="00562DA7">
            <w:pPr>
              <w:widowControl/>
              <w:jc w:val="center"/>
              <w:rPr>
                <w:rFonts w:cs="Arial"/>
                <w:b/>
                <w:bCs/>
                <w:color w:val="000000"/>
                <w:sz w:val="20"/>
                <w:lang w:eastAsia="es-MX"/>
              </w:rPr>
            </w:pPr>
            <w:r w:rsidRPr="000A71C5">
              <w:rPr>
                <w:rFonts w:cs="Arial"/>
                <w:b/>
                <w:bCs/>
                <w:color w:val="000000"/>
                <w:sz w:val="20"/>
                <w:lang w:eastAsia="es-MX"/>
              </w:rPr>
              <w:t>6.7</w:t>
            </w:r>
          </w:p>
        </w:tc>
        <w:tc>
          <w:tcPr>
            <w:tcW w:w="1600" w:type="dxa"/>
            <w:tcBorders>
              <w:top w:val="nil"/>
              <w:left w:val="nil"/>
              <w:bottom w:val="nil"/>
              <w:right w:val="nil"/>
            </w:tcBorders>
            <w:shd w:val="clear" w:color="auto" w:fill="66A8B3"/>
            <w:vAlign w:val="center"/>
            <w:hideMark/>
          </w:tcPr>
          <w:p w14:paraId="31283129" w14:textId="77777777" w:rsidR="009E086F" w:rsidRPr="000A71C5" w:rsidRDefault="009E086F" w:rsidP="00562DA7">
            <w:pPr>
              <w:widowControl/>
              <w:jc w:val="center"/>
              <w:rPr>
                <w:rFonts w:cs="Arial"/>
                <w:b/>
                <w:bCs/>
                <w:color w:val="000000"/>
                <w:sz w:val="20"/>
                <w:lang w:eastAsia="es-MX"/>
              </w:rPr>
            </w:pPr>
            <w:r w:rsidRPr="000A71C5">
              <w:rPr>
                <w:rFonts w:cs="Arial"/>
                <w:b/>
                <w:bCs/>
                <w:color w:val="000000"/>
                <w:sz w:val="20"/>
                <w:lang w:eastAsia="es-MX"/>
              </w:rPr>
              <w:t>6.4</w:t>
            </w:r>
          </w:p>
        </w:tc>
        <w:tc>
          <w:tcPr>
            <w:tcW w:w="1600" w:type="dxa"/>
            <w:tcBorders>
              <w:top w:val="nil"/>
              <w:left w:val="nil"/>
              <w:bottom w:val="nil"/>
              <w:right w:val="nil"/>
            </w:tcBorders>
            <w:shd w:val="clear" w:color="auto" w:fill="66A8B3"/>
            <w:vAlign w:val="center"/>
            <w:hideMark/>
          </w:tcPr>
          <w:p w14:paraId="6DF2B16E" w14:textId="77777777" w:rsidR="009E086F" w:rsidRPr="000A71C5" w:rsidRDefault="009E086F" w:rsidP="00562DA7">
            <w:pPr>
              <w:widowControl/>
              <w:jc w:val="center"/>
              <w:rPr>
                <w:rFonts w:cs="Arial"/>
                <w:b/>
                <w:bCs/>
                <w:color w:val="000000"/>
                <w:sz w:val="20"/>
                <w:lang w:eastAsia="es-MX"/>
              </w:rPr>
            </w:pPr>
            <w:r w:rsidRPr="000A71C5">
              <w:rPr>
                <w:rFonts w:cs="Arial"/>
                <w:b/>
                <w:bCs/>
                <w:color w:val="000000"/>
                <w:sz w:val="20"/>
                <w:lang w:eastAsia="es-MX"/>
              </w:rPr>
              <w:t>7.1</w:t>
            </w:r>
          </w:p>
        </w:tc>
      </w:tr>
      <w:tr w:rsidR="009E086F" w:rsidRPr="000A71C5" w14:paraId="1BEB0EC3" w14:textId="77777777" w:rsidTr="00562DA7">
        <w:trPr>
          <w:trHeight w:val="300"/>
        </w:trPr>
        <w:tc>
          <w:tcPr>
            <w:tcW w:w="4980" w:type="dxa"/>
            <w:gridSpan w:val="2"/>
            <w:tcBorders>
              <w:top w:val="nil"/>
              <w:left w:val="nil"/>
              <w:bottom w:val="nil"/>
              <w:right w:val="nil"/>
            </w:tcBorders>
            <w:shd w:val="clear" w:color="auto" w:fill="99C5CC"/>
            <w:vAlign w:val="center"/>
            <w:hideMark/>
          </w:tcPr>
          <w:p w14:paraId="64991FEF" w14:textId="77777777" w:rsidR="009E086F" w:rsidRPr="000A71C5" w:rsidRDefault="009E086F" w:rsidP="00562DA7">
            <w:pPr>
              <w:widowControl/>
              <w:jc w:val="left"/>
              <w:rPr>
                <w:rFonts w:cs="Arial"/>
                <w:b/>
                <w:bCs/>
                <w:color w:val="000000"/>
                <w:sz w:val="20"/>
                <w:lang w:eastAsia="es-MX"/>
              </w:rPr>
            </w:pPr>
            <w:r w:rsidRPr="000A71C5">
              <w:rPr>
                <w:rFonts w:cs="Arial"/>
                <w:b/>
                <w:bCs/>
                <w:color w:val="000000"/>
                <w:sz w:val="20"/>
                <w:lang w:eastAsia="es-MX"/>
              </w:rPr>
              <w:t>Grupos de edad</w:t>
            </w:r>
          </w:p>
        </w:tc>
        <w:tc>
          <w:tcPr>
            <w:tcW w:w="1600" w:type="dxa"/>
            <w:tcBorders>
              <w:top w:val="nil"/>
              <w:left w:val="nil"/>
              <w:bottom w:val="nil"/>
              <w:right w:val="nil"/>
            </w:tcBorders>
            <w:shd w:val="clear" w:color="auto" w:fill="99C5CC"/>
            <w:vAlign w:val="center"/>
            <w:hideMark/>
          </w:tcPr>
          <w:p w14:paraId="616AFEF8" w14:textId="77777777" w:rsidR="009E086F" w:rsidRPr="000A71C5" w:rsidRDefault="009E086F" w:rsidP="00562DA7">
            <w:pPr>
              <w:widowControl/>
              <w:jc w:val="center"/>
              <w:rPr>
                <w:rFonts w:cs="Arial"/>
                <w:b/>
                <w:bCs/>
                <w:color w:val="000000"/>
                <w:sz w:val="20"/>
                <w:lang w:eastAsia="es-MX"/>
              </w:rPr>
            </w:pPr>
            <w:r w:rsidRPr="000A71C5">
              <w:rPr>
                <w:rFonts w:cs="Arial"/>
                <w:b/>
                <w:bCs/>
                <w:color w:val="000000"/>
                <w:sz w:val="20"/>
                <w:lang w:eastAsia="es-MX"/>
              </w:rPr>
              <w:t> </w:t>
            </w:r>
          </w:p>
        </w:tc>
        <w:tc>
          <w:tcPr>
            <w:tcW w:w="1600" w:type="dxa"/>
            <w:tcBorders>
              <w:top w:val="nil"/>
              <w:left w:val="nil"/>
              <w:bottom w:val="nil"/>
              <w:right w:val="nil"/>
            </w:tcBorders>
            <w:shd w:val="clear" w:color="auto" w:fill="99C5CC"/>
            <w:vAlign w:val="center"/>
            <w:hideMark/>
          </w:tcPr>
          <w:p w14:paraId="60C4668E" w14:textId="77777777" w:rsidR="009E086F" w:rsidRPr="000A71C5" w:rsidRDefault="009E086F" w:rsidP="00562DA7">
            <w:pPr>
              <w:widowControl/>
              <w:jc w:val="center"/>
              <w:rPr>
                <w:rFonts w:cs="Arial"/>
                <w:b/>
                <w:bCs/>
                <w:color w:val="000000"/>
                <w:sz w:val="20"/>
                <w:lang w:eastAsia="es-MX"/>
              </w:rPr>
            </w:pPr>
            <w:r w:rsidRPr="000A71C5">
              <w:rPr>
                <w:rFonts w:cs="Arial"/>
                <w:b/>
                <w:bCs/>
                <w:color w:val="000000"/>
                <w:sz w:val="20"/>
                <w:lang w:eastAsia="es-MX"/>
              </w:rPr>
              <w:t> </w:t>
            </w:r>
          </w:p>
        </w:tc>
        <w:tc>
          <w:tcPr>
            <w:tcW w:w="1600" w:type="dxa"/>
            <w:tcBorders>
              <w:top w:val="nil"/>
              <w:left w:val="nil"/>
              <w:bottom w:val="nil"/>
              <w:right w:val="nil"/>
            </w:tcBorders>
            <w:shd w:val="clear" w:color="auto" w:fill="99C5CC"/>
            <w:vAlign w:val="center"/>
            <w:hideMark/>
          </w:tcPr>
          <w:p w14:paraId="699F3617" w14:textId="77777777" w:rsidR="009E086F" w:rsidRPr="000A71C5" w:rsidRDefault="009E086F" w:rsidP="00562DA7">
            <w:pPr>
              <w:widowControl/>
              <w:jc w:val="center"/>
              <w:rPr>
                <w:rFonts w:cs="Arial"/>
                <w:b/>
                <w:bCs/>
                <w:color w:val="000000"/>
                <w:sz w:val="20"/>
                <w:lang w:eastAsia="es-MX"/>
              </w:rPr>
            </w:pPr>
            <w:r w:rsidRPr="000A71C5">
              <w:rPr>
                <w:rFonts w:cs="Arial"/>
                <w:b/>
                <w:bCs/>
                <w:color w:val="000000"/>
                <w:sz w:val="20"/>
                <w:lang w:eastAsia="es-MX"/>
              </w:rPr>
              <w:t> </w:t>
            </w:r>
          </w:p>
        </w:tc>
      </w:tr>
      <w:tr w:rsidR="009E086F" w:rsidRPr="000A71C5" w14:paraId="6794D280" w14:textId="77777777" w:rsidTr="00562DA7">
        <w:trPr>
          <w:trHeight w:val="300"/>
        </w:trPr>
        <w:tc>
          <w:tcPr>
            <w:tcW w:w="220" w:type="dxa"/>
            <w:tcBorders>
              <w:top w:val="nil"/>
              <w:left w:val="nil"/>
              <w:bottom w:val="nil"/>
              <w:right w:val="nil"/>
            </w:tcBorders>
            <w:shd w:val="clear" w:color="auto" w:fill="CCE2E6"/>
            <w:noWrap/>
            <w:vAlign w:val="bottom"/>
            <w:hideMark/>
          </w:tcPr>
          <w:p w14:paraId="23A212BA" w14:textId="77777777" w:rsidR="009E086F" w:rsidRPr="000A71C5" w:rsidRDefault="009E086F" w:rsidP="00562DA7">
            <w:pPr>
              <w:widowControl/>
              <w:jc w:val="left"/>
              <w:rPr>
                <w:rFonts w:ascii="Times New Roman" w:hAnsi="Times New Roman"/>
                <w:color w:val="000000"/>
                <w:sz w:val="20"/>
                <w:lang w:eastAsia="es-MX"/>
              </w:rPr>
            </w:pPr>
            <w:r w:rsidRPr="000A71C5">
              <w:rPr>
                <w:rFonts w:ascii="Times New Roman" w:hAnsi="Times New Roman"/>
                <w:color w:val="000000"/>
                <w:sz w:val="20"/>
                <w:lang w:eastAsia="es-MX"/>
              </w:rPr>
              <w:t> </w:t>
            </w:r>
          </w:p>
        </w:tc>
        <w:tc>
          <w:tcPr>
            <w:tcW w:w="4760" w:type="dxa"/>
            <w:tcBorders>
              <w:top w:val="nil"/>
              <w:left w:val="nil"/>
              <w:bottom w:val="nil"/>
              <w:right w:val="nil"/>
            </w:tcBorders>
            <w:shd w:val="clear" w:color="auto" w:fill="CCE2E6"/>
            <w:vAlign w:val="center"/>
            <w:hideMark/>
          </w:tcPr>
          <w:p w14:paraId="1BB532C7" w14:textId="77777777" w:rsidR="009E086F" w:rsidRPr="000A71C5" w:rsidRDefault="009E086F" w:rsidP="00562DA7">
            <w:pPr>
              <w:widowControl/>
              <w:jc w:val="left"/>
              <w:rPr>
                <w:rFonts w:cs="Arial"/>
                <w:color w:val="000000"/>
                <w:sz w:val="20"/>
                <w:lang w:eastAsia="es-MX"/>
              </w:rPr>
            </w:pPr>
            <w:r w:rsidRPr="000A71C5">
              <w:rPr>
                <w:rFonts w:cs="Arial"/>
                <w:color w:val="000000"/>
                <w:sz w:val="20"/>
                <w:lang w:eastAsia="es-MX"/>
              </w:rPr>
              <w:t>5 a 14 años</w:t>
            </w:r>
          </w:p>
        </w:tc>
        <w:tc>
          <w:tcPr>
            <w:tcW w:w="1600" w:type="dxa"/>
            <w:tcBorders>
              <w:top w:val="nil"/>
              <w:left w:val="nil"/>
              <w:bottom w:val="nil"/>
              <w:right w:val="nil"/>
            </w:tcBorders>
            <w:shd w:val="clear" w:color="auto" w:fill="CCE2E6"/>
            <w:vAlign w:val="center"/>
            <w:hideMark/>
          </w:tcPr>
          <w:p w14:paraId="1169C188" w14:textId="77777777" w:rsidR="009E086F" w:rsidRPr="000A71C5" w:rsidRDefault="009E086F" w:rsidP="00562DA7">
            <w:pPr>
              <w:widowControl/>
              <w:jc w:val="center"/>
              <w:rPr>
                <w:rFonts w:cs="Arial"/>
                <w:color w:val="000000"/>
                <w:sz w:val="20"/>
                <w:lang w:eastAsia="es-MX"/>
              </w:rPr>
            </w:pPr>
            <w:r w:rsidRPr="000A71C5">
              <w:rPr>
                <w:rFonts w:cs="Arial"/>
                <w:color w:val="000000"/>
                <w:sz w:val="20"/>
                <w:lang w:eastAsia="es-MX"/>
              </w:rPr>
              <w:t>5.2</w:t>
            </w:r>
          </w:p>
        </w:tc>
        <w:tc>
          <w:tcPr>
            <w:tcW w:w="1600" w:type="dxa"/>
            <w:tcBorders>
              <w:top w:val="nil"/>
              <w:left w:val="nil"/>
              <w:bottom w:val="nil"/>
              <w:right w:val="nil"/>
            </w:tcBorders>
            <w:shd w:val="clear" w:color="auto" w:fill="CCE2E6"/>
            <w:vAlign w:val="center"/>
            <w:hideMark/>
          </w:tcPr>
          <w:p w14:paraId="21322B97" w14:textId="77777777" w:rsidR="009E086F" w:rsidRPr="000A71C5" w:rsidRDefault="009E086F" w:rsidP="00562DA7">
            <w:pPr>
              <w:widowControl/>
              <w:jc w:val="center"/>
              <w:rPr>
                <w:rFonts w:cs="Arial"/>
                <w:color w:val="000000"/>
                <w:sz w:val="20"/>
                <w:lang w:eastAsia="es-MX"/>
              </w:rPr>
            </w:pPr>
            <w:r w:rsidRPr="000A71C5">
              <w:rPr>
                <w:rFonts w:cs="Arial"/>
                <w:color w:val="000000"/>
                <w:sz w:val="20"/>
                <w:lang w:eastAsia="es-MX"/>
              </w:rPr>
              <w:t>4.8</w:t>
            </w:r>
          </w:p>
        </w:tc>
        <w:tc>
          <w:tcPr>
            <w:tcW w:w="1600" w:type="dxa"/>
            <w:tcBorders>
              <w:top w:val="nil"/>
              <w:left w:val="nil"/>
              <w:bottom w:val="nil"/>
              <w:right w:val="nil"/>
            </w:tcBorders>
            <w:shd w:val="clear" w:color="auto" w:fill="CCE2E6"/>
            <w:vAlign w:val="center"/>
            <w:hideMark/>
          </w:tcPr>
          <w:p w14:paraId="1CBF07A4" w14:textId="77777777" w:rsidR="009E086F" w:rsidRPr="000A71C5" w:rsidRDefault="009E086F" w:rsidP="00562DA7">
            <w:pPr>
              <w:widowControl/>
              <w:jc w:val="center"/>
              <w:rPr>
                <w:rFonts w:cs="Arial"/>
                <w:color w:val="000000"/>
                <w:sz w:val="20"/>
                <w:lang w:eastAsia="es-MX"/>
              </w:rPr>
            </w:pPr>
            <w:r w:rsidRPr="000A71C5">
              <w:rPr>
                <w:rFonts w:cs="Arial"/>
                <w:color w:val="000000"/>
                <w:sz w:val="20"/>
                <w:lang w:eastAsia="es-MX"/>
              </w:rPr>
              <w:t>5.6</w:t>
            </w:r>
          </w:p>
        </w:tc>
      </w:tr>
      <w:tr w:rsidR="009E086F" w:rsidRPr="000A71C5" w14:paraId="5FCC4C69" w14:textId="77777777" w:rsidTr="00562DA7">
        <w:trPr>
          <w:trHeight w:val="300"/>
        </w:trPr>
        <w:tc>
          <w:tcPr>
            <w:tcW w:w="220" w:type="dxa"/>
            <w:tcBorders>
              <w:top w:val="nil"/>
              <w:left w:val="nil"/>
              <w:bottom w:val="nil"/>
              <w:right w:val="nil"/>
            </w:tcBorders>
            <w:shd w:val="clear" w:color="auto" w:fill="CCE2E6"/>
            <w:noWrap/>
            <w:vAlign w:val="bottom"/>
            <w:hideMark/>
          </w:tcPr>
          <w:p w14:paraId="535C73FB" w14:textId="77777777" w:rsidR="009E086F" w:rsidRPr="000A71C5" w:rsidRDefault="009E086F" w:rsidP="00562DA7">
            <w:pPr>
              <w:widowControl/>
              <w:jc w:val="left"/>
              <w:rPr>
                <w:rFonts w:ascii="Times New Roman" w:hAnsi="Times New Roman"/>
                <w:color w:val="000000"/>
                <w:sz w:val="20"/>
                <w:lang w:eastAsia="es-MX"/>
              </w:rPr>
            </w:pPr>
            <w:r w:rsidRPr="000A71C5">
              <w:rPr>
                <w:rFonts w:ascii="Times New Roman" w:hAnsi="Times New Roman"/>
                <w:color w:val="000000"/>
                <w:sz w:val="20"/>
                <w:lang w:eastAsia="es-MX"/>
              </w:rPr>
              <w:t> </w:t>
            </w:r>
          </w:p>
        </w:tc>
        <w:tc>
          <w:tcPr>
            <w:tcW w:w="4760" w:type="dxa"/>
            <w:tcBorders>
              <w:top w:val="nil"/>
              <w:left w:val="nil"/>
              <w:bottom w:val="nil"/>
              <w:right w:val="nil"/>
            </w:tcBorders>
            <w:shd w:val="clear" w:color="auto" w:fill="CCE2E6"/>
            <w:vAlign w:val="center"/>
            <w:hideMark/>
          </w:tcPr>
          <w:p w14:paraId="1CDA4B36" w14:textId="77777777" w:rsidR="009E086F" w:rsidRPr="000A71C5" w:rsidRDefault="009E086F" w:rsidP="00562DA7">
            <w:pPr>
              <w:widowControl/>
              <w:jc w:val="left"/>
              <w:rPr>
                <w:rFonts w:cs="Arial"/>
                <w:color w:val="000000"/>
                <w:sz w:val="20"/>
                <w:lang w:eastAsia="es-MX"/>
              </w:rPr>
            </w:pPr>
            <w:r w:rsidRPr="000A71C5">
              <w:rPr>
                <w:rFonts w:cs="Arial"/>
                <w:color w:val="000000"/>
                <w:sz w:val="20"/>
                <w:lang w:eastAsia="es-MX"/>
              </w:rPr>
              <w:t>15 a 17 años</w:t>
            </w:r>
          </w:p>
        </w:tc>
        <w:tc>
          <w:tcPr>
            <w:tcW w:w="1600" w:type="dxa"/>
            <w:tcBorders>
              <w:top w:val="nil"/>
              <w:left w:val="nil"/>
              <w:bottom w:val="nil"/>
              <w:right w:val="nil"/>
            </w:tcBorders>
            <w:shd w:val="clear" w:color="auto" w:fill="CCE2E6"/>
            <w:vAlign w:val="center"/>
            <w:hideMark/>
          </w:tcPr>
          <w:p w14:paraId="7D842716" w14:textId="77777777" w:rsidR="009E086F" w:rsidRPr="000A71C5" w:rsidRDefault="009E086F" w:rsidP="00562DA7">
            <w:pPr>
              <w:widowControl/>
              <w:jc w:val="center"/>
              <w:rPr>
                <w:rFonts w:cs="Arial"/>
                <w:color w:val="000000"/>
                <w:sz w:val="20"/>
                <w:lang w:eastAsia="es-MX"/>
              </w:rPr>
            </w:pPr>
            <w:r w:rsidRPr="000A71C5">
              <w:rPr>
                <w:rFonts w:cs="Arial"/>
                <w:color w:val="000000"/>
                <w:sz w:val="20"/>
                <w:lang w:eastAsia="es-MX"/>
              </w:rPr>
              <w:t>11.5</w:t>
            </w:r>
          </w:p>
        </w:tc>
        <w:tc>
          <w:tcPr>
            <w:tcW w:w="1600" w:type="dxa"/>
            <w:tcBorders>
              <w:top w:val="nil"/>
              <w:left w:val="nil"/>
              <w:bottom w:val="nil"/>
              <w:right w:val="nil"/>
            </w:tcBorders>
            <w:shd w:val="clear" w:color="auto" w:fill="CCE2E6"/>
            <w:vAlign w:val="center"/>
            <w:hideMark/>
          </w:tcPr>
          <w:p w14:paraId="51DC7A57" w14:textId="77777777" w:rsidR="009E086F" w:rsidRPr="000A71C5" w:rsidRDefault="009E086F" w:rsidP="00562DA7">
            <w:pPr>
              <w:widowControl/>
              <w:jc w:val="center"/>
              <w:rPr>
                <w:rFonts w:cs="Arial"/>
                <w:color w:val="000000"/>
                <w:sz w:val="20"/>
                <w:lang w:eastAsia="es-MX"/>
              </w:rPr>
            </w:pPr>
            <w:r w:rsidRPr="000A71C5">
              <w:rPr>
                <w:rFonts w:cs="Arial"/>
                <w:color w:val="000000"/>
                <w:sz w:val="20"/>
                <w:lang w:eastAsia="es-MX"/>
              </w:rPr>
              <w:t>11.3</w:t>
            </w:r>
          </w:p>
        </w:tc>
        <w:tc>
          <w:tcPr>
            <w:tcW w:w="1600" w:type="dxa"/>
            <w:tcBorders>
              <w:top w:val="nil"/>
              <w:left w:val="nil"/>
              <w:bottom w:val="nil"/>
              <w:right w:val="nil"/>
            </w:tcBorders>
            <w:shd w:val="clear" w:color="auto" w:fill="CCE2E6"/>
            <w:vAlign w:val="center"/>
            <w:hideMark/>
          </w:tcPr>
          <w:p w14:paraId="124E457B" w14:textId="77777777" w:rsidR="009E086F" w:rsidRPr="000A71C5" w:rsidRDefault="009E086F" w:rsidP="00562DA7">
            <w:pPr>
              <w:widowControl/>
              <w:jc w:val="center"/>
              <w:rPr>
                <w:rFonts w:cs="Arial"/>
                <w:color w:val="000000"/>
                <w:sz w:val="20"/>
                <w:lang w:eastAsia="es-MX"/>
              </w:rPr>
            </w:pPr>
            <w:r w:rsidRPr="000A71C5">
              <w:rPr>
                <w:rFonts w:cs="Arial"/>
                <w:color w:val="000000"/>
                <w:sz w:val="20"/>
                <w:lang w:eastAsia="es-MX"/>
              </w:rPr>
              <w:t>11.7</w:t>
            </w:r>
          </w:p>
        </w:tc>
      </w:tr>
      <w:tr w:rsidR="009E086F" w:rsidRPr="000A71C5" w14:paraId="0078614F" w14:textId="77777777" w:rsidTr="00562DA7">
        <w:trPr>
          <w:trHeight w:val="300"/>
        </w:trPr>
        <w:tc>
          <w:tcPr>
            <w:tcW w:w="4980" w:type="dxa"/>
            <w:gridSpan w:val="2"/>
            <w:tcBorders>
              <w:top w:val="nil"/>
              <w:left w:val="nil"/>
              <w:bottom w:val="nil"/>
              <w:right w:val="nil"/>
            </w:tcBorders>
            <w:shd w:val="clear" w:color="auto" w:fill="99C5CC"/>
            <w:vAlign w:val="center"/>
            <w:hideMark/>
          </w:tcPr>
          <w:p w14:paraId="3B9C31FC" w14:textId="77777777" w:rsidR="009E086F" w:rsidRPr="000A71C5" w:rsidRDefault="009E086F" w:rsidP="00562DA7">
            <w:pPr>
              <w:widowControl/>
              <w:jc w:val="left"/>
              <w:rPr>
                <w:rFonts w:cs="Arial"/>
                <w:b/>
                <w:bCs/>
                <w:color w:val="000000"/>
                <w:sz w:val="20"/>
                <w:lang w:eastAsia="es-MX"/>
              </w:rPr>
            </w:pPr>
            <w:r w:rsidRPr="000A71C5">
              <w:rPr>
                <w:rFonts w:cs="Arial"/>
                <w:b/>
                <w:bCs/>
                <w:color w:val="000000"/>
                <w:sz w:val="20"/>
                <w:lang w:eastAsia="es-MX"/>
              </w:rPr>
              <w:t>Asistencia escolar</w:t>
            </w:r>
          </w:p>
        </w:tc>
        <w:tc>
          <w:tcPr>
            <w:tcW w:w="1600" w:type="dxa"/>
            <w:tcBorders>
              <w:top w:val="nil"/>
              <w:left w:val="nil"/>
              <w:bottom w:val="nil"/>
              <w:right w:val="nil"/>
            </w:tcBorders>
            <w:shd w:val="clear" w:color="auto" w:fill="99C5CC"/>
            <w:vAlign w:val="center"/>
            <w:hideMark/>
          </w:tcPr>
          <w:p w14:paraId="72366237" w14:textId="77777777" w:rsidR="009E086F" w:rsidRPr="000A71C5" w:rsidRDefault="009E086F" w:rsidP="00562DA7">
            <w:pPr>
              <w:widowControl/>
              <w:jc w:val="center"/>
              <w:rPr>
                <w:rFonts w:cs="Arial"/>
                <w:b/>
                <w:bCs/>
                <w:color w:val="000000"/>
                <w:sz w:val="20"/>
                <w:lang w:eastAsia="es-MX"/>
              </w:rPr>
            </w:pPr>
            <w:r w:rsidRPr="000A71C5">
              <w:rPr>
                <w:rFonts w:cs="Arial"/>
                <w:b/>
                <w:bCs/>
                <w:color w:val="000000"/>
                <w:sz w:val="20"/>
                <w:lang w:eastAsia="es-MX"/>
              </w:rPr>
              <w:t> </w:t>
            </w:r>
          </w:p>
        </w:tc>
        <w:tc>
          <w:tcPr>
            <w:tcW w:w="1600" w:type="dxa"/>
            <w:tcBorders>
              <w:top w:val="nil"/>
              <w:left w:val="nil"/>
              <w:bottom w:val="nil"/>
              <w:right w:val="nil"/>
            </w:tcBorders>
            <w:shd w:val="clear" w:color="auto" w:fill="99C5CC"/>
            <w:vAlign w:val="center"/>
            <w:hideMark/>
          </w:tcPr>
          <w:p w14:paraId="2B62D7BC" w14:textId="77777777" w:rsidR="009E086F" w:rsidRPr="000A71C5" w:rsidRDefault="009E086F" w:rsidP="00562DA7">
            <w:pPr>
              <w:widowControl/>
              <w:jc w:val="center"/>
              <w:rPr>
                <w:rFonts w:cs="Arial"/>
                <w:b/>
                <w:bCs/>
                <w:color w:val="000000"/>
                <w:sz w:val="20"/>
                <w:lang w:eastAsia="es-MX"/>
              </w:rPr>
            </w:pPr>
            <w:r w:rsidRPr="000A71C5">
              <w:rPr>
                <w:rFonts w:cs="Arial"/>
                <w:b/>
                <w:bCs/>
                <w:color w:val="000000"/>
                <w:sz w:val="20"/>
                <w:lang w:eastAsia="es-MX"/>
              </w:rPr>
              <w:t> </w:t>
            </w:r>
          </w:p>
        </w:tc>
        <w:tc>
          <w:tcPr>
            <w:tcW w:w="1600" w:type="dxa"/>
            <w:tcBorders>
              <w:top w:val="nil"/>
              <w:left w:val="nil"/>
              <w:bottom w:val="nil"/>
              <w:right w:val="nil"/>
            </w:tcBorders>
            <w:shd w:val="clear" w:color="auto" w:fill="99C5CC"/>
            <w:vAlign w:val="center"/>
            <w:hideMark/>
          </w:tcPr>
          <w:p w14:paraId="09FB159A" w14:textId="77777777" w:rsidR="009E086F" w:rsidRPr="000A71C5" w:rsidRDefault="009E086F" w:rsidP="00562DA7">
            <w:pPr>
              <w:widowControl/>
              <w:jc w:val="center"/>
              <w:rPr>
                <w:rFonts w:cs="Arial"/>
                <w:b/>
                <w:bCs/>
                <w:color w:val="000000"/>
                <w:sz w:val="20"/>
                <w:lang w:eastAsia="es-MX"/>
              </w:rPr>
            </w:pPr>
            <w:r w:rsidRPr="000A71C5">
              <w:rPr>
                <w:rFonts w:cs="Arial"/>
                <w:b/>
                <w:bCs/>
                <w:color w:val="000000"/>
                <w:sz w:val="20"/>
                <w:lang w:eastAsia="es-MX"/>
              </w:rPr>
              <w:t> </w:t>
            </w:r>
          </w:p>
        </w:tc>
      </w:tr>
      <w:tr w:rsidR="009E086F" w:rsidRPr="000A71C5" w14:paraId="6A16534E" w14:textId="77777777" w:rsidTr="00562DA7">
        <w:trPr>
          <w:trHeight w:val="300"/>
        </w:trPr>
        <w:tc>
          <w:tcPr>
            <w:tcW w:w="220" w:type="dxa"/>
            <w:tcBorders>
              <w:top w:val="nil"/>
              <w:left w:val="nil"/>
              <w:bottom w:val="nil"/>
              <w:right w:val="nil"/>
            </w:tcBorders>
            <w:shd w:val="clear" w:color="auto" w:fill="CCE2E6"/>
            <w:noWrap/>
            <w:vAlign w:val="bottom"/>
            <w:hideMark/>
          </w:tcPr>
          <w:p w14:paraId="2539B532" w14:textId="77777777" w:rsidR="009E086F" w:rsidRPr="000A71C5" w:rsidRDefault="009E086F" w:rsidP="00562DA7">
            <w:pPr>
              <w:widowControl/>
              <w:jc w:val="left"/>
              <w:rPr>
                <w:rFonts w:ascii="Times New Roman" w:hAnsi="Times New Roman"/>
                <w:color w:val="000000"/>
                <w:sz w:val="20"/>
                <w:lang w:eastAsia="es-MX"/>
              </w:rPr>
            </w:pPr>
            <w:r w:rsidRPr="000A71C5">
              <w:rPr>
                <w:rFonts w:ascii="Times New Roman" w:hAnsi="Times New Roman"/>
                <w:color w:val="000000"/>
                <w:sz w:val="20"/>
                <w:lang w:eastAsia="es-MX"/>
              </w:rPr>
              <w:t> </w:t>
            </w:r>
          </w:p>
        </w:tc>
        <w:tc>
          <w:tcPr>
            <w:tcW w:w="4760" w:type="dxa"/>
            <w:tcBorders>
              <w:top w:val="nil"/>
              <w:left w:val="nil"/>
              <w:bottom w:val="nil"/>
              <w:right w:val="nil"/>
            </w:tcBorders>
            <w:shd w:val="clear" w:color="auto" w:fill="CCE2E6"/>
            <w:vAlign w:val="center"/>
            <w:hideMark/>
          </w:tcPr>
          <w:p w14:paraId="31E8FA0F" w14:textId="77777777" w:rsidR="009E086F" w:rsidRPr="000A71C5" w:rsidRDefault="009E086F" w:rsidP="00562DA7">
            <w:pPr>
              <w:widowControl/>
              <w:jc w:val="left"/>
              <w:rPr>
                <w:rFonts w:cs="Arial"/>
                <w:color w:val="000000"/>
                <w:sz w:val="20"/>
                <w:lang w:eastAsia="es-MX"/>
              </w:rPr>
            </w:pPr>
            <w:r w:rsidRPr="000A71C5">
              <w:rPr>
                <w:rFonts w:cs="Arial"/>
                <w:color w:val="000000"/>
                <w:sz w:val="20"/>
                <w:lang w:eastAsia="es-MX"/>
              </w:rPr>
              <w:t>Asiste</w:t>
            </w:r>
          </w:p>
        </w:tc>
        <w:tc>
          <w:tcPr>
            <w:tcW w:w="1600" w:type="dxa"/>
            <w:tcBorders>
              <w:top w:val="nil"/>
              <w:left w:val="nil"/>
              <w:bottom w:val="nil"/>
              <w:right w:val="nil"/>
            </w:tcBorders>
            <w:shd w:val="clear" w:color="auto" w:fill="CCE2E6"/>
            <w:vAlign w:val="center"/>
            <w:hideMark/>
          </w:tcPr>
          <w:p w14:paraId="51CDEDF3" w14:textId="77777777" w:rsidR="009E086F" w:rsidRPr="000A71C5" w:rsidRDefault="009E086F" w:rsidP="00562DA7">
            <w:pPr>
              <w:widowControl/>
              <w:jc w:val="center"/>
              <w:rPr>
                <w:rFonts w:cs="Arial"/>
                <w:color w:val="000000"/>
                <w:sz w:val="20"/>
                <w:lang w:eastAsia="es-MX"/>
              </w:rPr>
            </w:pPr>
            <w:r w:rsidRPr="000A71C5">
              <w:rPr>
                <w:rFonts w:cs="Arial"/>
                <w:color w:val="000000"/>
                <w:sz w:val="20"/>
                <w:lang w:eastAsia="es-MX"/>
              </w:rPr>
              <w:t>5.8</w:t>
            </w:r>
          </w:p>
        </w:tc>
        <w:tc>
          <w:tcPr>
            <w:tcW w:w="1600" w:type="dxa"/>
            <w:tcBorders>
              <w:top w:val="nil"/>
              <w:left w:val="nil"/>
              <w:bottom w:val="nil"/>
              <w:right w:val="nil"/>
            </w:tcBorders>
            <w:shd w:val="clear" w:color="auto" w:fill="CCE2E6"/>
            <w:vAlign w:val="center"/>
            <w:hideMark/>
          </w:tcPr>
          <w:p w14:paraId="642E52F6" w14:textId="77777777" w:rsidR="009E086F" w:rsidRPr="000A71C5" w:rsidRDefault="009E086F" w:rsidP="00562DA7">
            <w:pPr>
              <w:widowControl/>
              <w:jc w:val="center"/>
              <w:rPr>
                <w:rFonts w:cs="Arial"/>
                <w:color w:val="000000"/>
                <w:sz w:val="20"/>
                <w:lang w:eastAsia="es-MX"/>
              </w:rPr>
            </w:pPr>
            <w:r w:rsidRPr="000A71C5">
              <w:rPr>
                <w:rFonts w:cs="Arial"/>
                <w:color w:val="000000"/>
                <w:sz w:val="20"/>
                <w:lang w:eastAsia="es-MX"/>
              </w:rPr>
              <w:t>5.7</w:t>
            </w:r>
          </w:p>
        </w:tc>
        <w:tc>
          <w:tcPr>
            <w:tcW w:w="1600" w:type="dxa"/>
            <w:tcBorders>
              <w:top w:val="nil"/>
              <w:left w:val="nil"/>
              <w:bottom w:val="nil"/>
              <w:right w:val="nil"/>
            </w:tcBorders>
            <w:shd w:val="clear" w:color="auto" w:fill="CCE2E6"/>
            <w:vAlign w:val="center"/>
            <w:hideMark/>
          </w:tcPr>
          <w:p w14:paraId="60319B0E" w14:textId="77777777" w:rsidR="009E086F" w:rsidRPr="000A71C5" w:rsidRDefault="009E086F" w:rsidP="00562DA7">
            <w:pPr>
              <w:widowControl/>
              <w:jc w:val="center"/>
              <w:rPr>
                <w:rFonts w:cs="Arial"/>
                <w:color w:val="000000"/>
                <w:sz w:val="20"/>
                <w:lang w:eastAsia="es-MX"/>
              </w:rPr>
            </w:pPr>
            <w:r w:rsidRPr="000A71C5">
              <w:rPr>
                <w:rFonts w:cs="Arial"/>
                <w:color w:val="000000"/>
                <w:sz w:val="20"/>
                <w:lang w:eastAsia="es-MX"/>
              </w:rPr>
              <w:t>5.8</w:t>
            </w:r>
          </w:p>
        </w:tc>
      </w:tr>
      <w:tr w:rsidR="009E086F" w:rsidRPr="000A71C5" w14:paraId="47CB7C6D" w14:textId="77777777" w:rsidTr="00562DA7">
        <w:trPr>
          <w:trHeight w:val="300"/>
        </w:trPr>
        <w:tc>
          <w:tcPr>
            <w:tcW w:w="220" w:type="dxa"/>
            <w:tcBorders>
              <w:top w:val="nil"/>
              <w:left w:val="nil"/>
              <w:bottom w:val="nil"/>
              <w:right w:val="nil"/>
            </w:tcBorders>
            <w:shd w:val="clear" w:color="auto" w:fill="CCE2E6"/>
            <w:noWrap/>
            <w:vAlign w:val="bottom"/>
            <w:hideMark/>
          </w:tcPr>
          <w:p w14:paraId="7586D4C3" w14:textId="77777777" w:rsidR="009E086F" w:rsidRPr="000A71C5" w:rsidRDefault="009E086F" w:rsidP="00562DA7">
            <w:pPr>
              <w:widowControl/>
              <w:jc w:val="left"/>
              <w:rPr>
                <w:rFonts w:ascii="Times New Roman" w:hAnsi="Times New Roman"/>
                <w:color w:val="000000"/>
                <w:sz w:val="20"/>
                <w:lang w:eastAsia="es-MX"/>
              </w:rPr>
            </w:pPr>
            <w:r w:rsidRPr="000A71C5">
              <w:rPr>
                <w:rFonts w:ascii="Times New Roman" w:hAnsi="Times New Roman"/>
                <w:color w:val="000000"/>
                <w:sz w:val="20"/>
                <w:lang w:eastAsia="es-MX"/>
              </w:rPr>
              <w:t> </w:t>
            </w:r>
          </w:p>
        </w:tc>
        <w:tc>
          <w:tcPr>
            <w:tcW w:w="4760" w:type="dxa"/>
            <w:tcBorders>
              <w:top w:val="nil"/>
              <w:left w:val="nil"/>
              <w:bottom w:val="nil"/>
              <w:right w:val="nil"/>
            </w:tcBorders>
            <w:shd w:val="clear" w:color="auto" w:fill="CCE2E6"/>
            <w:vAlign w:val="center"/>
            <w:hideMark/>
          </w:tcPr>
          <w:p w14:paraId="509D3F97" w14:textId="77777777" w:rsidR="009E086F" w:rsidRPr="000A71C5" w:rsidRDefault="009E086F" w:rsidP="00562DA7">
            <w:pPr>
              <w:widowControl/>
              <w:jc w:val="left"/>
              <w:rPr>
                <w:rFonts w:cs="Arial"/>
                <w:color w:val="000000"/>
                <w:sz w:val="20"/>
                <w:lang w:eastAsia="es-MX"/>
              </w:rPr>
            </w:pPr>
            <w:r w:rsidRPr="000A71C5">
              <w:rPr>
                <w:rFonts w:cs="Arial"/>
                <w:color w:val="000000"/>
                <w:sz w:val="20"/>
                <w:lang w:eastAsia="es-MX"/>
              </w:rPr>
              <w:t>No asiste</w:t>
            </w:r>
          </w:p>
        </w:tc>
        <w:tc>
          <w:tcPr>
            <w:tcW w:w="1600" w:type="dxa"/>
            <w:tcBorders>
              <w:top w:val="nil"/>
              <w:left w:val="nil"/>
              <w:bottom w:val="nil"/>
              <w:right w:val="nil"/>
            </w:tcBorders>
            <w:shd w:val="clear" w:color="auto" w:fill="CCE2E6"/>
            <w:vAlign w:val="center"/>
            <w:hideMark/>
          </w:tcPr>
          <w:p w14:paraId="3B9D5C59" w14:textId="77777777" w:rsidR="009E086F" w:rsidRPr="000A71C5" w:rsidRDefault="009E086F" w:rsidP="00562DA7">
            <w:pPr>
              <w:widowControl/>
              <w:jc w:val="center"/>
              <w:rPr>
                <w:rFonts w:cs="Arial"/>
                <w:color w:val="000000"/>
                <w:sz w:val="20"/>
                <w:lang w:eastAsia="es-MX"/>
              </w:rPr>
            </w:pPr>
            <w:r w:rsidRPr="000A71C5">
              <w:rPr>
                <w:rFonts w:cs="Arial"/>
                <w:color w:val="000000"/>
                <w:sz w:val="20"/>
                <w:lang w:eastAsia="es-MX"/>
              </w:rPr>
              <w:t>18.9</w:t>
            </w:r>
          </w:p>
        </w:tc>
        <w:tc>
          <w:tcPr>
            <w:tcW w:w="1600" w:type="dxa"/>
            <w:tcBorders>
              <w:top w:val="nil"/>
              <w:left w:val="nil"/>
              <w:bottom w:val="nil"/>
              <w:right w:val="nil"/>
            </w:tcBorders>
            <w:shd w:val="clear" w:color="auto" w:fill="CCE2E6"/>
            <w:vAlign w:val="center"/>
            <w:hideMark/>
          </w:tcPr>
          <w:p w14:paraId="1EEC89AB" w14:textId="77777777" w:rsidR="009E086F" w:rsidRPr="000A71C5" w:rsidRDefault="009E086F" w:rsidP="00562DA7">
            <w:pPr>
              <w:widowControl/>
              <w:jc w:val="center"/>
              <w:rPr>
                <w:rFonts w:cs="Arial"/>
                <w:color w:val="000000"/>
                <w:sz w:val="20"/>
                <w:lang w:eastAsia="es-MX"/>
              </w:rPr>
            </w:pPr>
            <w:r w:rsidRPr="000A71C5">
              <w:rPr>
                <w:rFonts w:cs="Arial"/>
                <w:color w:val="000000"/>
                <w:sz w:val="20"/>
                <w:lang w:eastAsia="es-MX"/>
              </w:rPr>
              <w:t>13.7</w:t>
            </w:r>
          </w:p>
        </w:tc>
        <w:tc>
          <w:tcPr>
            <w:tcW w:w="1600" w:type="dxa"/>
            <w:tcBorders>
              <w:top w:val="nil"/>
              <w:left w:val="nil"/>
              <w:bottom w:val="nil"/>
              <w:right w:val="nil"/>
            </w:tcBorders>
            <w:shd w:val="clear" w:color="auto" w:fill="CCE2E6"/>
            <w:vAlign w:val="center"/>
            <w:hideMark/>
          </w:tcPr>
          <w:p w14:paraId="736A1599" w14:textId="77777777" w:rsidR="009E086F" w:rsidRPr="000A71C5" w:rsidRDefault="009E086F" w:rsidP="00562DA7">
            <w:pPr>
              <w:widowControl/>
              <w:jc w:val="center"/>
              <w:rPr>
                <w:rFonts w:cs="Arial"/>
                <w:color w:val="000000"/>
                <w:sz w:val="20"/>
                <w:lang w:eastAsia="es-MX"/>
              </w:rPr>
            </w:pPr>
            <w:r w:rsidRPr="000A71C5">
              <w:rPr>
                <w:rFonts w:cs="Arial"/>
                <w:color w:val="000000"/>
                <w:sz w:val="20"/>
                <w:lang w:eastAsia="es-MX"/>
              </w:rPr>
              <w:t>25.3</w:t>
            </w:r>
          </w:p>
        </w:tc>
      </w:tr>
      <w:tr w:rsidR="009E086F" w:rsidRPr="000A71C5" w14:paraId="2AAC67C0" w14:textId="77777777" w:rsidTr="00562DA7">
        <w:trPr>
          <w:trHeight w:val="300"/>
        </w:trPr>
        <w:tc>
          <w:tcPr>
            <w:tcW w:w="4980" w:type="dxa"/>
            <w:gridSpan w:val="2"/>
            <w:tcBorders>
              <w:top w:val="nil"/>
              <w:left w:val="nil"/>
              <w:bottom w:val="nil"/>
              <w:right w:val="nil"/>
            </w:tcBorders>
            <w:shd w:val="clear" w:color="auto" w:fill="99C5CC"/>
            <w:vAlign w:val="center"/>
            <w:hideMark/>
          </w:tcPr>
          <w:p w14:paraId="64714686" w14:textId="77777777" w:rsidR="009E086F" w:rsidRPr="000A71C5" w:rsidRDefault="009E086F" w:rsidP="00562DA7">
            <w:pPr>
              <w:widowControl/>
              <w:jc w:val="left"/>
              <w:rPr>
                <w:rFonts w:cs="Arial"/>
                <w:b/>
                <w:bCs/>
                <w:color w:val="000000"/>
                <w:sz w:val="20"/>
                <w:lang w:eastAsia="es-MX"/>
              </w:rPr>
            </w:pPr>
            <w:r w:rsidRPr="000A71C5">
              <w:rPr>
                <w:rFonts w:cs="Arial"/>
                <w:b/>
                <w:bCs/>
                <w:color w:val="000000"/>
                <w:sz w:val="20"/>
                <w:lang w:eastAsia="es-MX"/>
              </w:rPr>
              <w:t>Tipo de localidad</w:t>
            </w:r>
          </w:p>
        </w:tc>
        <w:tc>
          <w:tcPr>
            <w:tcW w:w="1600" w:type="dxa"/>
            <w:tcBorders>
              <w:top w:val="nil"/>
              <w:left w:val="nil"/>
              <w:bottom w:val="nil"/>
              <w:right w:val="nil"/>
            </w:tcBorders>
            <w:shd w:val="clear" w:color="auto" w:fill="99C5CC"/>
            <w:vAlign w:val="center"/>
            <w:hideMark/>
          </w:tcPr>
          <w:p w14:paraId="68AB7638" w14:textId="77777777" w:rsidR="009E086F" w:rsidRPr="000A71C5" w:rsidRDefault="009E086F" w:rsidP="00562DA7">
            <w:pPr>
              <w:widowControl/>
              <w:jc w:val="center"/>
              <w:rPr>
                <w:rFonts w:cs="Arial"/>
                <w:b/>
                <w:bCs/>
                <w:color w:val="000000"/>
                <w:sz w:val="20"/>
                <w:lang w:eastAsia="es-MX"/>
              </w:rPr>
            </w:pPr>
            <w:r w:rsidRPr="000A71C5">
              <w:rPr>
                <w:rFonts w:cs="Arial"/>
                <w:b/>
                <w:bCs/>
                <w:color w:val="000000"/>
                <w:sz w:val="20"/>
                <w:lang w:eastAsia="es-MX"/>
              </w:rPr>
              <w:t> </w:t>
            </w:r>
          </w:p>
        </w:tc>
        <w:tc>
          <w:tcPr>
            <w:tcW w:w="1600" w:type="dxa"/>
            <w:tcBorders>
              <w:top w:val="nil"/>
              <w:left w:val="nil"/>
              <w:bottom w:val="nil"/>
              <w:right w:val="nil"/>
            </w:tcBorders>
            <w:shd w:val="clear" w:color="auto" w:fill="99C5CC"/>
            <w:vAlign w:val="center"/>
            <w:hideMark/>
          </w:tcPr>
          <w:p w14:paraId="14E31FA2" w14:textId="77777777" w:rsidR="009E086F" w:rsidRPr="000A71C5" w:rsidRDefault="009E086F" w:rsidP="00562DA7">
            <w:pPr>
              <w:widowControl/>
              <w:jc w:val="center"/>
              <w:rPr>
                <w:rFonts w:cs="Arial"/>
                <w:b/>
                <w:bCs/>
                <w:color w:val="000000"/>
                <w:sz w:val="20"/>
                <w:lang w:eastAsia="es-MX"/>
              </w:rPr>
            </w:pPr>
            <w:r w:rsidRPr="000A71C5">
              <w:rPr>
                <w:rFonts w:cs="Arial"/>
                <w:b/>
                <w:bCs/>
                <w:color w:val="000000"/>
                <w:sz w:val="20"/>
                <w:lang w:eastAsia="es-MX"/>
              </w:rPr>
              <w:t> </w:t>
            </w:r>
          </w:p>
        </w:tc>
        <w:tc>
          <w:tcPr>
            <w:tcW w:w="1600" w:type="dxa"/>
            <w:tcBorders>
              <w:top w:val="nil"/>
              <w:left w:val="nil"/>
              <w:bottom w:val="nil"/>
              <w:right w:val="nil"/>
            </w:tcBorders>
            <w:shd w:val="clear" w:color="auto" w:fill="99C5CC"/>
            <w:vAlign w:val="center"/>
            <w:hideMark/>
          </w:tcPr>
          <w:p w14:paraId="684142CC" w14:textId="77777777" w:rsidR="009E086F" w:rsidRPr="000A71C5" w:rsidRDefault="009E086F" w:rsidP="00562DA7">
            <w:pPr>
              <w:widowControl/>
              <w:jc w:val="center"/>
              <w:rPr>
                <w:rFonts w:cs="Arial"/>
                <w:b/>
                <w:bCs/>
                <w:color w:val="000000"/>
                <w:sz w:val="20"/>
                <w:lang w:eastAsia="es-MX"/>
              </w:rPr>
            </w:pPr>
            <w:r w:rsidRPr="000A71C5">
              <w:rPr>
                <w:rFonts w:cs="Arial"/>
                <w:b/>
                <w:bCs/>
                <w:color w:val="000000"/>
                <w:sz w:val="20"/>
                <w:lang w:eastAsia="es-MX"/>
              </w:rPr>
              <w:t> </w:t>
            </w:r>
          </w:p>
        </w:tc>
      </w:tr>
      <w:tr w:rsidR="009E086F" w:rsidRPr="000A71C5" w14:paraId="0EAF70D6" w14:textId="77777777" w:rsidTr="00562DA7">
        <w:trPr>
          <w:trHeight w:val="300"/>
        </w:trPr>
        <w:tc>
          <w:tcPr>
            <w:tcW w:w="220" w:type="dxa"/>
            <w:tcBorders>
              <w:top w:val="nil"/>
              <w:left w:val="nil"/>
              <w:right w:val="nil"/>
            </w:tcBorders>
            <w:shd w:val="clear" w:color="auto" w:fill="CCE2E6"/>
            <w:noWrap/>
            <w:vAlign w:val="bottom"/>
            <w:hideMark/>
          </w:tcPr>
          <w:p w14:paraId="3314E9D9" w14:textId="77777777" w:rsidR="009E086F" w:rsidRPr="000A71C5" w:rsidRDefault="009E086F" w:rsidP="00562DA7">
            <w:pPr>
              <w:widowControl/>
              <w:jc w:val="left"/>
              <w:rPr>
                <w:rFonts w:ascii="Times New Roman" w:hAnsi="Times New Roman"/>
                <w:color w:val="000000"/>
                <w:sz w:val="20"/>
                <w:lang w:eastAsia="es-MX"/>
              </w:rPr>
            </w:pPr>
            <w:r w:rsidRPr="000A71C5">
              <w:rPr>
                <w:rFonts w:ascii="Times New Roman" w:hAnsi="Times New Roman" w:cs="Arial"/>
                <w:color w:val="000000"/>
                <w:sz w:val="20"/>
                <w:lang w:eastAsia="es-MX"/>
              </w:rPr>
              <w:t> </w:t>
            </w:r>
          </w:p>
        </w:tc>
        <w:tc>
          <w:tcPr>
            <w:tcW w:w="4760" w:type="dxa"/>
            <w:tcBorders>
              <w:top w:val="nil"/>
              <w:left w:val="nil"/>
              <w:right w:val="nil"/>
            </w:tcBorders>
            <w:shd w:val="clear" w:color="auto" w:fill="CCE2E6"/>
            <w:vAlign w:val="center"/>
            <w:hideMark/>
          </w:tcPr>
          <w:p w14:paraId="445BED0B" w14:textId="77777777" w:rsidR="009E086F" w:rsidRPr="000A71C5" w:rsidRDefault="009E086F" w:rsidP="00562DA7">
            <w:pPr>
              <w:widowControl/>
              <w:jc w:val="left"/>
              <w:rPr>
                <w:rFonts w:cs="Arial"/>
                <w:color w:val="000000"/>
                <w:sz w:val="20"/>
                <w:lang w:eastAsia="es-MX"/>
              </w:rPr>
            </w:pPr>
            <w:r w:rsidRPr="000A71C5">
              <w:rPr>
                <w:rFonts w:cs="Arial"/>
                <w:sz w:val="20"/>
                <w:lang w:eastAsia="es-MX"/>
              </w:rPr>
              <w:t>Áreas más urbanizadas</w:t>
            </w:r>
          </w:p>
        </w:tc>
        <w:tc>
          <w:tcPr>
            <w:tcW w:w="1600" w:type="dxa"/>
            <w:tcBorders>
              <w:top w:val="nil"/>
              <w:left w:val="nil"/>
              <w:right w:val="nil"/>
            </w:tcBorders>
            <w:shd w:val="clear" w:color="auto" w:fill="CCE2E6"/>
            <w:vAlign w:val="center"/>
            <w:hideMark/>
          </w:tcPr>
          <w:p w14:paraId="15A19637" w14:textId="77777777" w:rsidR="009E086F" w:rsidRPr="000A71C5" w:rsidRDefault="009E086F" w:rsidP="00562DA7">
            <w:pPr>
              <w:widowControl/>
              <w:jc w:val="center"/>
              <w:rPr>
                <w:rFonts w:cs="Arial"/>
                <w:color w:val="000000"/>
                <w:sz w:val="20"/>
                <w:lang w:eastAsia="es-MX"/>
              </w:rPr>
            </w:pPr>
            <w:r w:rsidRPr="000A71C5">
              <w:rPr>
                <w:rFonts w:cs="Arial"/>
                <w:color w:val="000000"/>
                <w:sz w:val="20"/>
                <w:lang w:eastAsia="es-MX"/>
              </w:rPr>
              <w:t>4.9</w:t>
            </w:r>
          </w:p>
        </w:tc>
        <w:tc>
          <w:tcPr>
            <w:tcW w:w="1600" w:type="dxa"/>
            <w:tcBorders>
              <w:top w:val="nil"/>
              <w:left w:val="nil"/>
              <w:right w:val="nil"/>
            </w:tcBorders>
            <w:shd w:val="clear" w:color="auto" w:fill="CCE2E6"/>
            <w:vAlign w:val="center"/>
            <w:hideMark/>
          </w:tcPr>
          <w:p w14:paraId="730C7FF0" w14:textId="77777777" w:rsidR="009E086F" w:rsidRPr="000A71C5" w:rsidRDefault="009E086F" w:rsidP="00562DA7">
            <w:pPr>
              <w:widowControl/>
              <w:jc w:val="center"/>
              <w:rPr>
                <w:rFonts w:cs="Arial"/>
                <w:color w:val="000000"/>
                <w:sz w:val="20"/>
                <w:lang w:eastAsia="es-MX"/>
              </w:rPr>
            </w:pPr>
            <w:r w:rsidRPr="000A71C5">
              <w:rPr>
                <w:rFonts w:cs="Arial"/>
                <w:color w:val="000000"/>
                <w:sz w:val="20"/>
                <w:lang w:eastAsia="es-MX"/>
              </w:rPr>
              <w:t>4.9</w:t>
            </w:r>
          </w:p>
        </w:tc>
        <w:tc>
          <w:tcPr>
            <w:tcW w:w="1600" w:type="dxa"/>
            <w:tcBorders>
              <w:top w:val="nil"/>
              <w:left w:val="nil"/>
              <w:right w:val="nil"/>
            </w:tcBorders>
            <w:shd w:val="clear" w:color="auto" w:fill="CCE2E6"/>
            <w:vAlign w:val="center"/>
            <w:hideMark/>
          </w:tcPr>
          <w:p w14:paraId="419510B9" w14:textId="77777777" w:rsidR="009E086F" w:rsidRPr="000A71C5" w:rsidRDefault="009E086F" w:rsidP="00562DA7">
            <w:pPr>
              <w:widowControl/>
              <w:jc w:val="center"/>
              <w:rPr>
                <w:rFonts w:cs="Arial"/>
                <w:color w:val="000000"/>
                <w:sz w:val="20"/>
                <w:lang w:eastAsia="es-MX"/>
              </w:rPr>
            </w:pPr>
            <w:r w:rsidRPr="000A71C5">
              <w:rPr>
                <w:rFonts w:cs="Arial"/>
                <w:color w:val="000000"/>
                <w:sz w:val="20"/>
                <w:lang w:eastAsia="es-MX"/>
              </w:rPr>
              <w:t>4.8</w:t>
            </w:r>
          </w:p>
        </w:tc>
      </w:tr>
      <w:tr w:rsidR="009E086F" w:rsidRPr="000A71C5" w14:paraId="1ADFE11E" w14:textId="77777777" w:rsidTr="00562DA7">
        <w:trPr>
          <w:trHeight w:val="300"/>
        </w:trPr>
        <w:tc>
          <w:tcPr>
            <w:tcW w:w="220" w:type="dxa"/>
            <w:tcBorders>
              <w:top w:val="nil"/>
              <w:left w:val="nil"/>
              <w:right w:val="nil"/>
            </w:tcBorders>
            <w:shd w:val="clear" w:color="auto" w:fill="CCE2E6"/>
            <w:vAlign w:val="center"/>
            <w:hideMark/>
          </w:tcPr>
          <w:p w14:paraId="7B887D3B" w14:textId="77777777" w:rsidR="009E086F" w:rsidRPr="000A71C5" w:rsidRDefault="009E086F" w:rsidP="00562DA7">
            <w:pPr>
              <w:widowControl/>
              <w:jc w:val="left"/>
              <w:rPr>
                <w:rFonts w:ascii="Times New Roman" w:hAnsi="Times New Roman"/>
                <w:color w:val="000000"/>
                <w:sz w:val="20"/>
                <w:lang w:eastAsia="es-MX"/>
              </w:rPr>
            </w:pPr>
            <w:r w:rsidRPr="000A71C5">
              <w:rPr>
                <w:rFonts w:ascii="Times New Roman" w:hAnsi="Times New Roman" w:cs="Arial"/>
                <w:color w:val="000000"/>
                <w:sz w:val="20"/>
                <w:lang w:eastAsia="es-MX"/>
              </w:rPr>
              <w:t> </w:t>
            </w:r>
          </w:p>
        </w:tc>
        <w:tc>
          <w:tcPr>
            <w:tcW w:w="4760" w:type="dxa"/>
            <w:tcBorders>
              <w:top w:val="nil"/>
              <w:left w:val="nil"/>
              <w:right w:val="nil"/>
            </w:tcBorders>
            <w:shd w:val="clear" w:color="auto" w:fill="CCE2E6"/>
            <w:vAlign w:val="center"/>
            <w:hideMark/>
          </w:tcPr>
          <w:p w14:paraId="3E39492E" w14:textId="77777777" w:rsidR="009E086F" w:rsidRPr="000A71C5" w:rsidRDefault="009E086F" w:rsidP="00562DA7">
            <w:pPr>
              <w:widowControl/>
              <w:jc w:val="left"/>
              <w:rPr>
                <w:rFonts w:cs="Arial"/>
                <w:color w:val="000000"/>
                <w:sz w:val="20"/>
                <w:lang w:eastAsia="es-MX"/>
              </w:rPr>
            </w:pPr>
            <w:r w:rsidRPr="000A71C5">
              <w:rPr>
                <w:rFonts w:cs="Arial"/>
                <w:sz w:val="20"/>
                <w:lang w:eastAsia="es-MX"/>
              </w:rPr>
              <w:t>Áreas menos urbanizadas</w:t>
            </w:r>
          </w:p>
        </w:tc>
        <w:tc>
          <w:tcPr>
            <w:tcW w:w="1600" w:type="dxa"/>
            <w:tcBorders>
              <w:top w:val="nil"/>
              <w:left w:val="nil"/>
              <w:right w:val="nil"/>
            </w:tcBorders>
            <w:shd w:val="clear" w:color="auto" w:fill="CCE2E6"/>
            <w:vAlign w:val="center"/>
            <w:hideMark/>
          </w:tcPr>
          <w:p w14:paraId="36B93038" w14:textId="77777777" w:rsidR="009E086F" w:rsidRPr="000A71C5" w:rsidRDefault="009E086F" w:rsidP="00562DA7">
            <w:pPr>
              <w:widowControl/>
              <w:jc w:val="center"/>
              <w:rPr>
                <w:rFonts w:cs="Arial"/>
                <w:color w:val="000000"/>
                <w:sz w:val="20"/>
                <w:lang w:eastAsia="es-MX"/>
              </w:rPr>
            </w:pPr>
            <w:r w:rsidRPr="000A71C5">
              <w:rPr>
                <w:rFonts w:cs="Arial"/>
                <w:color w:val="000000"/>
                <w:sz w:val="20"/>
                <w:lang w:eastAsia="es-MX"/>
              </w:rPr>
              <w:t>8.1</w:t>
            </w:r>
          </w:p>
        </w:tc>
        <w:tc>
          <w:tcPr>
            <w:tcW w:w="1600" w:type="dxa"/>
            <w:tcBorders>
              <w:top w:val="nil"/>
              <w:left w:val="nil"/>
              <w:right w:val="nil"/>
            </w:tcBorders>
            <w:shd w:val="clear" w:color="auto" w:fill="CCE2E6"/>
            <w:vAlign w:val="center"/>
            <w:hideMark/>
          </w:tcPr>
          <w:p w14:paraId="797BAB42" w14:textId="77777777" w:rsidR="009E086F" w:rsidRPr="000A71C5" w:rsidRDefault="009E086F" w:rsidP="00562DA7">
            <w:pPr>
              <w:widowControl/>
              <w:jc w:val="center"/>
              <w:rPr>
                <w:rFonts w:cs="Arial"/>
                <w:color w:val="000000"/>
                <w:sz w:val="20"/>
                <w:lang w:eastAsia="es-MX"/>
              </w:rPr>
            </w:pPr>
            <w:r w:rsidRPr="000A71C5">
              <w:rPr>
                <w:rFonts w:cs="Arial"/>
                <w:color w:val="000000"/>
                <w:sz w:val="20"/>
                <w:lang w:eastAsia="es-MX"/>
              </w:rPr>
              <w:t>7.4</w:t>
            </w:r>
          </w:p>
        </w:tc>
        <w:tc>
          <w:tcPr>
            <w:tcW w:w="1600" w:type="dxa"/>
            <w:tcBorders>
              <w:top w:val="nil"/>
              <w:left w:val="nil"/>
              <w:right w:val="nil"/>
            </w:tcBorders>
            <w:shd w:val="clear" w:color="auto" w:fill="CCE2E6"/>
            <w:vAlign w:val="center"/>
            <w:hideMark/>
          </w:tcPr>
          <w:p w14:paraId="1865F7CB" w14:textId="77777777" w:rsidR="009E086F" w:rsidRPr="000A71C5" w:rsidRDefault="009E086F" w:rsidP="00562DA7">
            <w:pPr>
              <w:widowControl/>
              <w:jc w:val="center"/>
              <w:rPr>
                <w:rFonts w:cs="Arial"/>
                <w:color w:val="000000"/>
                <w:sz w:val="20"/>
                <w:lang w:eastAsia="es-MX"/>
              </w:rPr>
            </w:pPr>
            <w:r w:rsidRPr="000A71C5">
              <w:rPr>
                <w:rFonts w:cs="Arial"/>
                <w:color w:val="000000"/>
                <w:sz w:val="20"/>
                <w:lang w:eastAsia="es-MX"/>
              </w:rPr>
              <w:t>8.7</w:t>
            </w:r>
          </w:p>
        </w:tc>
      </w:tr>
    </w:tbl>
    <w:p w14:paraId="19CC027C" w14:textId="67A27623" w:rsidR="009E086F" w:rsidRDefault="009E086F" w:rsidP="009E086F">
      <w:pPr>
        <w:widowControl/>
        <w:autoSpaceDE w:val="0"/>
        <w:autoSpaceDN w:val="0"/>
        <w:adjustRightInd w:val="0"/>
        <w:rPr>
          <w:rFonts w:cs="Arial"/>
          <w:szCs w:val="24"/>
        </w:rPr>
      </w:pPr>
      <w:r w:rsidRPr="00560388">
        <w:rPr>
          <w:rFonts w:cs="Arial"/>
          <w:color w:val="000000" w:themeColor="text1"/>
          <w:sz w:val="16"/>
          <w:szCs w:val="16"/>
        </w:rPr>
        <w:t>Fuente: INEGI, ENTI. 2022</w:t>
      </w:r>
      <w:r>
        <w:rPr>
          <w:rFonts w:cs="Arial"/>
          <w:color w:val="000000" w:themeColor="text1"/>
          <w:sz w:val="18"/>
          <w:szCs w:val="18"/>
        </w:rPr>
        <w:t>.</w:t>
      </w:r>
    </w:p>
    <w:p w14:paraId="6EE7D593" w14:textId="77777777" w:rsidR="00791592" w:rsidRPr="0037646C" w:rsidRDefault="00791592" w:rsidP="00C15A05">
      <w:pPr>
        <w:widowControl/>
        <w:autoSpaceDE w:val="0"/>
        <w:autoSpaceDN w:val="0"/>
        <w:adjustRightInd w:val="0"/>
        <w:rPr>
          <w:rFonts w:cs="Arial"/>
          <w:szCs w:val="24"/>
        </w:rPr>
      </w:pPr>
    </w:p>
    <w:p w14:paraId="2CAD6117" w14:textId="799FB170" w:rsidR="008F2F07" w:rsidRDefault="00791592" w:rsidP="000E1EBC">
      <w:pPr>
        <w:widowControl/>
        <w:autoSpaceDE w:val="0"/>
        <w:autoSpaceDN w:val="0"/>
        <w:adjustRightInd w:val="0"/>
        <w:ind w:right="51"/>
        <w:rPr>
          <w:rFonts w:cs="Arial"/>
          <w:szCs w:val="24"/>
        </w:rPr>
      </w:pPr>
      <w:r>
        <w:rPr>
          <w:rFonts w:cs="Arial"/>
          <w:szCs w:val="24"/>
        </w:rPr>
        <w:t xml:space="preserve">En las áreas más urbanizadas (localidades de 100 mil y más habitantes) la tasa de </w:t>
      </w:r>
      <w:r>
        <w:rPr>
          <w:rFonts w:cs="Arial"/>
          <w:color w:val="000000"/>
          <w:szCs w:val="24"/>
        </w:rPr>
        <w:t>quehaceres domésticos en condiciones no adecuadas</w:t>
      </w:r>
      <w:r>
        <w:rPr>
          <w:rFonts w:cs="Arial"/>
          <w:szCs w:val="24"/>
        </w:rPr>
        <w:t xml:space="preserve"> fue de</w:t>
      </w:r>
      <w:r w:rsidRPr="0037646C">
        <w:rPr>
          <w:rFonts w:cs="Arial"/>
          <w:color w:val="000000"/>
          <w:szCs w:val="24"/>
        </w:rPr>
        <w:t xml:space="preserve"> </w:t>
      </w:r>
      <w:r>
        <w:rPr>
          <w:rFonts w:cs="Arial"/>
          <w:color w:val="000000"/>
          <w:szCs w:val="24"/>
        </w:rPr>
        <w:t>4.9</w:t>
      </w:r>
      <w:r w:rsidRPr="0037646C">
        <w:rPr>
          <w:rFonts w:cs="Arial"/>
          <w:color w:val="000000"/>
          <w:szCs w:val="24"/>
        </w:rPr>
        <w:t xml:space="preserve"> </w:t>
      </w:r>
      <w:r w:rsidR="008F2F07">
        <w:rPr>
          <w:rFonts w:cs="Arial"/>
          <w:color w:val="000000"/>
          <w:szCs w:val="24"/>
        </w:rPr>
        <w:t>por ciento. A los niños</w:t>
      </w:r>
      <w:r w:rsidRPr="0037646C">
        <w:rPr>
          <w:rFonts w:cs="Arial"/>
          <w:color w:val="000000"/>
          <w:szCs w:val="24"/>
        </w:rPr>
        <w:t xml:space="preserve"> correspondi</w:t>
      </w:r>
      <w:r w:rsidR="008F2F07">
        <w:rPr>
          <w:rFonts w:cs="Arial"/>
          <w:color w:val="000000"/>
          <w:szCs w:val="24"/>
        </w:rPr>
        <w:t>ó</w:t>
      </w:r>
      <w:r w:rsidRPr="0037646C">
        <w:rPr>
          <w:rFonts w:cs="Arial"/>
          <w:color w:val="000000"/>
          <w:szCs w:val="24"/>
        </w:rPr>
        <w:t xml:space="preserve"> una tasa de </w:t>
      </w:r>
      <w:r>
        <w:rPr>
          <w:rFonts w:cs="Arial"/>
          <w:color w:val="000000"/>
          <w:szCs w:val="24"/>
        </w:rPr>
        <w:t>4.9</w:t>
      </w:r>
      <w:r w:rsidRPr="0037646C">
        <w:rPr>
          <w:rFonts w:cs="Arial"/>
          <w:color w:val="000000"/>
          <w:szCs w:val="24"/>
        </w:rPr>
        <w:t xml:space="preserve"> % y a las niñas</w:t>
      </w:r>
      <w:r w:rsidR="008F2F07">
        <w:rPr>
          <w:rFonts w:cs="Arial"/>
          <w:color w:val="000000"/>
          <w:szCs w:val="24"/>
        </w:rPr>
        <w:t>,</w:t>
      </w:r>
      <w:r w:rsidRPr="0037646C">
        <w:rPr>
          <w:rFonts w:cs="Arial"/>
          <w:color w:val="000000"/>
          <w:szCs w:val="24"/>
        </w:rPr>
        <w:t xml:space="preserve"> de </w:t>
      </w:r>
      <w:r>
        <w:rPr>
          <w:rFonts w:cs="Arial"/>
          <w:color w:val="000000"/>
          <w:szCs w:val="24"/>
        </w:rPr>
        <w:t>4.8</w:t>
      </w:r>
      <w:r w:rsidRPr="0037646C">
        <w:rPr>
          <w:rFonts w:cs="Arial"/>
          <w:color w:val="000000"/>
          <w:szCs w:val="24"/>
        </w:rPr>
        <w:t xml:space="preserve"> por ciento</w:t>
      </w:r>
      <w:r>
        <w:rPr>
          <w:rFonts w:cs="Arial"/>
          <w:color w:val="000000"/>
          <w:szCs w:val="24"/>
        </w:rPr>
        <w:t>.</w:t>
      </w:r>
      <w:r w:rsidR="00076EED">
        <w:rPr>
          <w:rFonts w:cs="Arial"/>
          <w:szCs w:val="24"/>
        </w:rPr>
        <w:t xml:space="preserve"> </w:t>
      </w:r>
    </w:p>
    <w:p w14:paraId="2A972CC6" w14:textId="77777777" w:rsidR="00114F00" w:rsidRDefault="00114F00" w:rsidP="000E1EBC">
      <w:pPr>
        <w:widowControl/>
        <w:autoSpaceDE w:val="0"/>
        <w:autoSpaceDN w:val="0"/>
        <w:adjustRightInd w:val="0"/>
        <w:ind w:right="51"/>
        <w:rPr>
          <w:rFonts w:cs="Arial"/>
          <w:szCs w:val="24"/>
        </w:rPr>
      </w:pPr>
    </w:p>
    <w:p w14:paraId="6F2BB49B" w14:textId="52B5FC26" w:rsidR="00791592" w:rsidRPr="0037646C" w:rsidRDefault="00791592" w:rsidP="000E1EBC">
      <w:pPr>
        <w:widowControl/>
        <w:autoSpaceDE w:val="0"/>
        <w:autoSpaceDN w:val="0"/>
        <w:adjustRightInd w:val="0"/>
        <w:ind w:right="51"/>
        <w:rPr>
          <w:rFonts w:cs="Arial"/>
          <w:color w:val="000000"/>
          <w:szCs w:val="24"/>
        </w:rPr>
      </w:pPr>
      <w:r>
        <w:rPr>
          <w:rFonts w:cs="Arial"/>
          <w:szCs w:val="24"/>
        </w:rPr>
        <w:t xml:space="preserve">En las áreas menos urbanizadas (localidades menores de 100 mil habitantes) </w:t>
      </w:r>
      <w:r w:rsidR="00374C4F">
        <w:rPr>
          <w:rFonts w:cs="Arial"/>
          <w:szCs w:val="24"/>
        </w:rPr>
        <w:t>l</w:t>
      </w:r>
      <w:r>
        <w:rPr>
          <w:rFonts w:cs="Arial"/>
          <w:szCs w:val="24"/>
        </w:rPr>
        <w:t xml:space="preserve">a tasa de </w:t>
      </w:r>
      <w:r>
        <w:rPr>
          <w:rFonts w:cs="Arial"/>
          <w:color w:val="000000"/>
          <w:szCs w:val="24"/>
        </w:rPr>
        <w:t>quehaceres domésticos en condiciones no adecuadas</w:t>
      </w:r>
      <w:r>
        <w:rPr>
          <w:rFonts w:cs="Arial"/>
          <w:szCs w:val="24"/>
        </w:rPr>
        <w:t xml:space="preserve"> fue de</w:t>
      </w:r>
      <w:r w:rsidRPr="0037646C">
        <w:rPr>
          <w:rFonts w:cs="Arial"/>
          <w:color w:val="000000"/>
          <w:szCs w:val="24"/>
        </w:rPr>
        <w:t xml:space="preserve"> </w:t>
      </w:r>
      <w:r>
        <w:rPr>
          <w:rFonts w:cs="Arial"/>
          <w:color w:val="000000"/>
          <w:szCs w:val="24"/>
        </w:rPr>
        <w:t>8.1</w:t>
      </w:r>
      <w:r w:rsidRPr="0037646C">
        <w:rPr>
          <w:rFonts w:cs="Arial"/>
          <w:color w:val="000000"/>
          <w:szCs w:val="24"/>
        </w:rPr>
        <w:t xml:space="preserve"> %</w:t>
      </w:r>
      <w:r w:rsidR="008F2F07">
        <w:rPr>
          <w:rFonts w:cs="Arial"/>
          <w:color w:val="000000"/>
          <w:szCs w:val="24"/>
        </w:rPr>
        <w:t xml:space="preserve">; para </w:t>
      </w:r>
      <w:r w:rsidRPr="0037646C">
        <w:rPr>
          <w:rFonts w:cs="Arial"/>
          <w:color w:val="000000"/>
          <w:szCs w:val="24"/>
        </w:rPr>
        <w:t xml:space="preserve">los niños una tasa de </w:t>
      </w:r>
      <w:r>
        <w:rPr>
          <w:rFonts w:cs="Arial"/>
          <w:color w:val="000000"/>
          <w:szCs w:val="24"/>
        </w:rPr>
        <w:t>7.4</w:t>
      </w:r>
      <w:r w:rsidRPr="0037646C">
        <w:rPr>
          <w:rFonts w:cs="Arial"/>
          <w:color w:val="000000"/>
          <w:szCs w:val="24"/>
        </w:rPr>
        <w:t xml:space="preserve"> % y </w:t>
      </w:r>
      <w:r w:rsidR="008F2F07">
        <w:rPr>
          <w:rFonts w:cs="Arial"/>
          <w:color w:val="000000"/>
          <w:szCs w:val="24"/>
        </w:rPr>
        <w:t xml:space="preserve">para </w:t>
      </w:r>
      <w:r w:rsidRPr="0037646C">
        <w:rPr>
          <w:rFonts w:cs="Arial"/>
          <w:color w:val="000000"/>
          <w:szCs w:val="24"/>
        </w:rPr>
        <w:t>las niñas</w:t>
      </w:r>
      <w:r w:rsidR="008F2F07">
        <w:rPr>
          <w:rFonts w:cs="Arial"/>
          <w:color w:val="000000"/>
          <w:szCs w:val="24"/>
        </w:rPr>
        <w:t>,</w:t>
      </w:r>
      <w:r w:rsidRPr="0037646C">
        <w:rPr>
          <w:rFonts w:cs="Arial"/>
          <w:color w:val="000000"/>
          <w:szCs w:val="24"/>
        </w:rPr>
        <w:t xml:space="preserve"> de </w:t>
      </w:r>
      <w:r>
        <w:rPr>
          <w:rFonts w:cs="Arial"/>
          <w:color w:val="000000"/>
          <w:szCs w:val="24"/>
        </w:rPr>
        <w:t>8.7</w:t>
      </w:r>
      <w:r w:rsidRPr="0037646C">
        <w:rPr>
          <w:rFonts w:cs="Arial"/>
          <w:color w:val="000000"/>
          <w:szCs w:val="24"/>
        </w:rPr>
        <w:t xml:space="preserve"> por ciento.</w:t>
      </w:r>
    </w:p>
    <w:p w14:paraId="7ABC912C" w14:textId="77777777" w:rsidR="00791592" w:rsidRPr="00E61E1D" w:rsidRDefault="00791592" w:rsidP="000E1EBC">
      <w:pPr>
        <w:widowControl/>
        <w:autoSpaceDE w:val="0"/>
        <w:autoSpaceDN w:val="0"/>
        <w:adjustRightInd w:val="0"/>
        <w:ind w:right="51"/>
        <w:rPr>
          <w:rFonts w:cs="Arial"/>
          <w:color w:val="000000"/>
          <w:szCs w:val="24"/>
        </w:rPr>
      </w:pPr>
    </w:p>
    <w:p w14:paraId="04E531D5" w14:textId="44CFD847" w:rsidR="00791592" w:rsidRPr="00E61E1D" w:rsidRDefault="00791592" w:rsidP="000E1EBC">
      <w:pPr>
        <w:widowControl/>
        <w:autoSpaceDE w:val="0"/>
        <w:autoSpaceDN w:val="0"/>
        <w:adjustRightInd w:val="0"/>
        <w:ind w:right="51"/>
        <w:rPr>
          <w:rFonts w:cs="Arial"/>
          <w:color w:val="000000"/>
          <w:szCs w:val="24"/>
        </w:rPr>
      </w:pPr>
      <w:r w:rsidRPr="00E61E1D">
        <w:rPr>
          <w:rFonts w:cs="Arial"/>
          <w:color w:val="000000"/>
          <w:szCs w:val="24"/>
        </w:rPr>
        <w:t>De acuerdo con el nivel de instrucción, la participación en los quehaceres domésticos en condiciones no adecuadas aument</w:t>
      </w:r>
      <w:r w:rsidR="008F2F07" w:rsidRPr="00E61E1D">
        <w:rPr>
          <w:rFonts w:cs="Arial"/>
          <w:color w:val="000000"/>
          <w:szCs w:val="24"/>
        </w:rPr>
        <w:t>a</w:t>
      </w:r>
      <w:r w:rsidRPr="00E61E1D">
        <w:rPr>
          <w:rFonts w:cs="Arial"/>
          <w:color w:val="000000"/>
          <w:szCs w:val="24"/>
        </w:rPr>
        <w:t xml:space="preserve"> a medida que la educación </w:t>
      </w:r>
      <w:r w:rsidR="008F2F07" w:rsidRPr="00E61E1D">
        <w:rPr>
          <w:rFonts w:cs="Arial"/>
          <w:color w:val="000000"/>
          <w:szCs w:val="24"/>
        </w:rPr>
        <w:t>es</w:t>
      </w:r>
      <w:r w:rsidRPr="00E61E1D">
        <w:rPr>
          <w:rFonts w:cs="Arial"/>
          <w:color w:val="000000"/>
          <w:szCs w:val="24"/>
        </w:rPr>
        <w:t xml:space="preserve"> más alta</w:t>
      </w:r>
      <w:r w:rsidR="008F2F07" w:rsidRPr="00E61E1D">
        <w:rPr>
          <w:rFonts w:cs="Arial"/>
          <w:color w:val="000000"/>
          <w:szCs w:val="24"/>
        </w:rPr>
        <w:t>. La participación</w:t>
      </w:r>
      <w:r w:rsidRPr="00E61E1D">
        <w:rPr>
          <w:rFonts w:cs="Arial"/>
          <w:color w:val="000000"/>
          <w:szCs w:val="24"/>
        </w:rPr>
        <w:t xml:space="preserve"> pas</w:t>
      </w:r>
      <w:r w:rsidR="008F2F07" w:rsidRPr="00E61E1D">
        <w:rPr>
          <w:rFonts w:cs="Arial"/>
          <w:color w:val="000000"/>
          <w:szCs w:val="24"/>
        </w:rPr>
        <w:t>ó</w:t>
      </w:r>
      <w:r w:rsidRPr="00E61E1D">
        <w:rPr>
          <w:rFonts w:cs="Arial"/>
          <w:color w:val="000000"/>
          <w:szCs w:val="24"/>
        </w:rPr>
        <w:t xml:space="preserve"> de 1.9 % en sin instrucción escolar hasta 11.4 % con secundaria completa</w:t>
      </w:r>
      <w:r w:rsidR="008F2F07" w:rsidRPr="00E61E1D">
        <w:rPr>
          <w:rFonts w:cs="Arial"/>
          <w:color w:val="000000"/>
          <w:szCs w:val="24"/>
        </w:rPr>
        <w:t>. D</w:t>
      </w:r>
      <w:r w:rsidRPr="00E61E1D">
        <w:rPr>
          <w:rFonts w:cs="Arial"/>
          <w:color w:val="000000"/>
          <w:szCs w:val="24"/>
        </w:rPr>
        <w:t>isminu</w:t>
      </w:r>
      <w:r w:rsidR="008F2F07" w:rsidRPr="00E61E1D">
        <w:rPr>
          <w:rFonts w:cs="Arial"/>
          <w:color w:val="000000"/>
          <w:szCs w:val="24"/>
        </w:rPr>
        <w:t>yó</w:t>
      </w:r>
      <w:r w:rsidRPr="00E61E1D">
        <w:rPr>
          <w:rFonts w:cs="Arial"/>
          <w:color w:val="000000"/>
          <w:szCs w:val="24"/>
        </w:rPr>
        <w:t xml:space="preserve"> ligeramente en el nivel de algún año de bachillerato o</w:t>
      </w:r>
      <w:r w:rsidR="008F2F07" w:rsidRPr="00E61E1D">
        <w:rPr>
          <w:rFonts w:cs="Arial"/>
          <w:color w:val="000000"/>
          <w:szCs w:val="24"/>
        </w:rPr>
        <w:t xml:space="preserve"> equivalente y</w:t>
      </w:r>
      <w:r w:rsidRPr="00E61E1D">
        <w:rPr>
          <w:rFonts w:cs="Arial"/>
          <w:color w:val="000000"/>
          <w:szCs w:val="24"/>
        </w:rPr>
        <w:t xml:space="preserve"> más (9.9 </w:t>
      </w:r>
      <w:r w:rsidR="008F2F07" w:rsidRPr="00E61E1D">
        <w:rPr>
          <w:rFonts w:cs="Arial"/>
          <w:color w:val="000000"/>
          <w:szCs w:val="24"/>
        </w:rPr>
        <w:t>%</w:t>
      </w:r>
      <w:r w:rsidRPr="00E61E1D">
        <w:rPr>
          <w:rFonts w:cs="Arial"/>
          <w:color w:val="000000"/>
          <w:szCs w:val="24"/>
        </w:rPr>
        <w:t>).</w:t>
      </w:r>
      <w:r w:rsidR="00076EED" w:rsidRPr="00E61E1D">
        <w:rPr>
          <w:rFonts w:cs="Arial"/>
          <w:color w:val="000000"/>
          <w:szCs w:val="24"/>
        </w:rPr>
        <w:t xml:space="preserve"> </w:t>
      </w:r>
      <w:r w:rsidRPr="00E61E1D">
        <w:rPr>
          <w:rFonts w:cs="Arial"/>
          <w:color w:val="000000"/>
          <w:szCs w:val="24"/>
        </w:rPr>
        <w:t xml:space="preserve">El comportamiento de </w:t>
      </w:r>
      <w:r w:rsidR="00D92FDD" w:rsidRPr="00E61E1D">
        <w:rPr>
          <w:rFonts w:cs="Arial"/>
          <w:color w:val="000000"/>
          <w:szCs w:val="24"/>
        </w:rPr>
        <w:t>las niñas y los niños</w:t>
      </w:r>
      <w:r w:rsidRPr="00E61E1D">
        <w:rPr>
          <w:rFonts w:cs="Arial"/>
          <w:color w:val="000000"/>
          <w:szCs w:val="24"/>
        </w:rPr>
        <w:t xml:space="preserve"> es muy parecido al total; sin embargo, las niñas </w:t>
      </w:r>
      <w:r w:rsidRPr="00E61E1D">
        <w:rPr>
          <w:rFonts w:cs="Arial"/>
          <w:color w:val="000000"/>
          <w:szCs w:val="24"/>
        </w:rPr>
        <w:lastRenderedPageBreak/>
        <w:t xml:space="preserve">reportaron una mayor participación </w:t>
      </w:r>
      <w:r w:rsidR="00706A92" w:rsidRPr="00E61E1D">
        <w:rPr>
          <w:rFonts w:cs="Arial"/>
          <w:color w:val="000000"/>
          <w:szCs w:val="24"/>
        </w:rPr>
        <w:t xml:space="preserve">en los quehaceres domésticos en condiciones no adecuadas </w:t>
      </w:r>
      <w:r w:rsidRPr="00E61E1D">
        <w:rPr>
          <w:rFonts w:cs="Arial"/>
          <w:color w:val="000000"/>
          <w:szCs w:val="24"/>
        </w:rPr>
        <w:t xml:space="preserve">al concluir la educación secundaria (11.9 %) y la educación primaria (10.4 </w:t>
      </w:r>
      <w:r w:rsidR="00C15A05" w:rsidRPr="00E61E1D">
        <w:rPr>
          <w:rFonts w:cs="Arial"/>
          <w:color w:val="000000"/>
          <w:szCs w:val="24"/>
        </w:rPr>
        <w:t>%</w:t>
      </w:r>
      <w:r w:rsidRPr="00E61E1D">
        <w:rPr>
          <w:rFonts w:cs="Arial"/>
          <w:color w:val="000000"/>
          <w:szCs w:val="24"/>
        </w:rPr>
        <w:t>)</w:t>
      </w:r>
      <w:r w:rsidR="004E0174" w:rsidRPr="00E61E1D">
        <w:rPr>
          <w:rFonts w:cs="Arial"/>
          <w:color w:val="000000"/>
          <w:szCs w:val="24"/>
        </w:rPr>
        <w:t xml:space="preserve"> </w:t>
      </w:r>
      <w:r w:rsidR="004E0174" w:rsidRPr="00E61E1D">
        <w:rPr>
          <w:rFonts w:cs="Arial"/>
          <w:szCs w:val="24"/>
        </w:rPr>
        <w:t>(ver cuadro 23)</w:t>
      </w:r>
      <w:r w:rsidRPr="00E61E1D">
        <w:rPr>
          <w:rFonts w:cs="Arial"/>
          <w:color w:val="000000"/>
          <w:szCs w:val="24"/>
        </w:rPr>
        <w:t>.</w:t>
      </w:r>
    </w:p>
    <w:p w14:paraId="091DC1A5" w14:textId="77777777" w:rsidR="009E086F" w:rsidRPr="000E1EBC" w:rsidRDefault="009E086F" w:rsidP="000E1EBC">
      <w:pPr>
        <w:widowControl/>
        <w:autoSpaceDE w:val="0"/>
        <w:autoSpaceDN w:val="0"/>
        <w:adjustRightInd w:val="0"/>
        <w:jc w:val="center"/>
        <w:rPr>
          <w:rFonts w:cs="Arial"/>
          <w:color w:val="000000"/>
          <w:sz w:val="20"/>
        </w:rPr>
      </w:pPr>
      <w:r w:rsidRPr="000E1EBC">
        <w:rPr>
          <w:rFonts w:cs="Arial"/>
          <w:color w:val="000000"/>
          <w:sz w:val="20"/>
        </w:rPr>
        <w:t>Cuadro 23</w:t>
      </w:r>
    </w:p>
    <w:p w14:paraId="3FDCED8B" w14:textId="77777777" w:rsidR="000E1EBC" w:rsidRDefault="009E086F" w:rsidP="000E1EBC">
      <w:pPr>
        <w:widowControl/>
        <w:autoSpaceDE w:val="0"/>
        <w:autoSpaceDN w:val="0"/>
        <w:adjustRightInd w:val="0"/>
        <w:ind w:right="51"/>
        <w:jc w:val="center"/>
        <w:rPr>
          <w:rFonts w:cs="Arial"/>
          <w:b/>
          <w:bCs/>
          <w:smallCaps/>
          <w:color w:val="000000" w:themeColor="text1"/>
          <w:sz w:val="22"/>
          <w:szCs w:val="22"/>
        </w:rPr>
      </w:pPr>
      <w:r w:rsidRPr="000E1EBC">
        <w:rPr>
          <w:rFonts w:cs="Arial"/>
          <w:b/>
          <w:smallCaps/>
          <w:sz w:val="22"/>
          <w:szCs w:val="22"/>
        </w:rPr>
        <w:t>T</w:t>
      </w:r>
      <w:r w:rsidRPr="000E1EBC">
        <w:rPr>
          <w:rFonts w:cs="Arial"/>
          <w:b/>
          <w:bCs/>
          <w:smallCaps/>
          <w:color w:val="000000" w:themeColor="text1"/>
          <w:sz w:val="22"/>
          <w:szCs w:val="22"/>
        </w:rPr>
        <w:t xml:space="preserve">asas quehaceres domésticos en condiciones no adecuadas por nivel de instrucción </w:t>
      </w:r>
    </w:p>
    <w:p w14:paraId="559A9941" w14:textId="5958D47F" w:rsidR="009E086F" w:rsidRPr="000E1EBC" w:rsidRDefault="009E086F" w:rsidP="000E1EBC">
      <w:pPr>
        <w:widowControl/>
        <w:autoSpaceDE w:val="0"/>
        <w:autoSpaceDN w:val="0"/>
        <w:adjustRightInd w:val="0"/>
        <w:ind w:right="51"/>
        <w:jc w:val="center"/>
        <w:rPr>
          <w:rFonts w:cs="Arial"/>
          <w:b/>
          <w:bCs/>
          <w:smallCaps/>
          <w:color w:val="000000" w:themeColor="text1"/>
          <w:sz w:val="22"/>
          <w:szCs w:val="22"/>
        </w:rPr>
      </w:pPr>
      <w:r w:rsidRPr="000E1EBC">
        <w:rPr>
          <w:rFonts w:cs="Arial"/>
          <w:b/>
          <w:bCs/>
          <w:smallCaps/>
          <w:color w:val="000000" w:themeColor="text1"/>
          <w:sz w:val="22"/>
          <w:szCs w:val="22"/>
        </w:rPr>
        <w:t>según sexo</w:t>
      </w:r>
    </w:p>
    <w:p w14:paraId="26F622F0" w14:textId="16016520" w:rsidR="009E086F" w:rsidRPr="00FC665E" w:rsidRDefault="009E086F" w:rsidP="000E1EBC">
      <w:pPr>
        <w:widowControl/>
        <w:autoSpaceDE w:val="0"/>
        <w:autoSpaceDN w:val="0"/>
        <w:adjustRightInd w:val="0"/>
        <w:ind w:right="51"/>
        <w:jc w:val="center"/>
        <w:rPr>
          <w:rFonts w:cs="Arial"/>
          <w:bCs/>
          <w:sz w:val="18"/>
          <w:szCs w:val="18"/>
        </w:rPr>
      </w:pPr>
      <w:r w:rsidRPr="00FC665E">
        <w:rPr>
          <w:rFonts w:cs="Arial"/>
          <w:bCs/>
          <w:sz w:val="18"/>
          <w:szCs w:val="18"/>
        </w:rPr>
        <w:t>(</w:t>
      </w:r>
      <w:r w:rsidR="002C2946">
        <w:rPr>
          <w:rFonts w:cs="Arial"/>
          <w:bCs/>
          <w:sz w:val="18"/>
          <w:szCs w:val="18"/>
        </w:rPr>
        <w:t>p</w:t>
      </w:r>
      <w:r w:rsidRPr="00FC665E">
        <w:rPr>
          <w:rFonts w:cs="Arial"/>
          <w:bCs/>
          <w:sz w:val="18"/>
          <w:szCs w:val="18"/>
        </w:rPr>
        <w:t>orcentaje respecto a la población de</w:t>
      </w:r>
      <w:r>
        <w:rPr>
          <w:rFonts w:cs="Arial"/>
          <w:bCs/>
          <w:sz w:val="18"/>
          <w:szCs w:val="18"/>
        </w:rPr>
        <w:t xml:space="preserve"> cada categoría</w:t>
      </w:r>
      <w:r w:rsidRPr="00FC665E">
        <w:rPr>
          <w:rFonts w:cs="Arial"/>
          <w:bCs/>
          <w:sz w:val="18"/>
          <w:szCs w:val="18"/>
        </w:rPr>
        <w:t>)</w:t>
      </w:r>
    </w:p>
    <w:tbl>
      <w:tblPr>
        <w:tblW w:w="9780" w:type="dxa"/>
        <w:tblCellMar>
          <w:left w:w="70" w:type="dxa"/>
          <w:right w:w="70" w:type="dxa"/>
        </w:tblCellMar>
        <w:tblLook w:val="04A0" w:firstRow="1" w:lastRow="0" w:firstColumn="1" w:lastColumn="0" w:noHBand="0" w:noVBand="1"/>
      </w:tblPr>
      <w:tblGrid>
        <w:gridCol w:w="220"/>
        <w:gridCol w:w="4760"/>
        <w:gridCol w:w="1600"/>
        <w:gridCol w:w="1600"/>
        <w:gridCol w:w="1600"/>
      </w:tblGrid>
      <w:tr w:rsidR="009E086F" w:rsidRPr="006F4977" w14:paraId="78051B46" w14:textId="77777777" w:rsidTr="00562DA7">
        <w:trPr>
          <w:trHeight w:val="315"/>
        </w:trPr>
        <w:tc>
          <w:tcPr>
            <w:tcW w:w="4980" w:type="dxa"/>
            <w:gridSpan w:val="2"/>
            <w:tcBorders>
              <w:top w:val="nil"/>
              <w:left w:val="nil"/>
              <w:bottom w:val="nil"/>
              <w:right w:val="nil"/>
            </w:tcBorders>
            <w:shd w:val="clear" w:color="auto" w:fill="338B99"/>
            <w:vAlign w:val="center"/>
            <w:hideMark/>
          </w:tcPr>
          <w:p w14:paraId="4BA7203D" w14:textId="77777777" w:rsidR="009E086F" w:rsidRPr="006F4977" w:rsidRDefault="009E086F" w:rsidP="00562DA7">
            <w:pPr>
              <w:widowControl/>
              <w:jc w:val="left"/>
              <w:rPr>
                <w:rFonts w:cs="Arial"/>
                <w:b/>
                <w:bCs/>
                <w:color w:val="FFFFFF"/>
                <w:sz w:val="20"/>
                <w:lang w:eastAsia="es-MX"/>
              </w:rPr>
            </w:pPr>
            <w:r w:rsidRPr="006F4977">
              <w:rPr>
                <w:rFonts w:cs="Arial"/>
                <w:b/>
                <w:bCs/>
                <w:color w:val="FFFFFF"/>
                <w:sz w:val="20"/>
                <w:lang w:eastAsia="es-MX"/>
              </w:rPr>
              <w:t>Nivel de instrucción</w:t>
            </w:r>
          </w:p>
        </w:tc>
        <w:tc>
          <w:tcPr>
            <w:tcW w:w="1600" w:type="dxa"/>
            <w:tcBorders>
              <w:top w:val="nil"/>
              <w:left w:val="nil"/>
              <w:bottom w:val="nil"/>
              <w:right w:val="nil"/>
            </w:tcBorders>
            <w:shd w:val="clear" w:color="auto" w:fill="338B99"/>
            <w:vAlign w:val="center"/>
            <w:hideMark/>
          </w:tcPr>
          <w:p w14:paraId="658C8FD6" w14:textId="77777777" w:rsidR="009E086F" w:rsidRPr="006F4977" w:rsidRDefault="009E086F" w:rsidP="00562DA7">
            <w:pPr>
              <w:widowControl/>
              <w:jc w:val="center"/>
              <w:rPr>
                <w:rFonts w:cs="Arial"/>
                <w:b/>
                <w:bCs/>
                <w:color w:val="FFFFFF"/>
                <w:sz w:val="20"/>
                <w:lang w:eastAsia="es-MX"/>
              </w:rPr>
            </w:pPr>
            <w:r w:rsidRPr="006F4977">
              <w:rPr>
                <w:rFonts w:cs="Arial"/>
                <w:b/>
                <w:bCs/>
                <w:color w:val="FFFFFF"/>
                <w:sz w:val="20"/>
                <w:lang w:eastAsia="es-MX"/>
              </w:rPr>
              <w:t>Total</w:t>
            </w:r>
          </w:p>
        </w:tc>
        <w:tc>
          <w:tcPr>
            <w:tcW w:w="1600" w:type="dxa"/>
            <w:tcBorders>
              <w:top w:val="nil"/>
              <w:left w:val="nil"/>
              <w:bottom w:val="nil"/>
              <w:right w:val="nil"/>
            </w:tcBorders>
            <w:shd w:val="clear" w:color="auto" w:fill="338B99"/>
            <w:vAlign w:val="center"/>
            <w:hideMark/>
          </w:tcPr>
          <w:p w14:paraId="5C76F01D" w14:textId="77777777" w:rsidR="009E086F" w:rsidRPr="006F4977" w:rsidRDefault="009E086F" w:rsidP="00562DA7">
            <w:pPr>
              <w:widowControl/>
              <w:jc w:val="center"/>
              <w:rPr>
                <w:rFonts w:cs="Arial"/>
                <w:b/>
                <w:bCs/>
                <w:color w:val="FFFFFF"/>
                <w:sz w:val="20"/>
                <w:lang w:eastAsia="es-MX"/>
              </w:rPr>
            </w:pPr>
            <w:r w:rsidRPr="006F4977">
              <w:rPr>
                <w:rFonts w:cs="Arial"/>
                <w:b/>
                <w:bCs/>
                <w:color w:val="FFFFFF"/>
                <w:sz w:val="20"/>
                <w:lang w:eastAsia="es-MX"/>
              </w:rPr>
              <w:t>Niños</w:t>
            </w:r>
          </w:p>
        </w:tc>
        <w:tc>
          <w:tcPr>
            <w:tcW w:w="1600" w:type="dxa"/>
            <w:tcBorders>
              <w:top w:val="nil"/>
              <w:left w:val="nil"/>
              <w:bottom w:val="nil"/>
              <w:right w:val="nil"/>
            </w:tcBorders>
            <w:shd w:val="clear" w:color="auto" w:fill="338B99"/>
            <w:vAlign w:val="center"/>
            <w:hideMark/>
          </w:tcPr>
          <w:p w14:paraId="59E66D8A" w14:textId="77777777" w:rsidR="009E086F" w:rsidRPr="006F4977" w:rsidRDefault="009E086F" w:rsidP="00562DA7">
            <w:pPr>
              <w:widowControl/>
              <w:jc w:val="center"/>
              <w:rPr>
                <w:rFonts w:cs="Arial"/>
                <w:b/>
                <w:bCs/>
                <w:color w:val="FFFFFF"/>
                <w:sz w:val="20"/>
                <w:lang w:eastAsia="es-MX"/>
              </w:rPr>
            </w:pPr>
            <w:r w:rsidRPr="006F4977">
              <w:rPr>
                <w:rFonts w:cs="Arial"/>
                <w:b/>
                <w:bCs/>
                <w:color w:val="FFFFFF"/>
                <w:sz w:val="20"/>
                <w:lang w:eastAsia="es-MX"/>
              </w:rPr>
              <w:t>Niñas</w:t>
            </w:r>
          </w:p>
        </w:tc>
      </w:tr>
      <w:tr w:rsidR="009E086F" w:rsidRPr="006F4977" w14:paraId="571384EE" w14:textId="77777777" w:rsidTr="00562DA7">
        <w:trPr>
          <w:trHeight w:val="510"/>
        </w:trPr>
        <w:tc>
          <w:tcPr>
            <w:tcW w:w="4980" w:type="dxa"/>
            <w:gridSpan w:val="2"/>
            <w:tcBorders>
              <w:top w:val="nil"/>
              <w:left w:val="nil"/>
              <w:bottom w:val="nil"/>
              <w:right w:val="nil"/>
            </w:tcBorders>
            <w:shd w:val="clear" w:color="auto" w:fill="99C5CC"/>
            <w:vAlign w:val="center"/>
            <w:hideMark/>
          </w:tcPr>
          <w:p w14:paraId="76F44BF4" w14:textId="77777777" w:rsidR="009E086F" w:rsidRPr="006F4977" w:rsidRDefault="009E086F" w:rsidP="00562DA7">
            <w:pPr>
              <w:widowControl/>
              <w:jc w:val="left"/>
              <w:rPr>
                <w:rFonts w:cs="Arial"/>
                <w:b/>
                <w:bCs/>
                <w:color w:val="000000"/>
                <w:sz w:val="20"/>
                <w:lang w:eastAsia="es-MX"/>
              </w:rPr>
            </w:pPr>
            <w:r w:rsidRPr="006F4977">
              <w:rPr>
                <w:rFonts w:cs="Arial"/>
                <w:b/>
                <w:bCs/>
                <w:color w:val="000000"/>
                <w:sz w:val="20"/>
                <w:lang w:eastAsia="es-MX"/>
              </w:rPr>
              <w:t>Quehaceres domésticos en condiciones no adecuadas</w:t>
            </w:r>
          </w:p>
        </w:tc>
        <w:tc>
          <w:tcPr>
            <w:tcW w:w="1600" w:type="dxa"/>
            <w:tcBorders>
              <w:top w:val="nil"/>
              <w:left w:val="nil"/>
              <w:bottom w:val="nil"/>
              <w:right w:val="nil"/>
            </w:tcBorders>
            <w:shd w:val="clear" w:color="auto" w:fill="99C5CC"/>
            <w:vAlign w:val="center"/>
            <w:hideMark/>
          </w:tcPr>
          <w:p w14:paraId="1512D5D7" w14:textId="77777777" w:rsidR="009E086F" w:rsidRPr="006F4977" w:rsidRDefault="009E086F" w:rsidP="00562DA7">
            <w:pPr>
              <w:widowControl/>
              <w:jc w:val="center"/>
              <w:rPr>
                <w:rFonts w:cs="Arial"/>
                <w:b/>
                <w:bCs/>
                <w:color w:val="000000"/>
                <w:sz w:val="20"/>
                <w:lang w:eastAsia="es-MX"/>
              </w:rPr>
            </w:pPr>
            <w:r w:rsidRPr="006F4977">
              <w:rPr>
                <w:rFonts w:cs="Arial"/>
                <w:b/>
                <w:bCs/>
                <w:color w:val="000000"/>
                <w:sz w:val="20"/>
                <w:lang w:eastAsia="es-MX"/>
              </w:rPr>
              <w:t>6.7</w:t>
            </w:r>
          </w:p>
        </w:tc>
        <w:tc>
          <w:tcPr>
            <w:tcW w:w="1600" w:type="dxa"/>
            <w:tcBorders>
              <w:top w:val="nil"/>
              <w:left w:val="nil"/>
              <w:bottom w:val="nil"/>
              <w:right w:val="nil"/>
            </w:tcBorders>
            <w:shd w:val="clear" w:color="auto" w:fill="99C5CC"/>
            <w:vAlign w:val="center"/>
            <w:hideMark/>
          </w:tcPr>
          <w:p w14:paraId="0EA258DF" w14:textId="77777777" w:rsidR="009E086F" w:rsidRPr="006F4977" w:rsidRDefault="009E086F" w:rsidP="00562DA7">
            <w:pPr>
              <w:widowControl/>
              <w:jc w:val="center"/>
              <w:rPr>
                <w:rFonts w:cs="Arial"/>
                <w:b/>
                <w:bCs/>
                <w:color w:val="000000"/>
                <w:sz w:val="20"/>
                <w:lang w:eastAsia="es-MX"/>
              </w:rPr>
            </w:pPr>
            <w:r w:rsidRPr="006F4977">
              <w:rPr>
                <w:rFonts w:cs="Arial"/>
                <w:b/>
                <w:bCs/>
                <w:color w:val="000000"/>
                <w:sz w:val="20"/>
                <w:lang w:eastAsia="es-MX"/>
              </w:rPr>
              <w:t>6.4</w:t>
            </w:r>
          </w:p>
        </w:tc>
        <w:tc>
          <w:tcPr>
            <w:tcW w:w="1600" w:type="dxa"/>
            <w:tcBorders>
              <w:top w:val="nil"/>
              <w:left w:val="nil"/>
              <w:bottom w:val="nil"/>
              <w:right w:val="nil"/>
            </w:tcBorders>
            <w:shd w:val="clear" w:color="auto" w:fill="99C5CC"/>
            <w:vAlign w:val="center"/>
            <w:hideMark/>
          </w:tcPr>
          <w:p w14:paraId="05382C98" w14:textId="77777777" w:rsidR="009E086F" w:rsidRPr="006F4977" w:rsidRDefault="009E086F" w:rsidP="00562DA7">
            <w:pPr>
              <w:widowControl/>
              <w:jc w:val="center"/>
              <w:rPr>
                <w:rFonts w:cs="Arial"/>
                <w:b/>
                <w:bCs/>
                <w:color w:val="000000"/>
                <w:sz w:val="20"/>
                <w:lang w:eastAsia="es-MX"/>
              </w:rPr>
            </w:pPr>
            <w:r w:rsidRPr="006F4977">
              <w:rPr>
                <w:rFonts w:cs="Arial"/>
                <w:b/>
                <w:bCs/>
                <w:color w:val="000000"/>
                <w:sz w:val="20"/>
                <w:lang w:eastAsia="es-MX"/>
              </w:rPr>
              <w:t>7.1</w:t>
            </w:r>
          </w:p>
        </w:tc>
      </w:tr>
      <w:tr w:rsidR="009E086F" w:rsidRPr="006F4977" w14:paraId="3597B0C2" w14:textId="77777777" w:rsidTr="00562DA7">
        <w:trPr>
          <w:trHeight w:val="300"/>
        </w:trPr>
        <w:tc>
          <w:tcPr>
            <w:tcW w:w="220" w:type="dxa"/>
            <w:tcBorders>
              <w:top w:val="nil"/>
              <w:left w:val="nil"/>
              <w:bottom w:val="nil"/>
              <w:right w:val="nil"/>
            </w:tcBorders>
            <w:shd w:val="clear" w:color="auto" w:fill="CCE2E6"/>
            <w:noWrap/>
            <w:vAlign w:val="bottom"/>
            <w:hideMark/>
          </w:tcPr>
          <w:p w14:paraId="22DF83C4" w14:textId="77777777" w:rsidR="009E086F" w:rsidRPr="006F4977" w:rsidRDefault="009E086F" w:rsidP="00562DA7">
            <w:pPr>
              <w:widowControl/>
              <w:jc w:val="left"/>
              <w:rPr>
                <w:rFonts w:ascii="Times New Roman" w:hAnsi="Times New Roman"/>
                <w:color w:val="000000"/>
                <w:sz w:val="20"/>
                <w:lang w:eastAsia="es-MX"/>
              </w:rPr>
            </w:pPr>
            <w:r w:rsidRPr="006F4977">
              <w:rPr>
                <w:rFonts w:ascii="Times New Roman" w:hAnsi="Times New Roman"/>
                <w:color w:val="000000"/>
                <w:sz w:val="20"/>
                <w:lang w:eastAsia="es-MX"/>
              </w:rPr>
              <w:t> </w:t>
            </w:r>
          </w:p>
        </w:tc>
        <w:tc>
          <w:tcPr>
            <w:tcW w:w="4760" w:type="dxa"/>
            <w:tcBorders>
              <w:top w:val="nil"/>
              <w:left w:val="nil"/>
              <w:bottom w:val="nil"/>
              <w:right w:val="nil"/>
            </w:tcBorders>
            <w:shd w:val="clear" w:color="auto" w:fill="CCE2E6"/>
            <w:vAlign w:val="center"/>
            <w:hideMark/>
          </w:tcPr>
          <w:p w14:paraId="73CEBFDB" w14:textId="77777777" w:rsidR="009E086F" w:rsidRPr="006F4977" w:rsidRDefault="009E086F" w:rsidP="00562DA7">
            <w:pPr>
              <w:widowControl/>
              <w:jc w:val="left"/>
              <w:rPr>
                <w:rFonts w:cs="Arial"/>
                <w:color w:val="000000"/>
                <w:sz w:val="20"/>
                <w:lang w:eastAsia="es-MX"/>
              </w:rPr>
            </w:pPr>
            <w:r w:rsidRPr="006F4977">
              <w:rPr>
                <w:rFonts w:cs="Arial"/>
                <w:sz w:val="20"/>
                <w:lang w:eastAsia="es-MX"/>
              </w:rPr>
              <w:t>Sin instrucción</w:t>
            </w:r>
          </w:p>
        </w:tc>
        <w:tc>
          <w:tcPr>
            <w:tcW w:w="1600" w:type="dxa"/>
            <w:tcBorders>
              <w:top w:val="nil"/>
              <w:left w:val="nil"/>
              <w:bottom w:val="nil"/>
              <w:right w:val="nil"/>
            </w:tcBorders>
            <w:shd w:val="clear" w:color="auto" w:fill="CCE2E6"/>
            <w:vAlign w:val="center"/>
            <w:hideMark/>
          </w:tcPr>
          <w:p w14:paraId="5DA3239A" w14:textId="77777777" w:rsidR="009E086F" w:rsidRPr="006F4977" w:rsidRDefault="009E086F" w:rsidP="00562DA7">
            <w:pPr>
              <w:widowControl/>
              <w:jc w:val="center"/>
              <w:rPr>
                <w:rFonts w:cs="Arial"/>
                <w:color w:val="000000"/>
                <w:sz w:val="20"/>
                <w:lang w:eastAsia="es-MX"/>
              </w:rPr>
            </w:pPr>
            <w:r w:rsidRPr="006F4977">
              <w:rPr>
                <w:rFonts w:cs="Arial"/>
                <w:sz w:val="20"/>
                <w:lang w:eastAsia="es-MX"/>
              </w:rPr>
              <w:t>1.9</w:t>
            </w:r>
          </w:p>
        </w:tc>
        <w:tc>
          <w:tcPr>
            <w:tcW w:w="1600" w:type="dxa"/>
            <w:tcBorders>
              <w:top w:val="nil"/>
              <w:left w:val="nil"/>
              <w:bottom w:val="nil"/>
              <w:right w:val="nil"/>
            </w:tcBorders>
            <w:shd w:val="clear" w:color="auto" w:fill="CCE2E6"/>
            <w:vAlign w:val="center"/>
            <w:hideMark/>
          </w:tcPr>
          <w:p w14:paraId="5699AC47" w14:textId="77777777" w:rsidR="009E086F" w:rsidRPr="006F4977" w:rsidRDefault="009E086F" w:rsidP="00562DA7">
            <w:pPr>
              <w:widowControl/>
              <w:jc w:val="center"/>
              <w:rPr>
                <w:rFonts w:cs="Arial"/>
                <w:color w:val="000000"/>
                <w:sz w:val="20"/>
                <w:lang w:eastAsia="es-MX"/>
              </w:rPr>
            </w:pPr>
            <w:r w:rsidRPr="006F4977">
              <w:rPr>
                <w:rFonts w:cs="Arial"/>
                <w:sz w:val="20"/>
                <w:lang w:eastAsia="es-MX"/>
              </w:rPr>
              <w:t>1.7</w:t>
            </w:r>
          </w:p>
        </w:tc>
        <w:tc>
          <w:tcPr>
            <w:tcW w:w="1600" w:type="dxa"/>
            <w:tcBorders>
              <w:top w:val="nil"/>
              <w:left w:val="nil"/>
              <w:bottom w:val="nil"/>
              <w:right w:val="nil"/>
            </w:tcBorders>
            <w:shd w:val="clear" w:color="auto" w:fill="CCE2E6"/>
            <w:vAlign w:val="center"/>
            <w:hideMark/>
          </w:tcPr>
          <w:p w14:paraId="6072F7C2" w14:textId="77777777" w:rsidR="009E086F" w:rsidRPr="006F4977" w:rsidRDefault="009E086F" w:rsidP="00562DA7">
            <w:pPr>
              <w:widowControl/>
              <w:jc w:val="center"/>
              <w:rPr>
                <w:rFonts w:cs="Arial"/>
                <w:color w:val="000000"/>
                <w:sz w:val="20"/>
                <w:lang w:eastAsia="es-MX"/>
              </w:rPr>
            </w:pPr>
            <w:r w:rsidRPr="006F4977">
              <w:rPr>
                <w:rFonts w:cs="Arial"/>
                <w:sz w:val="20"/>
                <w:lang w:eastAsia="es-MX"/>
              </w:rPr>
              <w:t>2.2</w:t>
            </w:r>
          </w:p>
        </w:tc>
      </w:tr>
      <w:tr w:rsidR="009E086F" w:rsidRPr="006F4977" w14:paraId="2CDFC29E" w14:textId="77777777" w:rsidTr="00562DA7">
        <w:trPr>
          <w:trHeight w:val="300"/>
        </w:trPr>
        <w:tc>
          <w:tcPr>
            <w:tcW w:w="220" w:type="dxa"/>
            <w:tcBorders>
              <w:top w:val="nil"/>
              <w:left w:val="nil"/>
              <w:bottom w:val="nil"/>
              <w:right w:val="nil"/>
            </w:tcBorders>
            <w:shd w:val="clear" w:color="auto" w:fill="CCE2E6"/>
            <w:noWrap/>
            <w:vAlign w:val="bottom"/>
            <w:hideMark/>
          </w:tcPr>
          <w:p w14:paraId="1764CFCE" w14:textId="77777777" w:rsidR="009E086F" w:rsidRPr="006F4977" w:rsidRDefault="009E086F" w:rsidP="00562DA7">
            <w:pPr>
              <w:widowControl/>
              <w:jc w:val="left"/>
              <w:rPr>
                <w:rFonts w:ascii="Times New Roman" w:hAnsi="Times New Roman"/>
                <w:color w:val="000000"/>
                <w:sz w:val="20"/>
                <w:lang w:eastAsia="es-MX"/>
              </w:rPr>
            </w:pPr>
            <w:r w:rsidRPr="006F4977">
              <w:rPr>
                <w:rFonts w:ascii="Times New Roman" w:hAnsi="Times New Roman"/>
                <w:color w:val="000000"/>
                <w:sz w:val="20"/>
                <w:lang w:eastAsia="es-MX"/>
              </w:rPr>
              <w:t> </w:t>
            </w:r>
          </w:p>
        </w:tc>
        <w:tc>
          <w:tcPr>
            <w:tcW w:w="4760" w:type="dxa"/>
            <w:tcBorders>
              <w:top w:val="nil"/>
              <w:left w:val="nil"/>
              <w:bottom w:val="nil"/>
              <w:right w:val="nil"/>
            </w:tcBorders>
            <w:shd w:val="clear" w:color="auto" w:fill="CCE2E6"/>
            <w:vAlign w:val="center"/>
            <w:hideMark/>
          </w:tcPr>
          <w:p w14:paraId="1184D6B3" w14:textId="77777777" w:rsidR="009E086F" w:rsidRPr="006F4977" w:rsidRDefault="009E086F" w:rsidP="00562DA7">
            <w:pPr>
              <w:widowControl/>
              <w:jc w:val="left"/>
              <w:rPr>
                <w:rFonts w:cs="Arial"/>
                <w:color w:val="000000"/>
                <w:sz w:val="20"/>
                <w:lang w:eastAsia="es-MX"/>
              </w:rPr>
            </w:pPr>
            <w:r w:rsidRPr="006F4977">
              <w:rPr>
                <w:rFonts w:cs="Arial"/>
                <w:sz w:val="20"/>
                <w:lang w:eastAsia="es-MX"/>
              </w:rPr>
              <w:t>Primaria incompleta</w:t>
            </w:r>
          </w:p>
        </w:tc>
        <w:tc>
          <w:tcPr>
            <w:tcW w:w="1600" w:type="dxa"/>
            <w:tcBorders>
              <w:top w:val="nil"/>
              <w:left w:val="nil"/>
              <w:bottom w:val="nil"/>
              <w:right w:val="nil"/>
            </w:tcBorders>
            <w:shd w:val="clear" w:color="auto" w:fill="CCE2E6"/>
            <w:vAlign w:val="center"/>
            <w:hideMark/>
          </w:tcPr>
          <w:p w14:paraId="302D41BB" w14:textId="77777777" w:rsidR="009E086F" w:rsidRPr="006F4977" w:rsidRDefault="009E086F" w:rsidP="00562DA7">
            <w:pPr>
              <w:widowControl/>
              <w:jc w:val="center"/>
              <w:rPr>
                <w:rFonts w:cs="Arial"/>
                <w:color w:val="000000"/>
                <w:sz w:val="20"/>
                <w:lang w:eastAsia="es-MX"/>
              </w:rPr>
            </w:pPr>
            <w:r w:rsidRPr="006F4977">
              <w:rPr>
                <w:rFonts w:cs="Arial"/>
                <w:sz w:val="20"/>
                <w:lang w:eastAsia="es-MX"/>
              </w:rPr>
              <w:t>4.6</w:t>
            </w:r>
          </w:p>
        </w:tc>
        <w:tc>
          <w:tcPr>
            <w:tcW w:w="1600" w:type="dxa"/>
            <w:tcBorders>
              <w:top w:val="nil"/>
              <w:left w:val="nil"/>
              <w:bottom w:val="nil"/>
              <w:right w:val="nil"/>
            </w:tcBorders>
            <w:shd w:val="clear" w:color="auto" w:fill="CCE2E6"/>
            <w:vAlign w:val="center"/>
            <w:hideMark/>
          </w:tcPr>
          <w:p w14:paraId="533F7F52" w14:textId="77777777" w:rsidR="009E086F" w:rsidRPr="006F4977" w:rsidRDefault="009E086F" w:rsidP="00562DA7">
            <w:pPr>
              <w:widowControl/>
              <w:jc w:val="center"/>
              <w:rPr>
                <w:rFonts w:cs="Arial"/>
                <w:color w:val="000000"/>
                <w:sz w:val="20"/>
                <w:lang w:eastAsia="es-MX"/>
              </w:rPr>
            </w:pPr>
            <w:r w:rsidRPr="006F4977">
              <w:rPr>
                <w:rFonts w:cs="Arial"/>
                <w:sz w:val="20"/>
                <w:lang w:eastAsia="es-MX"/>
              </w:rPr>
              <w:t>4.3</w:t>
            </w:r>
          </w:p>
        </w:tc>
        <w:tc>
          <w:tcPr>
            <w:tcW w:w="1600" w:type="dxa"/>
            <w:tcBorders>
              <w:top w:val="nil"/>
              <w:left w:val="nil"/>
              <w:bottom w:val="nil"/>
              <w:right w:val="nil"/>
            </w:tcBorders>
            <w:shd w:val="clear" w:color="auto" w:fill="CCE2E6"/>
            <w:vAlign w:val="center"/>
            <w:hideMark/>
          </w:tcPr>
          <w:p w14:paraId="46044534" w14:textId="77777777" w:rsidR="009E086F" w:rsidRPr="006F4977" w:rsidRDefault="009E086F" w:rsidP="00562DA7">
            <w:pPr>
              <w:widowControl/>
              <w:jc w:val="center"/>
              <w:rPr>
                <w:rFonts w:cs="Arial"/>
                <w:color w:val="000000"/>
                <w:sz w:val="20"/>
                <w:lang w:eastAsia="es-MX"/>
              </w:rPr>
            </w:pPr>
            <w:r w:rsidRPr="006F4977">
              <w:rPr>
                <w:rFonts w:cs="Arial"/>
                <w:sz w:val="20"/>
                <w:lang w:eastAsia="es-MX"/>
              </w:rPr>
              <w:t>5.0</w:t>
            </w:r>
          </w:p>
        </w:tc>
      </w:tr>
      <w:tr w:rsidR="009E086F" w:rsidRPr="006F4977" w14:paraId="716BD212" w14:textId="77777777" w:rsidTr="00562DA7">
        <w:trPr>
          <w:trHeight w:val="300"/>
        </w:trPr>
        <w:tc>
          <w:tcPr>
            <w:tcW w:w="220" w:type="dxa"/>
            <w:tcBorders>
              <w:top w:val="nil"/>
              <w:left w:val="nil"/>
              <w:bottom w:val="nil"/>
              <w:right w:val="nil"/>
            </w:tcBorders>
            <w:shd w:val="clear" w:color="auto" w:fill="CCE2E6"/>
            <w:noWrap/>
            <w:vAlign w:val="bottom"/>
            <w:hideMark/>
          </w:tcPr>
          <w:p w14:paraId="1F3A025D" w14:textId="77777777" w:rsidR="009E086F" w:rsidRPr="006F4977" w:rsidRDefault="009E086F" w:rsidP="00562DA7">
            <w:pPr>
              <w:widowControl/>
              <w:jc w:val="left"/>
              <w:rPr>
                <w:rFonts w:ascii="Times New Roman" w:hAnsi="Times New Roman"/>
                <w:color w:val="000000"/>
                <w:sz w:val="20"/>
                <w:lang w:eastAsia="es-MX"/>
              </w:rPr>
            </w:pPr>
            <w:r w:rsidRPr="006F4977">
              <w:rPr>
                <w:rFonts w:ascii="Times New Roman" w:hAnsi="Times New Roman"/>
                <w:color w:val="000000"/>
                <w:sz w:val="20"/>
                <w:lang w:eastAsia="es-MX"/>
              </w:rPr>
              <w:t> </w:t>
            </w:r>
          </w:p>
        </w:tc>
        <w:tc>
          <w:tcPr>
            <w:tcW w:w="4760" w:type="dxa"/>
            <w:tcBorders>
              <w:top w:val="nil"/>
              <w:left w:val="nil"/>
              <w:bottom w:val="nil"/>
              <w:right w:val="nil"/>
            </w:tcBorders>
            <w:shd w:val="clear" w:color="auto" w:fill="CCE2E6"/>
            <w:vAlign w:val="center"/>
            <w:hideMark/>
          </w:tcPr>
          <w:p w14:paraId="0F7970E5" w14:textId="77777777" w:rsidR="009E086F" w:rsidRPr="006F4977" w:rsidRDefault="009E086F" w:rsidP="00562DA7">
            <w:pPr>
              <w:widowControl/>
              <w:jc w:val="left"/>
              <w:rPr>
                <w:rFonts w:cs="Arial"/>
                <w:color w:val="000000"/>
                <w:sz w:val="20"/>
                <w:lang w:eastAsia="es-MX"/>
              </w:rPr>
            </w:pPr>
            <w:r w:rsidRPr="006F4977">
              <w:rPr>
                <w:rFonts w:cs="Arial"/>
                <w:sz w:val="20"/>
                <w:lang w:eastAsia="es-MX"/>
              </w:rPr>
              <w:t>Primaria completa</w:t>
            </w:r>
          </w:p>
        </w:tc>
        <w:tc>
          <w:tcPr>
            <w:tcW w:w="1600" w:type="dxa"/>
            <w:tcBorders>
              <w:top w:val="nil"/>
              <w:left w:val="nil"/>
              <w:bottom w:val="nil"/>
              <w:right w:val="nil"/>
            </w:tcBorders>
            <w:shd w:val="clear" w:color="auto" w:fill="CCE2E6"/>
            <w:vAlign w:val="center"/>
            <w:hideMark/>
          </w:tcPr>
          <w:p w14:paraId="40ECC321" w14:textId="77777777" w:rsidR="009E086F" w:rsidRPr="006F4977" w:rsidRDefault="009E086F" w:rsidP="00562DA7">
            <w:pPr>
              <w:widowControl/>
              <w:jc w:val="center"/>
              <w:rPr>
                <w:rFonts w:cs="Arial"/>
                <w:color w:val="000000"/>
                <w:sz w:val="20"/>
                <w:lang w:eastAsia="es-MX"/>
              </w:rPr>
            </w:pPr>
            <w:r w:rsidRPr="006F4977">
              <w:rPr>
                <w:rFonts w:cs="Arial"/>
                <w:sz w:val="20"/>
                <w:lang w:eastAsia="es-MX"/>
              </w:rPr>
              <w:t>9.2</w:t>
            </w:r>
          </w:p>
        </w:tc>
        <w:tc>
          <w:tcPr>
            <w:tcW w:w="1600" w:type="dxa"/>
            <w:tcBorders>
              <w:top w:val="nil"/>
              <w:left w:val="nil"/>
              <w:bottom w:val="nil"/>
              <w:right w:val="nil"/>
            </w:tcBorders>
            <w:shd w:val="clear" w:color="auto" w:fill="CCE2E6"/>
            <w:vAlign w:val="center"/>
            <w:hideMark/>
          </w:tcPr>
          <w:p w14:paraId="56069CD5" w14:textId="77777777" w:rsidR="009E086F" w:rsidRPr="006F4977" w:rsidRDefault="009E086F" w:rsidP="00562DA7">
            <w:pPr>
              <w:widowControl/>
              <w:jc w:val="center"/>
              <w:rPr>
                <w:rFonts w:cs="Arial"/>
                <w:color w:val="000000"/>
                <w:sz w:val="20"/>
                <w:lang w:eastAsia="es-MX"/>
              </w:rPr>
            </w:pPr>
            <w:r w:rsidRPr="006F4977">
              <w:rPr>
                <w:rFonts w:cs="Arial"/>
                <w:sz w:val="20"/>
                <w:lang w:eastAsia="es-MX"/>
              </w:rPr>
              <w:t>8.1</w:t>
            </w:r>
          </w:p>
        </w:tc>
        <w:tc>
          <w:tcPr>
            <w:tcW w:w="1600" w:type="dxa"/>
            <w:tcBorders>
              <w:top w:val="nil"/>
              <w:left w:val="nil"/>
              <w:bottom w:val="nil"/>
              <w:right w:val="nil"/>
            </w:tcBorders>
            <w:shd w:val="clear" w:color="auto" w:fill="CCE2E6"/>
            <w:vAlign w:val="center"/>
            <w:hideMark/>
          </w:tcPr>
          <w:p w14:paraId="56BB7B08" w14:textId="77777777" w:rsidR="009E086F" w:rsidRPr="006F4977" w:rsidRDefault="009E086F" w:rsidP="00562DA7">
            <w:pPr>
              <w:widowControl/>
              <w:jc w:val="center"/>
              <w:rPr>
                <w:rFonts w:cs="Arial"/>
                <w:color w:val="000000"/>
                <w:sz w:val="20"/>
                <w:lang w:eastAsia="es-MX"/>
              </w:rPr>
            </w:pPr>
            <w:r w:rsidRPr="006F4977">
              <w:rPr>
                <w:rFonts w:cs="Arial"/>
                <w:sz w:val="20"/>
                <w:lang w:eastAsia="es-MX"/>
              </w:rPr>
              <w:t>10.4</w:t>
            </w:r>
          </w:p>
        </w:tc>
      </w:tr>
      <w:tr w:rsidR="009E086F" w:rsidRPr="006F4977" w14:paraId="4C463BED" w14:textId="77777777" w:rsidTr="00562DA7">
        <w:trPr>
          <w:trHeight w:val="300"/>
        </w:trPr>
        <w:tc>
          <w:tcPr>
            <w:tcW w:w="220" w:type="dxa"/>
            <w:tcBorders>
              <w:top w:val="nil"/>
              <w:left w:val="nil"/>
              <w:bottom w:val="nil"/>
              <w:right w:val="nil"/>
            </w:tcBorders>
            <w:shd w:val="clear" w:color="auto" w:fill="CCE2E6"/>
            <w:noWrap/>
            <w:vAlign w:val="bottom"/>
            <w:hideMark/>
          </w:tcPr>
          <w:p w14:paraId="5066F985" w14:textId="77777777" w:rsidR="009E086F" w:rsidRPr="006F4977" w:rsidRDefault="009E086F" w:rsidP="00562DA7">
            <w:pPr>
              <w:widowControl/>
              <w:jc w:val="left"/>
              <w:rPr>
                <w:rFonts w:ascii="Times New Roman" w:hAnsi="Times New Roman"/>
                <w:color w:val="000000"/>
                <w:sz w:val="20"/>
                <w:lang w:eastAsia="es-MX"/>
              </w:rPr>
            </w:pPr>
            <w:r w:rsidRPr="006F4977">
              <w:rPr>
                <w:rFonts w:ascii="Times New Roman" w:hAnsi="Times New Roman"/>
                <w:color w:val="000000"/>
                <w:sz w:val="20"/>
                <w:lang w:eastAsia="es-MX"/>
              </w:rPr>
              <w:t> </w:t>
            </w:r>
          </w:p>
        </w:tc>
        <w:tc>
          <w:tcPr>
            <w:tcW w:w="4760" w:type="dxa"/>
            <w:tcBorders>
              <w:top w:val="nil"/>
              <w:left w:val="nil"/>
              <w:bottom w:val="nil"/>
              <w:right w:val="nil"/>
            </w:tcBorders>
            <w:shd w:val="clear" w:color="auto" w:fill="CCE2E6"/>
            <w:vAlign w:val="center"/>
            <w:hideMark/>
          </w:tcPr>
          <w:p w14:paraId="197F3C42" w14:textId="77777777" w:rsidR="009E086F" w:rsidRPr="006F4977" w:rsidRDefault="009E086F" w:rsidP="00562DA7">
            <w:pPr>
              <w:widowControl/>
              <w:jc w:val="left"/>
              <w:rPr>
                <w:rFonts w:cs="Arial"/>
                <w:color w:val="000000"/>
                <w:sz w:val="20"/>
                <w:lang w:eastAsia="es-MX"/>
              </w:rPr>
            </w:pPr>
            <w:r w:rsidRPr="006F4977">
              <w:rPr>
                <w:rFonts w:cs="Arial"/>
                <w:sz w:val="20"/>
                <w:lang w:eastAsia="es-MX"/>
              </w:rPr>
              <w:t>Secundaria incompleta</w:t>
            </w:r>
          </w:p>
        </w:tc>
        <w:tc>
          <w:tcPr>
            <w:tcW w:w="1600" w:type="dxa"/>
            <w:tcBorders>
              <w:top w:val="nil"/>
              <w:left w:val="nil"/>
              <w:bottom w:val="nil"/>
              <w:right w:val="nil"/>
            </w:tcBorders>
            <w:shd w:val="clear" w:color="auto" w:fill="CCE2E6"/>
            <w:vAlign w:val="center"/>
            <w:hideMark/>
          </w:tcPr>
          <w:p w14:paraId="41377AC1" w14:textId="77777777" w:rsidR="009E086F" w:rsidRPr="006F4977" w:rsidRDefault="009E086F" w:rsidP="00562DA7">
            <w:pPr>
              <w:widowControl/>
              <w:jc w:val="center"/>
              <w:rPr>
                <w:rFonts w:cs="Arial"/>
                <w:color w:val="000000"/>
                <w:sz w:val="20"/>
                <w:lang w:eastAsia="es-MX"/>
              </w:rPr>
            </w:pPr>
            <w:r w:rsidRPr="006F4977">
              <w:rPr>
                <w:rFonts w:cs="Arial"/>
                <w:sz w:val="20"/>
                <w:lang w:eastAsia="es-MX"/>
              </w:rPr>
              <w:t>9.2</w:t>
            </w:r>
          </w:p>
        </w:tc>
        <w:tc>
          <w:tcPr>
            <w:tcW w:w="1600" w:type="dxa"/>
            <w:tcBorders>
              <w:top w:val="nil"/>
              <w:left w:val="nil"/>
              <w:bottom w:val="nil"/>
              <w:right w:val="nil"/>
            </w:tcBorders>
            <w:shd w:val="clear" w:color="auto" w:fill="CCE2E6"/>
            <w:vAlign w:val="center"/>
            <w:hideMark/>
          </w:tcPr>
          <w:p w14:paraId="086D2299" w14:textId="77777777" w:rsidR="009E086F" w:rsidRPr="006F4977" w:rsidRDefault="009E086F" w:rsidP="00562DA7">
            <w:pPr>
              <w:widowControl/>
              <w:jc w:val="center"/>
              <w:rPr>
                <w:rFonts w:cs="Arial"/>
                <w:color w:val="000000"/>
                <w:sz w:val="20"/>
                <w:lang w:eastAsia="es-MX"/>
              </w:rPr>
            </w:pPr>
            <w:r w:rsidRPr="006F4977">
              <w:rPr>
                <w:rFonts w:cs="Arial"/>
                <w:sz w:val="20"/>
                <w:lang w:eastAsia="es-MX"/>
              </w:rPr>
              <w:t>8.9</w:t>
            </w:r>
          </w:p>
        </w:tc>
        <w:tc>
          <w:tcPr>
            <w:tcW w:w="1600" w:type="dxa"/>
            <w:tcBorders>
              <w:top w:val="nil"/>
              <w:left w:val="nil"/>
              <w:bottom w:val="nil"/>
              <w:right w:val="nil"/>
            </w:tcBorders>
            <w:shd w:val="clear" w:color="auto" w:fill="CCE2E6"/>
            <w:vAlign w:val="center"/>
            <w:hideMark/>
          </w:tcPr>
          <w:p w14:paraId="5DD4EAF2" w14:textId="77777777" w:rsidR="009E086F" w:rsidRPr="006F4977" w:rsidRDefault="009E086F" w:rsidP="00562DA7">
            <w:pPr>
              <w:widowControl/>
              <w:jc w:val="center"/>
              <w:rPr>
                <w:rFonts w:cs="Arial"/>
                <w:color w:val="000000"/>
                <w:sz w:val="20"/>
                <w:lang w:eastAsia="es-MX"/>
              </w:rPr>
            </w:pPr>
            <w:r w:rsidRPr="006F4977">
              <w:rPr>
                <w:rFonts w:cs="Arial"/>
                <w:sz w:val="20"/>
                <w:lang w:eastAsia="es-MX"/>
              </w:rPr>
              <w:t>9.5</w:t>
            </w:r>
          </w:p>
        </w:tc>
      </w:tr>
      <w:tr w:rsidR="009E086F" w:rsidRPr="006F4977" w14:paraId="2A382C2C" w14:textId="77777777" w:rsidTr="00562DA7">
        <w:trPr>
          <w:trHeight w:val="300"/>
        </w:trPr>
        <w:tc>
          <w:tcPr>
            <w:tcW w:w="220" w:type="dxa"/>
            <w:tcBorders>
              <w:top w:val="nil"/>
              <w:left w:val="nil"/>
              <w:right w:val="nil"/>
            </w:tcBorders>
            <w:shd w:val="clear" w:color="auto" w:fill="CCE2E6"/>
            <w:noWrap/>
            <w:vAlign w:val="bottom"/>
            <w:hideMark/>
          </w:tcPr>
          <w:p w14:paraId="3D75D029" w14:textId="77777777" w:rsidR="009E086F" w:rsidRPr="006F4977" w:rsidRDefault="009E086F" w:rsidP="00562DA7">
            <w:pPr>
              <w:widowControl/>
              <w:jc w:val="left"/>
              <w:rPr>
                <w:rFonts w:ascii="Times New Roman" w:hAnsi="Times New Roman"/>
                <w:color w:val="000000"/>
                <w:sz w:val="20"/>
                <w:lang w:eastAsia="es-MX"/>
              </w:rPr>
            </w:pPr>
            <w:r w:rsidRPr="006F4977">
              <w:rPr>
                <w:rFonts w:ascii="Times New Roman" w:hAnsi="Times New Roman" w:cs="Arial"/>
                <w:color w:val="000000"/>
                <w:sz w:val="20"/>
                <w:lang w:eastAsia="es-MX"/>
              </w:rPr>
              <w:t> </w:t>
            </w:r>
          </w:p>
        </w:tc>
        <w:tc>
          <w:tcPr>
            <w:tcW w:w="4760" w:type="dxa"/>
            <w:tcBorders>
              <w:top w:val="nil"/>
              <w:left w:val="nil"/>
              <w:right w:val="nil"/>
            </w:tcBorders>
            <w:shd w:val="clear" w:color="auto" w:fill="CCE2E6"/>
            <w:vAlign w:val="center"/>
            <w:hideMark/>
          </w:tcPr>
          <w:p w14:paraId="6BBF7F4C" w14:textId="77777777" w:rsidR="009E086F" w:rsidRPr="006F4977" w:rsidRDefault="009E086F" w:rsidP="00562DA7">
            <w:pPr>
              <w:widowControl/>
              <w:jc w:val="left"/>
              <w:rPr>
                <w:rFonts w:cs="Arial"/>
                <w:color w:val="000000"/>
                <w:sz w:val="20"/>
                <w:lang w:eastAsia="es-MX"/>
              </w:rPr>
            </w:pPr>
            <w:r w:rsidRPr="006F4977">
              <w:rPr>
                <w:rFonts w:cs="Arial"/>
                <w:sz w:val="20"/>
                <w:lang w:eastAsia="es-MX"/>
              </w:rPr>
              <w:t>Secundaria completa</w:t>
            </w:r>
          </w:p>
        </w:tc>
        <w:tc>
          <w:tcPr>
            <w:tcW w:w="1600" w:type="dxa"/>
            <w:tcBorders>
              <w:top w:val="nil"/>
              <w:left w:val="nil"/>
              <w:right w:val="nil"/>
            </w:tcBorders>
            <w:shd w:val="clear" w:color="auto" w:fill="CCE2E6"/>
            <w:vAlign w:val="center"/>
            <w:hideMark/>
          </w:tcPr>
          <w:p w14:paraId="2C836E9D" w14:textId="77777777" w:rsidR="009E086F" w:rsidRPr="006F4977" w:rsidRDefault="009E086F" w:rsidP="00562DA7">
            <w:pPr>
              <w:widowControl/>
              <w:jc w:val="center"/>
              <w:rPr>
                <w:rFonts w:cs="Arial"/>
                <w:color w:val="000000"/>
                <w:sz w:val="20"/>
                <w:lang w:eastAsia="es-MX"/>
              </w:rPr>
            </w:pPr>
            <w:r w:rsidRPr="006F4977">
              <w:rPr>
                <w:rFonts w:cs="Arial"/>
                <w:sz w:val="20"/>
                <w:lang w:eastAsia="es-MX"/>
              </w:rPr>
              <w:t>11.4</w:t>
            </w:r>
          </w:p>
        </w:tc>
        <w:tc>
          <w:tcPr>
            <w:tcW w:w="1600" w:type="dxa"/>
            <w:tcBorders>
              <w:top w:val="nil"/>
              <w:left w:val="nil"/>
              <w:right w:val="nil"/>
            </w:tcBorders>
            <w:shd w:val="clear" w:color="auto" w:fill="CCE2E6"/>
            <w:vAlign w:val="center"/>
            <w:hideMark/>
          </w:tcPr>
          <w:p w14:paraId="49373502" w14:textId="77777777" w:rsidR="009E086F" w:rsidRPr="006F4977" w:rsidRDefault="009E086F" w:rsidP="00562DA7">
            <w:pPr>
              <w:widowControl/>
              <w:jc w:val="center"/>
              <w:rPr>
                <w:rFonts w:cs="Arial"/>
                <w:color w:val="000000"/>
                <w:sz w:val="20"/>
                <w:lang w:eastAsia="es-MX"/>
              </w:rPr>
            </w:pPr>
            <w:r w:rsidRPr="006F4977">
              <w:rPr>
                <w:rFonts w:cs="Arial"/>
                <w:sz w:val="20"/>
                <w:lang w:eastAsia="es-MX"/>
              </w:rPr>
              <w:t>10.9</w:t>
            </w:r>
          </w:p>
        </w:tc>
        <w:tc>
          <w:tcPr>
            <w:tcW w:w="1600" w:type="dxa"/>
            <w:tcBorders>
              <w:top w:val="nil"/>
              <w:left w:val="nil"/>
              <w:right w:val="nil"/>
            </w:tcBorders>
            <w:shd w:val="clear" w:color="auto" w:fill="CCE2E6"/>
            <w:vAlign w:val="center"/>
            <w:hideMark/>
          </w:tcPr>
          <w:p w14:paraId="65F95B80" w14:textId="77777777" w:rsidR="009E086F" w:rsidRPr="006F4977" w:rsidRDefault="009E086F" w:rsidP="00562DA7">
            <w:pPr>
              <w:widowControl/>
              <w:jc w:val="center"/>
              <w:rPr>
                <w:rFonts w:cs="Arial"/>
                <w:color w:val="000000"/>
                <w:sz w:val="20"/>
                <w:lang w:eastAsia="es-MX"/>
              </w:rPr>
            </w:pPr>
            <w:r w:rsidRPr="006F4977">
              <w:rPr>
                <w:rFonts w:cs="Arial"/>
                <w:sz w:val="20"/>
                <w:lang w:eastAsia="es-MX"/>
              </w:rPr>
              <w:t>11.9</w:t>
            </w:r>
          </w:p>
        </w:tc>
      </w:tr>
      <w:tr w:rsidR="009E086F" w:rsidRPr="006F4977" w14:paraId="7AFFAAAD" w14:textId="77777777" w:rsidTr="00562DA7">
        <w:trPr>
          <w:trHeight w:val="300"/>
        </w:trPr>
        <w:tc>
          <w:tcPr>
            <w:tcW w:w="220" w:type="dxa"/>
            <w:tcBorders>
              <w:top w:val="nil"/>
              <w:left w:val="nil"/>
              <w:right w:val="nil"/>
            </w:tcBorders>
            <w:shd w:val="clear" w:color="auto" w:fill="CCE2E6"/>
            <w:vAlign w:val="center"/>
            <w:hideMark/>
          </w:tcPr>
          <w:p w14:paraId="48035253" w14:textId="77777777" w:rsidR="009E086F" w:rsidRPr="006F4977" w:rsidRDefault="009E086F" w:rsidP="00562DA7">
            <w:pPr>
              <w:widowControl/>
              <w:jc w:val="left"/>
              <w:rPr>
                <w:rFonts w:ascii="Times New Roman" w:hAnsi="Times New Roman"/>
                <w:color w:val="000000"/>
                <w:sz w:val="20"/>
                <w:lang w:eastAsia="es-MX"/>
              </w:rPr>
            </w:pPr>
            <w:r w:rsidRPr="006F4977">
              <w:rPr>
                <w:rFonts w:ascii="Times New Roman" w:hAnsi="Times New Roman" w:cs="Arial"/>
                <w:color w:val="000000"/>
                <w:sz w:val="20"/>
                <w:lang w:eastAsia="es-MX"/>
              </w:rPr>
              <w:t> </w:t>
            </w:r>
          </w:p>
        </w:tc>
        <w:tc>
          <w:tcPr>
            <w:tcW w:w="4760" w:type="dxa"/>
            <w:tcBorders>
              <w:top w:val="nil"/>
              <w:left w:val="nil"/>
              <w:right w:val="nil"/>
            </w:tcBorders>
            <w:shd w:val="clear" w:color="auto" w:fill="CCE2E6"/>
            <w:vAlign w:val="center"/>
            <w:hideMark/>
          </w:tcPr>
          <w:p w14:paraId="427A18C9" w14:textId="77777777" w:rsidR="009E086F" w:rsidRPr="006F4977" w:rsidRDefault="009E086F" w:rsidP="00562DA7">
            <w:pPr>
              <w:widowControl/>
              <w:jc w:val="left"/>
              <w:rPr>
                <w:rFonts w:cs="Arial"/>
                <w:color w:val="000000"/>
                <w:sz w:val="20"/>
                <w:lang w:eastAsia="es-MX"/>
              </w:rPr>
            </w:pPr>
            <w:r w:rsidRPr="006F4977">
              <w:rPr>
                <w:rFonts w:cs="Arial"/>
                <w:sz w:val="20"/>
                <w:lang w:eastAsia="es-MX"/>
              </w:rPr>
              <w:t>Algún año de bachillerato o equivalente y más</w:t>
            </w:r>
          </w:p>
        </w:tc>
        <w:tc>
          <w:tcPr>
            <w:tcW w:w="1600" w:type="dxa"/>
            <w:tcBorders>
              <w:top w:val="nil"/>
              <w:left w:val="nil"/>
              <w:right w:val="nil"/>
            </w:tcBorders>
            <w:shd w:val="clear" w:color="auto" w:fill="CCE2E6"/>
            <w:vAlign w:val="center"/>
            <w:hideMark/>
          </w:tcPr>
          <w:p w14:paraId="6115C0AB" w14:textId="77777777" w:rsidR="009E086F" w:rsidRPr="006F4977" w:rsidRDefault="009E086F" w:rsidP="00562DA7">
            <w:pPr>
              <w:widowControl/>
              <w:jc w:val="center"/>
              <w:rPr>
                <w:rFonts w:cs="Arial"/>
                <w:color w:val="000000"/>
                <w:sz w:val="20"/>
                <w:lang w:eastAsia="es-MX"/>
              </w:rPr>
            </w:pPr>
            <w:r w:rsidRPr="006F4977">
              <w:rPr>
                <w:rFonts w:cs="Arial"/>
                <w:sz w:val="20"/>
                <w:lang w:eastAsia="es-MX"/>
              </w:rPr>
              <w:t>9.9</w:t>
            </w:r>
          </w:p>
        </w:tc>
        <w:tc>
          <w:tcPr>
            <w:tcW w:w="1600" w:type="dxa"/>
            <w:tcBorders>
              <w:top w:val="nil"/>
              <w:left w:val="nil"/>
              <w:right w:val="nil"/>
            </w:tcBorders>
            <w:shd w:val="clear" w:color="auto" w:fill="CCE2E6"/>
            <w:vAlign w:val="center"/>
            <w:hideMark/>
          </w:tcPr>
          <w:p w14:paraId="1A8D3E4F" w14:textId="77777777" w:rsidR="009E086F" w:rsidRPr="006F4977" w:rsidRDefault="009E086F" w:rsidP="00562DA7">
            <w:pPr>
              <w:widowControl/>
              <w:jc w:val="center"/>
              <w:rPr>
                <w:rFonts w:cs="Arial"/>
                <w:color w:val="000000"/>
                <w:sz w:val="20"/>
                <w:lang w:eastAsia="es-MX"/>
              </w:rPr>
            </w:pPr>
            <w:r w:rsidRPr="006F4977">
              <w:rPr>
                <w:rFonts w:cs="Arial"/>
                <w:sz w:val="20"/>
                <w:lang w:eastAsia="es-MX"/>
              </w:rPr>
              <w:t>10.5</w:t>
            </w:r>
          </w:p>
        </w:tc>
        <w:tc>
          <w:tcPr>
            <w:tcW w:w="1600" w:type="dxa"/>
            <w:tcBorders>
              <w:top w:val="nil"/>
              <w:left w:val="nil"/>
              <w:right w:val="nil"/>
            </w:tcBorders>
            <w:shd w:val="clear" w:color="auto" w:fill="CCE2E6"/>
            <w:vAlign w:val="center"/>
            <w:hideMark/>
          </w:tcPr>
          <w:p w14:paraId="379C1C8A" w14:textId="77777777" w:rsidR="009E086F" w:rsidRPr="006F4977" w:rsidRDefault="009E086F" w:rsidP="00562DA7">
            <w:pPr>
              <w:widowControl/>
              <w:jc w:val="center"/>
              <w:rPr>
                <w:rFonts w:cs="Arial"/>
                <w:color w:val="000000"/>
                <w:sz w:val="20"/>
                <w:lang w:eastAsia="es-MX"/>
              </w:rPr>
            </w:pPr>
            <w:r w:rsidRPr="006F4977">
              <w:rPr>
                <w:rFonts w:cs="Arial"/>
                <w:sz w:val="20"/>
                <w:lang w:eastAsia="es-MX"/>
              </w:rPr>
              <w:t>9.3</w:t>
            </w:r>
          </w:p>
        </w:tc>
      </w:tr>
    </w:tbl>
    <w:p w14:paraId="3D43B92A" w14:textId="7BCEA1C9" w:rsidR="009E086F" w:rsidRPr="00560388" w:rsidRDefault="009E086F" w:rsidP="009E086F">
      <w:pPr>
        <w:widowControl/>
        <w:autoSpaceDE w:val="0"/>
        <w:autoSpaceDN w:val="0"/>
        <w:adjustRightInd w:val="0"/>
        <w:rPr>
          <w:rFonts w:cs="Arial"/>
          <w:sz w:val="16"/>
          <w:szCs w:val="16"/>
        </w:rPr>
      </w:pPr>
      <w:r w:rsidRPr="00560388">
        <w:rPr>
          <w:rFonts w:cs="Arial"/>
          <w:color w:val="000000" w:themeColor="text1"/>
          <w:sz w:val="16"/>
          <w:szCs w:val="16"/>
        </w:rPr>
        <w:t>Fuente: INEGI, ENTI. 2022.</w:t>
      </w:r>
    </w:p>
    <w:p w14:paraId="0ED472FA" w14:textId="77777777" w:rsidR="00165FAA" w:rsidRDefault="00165FAA" w:rsidP="00C15A05">
      <w:pPr>
        <w:widowControl/>
        <w:autoSpaceDE w:val="0"/>
        <w:autoSpaceDN w:val="0"/>
        <w:adjustRightInd w:val="0"/>
        <w:rPr>
          <w:rFonts w:cs="Arial"/>
          <w:color w:val="000000"/>
          <w:szCs w:val="24"/>
        </w:rPr>
      </w:pPr>
    </w:p>
    <w:p w14:paraId="7D04C6A0" w14:textId="40BE966F" w:rsidR="00583074" w:rsidRDefault="00007C68" w:rsidP="000E1EBC">
      <w:pPr>
        <w:widowControl/>
        <w:autoSpaceDE w:val="0"/>
        <w:autoSpaceDN w:val="0"/>
        <w:adjustRightInd w:val="0"/>
        <w:ind w:right="51"/>
        <w:rPr>
          <w:rFonts w:cs="Arial"/>
          <w:color w:val="000000"/>
          <w:szCs w:val="24"/>
        </w:rPr>
      </w:pPr>
      <w:r w:rsidRPr="00E61E1D">
        <w:rPr>
          <w:rFonts w:cs="Arial"/>
          <w:color w:val="000000"/>
          <w:szCs w:val="24"/>
        </w:rPr>
        <w:t xml:space="preserve">En cuanto a la cantidad de </w:t>
      </w:r>
      <w:r w:rsidR="00791592" w:rsidRPr="00E61E1D">
        <w:rPr>
          <w:rFonts w:cs="Arial"/>
          <w:color w:val="000000"/>
          <w:szCs w:val="24"/>
        </w:rPr>
        <w:t xml:space="preserve">horas a la semana destinadas a los </w:t>
      </w:r>
      <w:r w:rsidR="00791592" w:rsidRPr="00E61E1D">
        <w:rPr>
          <w:rFonts w:cs="Arial"/>
          <w:color w:val="000000" w:themeColor="text1"/>
          <w:szCs w:val="24"/>
        </w:rPr>
        <w:t>quehaceres domésticos en condiciones no adecuad</w:t>
      </w:r>
      <w:r w:rsidR="004B323D" w:rsidRPr="00E61E1D">
        <w:rPr>
          <w:rFonts w:cs="Arial"/>
          <w:color w:val="000000" w:themeColor="text1"/>
          <w:szCs w:val="24"/>
        </w:rPr>
        <w:t>a</w:t>
      </w:r>
      <w:r w:rsidR="00791592" w:rsidRPr="00E61E1D">
        <w:rPr>
          <w:rFonts w:cs="Arial"/>
          <w:color w:val="000000" w:themeColor="text1"/>
          <w:szCs w:val="24"/>
        </w:rPr>
        <w:t>s</w:t>
      </w:r>
      <w:r w:rsidR="00353E49" w:rsidRPr="00E61E1D">
        <w:rPr>
          <w:rFonts w:cs="Arial"/>
          <w:color w:val="000000" w:themeColor="text1"/>
          <w:szCs w:val="24"/>
        </w:rPr>
        <w:t>,</w:t>
      </w:r>
      <w:r w:rsidR="00791592" w:rsidRPr="00E61E1D">
        <w:rPr>
          <w:rFonts w:cs="Arial"/>
          <w:color w:val="000000" w:themeColor="text1"/>
          <w:szCs w:val="24"/>
        </w:rPr>
        <w:t xml:space="preserve"> 59.6 % dedic</w:t>
      </w:r>
      <w:r w:rsidR="00C15A05" w:rsidRPr="00E61E1D">
        <w:rPr>
          <w:rFonts w:cs="Arial"/>
          <w:color w:val="000000" w:themeColor="text1"/>
          <w:szCs w:val="24"/>
        </w:rPr>
        <w:t>ó</w:t>
      </w:r>
      <w:r w:rsidR="00791592" w:rsidRPr="00E61E1D">
        <w:rPr>
          <w:rFonts w:cs="Arial"/>
          <w:color w:val="000000" w:themeColor="text1"/>
          <w:szCs w:val="24"/>
        </w:rPr>
        <w:t xml:space="preserve"> hasta 14 horas</w:t>
      </w:r>
      <w:r w:rsidR="004D4740" w:rsidRPr="00E61E1D">
        <w:rPr>
          <w:rFonts w:cs="Arial"/>
          <w:color w:val="000000" w:themeColor="text1"/>
          <w:szCs w:val="24"/>
        </w:rPr>
        <w:t>,</w:t>
      </w:r>
      <w:r w:rsidR="00706A92" w:rsidRPr="00E61E1D">
        <w:rPr>
          <w:rFonts w:cs="Arial"/>
          <w:color w:val="000000" w:themeColor="text1"/>
          <w:szCs w:val="24"/>
        </w:rPr>
        <w:t xml:space="preserve"> </w:t>
      </w:r>
      <w:r w:rsidR="00DE6A6D" w:rsidRPr="00E61E1D">
        <w:rPr>
          <w:rFonts w:cs="Arial"/>
          <w:color w:val="000000" w:themeColor="text1"/>
          <w:szCs w:val="24"/>
        </w:rPr>
        <w:t xml:space="preserve">mientras que </w:t>
      </w:r>
      <w:r w:rsidR="00C33088" w:rsidRPr="00E61E1D">
        <w:rPr>
          <w:rFonts w:cs="Arial"/>
          <w:color w:val="000000" w:themeColor="text1"/>
          <w:szCs w:val="24"/>
        </w:rPr>
        <w:t>20.1 % destin</w:t>
      </w:r>
      <w:r w:rsidR="00C15A05" w:rsidRPr="00E61E1D">
        <w:rPr>
          <w:rFonts w:cs="Arial"/>
          <w:color w:val="000000" w:themeColor="text1"/>
          <w:szCs w:val="24"/>
        </w:rPr>
        <w:t>ó</w:t>
      </w:r>
      <w:r w:rsidR="00C33088" w:rsidRPr="00E61E1D">
        <w:rPr>
          <w:rFonts w:cs="Arial"/>
          <w:color w:val="000000" w:themeColor="text1"/>
          <w:szCs w:val="24"/>
        </w:rPr>
        <w:t xml:space="preserve"> </w:t>
      </w:r>
      <w:r w:rsidR="00791592" w:rsidRPr="00E61E1D">
        <w:rPr>
          <w:rFonts w:cs="Arial"/>
          <w:color w:val="000000" w:themeColor="text1"/>
          <w:szCs w:val="24"/>
        </w:rPr>
        <w:t xml:space="preserve">de </w:t>
      </w:r>
      <w:r w:rsidR="000E1EBC">
        <w:rPr>
          <w:rFonts w:cs="Arial"/>
          <w:color w:val="000000" w:themeColor="text1"/>
          <w:szCs w:val="24"/>
        </w:rPr>
        <w:br/>
      </w:r>
      <w:r w:rsidR="00791592" w:rsidRPr="00E61E1D">
        <w:rPr>
          <w:rFonts w:cs="Arial"/>
          <w:color w:val="000000" w:themeColor="text1"/>
          <w:szCs w:val="24"/>
        </w:rPr>
        <w:t>14 a 28 horas y</w:t>
      </w:r>
      <w:r w:rsidR="00C15A05" w:rsidRPr="00E61E1D">
        <w:rPr>
          <w:rFonts w:cs="Arial"/>
          <w:color w:val="000000" w:themeColor="text1"/>
          <w:szCs w:val="24"/>
        </w:rPr>
        <w:t xml:space="preserve"> 20.1 %,</w:t>
      </w:r>
      <w:r w:rsidR="00791592" w:rsidRPr="00E61E1D">
        <w:rPr>
          <w:rFonts w:cs="Arial"/>
          <w:color w:val="000000" w:themeColor="text1"/>
          <w:szCs w:val="24"/>
        </w:rPr>
        <w:t xml:space="preserve"> más de 28 horas</w:t>
      </w:r>
      <w:r w:rsidR="00C15A05" w:rsidRPr="00E61E1D">
        <w:rPr>
          <w:rFonts w:cs="Arial"/>
          <w:color w:val="000000" w:themeColor="text1"/>
          <w:szCs w:val="24"/>
        </w:rPr>
        <w:t xml:space="preserve">. </w:t>
      </w:r>
      <w:r w:rsidR="00C014F3" w:rsidRPr="00E61E1D">
        <w:rPr>
          <w:rFonts w:cs="Arial"/>
          <w:color w:val="000000" w:themeColor="text1"/>
          <w:szCs w:val="24"/>
        </w:rPr>
        <w:t>El porcentaje de niños que t</w:t>
      </w:r>
      <w:r w:rsidR="00706A92" w:rsidRPr="00E61E1D">
        <w:rPr>
          <w:rFonts w:cs="Arial"/>
          <w:color w:val="000000" w:themeColor="text1"/>
          <w:szCs w:val="24"/>
        </w:rPr>
        <w:t>rabajó</w:t>
      </w:r>
      <w:r w:rsidR="00C014F3" w:rsidRPr="00E61E1D">
        <w:rPr>
          <w:rFonts w:cs="Arial"/>
          <w:color w:val="000000" w:themeColor="text1"/>
          <w:szCs w:val="24"/>
        </w:rPr>
        <w:t xml:space="preserve"> hasta 14 horas a la semana en quehaceres domésticos en condiciones no adecuadas fue de 74.6 %, superior al de las niñas que fue de 45.7 </w:t>
      </w:r>
      <w:r w:rsidR="00C15A05" w:rsidRPr="00E61E1D">
        <w:rPr>
          <w:rFonts w:cs="Arial"/>
          <w:color w:val="000000" w:themeColor="text1"/>
          <w:szCs w:val="24"/>
        </w:rPr>
        <w:t>por ciento. L</w:t>
      </w:r>
      <w:r w:rsidR="00C014F3" w:rsidRPr="00E61E1D">
        <w:rPr>
          <w:rFonts w:cs="Arial"/>
          <w:color w:val="000000" w:themeColor="text1"/>
          <w:szCs w:val="24"/>
        </w:rPr>
        <w:t xml:space="preserve">o </w:t>
      </w:r>
      <w:r w:rsidR="007C5CA2" w:rsidRPr="00E61E1D">
        <w:rPr>
          <w:rFonts w:cs="Arial"/>
          <w:color w:val="000000" w:themeColor="text1"/>
          <w:szCs w:val="24"/>
        </w:rPr>
        <w:t>anterior significa</w:t>
      </w:r>
      <w:r w:rsidR="00C014F3" w:rsidRPr="00E61E1D">
        <w:rPr>
          <w:rFonts w:cs="Arial"/>
          <w:color w:val="000000" w:themeColor="text1"/>
          <w:szCs w:val="24"/>
        </w:rPr>
        <w:t xml:space="preserve"> que las niñas destinaron un mayor número de horas a estas actividades </w:t>
      </w:r>
      <w:r w:rsidR="00706A92" w:rsidRPr="00E61E1D">
        <w:rPr>
          <w:rFonts w:cs="Arial"/>
          <w:color w:val="000000" w:themeColor="text1"/>
          <w:szCs w:val="24"/>
        </w:rPr>
        <w:t xml:space="preserve">en </w:t>
      </w:r>
      <w:r w:rsidR="00C014F3" w:rsidRPr="00E61E1D">
        <w:rPr>
          <w:rFonts w:cs="Arial"/>
          <w:color w:val="000000" w:themeColor="text1"/>
          <w:szCs w:val="24"/>
        </w:rPr>
        <w:t>sus propios hogares sin recibir remuneración.</w:t>
      </w:r>
      <w:r w:rsidR="00221203" w:rsidRPr="00E61E1D">
        <w:rPr>
          <w:rFonts w:cs="Arial"/>
          <w:color w:val="000000" w:themeColor="text1"/>
          <w:szCs w:val="24"/>
        </w:rPr>
        <w:t xml:space="preserve"> </w:t>
      </w:r>
      <w:r w:rsidR="00222671" w:rsidRPr="00E61E1D">
        <w:rPr>
          <w:rFonts w:cs="Arial"/>
          <w:color w:val="000000" w:themeColor="text1"/>
          <w:szCs w:val="24"/>
        </w:rPr>
        <w:t>Destaca que</w:t>
      </w:r>
      <w:r w:rsidR="00221203" w:rsidRPr="00E61E1D">
        <w:rPr>
          <w:rFonts w:cs="Arial"/>
          <w:color w:val="000000" w:themeColor="text1"/>
          <w:szCs w:val="24"/>
        </w:rPr>
        <w:t xml:space="preserve"> las niñas que trabajaron más de 28 horas semanales fue</w:t>
      </w:r>
      <w:r w:rsidR="00C15A05" w:rsidRPr="00E61E1D">
        <w:rPr>
          <w:rFonts w:cs="Arial"/>
          <w:color w:val="000000" w:themeColor="text1"/>
          <w:szCs w:val="24"/>
        </w:rPr>
        <w:t xml:space="preserve"> de</w:t>
      </w:r>
      <w:r w:rsidR="00221203" w:rsidRPr="00E61E1D">
        <w:rPr>
          <w:rFonts w:cs="Arial"/>
          <w:color w:val="000000" w:themeColor="text1"/>
          <w:szCs w:val="24"/>
        </w:rPr>
        <w:t xml:space="preserve"> 30.8</w:t>
      </w:r>
      <w:r w:rsidR="00E41298" w:rsidRPr="00E61E1D">
        <w:rPr>
          <w:rFonts w:cs="Arial"/>
          <w:color w:val="000000" w:themeColor="text1"/>
          <w:szCs w:val="24"/>
        </w:rPr>
        <w:t xml:space="preserve"> </w:t>
      </w:r>
      <w:r w:rsidR="00221203" w:rsidRPr="00E61E1D">
        <w:rPr>
          <w:rFonts w:cs="Arial"/>
          <w:color w:val="000000" w:themeColor="text1"/>
          <w:szCs w:val="24"/>
        </w:rPr>
        <w:t>contra 8.5 % de los niños</w:t>
      </w:r>
      <w:r w:rsidR="004E0174" w:rsidRPr="00E61E1D">
        <w:rPr>
          <w:rFonts w:cs="Arial"/>
          <w:color w:val="000000" w:themeColor="text1"/>
          <w:szCs w:val="24"/>
        </w:rPr>
        <w:t xml:space="preserve"> </w:t>
      </w:r>
      <w:r w:rsidR="004E0174" w:rsidRPr="00E61E1D">
        <w:rPr>
          <w:rFonts w:cs="Arial"/>
          <w:szCs w:val="24"/>
        </w:rPr>
        <w:t>(ver cuadro 24)</w:t>
      </w:r>
      <w:r w:rsidR="00221203" w:rsidRPr="00E61E1D">
        <w:rPr>
          <w:rFonts w:cs="Arial"/>
          <w:color w:val="000000" w:themeColor="text1"/>
          <w:szCs w:val="24"/>
        </w:rPr>
        <w:t>.</w:t>
      </w:r>
    </w:p>
    <w:p w14:paraId="78F1E71D" w14:textId="77777777" w:rsidR="00583074" w:rsidRDefault="00583074" w:rsidP="00165FAA">
      <w:pPr>
        <w:widowControl/>
        <w:autoSpaceDE w:val="0"/>
        <w:autoSpaceDN w:val="0"/>
        <w:adjustRightInd w:val="0"/>
        <w:rPr>
          <w:rFonts w:cs="Arial"/>
          <w:color w:val="000000"/>
          <w:szCs w:val="24"/>
        </w:rPr>
      </w:pPr>
    </w:p>
    <w:p w14:paraId="1C21FA17" w14:textId="7FF1C3CF" w:rsidR="009E086F" w:rsidRPr="000E1EBC" w:rsidRDefault="009E086F" w:rsidP="000E1EBC">
      <w:pPr>
        <w:widowControl/>
        <w:autoSpaceDE w:val="0"/>
        <w:autoSpaceDN w:val="0"/>
        <w:adjustRightInd w:val="0"/>
        <w:jc w:val="center"/>
        <w:rPr>
          <w:rFonts w:cs="Arial"/>
          <w:color w:val="000000"/>
          <w:sz w:val="20"/>
        </w:rPr>
      </w:pPr>
      <w:r w:rsidRPr="000E1EBC">
        <w:rPr>
          <w:rFonts w:cs="Arial"/>
          <w:color w:val="000000"/>
          <w:sz w:val="20"/>
        </w:rPr>
        <w:t>Cuadro 24</w:t>
      </w:r>
    </w:p>
    <w:p w14:paraId="5E840D2F" w14:textId="77777777" w:rsidR="009E086F" w:rsidRPr="000E1EBC" w:rsidRDefault="009E086F" w:rsidP="000E1EBC">
      <w:pPr>
        <w:widowControl/>
        <w:autoSpaceDE w:val="0"/>
        <w:autoSpaceDN w:val="0"/>
        <w:adjustRightInd w:val="0"/>
        <w:jc w:val="center"/>
        <w:rPr>
          <w:rFonts w:cs="Arial"/>
          <w:b/>
          <w:bCs/>
          <w:smallCaps/>
          <w:color w:val="000000" w:themeColor="text1"/>
          <w:sz w:val="20"/>
        </w:rPr>
      </w:pPr>
      <w:r w:rsidRPr="000E1EBC">
        <w:rPr>
          <w:rFonts w:cs="Arial"/>
          <w:b/>
          <w:bCs/>
          <w:smallCaps/>
          <w:color w:val="000000"/>
          <w:sz w:val="20"/>
        </w:rPr>
        <w:t>Personas en q</w:t>
      </w:r>
      <w:r w:rsidRPr="000E1EBC">
        <w:rPr>
          <w:rFonts w:cs="Arial"/>
          <w:b/>
          <w:bCs/>
          <w:smallCaps/>
          <w:color w:val="000000" w:themeColor="text1"/>
          <w:sz w:val="20"/>
        </w:rPr>
        <w:t>uehaceres domésticos en condiciones no adecuadas por horas trabajadas a la semana según sexo</w:t>
      </w:r>
    </w:p>
    <w:p w14:paraId="0AFAB332" w14:textId="77777777" w:rsidR="009E086F" w:rsidRPr="00FC665E" w:rsidRDefault="009E086F" w:rsidP="000E1EBC">
      <w:pPr>
        <w:widowControl/>
        <w:autoSpaceDE w:val="0"/>
        <w:autoSpaceDN w:val="0"/>
        <w:adjustRightInd w:val="0"/>
        <w:jc w:val="center"/>
        <w:rPr>
          <w:rFonts w:cs="Arial"/>
          <w:color w:val="000000" w:themeColor="text1"/>
          <w:sz w:val="18"/>
          <w:szCs w:val="18"/>
        </w:rPr>
      </w:pPr>
      <w:r w:rsidRPr="00FC665E">
        <w:rPr>
          <w:rFonts w:cs="Arial"/>
          <w:color w:val="000000" w:themeColor="text1"/>
          <w:sz w:val="18"/>
          <w:szCs w:val="18"/>
        </w:rPr>
        <w:t>(distribución porcentual)</w:t>
      </w:r>
    </w:p>
    <w:tbl>
      <w:tblPr>
        <w:tblW w:w="9780" w:type="dxa"/>
        <w:tblCellMar>
          <w:left w:w="70" w:type="dxa"/>
          <w:right w:w="70" w:type="dxa"/>
        </w:tblCellMar>
        <w:tblLook w:val="04A0" w:firstRow="1" w:lastRow="0" w:firstColumn="1" w:lastColumn="0" w:noHBand="0" w:noVBand="1"/>
      </w:tblPr>
      <w:tblGrid>
        <w:gridCol w:w="220"/>
        <w:gridCol w:w="4760"/>
        <w:gridCol w:w="1600"/>
        <w:gridCol w:w="1600"/>
        <w:gridCol w:w="1600"/>
      </w:tblGrid>
      <w:tr w:rsidR="009E086F" w:rsidRPr="00DF1AFB" w14:paraId="23D63812" w14:textId="77777777" w:rsidTr="00562DA7">
        <w:trPr>
          <w:trHeight w:val="315"/>
        </w:trPr>
        <w:tc>
          <w:tcPr>
            <w:tcW w:w="4980" w:type="dxa"/>
            <w:gridSpan w:val="2"/>
            <w:tcBorders>
              <w:top w:val="nil"/>
              <w:left w:val="nil"/>
              <w:bottom w:val="nil"/>
              <w:right w:val="nil"/>
            </w:tcBorders>
            <w:shd w:val="clear" w:color="auto" w:fill="338B99"/>
            <w:vAlign w:val="center"/>
            <w:hideMark/>
          </w:tcPr>
          <w:p w14:paraId="4EB946F3" w14:textId="77777777" w:rsidR="009E086F" w:rsidRPr="00DF1AFB" w:rsidRDefault="009E086F" w:rsidP="00562DA7">
            <w:pPr>
              <w:widowControl/>
              <w:jc w:val="left"/>
              <w:rPr>
                <w:rFonts w:cs="Arial"/>
                <w:b/>
                <w:bCs/>
                <w:color w:val="FFFFFF"/>
                <w:sz w:val="20"/>
                <w:lang w:eastAsia="es-MX"/>
              </w:rPr>
            </w:pPr>
            <w:r w:rsidRPr="00DF1AFB">
              <w:rPr>
                <w:rFonts w:cs="Arial"/>
                <w:b/>
                <w:bCs/>
                <w:color w:val="FFFFFF" w:themeColor="background1"/>
                <w:sz w:val="20"/>
                <w:lang w:eastAsia="es-MX"/>
              </w:rPr>
              <w:t>Horas trabajadas a la semana</w:t>
            </w:r>
          </w:p>
        </w:tc>
        <w:tc>
          <w:tcPr>
            <w:tcW w:w="1600" w:type="dxa"/>
            <w:tcBorders>
              <w:top w:val="nil"/>
              <w:left w:val="nil"/>
              <w:bottom w:val="nil"/>
              <w:right w:val="nil"/>
            </w:tcBorders>
            <w:shd w:val="clear" w:color="auto" w:fill="338B99"/>
            <w:vAlign w:val="center"/>
            <w:hideMark/>
          </w:tcPr>
          <w:p w14:paraId="34E3C48D" w14:textId="77777777" w:rsidR="009E086F" w:rsidRPr="00DF1AFB" w:rsidRDefault="009E086F" w:rsidP="00562DA7">
            <w:pPr>
              <w:widowControl/>
              <w:jc w:val="center"/>
              <w:rPr>
                <w:rFonts w:cs="Arial"/>
                <w:b/>
                <w:bCs/>
                <w:color w:val="FFFFFF"/>
                <w:sz w:val="20"/>
                <w:lang w:eastAsia="es-MX"/>
              </w:rPr>
            </w:pPr>
            <w:r w:rsidRPr="00DF1AFB">
              <w:rPr>
                <w:rFonts w:cs="Arial"/>
                <w:b/>
                <w:bCs/>
                <w:color w:val="FFFFFF"/>
                <w:sz w:val="20"/>
                <w:lang w:eastAsia="es-MX"/>
              </w:rPr>
              <w:t>Total</w:t>
            </w:r>
          </w:p>
        </w:tc>
        <w:tc>
          <w:tcPr>
            <w:tcW w:w="1600" w:type="dxa"/>
            <w:tcBorders>
              <w:top w:val="nil"/>
              <w:left w:val="nil"/>
              <w:bottom w:val="nil"/>
              <w:right w:val="nil"/>
            </w:tcBorders>
            <w:shd w:val="clear" w:color="auto" w:fill="338B99"/>
            <w:vAlign w:val="center"/>
            <w:hideMark/>
          </w:tcPr>
          <w:p w14:paraId="20F81AC2" w14:textId="77777777" w:rsidR="009E086F" w:rsidRPr="00DF1AFB" w:rsidRDefault="009E086F" w:rsidP="00562DA7">
            <w:pPr>
              <w:widowControl/>
              <w:jc w:val="center"/>
              <w:rPr>
                <w:rFonts w:cs="Arial"/>
                <w:b/>
                <w:bCs/>
                <w:color w:val="FFFFFF"/>
                <w:sz w:val="20"/>
                <w:lang w:eastAsia="es-MX"/>
              </w:rPr>
            </w:pPr>
            <w:r w:rsidRPr="00DF1AFB">
              <w:rPr>
                <w:rFonts w:cs="Arial"/>
                <w:b/>
                <w:bCs/>
                <w:color w:val="FFFFFF"/>
                <w:sz w:val="20"/>
                <w:lang w:eastAsia="es-MX"/>
              </w:rPr>
              <w:t>Niños</w:t>
            </w:r>
          </w:p>
        </w:tc>
        <w:tc>
          <w:tcPr>
            <w:tcW w:w="1600" w:type="dxa"/>
            <w:tcBorders>
              <w:top w:val="nil"/>
              <w:left w:val="nil"/>
              <w:bottom w:val="nil"/>
              <w:right w:val="nil"/>
            </w:tcBorders>
            <w:shd w:val="clear" w:color="auto" w:fill="338B99"/>
            <w:vAlign w:val="center"/>
            <w:hideMark/>
          </w:tcPr>
          <w:p w14:paraId="69274D88" w14:textId="77777777" w:rsidR="009E086F" w:rsidRPr="00DF1AFB" w:rsidRDefault="009E086F" w:rsidP="00562DA7">
            <w:pPr>
              <w:widowControl/>
              <w:jc w:val="center"/>
              <w:rPr>
                <w:rFonts w:cs="Arial"/>
                <w:b/>
                <w:bCs/>
                <w:color w:val="FFFFFF"/>
                <w:sz w:val="20"/>
                <w:lang w:eastAsia="es-MX"/>
              </w:rPr>
            </w:pPr>
            <w:r w:rsidRPr="00DF1AFB">
              <w:rPr>
                <w:rFonts w:cs="Arial"/>
                <w:b/>
                <w:bCs/>
                <w:color w:val="FFFFFF"/>
                <w:sz w:val="20"/>
                <w:lang w:eastAsia="es-MX"/>
              </w:rPr>
              <w:t>Niñas</w:t>
            </w:r>
          </w:p>
        </w:tc>
      </w:tr>
      <w:tr w:rsidR="009E086F" w:rsidRPr="00DF1AFB" w14:paraId="4739EB8F" w14:textId="77777777" w:rsidTr="00562DA7">
        <w:trPr>
          <w:trHeight w:val="510"/>
        </w:trPr>
        <w:tc>
          <w:tcPr>
            <w:tcW w:w="4980" w:type="dxa"/>
            <w:gridSpan w:val="2"/>
            <w:tcBorders>
              <w:top w:val="nil"/>
              <w:left w:val="nil"/>
              <w:bottom w:val="nil"/>
              <w:right w:val="nil"/>
            </w:tcBorders>
            <w:shd w:val="clear" w:color="auto" w:fill="99C5CC"/>
            <w:vAlign w:val="center"/>
            <w:hideMark/>
          </w:tcPr>
          <w:p w14:paraId="6C31BFF6" w14:textId="77777777" w:rsidR="009E086F" w:rsidRPr="00DF1AFB" w:rsidRDefault="009E086F" w:rsidP="00562DA7">
            <w:pPr>
              <w:widowControl/>
              <w:jc w:val="left"/>
              <w:rPr>
                <w:rFonts w:cs="Arial"/>
                <w:b/>
                <w:bCs/>
                <w:color w:val="000000"/>
                <w:sz w:val="20"/>
                <w:lang w:eastAsia="es-MX"/>
              </w:rPr>
            </w:pPr>
            <w:r w:rsidRPr="00DF1AFB">
              <w:rPr>
                <w:rFonts w:cs="Arial"/>
                <w:b/>
                <w:bCs/>
                <w:color w:val="000000"/>
                <w:sz w:val="20"/>
                <w:lang w:eastAsia="es-MX"/>
              </w:rPr>
              <w:t>Quehaceres domésticos en condiciones no adecuadas</w:t>
            </w:r>
          </w:p>
        </w:tc>
        <w:tc>
          <w:tcPr>
            <w:tcW w:w="1600" w:type="dxa"/>
            <w:tcBorders>
              <w:top w:val="nil"/>
              <w:left w:val="nil"/>
              <w:bottom w:val="nil"/>
              <w:right w:val="nil"/>
            </w:tcBorders>
            <w:shd w:val="clear" w:color="auto" w:fill="99C5CC"/>
            <w:vAlign w:val="center"/>
            <w:hideMark/>
          </w:tcPr>
          <w:p w14:paraId="4B9E2DC3" w14:textId="77777777" w:rsidR="009E086F" w:rsidRPr="00DF1AFB" w:rsidRDefault="009E086F" w:rsidP="00562DA7">
            <w:pPr>
              <w:widowControl/>
              <w:jc w:val="center"/>
              <w:rPr>
                <w:rFonts w:cs="Arial"/>
                <w:b/>
                <w:bCs/>
                <w:color w:val="000000"/>
                <w:sz w:val="20"/>
                <w:lang w:eastAsia="es-MX"/>
              </w:rPr>
            </w:pPr>
            <w:r w:rsidRPr="00DF1AFB">
              <w:rPr>
                <w:rFonts w:cs="Arial"/>
                <w:b/>
                <w:bCs/>
                <w:sz w:val="20"/>
                <w:lang w:eastAsia="es-MX"/>
              </w:rPr>
              <w:t>100.0</w:t>
            </w:r>
          </w:p>
        </w:tc>
        <w:tc>
          <w:tcPr>
            <w:tcW w:w="1600" w:type="dxa"/>
            <w:tcBorders>
              <w:top w:val="nil"/>
              <w:left w:val="nil"/>
              <w:bottom w:val="nil"/>
              <w:right w:val="nil"/>
            </w:tcBorders>
            <w:shd w:val="clear" w:color="auto" w:fill="99C5CC"/>
            <w:vAlign w:val="center"/>
            <w:hideMark/>
          </w:tcPr>
          <w:p w14:paraId="0E4E732D" w14:textId="77777777" w:rsidR="009E086F" w:rsidRPr="00DF1AFB" w:rsidRDefault="009E086F" w:rsidP="00562DA7">
            <w:pPr>
              <w:widowControl/>
              <w:jc w:val="center"/>
              <w:rPr>
                <w:rFonts w:cs="Arial"/>
                <w:b/>
                <w:bCs/>
                <w:color w:val="000000"/>
                <w:sz w:val="20"/>
                <w:lang w:eastAsia="es-MX"/>
              </w:rPr>
            </w:pPr>
            <w:r w:rsidRPr="00DF1AFB">
              <w:rPr>
                <w:rFonts w:cs="Arial"/>
                <w:b/>
                <w:bCs/>
                <w:sz w:val="20"/>
                <w:lang w:eastAsia="es-MX"/>
              </w:rPr>
              <w:t>100.0</w:t>
            </w:r>
          </w:p>
        </w:tc>
        <w:tc>
          <w:tcPr>
            <w:tcW w:w="1600" w:type="dxa"/>
            <w:tcBorders>
              <w:top w:val="nil"/>
              <w:left w:val="nil"/>
              <w:bottom w:val="nil"/>
              <w:right w:val="nil"/>
            </w:tcBorders>
            <w:shd w:val="clear" w:color="auto" w:fill="99C5CC"/>
            <w:vAlign w:val="center"/>
            <w:hideMark/>
          </w:tcPr>
          <w:p w14:paraId="72A536F3" w14:textId="77777777" w:rsidR="009E086F" w:rsidRPr="00DF1AFB" w:rsidRDefault="009E086F" w:rsidP="00562DA7">
            <w:pPr>
              <w:widowControl/>
              <w:jc w:val="center"/>
              <w:rPr>
                <w:rFonts w:cs="Arial"/>
                <w:b/>
                <w:bCs/>
                <w:color w:val="000000"/>
                <w:sz w:val="20"/>
                <w:lang w:eastAsia="es-MX"/>
              </w:rPr>
            </w:pPr>
            <w:r w:rsidRPr="00DF1AFB">
              <w:rPr>
                <w:rFonts w:cs="Arial"/>
                <w:b/>
                <w:bCs/>
                <w:sz w:val="20"/>
                <w:lang w:eastAsia="es-MX"/>
              </w:rPr>
              <w:t>100.0</w:t>
            </w:r>
          </w:p>
        </w:tc>
      </w:tr>
      <w:tr w:rsidR="009E086F" w:rsidRPr="00DF1AFB" w14:paraId="6665539E" w14:textId="77777777" w:rsidTr="00562DA7">
        <w:trPr>
          <w:trHeight w:val="300"/>
        </w:trPr>
        <w:tc>
          <w:tcPr>
            <w:tcW w:w="220" w:type="dxa"/>
            <w:tcBorders>
              <w:top w:val="nil"/>
              <w:left w:val="nil"/>
              <w:bottom w:val="nil"/>
              <w:right w:val="nil"/>
            </w:tcBorders>
            <w:shd w:val="clear" w:color="auto" w:fill="CCE2E6"/>
            <w:noWrap/>
            <w:vAlign w:val="bottom"/>
            <w:hideMark/>
          </w:tcPr>
          <w:p w14:paraId="140E9A5A" w14:textId="77777777" w:rsidR="009E086F" w:rsidRPr="00DF1AFB" w:rsidRDefault="009E086F" w:rsidP="00562DA7">
            <w:pPr>
              <w:widowControl/>
              <w:jc w:val="left"/>
              <w:rPr>
                <w:rFonts w:ascii="Times New Roman" w:hAnsi="Times New Roman"/>
                <w:color w:val="000000"/>
                <w:sz w:val="20"/>
                <w:lang w:eastAsia="es-MX"/>
              </w:rPr>
            </w:pPr>
            <w:r w:rsidRPr="00DF1AFB">
              <w:rPr>
                <w:rFonts w:ascii="Times New Roman" w:hAnsi="Times New Roman"/>
                <w:color w:val="000000"/>
                <w:sz w:val="20"/>
                <w:lang w:eastAsia="es-MX"/>
              </w:rPr>
              <w:t> </w:t>
            </w:r>
          </w:p>
        </w:tc>
        <w:tc>
          <w:tcPr>
            <w:tcW w:w="4760" w:type="dxa"/>
            <w:tcBorders>
              <w:top w:val="nil"/>
              <w:left w:val="nil"/>
              <w:bottom w:val="nil"/>
              <w:right w:val="nil"/>
            </w:tcBorders>
            <w:shd w:val="clear" w:color="auto" w:fill="CCE2E6"/>
            <w:vAlign w:val="center"/>
            <w:hideMark/>
          </w:tcPr>
          <w:p w14:paraId="0F443A87" w14:textId="77777777" w:rsidR="009E086F" w:rsidRPr="00DF1AFB" w:rsidRDefault="009E086F" w:rsidP="00562DA7">
            <w:pPr>
              <w:widowControl/>
              <w:jc w:val="left"/>
              <w:rPr>
                <w:rFonts w:cs="Arial"/>
                <w:color w:val="000000"/>
                <w:sz w:val="20"/>
                <w:lang w:eastAsia="es-MX"/>
              </w:rPr>
            </w:pPr>
            <w:r w:rsidRPr="00DF1AFB">
              <w:rPr>
                <w:rFonts w:cs="Arial"/>
                <w:sz w:val="20"/>
                <w:lang w:eastAsia="es-MX"/>
              </w:rPr>
              <w:t>Hasta 14 horas</w:t>
            </w:r>
          </w:p>
        </w:tc>
        <w:tc>
          <w:tcPr>
            <w:tcW w:w="1600" w:type="dxa"/>
            <w:tcBorders>
              <w:top w:val="nil"/>
              <w:left w:val="nil"/>
              <w:bottom w:val="nil"/>
              <w:right w:val="nil"/>
            </w:tcBorders>
            <w:shd w:val="clear" w:color="auto" w:fill="CCE2E6"/>
            <w:vAlign w:val="center"/>
            <w:hideMark/>
          </w:tcPr>
          <w:p w14:paraId="4785F9A0" w14:textId="77777777" w:rsidR="009E086F" w:rsidRPr="00DF1AFB" w:rsidRDefault="009E086F" w:rsidP="00562DA7">
            <w:pPr>
              <w:widowControl/>
              <w:jc w:val="center"/>
              <w:rPr>
                <w:rFonts w:cs="Arial"/>
                <w:color w:val="000000"/>
                <w:sz w:val="20"/>
                <w:lang w:eastAsia="es-MX"/>
              </w:rPr>
            </w:pPr>
            <w:r w:rsidRPr="00DF1AFB">
              <w:rPr>
                <w:rFonts w:cs="Arial"/>
                <w:sz w:val="20"/>
                <w:lang w:eastAsia="es-MX"/>
              </w:rPr>
              <w:t>59.6</w:t>
            </w:r>
          </w:p>
        </w:tc>
        <w:tc>
          <w:tcPr>
            <w:tcW w:w="1600" w:type="dxa"/>
            <w:tcBorders>
              <w:top w:val="nil"/>
              <w:left w:val="nil"/>
              <w:bottom w:val="nil"/>
              <w:right w:val="nil"/>
            </w:tcBorders>
            <w:shd w:val="clear" w:color="auto" w:fill="CCE2E6"/>
            <w:vAlign w:val="center"/>
            <w:hideMark/>
          </w:tcPr>
          <w:p w14:paraId="79C64BE2" w14:textId="77777777" w:rsidR="009E086F" w:rsidRPr="00DF1AFB" w:rsidRDefault="009E086F" w:rsidP="00562DA7">
            <w:pPr>
              <w:widowControl/>
              <w:jc w:val="center"/>
              <w:rPr>
                <w:rFonts w:cs="Arial"/>
                <w:color w:val="000000"/>
                <w:sz w:val="20"/>
                <w:lang w:eastAsia="es-MX"/>
              </w:rPr>
            </w:pPr>
            <w:r w:rsidRPr="00DF1AFB">
              <w:rPr>
                <w:rFonts w:cs="Arial"/>
                <w:sz w:val="20"/>
                <w:lang w:eastAsia="es-MX"/>
              </w:rPr>
              <w:t>74.6</w:t>
            </w:r>
          </w:p>
        </w:tc>
        <w:tc>
          <w:tcPr>
            <w:tcW w:w="1600" w:type="dxa"/>
            <w:tcBorders>
              <w:top w:val="nil"/>
              <w:left w:val="nil"/>
              <w:bottom w:val="nil"/>
              <w:right w:val="nil"/>
            </w:tcBorders>
            <w:shd w:val="clear" w:color="auto" w:fill="CCE2E6"/>
            <w:vAlign w:val="center"/>
            <w:hideMark/>
          </w:tcPr>
          <w:p w14:paraId="475A185C" w14:textId="77777777" w:rsidR="009E086F" w:rsidRPr="00DF1AFB" w:rsidRDefault="009E086F" w:rsidP="00562DA7">
            <w:pPr>
              <w:widowControl/>
              <w:jc w:val="center"/>
              <w:rPr>
                <w:rFonts w:cs="Arial"/>
                <w:color w:val="000000"/>
                <w:sz w:val="20"/>
                <w:lang w:eastAsia="es-MX"/>
              </w:rPr>
            </w:pPr>
            <w:r w:rsidRPr="00DF1AFB">
              <w:rPr>
                <w:rFonts w:cs="Arial"/>
                <w:sz w:val="20"/>
                <w:lang w:eastAsia="es-MX"/>
              </w:rPr>
              <w:t>45.7</w:t>
            </w:r>
          </w:p>
        </w:tc>
      </w:tr>
      <w:tr w:rsidR="009E086F" w:rsidRPr="00DF1AFB" w14:paraId="4969D209" w14:textId="77777777" w:rsidTr="00562DA7">
        <w:trPr>
          <w:trHeight w:val="300"/>
        </w:trPr>
        <w:tc>
          <w:tcPr>
            <w:tcW w:w="220" w:type="dxa"/>
            <w:tcBorders>
              <w:top w:val="nil"/>
              <w:left w:val="nil"/>
              <w:bottom w:val="nil"/>
              <w:right w:val="nil"/>
            </w:tcBorders>
            <w:shd w:val="clear" w:color="auto" w:fill="CCE2E6"/>
            <w:noWrap/>
            <w:vAlign w:val="bottom"/>
            <w:hideMark/>
          </w:tcPr>
          <w:p w14:paraId="5845B834" w14:textId="77777777" w:rsidR="009E086F" w:rsidRPr="00DF1AFB" w:rsidRDefault="009E086F" w:rsidP="00562DA7">
            <w:pPr>
              <w:widowControl/>
              <w:jc w:val="left"/>
              <w:rPr>
                <w:rFonts w:ascii="Times New Roman" w:hAnsi="Times New Roman"/>
                <w:color w:val="000000"/>
                <w:sz w:val="20"/>
                <w:lang w:eastAsia="es-MX"/>
              </w:rPr>
            </w:pPr>
            <w:r w:rsidRPr="00DF1AFB">
              <w:rPr>
                <w:rFonts w:ascii="Times New Roman" w:hAnsi="Times New Roman"/>
                <w:color w:val="000000"/>
                <w:sz w:val="20"/>
                <w:lang w:eastAsia="es-MX"/>
              </w:rPr>
              <w:t> </w:t>
            </w:r>
          </w:p>
        </w:tc>
        <w:tc>
          <w:tcPr>
            <w:tcW w:w="4760" w:type="dxa"/>
            <w:tcBorders>
              <w:top w:val="nil"/>
              <w:left w:val="nil"/>
              <w:bottom w:val="nil"/>
              <w:right w:val="nil"/>
            </w:tcBorders>
            <w:shd w:val="clear" w:color="auto" w:fill="CCE2E6"/>
            <w:vAlign w:val="center"/>
            <w:hideMark/>
          </w:tcPr>
          <w:p w14:paraId="05B87AA3" w14:textId="77777777" w:rsidR="009E086F" w:rsidRPr="00DF1AFB" w:rsidRDefault="009E086F" w:rsidP="00562DA7">
            <w:pPr>
              <w:widowControl/>
              <w:jc w:val="left"/>
              <w:rPr>
                <w:rFonts w:cs="Arial"/>
                <w:color w:val="000000"/>
                <w:sz w:val="20"/>
                <w:lang w:eastAsia="es-MX"/>
              </w:rPr>
            </w:pPr>
            <w:r w:rsidRPr="00DF1AFB">
              <w:rPr>
                <w:rFonts w:cs="Arial"/>
                <w:sz w:val="20"/>
                <w:lang w:eastAsia="es-MX"/>
              </w:rPr>
              <w:t>Más de 14 a 28 horas</w:t>
            </w:r>
          </w:p>
        </w:tc>
        <w:tc>
          <w:tcPr>
            <w:tcW w:w="1600" w:type="dxa"/>
            <w:tcBorders>
              <w:top w:val="nil"/>
              <w:left w:val="nil"/>
              <w:bottom w:val="nil"/>
              <w:right w:val="nil"/>
            </w:tcBorders>
            <w:shd w:val="clear" w:color="auto" w:fill="CCE2E6"/>
            <w:vAlign w:val="center"/>
            <w:hideMark/>
          </w:tcPr>
          <w:p w14:paraId="1145673B" w14:textId="77777777" w:rsidR="009E086F" w:rsidRPr="00DF1AFB" w:rsidRDefault="009E086F" w:rsidP="00562DA7">
            <w:pPr>
              <w:widowControl/>
              <w:jc w:val="center"/>
              <w:rPr>
                <w:rFonts w:cs="Arial"/>
                <w:color w:val="000000"/>
                <w:sz w:val="20"/>
                <w:lang w:eastAsia="es-MX"/>
              </w:rPr>
            </w:pPr>
            <w:r w:rsidRPr="00DF1AFB">
              <w:rPr>
                <w:rFonts w:cs="Arial"/>
                <w:sz w:val="20"/>
                <w:lang w:eastAsia="es-MX"/>
              </w:rPr>
              <w:t>20.1</w:t>
            </w:r>
          </w:p>
        </w:tc>
        <w:tc>
          <w:tcPr>
            <w:tcW w:w="1600" w:type="dxa"/>
            <w:tcBorders>
              <w:top w:val="nil"/>
              <w:left w:val="nil"/>
              <w:bottom w:val="nil"/>
              <w:right w:val="nil"/>
            </w:tcBorders>
            <w:shd w:val="clear" w:color="auto" w:fill="CCE2E6"/>
            <w:vAlign w:val="center"/>
            <w:hideMark/>
          </w:tcPr>
          <w:p w14:paraId="2E95F5C3" w14:textId="77777777" w:rsidR="009E086F" w:rsidRPr="00DF1AFB" w:rsidRDefault="009E086F" w:rsidP="00562DA7">
            <w:pPr>
              <w:widowControl/>
              <w:jc w:val="center"/>
              <w:rPr>
                <w:rFonts w:cs="Arial"/>
                <w:color w:val="000000"/>
                <w:sz w:val="20"/>
                <w:lang w:eastAsia="es-MX"/>
              </w:rPr>
            </w:pPr>
            <w:r w:rsidRPr="00DF1AFB">
              <w:rPr>
                <w:rFonts w:cs="Arial"/>
                <w:sz w:val="20"/>
                <w:lang w:eastAsia="es-MX"/>
              </w:rPr>
              <w:t>16.7</w:t>
            </w:r>
          </w:p>
        </w:tc>
        <w:tc>
          <w:tcPr>
            <w:tcW w:w="1600" w:type="dxa"/>
            <w:tcBorders>
              <w:top w:val="nil"/>
              <w:left w:val="nil"/>
              <w:bottom w:val="nil"/>
              <w:right w:val="nil"/>
            </w:tcBorders>
            <w:shd w:val="clear" w:color="auto" w:fill="CCE2E6"/>
            <w:vAlign w:val="center"/>
            <w:hideMark/>
          </w:tcPr>
          <w:p w14:paraId="4A01FD93" w14:textId="77777777" w:rsidR="009E086F" w:rsidRPr="00DF1AFB" w:rsidRDefault="009E086F" w:rsidP="00562DA7">
            <w:pPr>
              <w:widowControl/>
              <w:jc w:val="center"/>
              <w:rPr>
                <w:rFonts w:cs="Arial"/>
                <w:color w:val="000000"/>
                <w:sz w:val="20"/>
                <w:lang w:eastAsia="es-MX"/>
              </w:rPr>
            </w:pPr>
            <w:r w:rsidRPr="00DF1AFB">
              <w:rPr>
                <w:rFonts w:cs="Arial"/>
                <w:sz w:val="20"/>
                <w:lang w:eastAsia="es-MX"/>
              </w:rPr>
              <w:t>23.3</w:t>
            </w:r>
          </w:p>
        </w:tc>
      </w:tr>
      <w:tr w:rsidR="009E086F" w:rsidRPr="00DF1AFB" w14:paraId="37B0F275" w14:textId="77777777" w:rsidTr="00562DA7">
        <w:trPr>
          <w:trHeight w:val="300"/>
        </w:trPr>
        <w:tc>
          <w:tcPr>
            <w:tcW w:w="220" w:type="dxa"/>
            <w:tcBorders>
              <w:top w:val="nil"/>
              <w:left w:val="nil"/>
              <w:right w:val="nil"/>
            </w:tcBorders>
            <w:shd w:val="clear" w:color="auto" w:fill="CCE2E6"/>
            <w:noWrap/>
            <w:vAlign w:val="bottom"/>
            <w:hideMark/>
          </w:tcPr>
          <w:p w14:paraId="7BAB70BE" w14:textId="77777777" w:rsidR="009E086F" w:rsidRPr="00DF1AFB" w:rsidRDefault="009E086F" w:rsidP="00562DA7">
            <w:pPr>
              <w:widowControl/>
              <w:jc w:val="left"/>
              <w:rPr>
                <w:rFonts w:ascii="Times New Roman" w:hAnsi="Times New Roman"/>
                <w:color w:val="000000"/>
                <w:sz w:val="20"/>
                <w:lang w:eastAsia="es-MX"/>
              </w:rPr>
            </w:pPr>
            <w:r w:rsidRPr="00DF1AFB">
              <w:rPr>
                <w:rFonts w:ascii="Times New Roman" w:hAnsi="Times New Roman"/>
                <w:color w:val="000000"/>
                <w:sz w:val="20"/>
                <w:lang w:eastAsia="es-MX"/>
              </w:rPr>
              <w:t> </w:t>
            </w:r>
          </w:p>
        </w:tc>
        <w:tc>
          <w:tcPr>
            <w:tcW w:w="4760" w:type="dxa"/>
            <w:tcBorders>
              <w:top w:val="nil"/>
              <w:left w:val="nil"/>
              <w:right w:val="nil"/>
            </w:tcBorders>
            <w:shd w:val="clear" w:color="auto" w:fill="CCE2E6"/>
            <w:vAlign w:val="center"/>
            <w:hideMark/>
          </w:tcPr>
          <w:p w14:paraId="7B11222E" w14:textId="77777777" w:rsidR="009E086F" w:rsidRPr="00DF1AFB" w:rsidRDefault="009E086F" w:rsidP="00562DA7">
            <w:pPr>
              <w:widowControl/>
              <w:jc w:val="left"/>
              <w:rPr>
                <w:rFonts w:cs="Arial"/>
                <w:color w:val="000000"/>
                <w:sz w:val="20"/>
                <w:lang w:eastAsia="es-MX"/>
              </w:rPr>
            </w:pPr>
            <w:r w:rsidRPr="00DF1AFB">
              <w:rPr>
                <w:rFonts w:cs="Arial"/>
                <w:sz w:val="20"/>
                <w:lang w:eastAsia="es-MX"/>
              </w:rPr>
              <w:t>Más de 28 horas</w:t>
            </w:r>
          </w:p>
        </w:tc>
        <w:tc>
          <w:tcPr>
            <w:tcW w:w="1600" w:type="dxa"/>
            <w:tcBorders>
              <w:top w:val="nil"/>
              <w:left w:val="nil"/>
              <w:right w:val="nil"/>
            </w:tcBorders>
            <w:shd w:val="clear" w:color="auto" w:fill="CCE2E6"/>
            <w:vAlign w:val="center"/>
            <w:hideMark/>
          </w:tcPr>
          <w:p w14:paraId="5B5933F9" w14:textId="77777777" w:rsidR="009E086F" w:rsidRPr="00DF1AFB" w:rsidRDefault="009E086F" w:rsidP="00562DA7">
            <w:pPr>
              <w:widowControl/>
              <w:jc w:val="center"/>
              <w:rPr>
                <w:rFonts w:cs="Arial"/>
                <w:color w:val="000000"/>
                <w:sz w:val="20"/>
                <w:lang w:eastAsia="es-MX"/>
              </w:rPr>
            </w:pPr>
            <w:r w:rsidRPr="00DF1AFB">
              <w:rPr>
                <w:rFonts w:cs="Arial"/>
                <w:sz w:val="20"/>
                <w:lang w:eastAsia="es-MX"/>
              </w:rPr>
              <w:t>20.1</w:t>
            </w:r>
          </w:p>
        </w:tc>
        <w:tc>
          <w:tcPr>
            <w:tcW w:w="1600" w:type="dxa"/>
            <w:tcBorders>
              <w:top w:val="nil"/>
              <w:left w:val="nil"/>
              <w:right w:val="nil"/>
            </w:tcBorders>
            <w:shd w:val="clear" w:color="auto" w:fill="CCE2E6"/>
            <w:vAlign w:val="center"/>
            <w:hideMark/>
          </w:tcPr>
          <w:p w14:paraId="082BBBA4" w14:textId="77777777" w:rsidR="009E086F" w:rsidRPr="00DF1AFB" w:rsidRDefault="009E086F" w:rsidP="00562DA7">
            <w:pPr>
              <w:widowControl/>
              <w:jc w:val="center"/>
              <w:rPr>
                <w:rFonts w:cs="Arial"/>
                <w:color w:val="000000"/>
                <w:sz w:val="20"/>
                <w:lang w:eastAsia="es-MX"/>
              </w:rPr>
            </w:pPr>
            <w:r w:rsidRPr="00DF1AFB">
              <w:rPr>
                <w:rFonts w:cs="Arial"/>
                <w:sz w:val="20"/>
                <w:lang w:eastAsia="es-MX"/>
              </w:rPr>
              <w:t>8.5</w:t>
            </w:r>
          </w:p>
        </w:tc>
        <w:tc>
          <w:tcPr>
            <w:tcW w:w="1600" w:type="dxa"/>
            <w:tcBorders>
              <w:top w:val="nil"/>
              <w:left w:val="nil"/>
              <w:right w:val="nil"/>
            </w:tcBorders>
            <w:shd w:val="clear" w:color="auto" w:fill="CCE2E6"/>
            <w:vAlign w:val="center"/>
            <w:hideMark/>
          </w:tcPr>
          <w:p w14:paraId="10CA3070" w14:textId="77777777" w:rsidR="009E086F" w:rsidRPr="00DF1AFB" w:rsidRDefault="009E086F" w:rsidP="00562DA7">
            <w:pPr>
              <w:widowControl/>
              <w:jc w:val="center"/>
              <w:rPr>
                <w:rFonts w:cs="Arial"/>
                <w:color w:val="000000"/>
                <w:sz w:val="20"/>
                <w:lang w:eastAsia="es-MX"/>
              </w:rPr>
            </w:pPr>
            <w:r w:rsidRPr="00DF1AFB">
              <w:rPr>
                <w:rFonts w:cs="Arial"/>
                <w:sz w:val="20"/>
                <w:lang w:eastAsia="es-MX"/>
              </w:rPr>
              <w:t>30.8</w:t>
            </w:r>
          </w:p>
        </w:tc>
      </w:tr>
      <w:tr w:rsidR="009E086F" w:rsidRPr="00DF1AFB" w14:paraId="689D4578" w14:textId="77777777" w:rsidTr="00562DA7">
        <w:trPr>
          <w:trHeight w:val="300"/>
        </w:trPr>
        <w:tc>
          <w:tcPr>
            <w:tcW w:w="220" w:type="dxa"/>
            <w:tcBorders>
              <w:top w:val="nil"/>
              <w:left w:val="nil"/>
              <w:right w:val="nil"/>
            </w:tcBorders>
            <w:shd w:val="clear" w:color="auto" w:fill="CCE2E6"/>
            <w:vAlign w:val="center"/>
            <w:hideMark/>
          </w:tcPr>
          <w:p w14:paraId="1A524E12" w14:textId="77777777" w:rsidR="009E086F" w:rsidRPr="00DF1AFB" w:rsidRDefault="009E086F" w:rsidP="00562DA7">
            <w:pPr>
              <w:widowControl/>
              <w:jc w:val="left"/>
              <w:rPr>
                <w:rFonts w:ascii="Times New Roman" w:hAnsi="Times New Roman"/>
                <w:color w:val="000000"/>
                <w:sz w:val="20"/>
                <w:lang w:eastAsia="es-MX"/>
              </w:rPr>
            </w:pPr>
            <w:r w:rsidRPr="00DF1AFB">
              <w:rPr>
                <w:rFonts w:ascii="Times New Roman" w:hAnsi="Times New Roman"/>
                <w:color w:val="000000"/>
                <w:sz w:val="20"/>
                <w:lang w:eastAsia="es-MX"/>
              </w:rPr>
              <w:t> </w:t>
            </w:r>
          </w:p>
        </w:tc>
        <w:tc>
          <w:tcPr>
            <w:tcW w:w="4760" w:type="dxa"/>
            <w:tcBorders>
              <w:top w:val="nil"/>
              <w:left w:val="nil"/>
              <w:right w:val="nil"/>
            </w:tcBorders>
            <w:shd w:val="clear" w:color="auto" w:fill="CCE2E6"/>
            <w:vAlign w:val="center"/>
            <w:hideMark/>
          </w:tcPr>
          <w:p w14:paraId="6289BAAA" w14:textId="77777777" w:rsidR="009E086F" w:rsidRPr="00DF1AFB" w:rsidRDefault="009E086F" w:rsidP="00562DA7">
            <w:pPr>
              <w:widowControl/>
              <w:jc w:val="left"/>
              <w:rPr>
                <w:rFonts w:cs="Arial"/>
                <w:color w:val="000000"/>
                <w:sz w:val="20"/>
                <w:lang w:eastAsia="es-MX"/>
              </w:rPr>
            </w:pPr>
            <w:r w:rsidRPr="00DF1AFB">
              <w:rPr>
                <w:rFonts w:cs="Arial"/>
                <w:sz w:val="20"/>
                <w:lang w:eastAsia="es-MX"/>
              </w:rPr>
              <w:t>No especificado</w:t>
            </w:r>
          </w:p>
        </w:tc>
        <w:tc>
          <w:tcPr>
            <w:tcW w:w="1600" w:type="dxa"/>
            <w:tcBorders>
              <w:top w:val="nil"/>
              <w:left w:val="nil"/>
              <w:right w:val="nil"/>
            </w:tcBorders>
            <w:shd w:val="clear" w:color="auto" w:fill="CCE2E6"/>
            <w:vAlign w:val="center"/>
            <w:hideMark/>
          </w:tcPr>
          <w:p w14:paraId="58CAF974" w14:textId="77777777" w:rsidR="009E086F" w:rsidRPr="00DF1AFB" w:rsidRDefault="009E086F" w:rsidP="00562DA7">
            <w:pPr>
              <w:widowControl/>
              <w:jc w:val="center"/>
              <w:rPr>
                <w:rFonts w:cs="Arial"/>
                <w:color w:val="000000"/>
                <w:sz w:val="20"/>
                <w:lang w:eastAsia="es-MX"/>
              </w:rPr>
            </w:pPr>
            <w:r w:rsidRPr="00DF1AFB">
              <w:rPr>
                <w:rFonts w:cs="Arial"/>
                <w:sz w:val="20"/>
                <w:lang w:eastAsia="es-MX"/>
              </w:rPr>
              <w:t>0.2</w:t>
            </w:r>
          </w:p>
        </w:tc>
        <w:tc>
          <w:tcPr>
            <w:tcW w:w="1600" w:type="dxa"/>
            <w:tcBorders>
              <w:top w:val="nil"/>
              <w:left w:val="nil"/>
              <w:right w:val="nil"/>
            </w:tcBorders>
            <w:shd w:val="clear" w:color="auto" w:fill="CCE2E6"/>
            <w:vAlign w:val="center"/>
            <w:hideMark/>
          </w:tcPr>
          <w:p w14:paraId="7DD0ADFB" w14:textId="77777777" w:rsidR="009E086F" w:rsidRPr="00DF1AFB" w:rsidRDefault="009E086F" w:rsidP="00562DA7">
            <w:pPr>
              <w:widowControl/>
              <w:jc w:val="center"/>
              <w:rPr>
                <w:rFonts w:cs="Arial"/>
                <w:color w:val="000000"/>
                <w:sz w:val="20"/>
                <w:lang w:eastAsia="es-MX"/>
              </w:rPr>
            </w:pPr>
            <w:r w:rsidRPr="00DF1AFB">
              <w:rPr>
                <w:rFonts w:cs="Arial"/>
                <w:sz w:val="20"/>
                <w:lang w:eastAsia="es-MX"/>
              </w:rPr>
              <w:t>0.2</w:t>
            </w:r>
          </w:p>
        </w:tc>
        <w:tc>
          <w:tcPr>
            <w:tcW w:w="1600" w:type="dxa"/>
            <w:tcBorders>
              <w:top w:val="nil"/>
              <w:left w:val="nil"/>
              <w:right w:val="nil"/>
            </w:tcBorders>
            <w:shd w:val="clear" w:color="auto" w:fill="CCE2E6"/>
            <w:vAlign w:val="center"/>
            <w:hideMark/>
          </w:tcPr>
          <w:p w14:paraId="49AF6407" w14:textId="77777777" w:rsidR="009E086F" w:rsidRPr="00DF1AFB" w:rsidRDefault="009E086F" w:rsidP="00562DA7">
            <w:pPr>
              <w:widowControl/>
              <w:jc w:val="center"/>
              <w:rPr>
                <w:rFonts w:cs="Arial"/>
                <w:color w:val="000000"/>
                <w:sz w:val="20"/>
                <w:lang w:eastAsia="es-MX"/>
              </w:rPr>
            </w:pPr>
            <w:r w:rsidRPr="00DF1AFB">
              <w:rPr>
                <w:rFonts w:cs="Arial"/>
                <w:sz w:val="20"/>
                <w:lang w:eastAsia="es-MX"/>
              </w:rPr>
              <w:t>0.1</w:t>
            </w:r>
          </w:p>
        </w:tc>
      </w:tr>
    </w:tbl>
    <w:p w14:paraId="747F0021" w14:textId="4258FE1C" w:rsidR="009E086F" w:rsidRPr="00560388" w:rsidRDefault="009E086F" w:rsidP="009E086F">
      <w:pPr>
        <w:widowControl/>
        <w:autoSpaceDE w:val="0"/>
        <w:autoSpaceDN w:val="0"/>
        <w:adjustRightInd w:val="0"/>
        <w:rPr>
          <w:rFonts w:cs="Arial"/>
          <w:sz w:val="16"/>
          <w:szCs w:val="16"/>
        </w:rPr>
      </w:pPr>
      <w:r w:rsidRPr="00560388">
        <w:rPr>
          <w:rFonts w:cs="Arial"/>
          <w:color w:val="000000" w:themeColor="text1"/>
          <w:sz w:val="16"/>
          <w:szCs w:val="16"/>
        </w:rPr>
        <w:t>Fuente: INEGI, ENTI. 2022.</w:t>
      </w:r>
    </w:p>
    <w:p w14:paraId="5DAA15D1" w14:textId="77777777" w:rsidR="008011F7" w:rsidRPr="00E61E1D" w:rsidRDefault="008011F7" w:rsidP="00D94D89">
      <w:pPr>
        <w:widowControl/>
        <w:autoSpaceDE w:val="0"/>
        <w:autoSpaceDN w:val="0"/>
        <w:adjustRightInd w:val="0"/>
        <w:rPr>
          <w:rFonts w:cs="Arial"/>
          <w:color w:val="000000"/>
          <w:szCs w:val="24"/>
        </w:rPr>
      </w:pPr>
    </w:p>
    <w:p w14:paraId="4FD2413E" w14:textId="106A270A" w:rsidR="00221203" w:rsidRPr="00E61E1D" w:rsidRDefault="002E22B4" w:rsidP="000E1EBC">
      <w:pPr>
        <w:widowControl/>
        <w:autoSpaceDE w:val="0"/>
        <w:autoSpaceDN w:val="0"/>
        <w:adjustRightInd w:val="0"/>
        <w:ind w:right="51"/>
        <w:rPr>
          <w:rFonts w:cs="Arial"/>
          <w:color w:val="000000" w:themeColor="text1"/>
          <w:szCs w:val="24"/>
        </w:rPr>
      </w:pPr>
      <w:r w:rsidRPr="00E61E1D">
        <w:rPr>
          <w:rFonts w:cs="Arial"/>
          <w:color w:val="000000" w:themeColor="text1"/>
          <w:szCs w:val="24"/>
        </w:rPr>
        <w:t>En 2022, l</w:t>
      </w:r>
      <w:r w:rsidR="00791592" w:rsidRPr="00E61E1D">
        <w:rPr>
          <w:rFonts w:cs="Arial"/>
          <w:color w:val="000000" w:themeColor="text1"/>
          <w:szCs w:val="24"/>
        </w:rPr>
        <w:t xml:space="preserve">os estados </w:t>
      </w:r>
      <w:r w:rsidRPr="00E61E1D">
        <w:rPr>
          <w:rFonts w:cs="Arial"/>
          <w:color w:val="000000" w:themeColor="text1"/>
          <w:szCs w:val="24"/>
        </w:rPr>
        <w:t xml:space="preserve">con el porcentaje de quehaceres domésticos en condiciones no adecuadas más altas </w:t>
      </w:r>
      <w:r w:rsidR="0022159D" w:rsidRPr="00E61E1D">
        <w:rPr>
          <w:rFonts w:cs="Arial"/>
          <w:color w:val="000000" w:themeColor="text1"/>
          <w:szCs w:val="24"/>
        </w:rPr>
        <w:t xml:space="preserve">fueron </w:t>
      </w:r>
      <w:r w:rsidR="00791592" w:rsidRPr="00E61E1D">
        <w:rPr>
          <w:rFonts w:cs="Arial"/>
          <w:color w:val="000000" w:themeColor="text1"/>
          <w:szCs w:val="24"/>
        </w:rPr>
        <w:t>Guerrero con 12.9 %</w:t>
      </w:r>
      <w:r w:rsidR="00633AF9" w:rsidRPr="00E61E1D">
        <w:rPr>
          <w:rFonts w:cs="Arial"/>
          <w:color w:val="000000" w:themeColor="text1"/>
          <w:szCs w:val="24"/>
        </w:rPr>
        <w:t>,</w:t>
      </w:r>
      <w:r w:rsidR="00791592" w:rsidRPr="00E61E1D">
        <w:rPr>
          <w:rFonts w:cs="Arial"/>
          <w:color w:val="000000" w:themeColor="text1"/>
          <w:szCs w:val="24"/>
        </w:rPr>
        <w:t xml:space="preserve"> </w:t>
      </w:r>
      <w:r w:rsidR="00C014F3" w:rsidRPr="00E61E1D">
        <w:rPr>
          <w:rFonts w:cs="Arial"/>
          <w:color w:val="000000" w:themeColor="text1"/>
          <w:szCs w:val="24"/>
        </w:rPr>
        <w:t>Michoacán de Ocampo</w:t>
      </w:r>
      <w:r w:rsidR="00221203" w:rsidRPr="00E61E1D">
        <w:rPr>
          <w:rFonts w:cs="Arial"/>
          <w:color w:val="000000" w:themeColor="text1"/>
          <w:szCs w:val="24"/>
        </w:rPr>
        <w:t xml:space="preserve"> con 10.6 %</w:t>
      </w:r>
      <w:r w:rsidR="00633AF9" w:rsidRPr="00E61E1D">
        <w:rPr>
          <w:rFonts w:cs="Arial"/>
          <w:color w:val="000000" w:themeColor="text1"/>
          <w:szCs w:val="24"/>
        </w:rPr>
        <w:t xml:space="preserve"> y Tabasco con 9.9</w:t>
      </w:r>
      <w:r w:rsidR="00C15A05" w:rsidRPr="00E61E1D">
        <w:rPr>
          <w:rFonts w:cs="Arial"/>
          <w:color w:val="000000" w:themeColor="text1"/>
          <w:szCs w:val="24"/>
        </w:rPr>
        <w:t xml:space="preserve"> por ciento</w:t>
      </w:r>
      <w:r w:rsidRPr="00E61E1D">
        <w:rPr>
          <w:rFonts w:cs="Arial"/>
          <w:color w:val="000000" w:themeColor="text1"/>
          <w:szCs w:val="24"/>
        </w:rPr>
        <w:t>. En</w:t>
      </w:r>
      <w:r w:rsidR="00221203" w:rsidRPr="00E61E1D">
        <w:rPr>
          <w:rFonts w:cs="Arial"/>
          <w:color w:val="000000" w:themeColor="text1"/>
          <w:szCs w:val="24"/>
        </w:rPr>
        <w:t xml:space="preserve"> contraste</w:t>
      </w:r>
      <w:r w:rsidR="00C15A05" w:rsidRPr="00E61E1D">
        <w:rPr>
          <w:rFonts w:cs="Arial"/>
          <w:color w:val="000000" w:themeColor="text1"/>
          <w:szCs w:val="24"/>
        </w:rPr>
        <w:t>,</w:t>
      </w:r>
      <w:r w:rsidR="00221203" w:rsidRPr="00E61E1D">
        <w:rPr>
          <w:rFonts w:cs="Arial"/>
          <w:color w:val="000000" w:themeColor="text1"/>
          <w:szCs w:val="24"/>
        </w:rPr>
        <w:t xml:space="preserve"> Ciudad de México </w:t>
      </w:r>
      <w:r w:rsidRPr="00E61E1D">
        <w:rPr>
          <w:rFonts w:cs="Arial"/>
          <w:color w:val="000000" w:themeColor="text1"/>
          <w:szCs w:val="24"/>
        </w:rPr>
        <w:t>(</w:t>
      </w:r>
      <w:r w:rsidR="00221203" w:rsidRPr="00E61E1D">
        <w:rPr>
          <w:rFonts w:cs="Arial"/>
          <w:color w:val="000000" w:themeColor="text1"/>
          <w:szCs w:val="24"/>
        </w:rPr>
        <w:t>1.7 %</w:t>
      </w:r>
      <w:r w:rsidRPr="00E61E1D">
        <w:rPr>
          <w:rFonts w:cs="Arial"/>
          <w:color w:val="000000" w:themeColor="text1"/>
          <w:szCs w:val="24"/>
        </w:rPr>
        <w:t>)</w:t>
      </w:r>
      <w:r w:rsidR="00221203" w:rsidRPr="00E61E1D">
        <w:rPr>
          <w:rFonts w:cs="Arial"/>
          <w:color w:val="000000" w:themeColor="text1"/>
          <w:szCs w:val="24"/>
        </w:rPr>
        <w:t xml:space="preserve">, Coahuila de Zaragoza </w:t>
      </w:r>
      <w:r w:rsidR="000E1EBC">
        <w:rPr>
          <w:rFonts w:cs="Arial"/>
          <w:color w:val="000000" w:themeColor="text1"/>
          <w:szCs w:val="24"/>
        </w:rPr>
        <w:br/>
      </w:r>
      <w:r w:rsidR="00221203" w:rsidRPr="00E61E1D">
        <w:rPr>
          <w:rFonts w:cs="Arial"/>
          <w:color w:val="000000" w:themeColor="text1"/>
          <w:szCs w:val="24"/>
        </w:rPr>
        <w:t>3</w:t>
      </w:r>
      <w:r w:rsidR="000E1EBC">
        <w:rPr>
          <w:rFonts w:cs="Arial"/>
          <w:color w:val="000000" w:themeColor="text1"/>
          <w:szCs w:val="24"/>
        </w:rPr>
        <w:t>.0</w:t>
      </w:r>
      <w:r w:rsidR="00221203" w:rsidRPr="00E61E1D">
        <w:rPr>
          <w:rFonts w:cs="Arial"/>
          <w:color w:val="000000" w:themeColor="text1"/>
          <w:szCs w:val="24"/>
        </w:rPr>
        <w:t xml:space="preserve"> %</w:t>
      </w:r>
      <w:r w:rsidRPr="00E61E1D">
        <w:rPr>
          <w:rFonts w:cs="Arial"/>
          <w:color w:val="000000" w:themeColor="text1"/>
          <w:szCs w:val="24"/>
        </w:rPr>
        <w:t>)</w:t>
      </w:r>
      <w:r w:rsidR="00221203" w:rsidRPr="00E61E1D">
        <w:rPr>
          <w:rFonts w:cs="Arial"/>
          <w:color w:val="000000" w:themeColor="text1"/>
          <w:szCs w:val="24"/>
        </w:rPr>
        <w:t xml:space="preserve"> y Quintana Roo </w:t>
      </w:r>
      <w:r w:rsidRPr="00E61E1D">
        <w:rPr>
          <w:rFonts w:cs="Arial"/>
          <w:color w:val="000000" w:themeColor="text1"/>
          <w:szCs w:val="24"/>
        </w:rPr>
        <w:t>(</w:t>
      </w:r>
      <w:r w:rsidR="00221203" w:rsidRPr="00E61E1D">
        <w:rPr>
          <w:rFonts w:cs="Arial"/>
          <w:color w:val="000000" w:themeColor="text1"/>
          <w:szCs w:val="24"/>
        </w:rPr>
        <w:t>3.1 %</w:t>
      </w:r>
      <w:r w:rsidRPr="00E61E1D">
        <w:rPr>
          <w:rFonts w:cs="Arial"/>
          <w:color w:val="000000" w:themeColor="text1"/>
          <w:szCs w:val="24"/>
        </w:rPr>
        <w:t>)</w:t>
      </w:r>
      <w:r w:rsidR="00221203" w:rsidRPr="00E61E1D">
        <w:rPr>
          <w:rFonts w:cs="Arial"/>
          <w:color w:val="000000" w:themeColor="text1"/>
          <w:szCs w:val="24"/>
        </w:rPr>
        <w:t xml:space="preserve"> registraron </w:t>
      </w:r>
      <w:r w:rsidR="00B56130" w:rsidRPr="00E61E1D">
        <w:rPr>
          <w:rFonts w:cs="Arial"/>
          <w:color w:val="000000" w:themeColor="text1"/>
          <w:szCs w:val="24"/>
        </w:rPr>
        <w:t>los porcentajes</w:t>
      </w:r>
      <w:r w:rsidR="00221203" w:rsidRPr="00E61E1D">
        <w:rPr>
          <w:rFonts w:cs="Arial"/>
          <w:color w:val="000000" w:themeColor="text1"/>
          <w:szCs w:val="24"/>
        </w:rPr>
        <w:t xml:space="preserve"> más baj</w:t>
      </w:r>
      <w:r w:rsidR="000A1662" w:rsidRPr="00E61E1D">
        <w:rPr>
          <w:rFonts w:cs="Arial"/>
          <w:color w:val="000000" w:themeColor="text1"/>
          <w:szCs w:val="24"/>
        </w:rPr>
        <w:t>o</w:t>
      </w:r>
      <w:r w:rsidR="00221203" w:rsidRPr="00E61E1D">
        <w:rPr>
          <w:rFonts w:cs="Arial"/>
          <w:color w:val="000000" w:themeColor="text1"/>
          <w:szCs w:val="24"/>
        </w:rPr>
        <w:t>s</w:t>
      </w:r>
      <w:r w:rsidR="004E0174" w:rsidRPr="00E61E1D">
        <w:rPr>
          <w:rFonts w:cs="Arial"/>
          <w:color w:val="000000" w:themeColor="text1"/>
          <w:szCs w:val="24"/>
        </w:rPr>
        <w:t>, para referencia del resto de entidades ver gráfica 14</w:t>
      </w:r>
      <w:r w:rsidR="00221203" w:rsidRPr="00E61E1D">
        <w:rPr>
          <w:rFonts w:cs="Arial"/>
          <w:color w:val="000000" w:themeColor="text1"/>
          <w:szCs w:val="24"/>
        </w:rPr>
        <w:t>.</w:t>
      </w:r>
    </w:p>
    <w:p w14:paraId="30CDB227" w14:textId="77777777" w:rsidR="000D7175" w:rsidRPr="00C014F3" w:rsidRDefault="000D7175" w:rsidP="00C15A05">
      <w:pPr>
        <w:widowControl/>
        <w:autoSpaceDE w:val="0"/>
        <w:autoSpaceDN w:val="0"/>
        <w:adjustRightInd w:val="0"/>
        <w:rPr>
          <w:rFonts w:cs="Arial"/>
          <w:color w:val="000000" w:themeColor="text1"/>
          <w:szCs w:val="24"/>
        </w:rPr>
      </w:pPr>
    </w:p>
    <w:p w14:paraId="21815DEE" w14:textId="73FB578C" w:rsidR="006550A2" w:rsidRDefault="006550A2" w:rsidP="00114F00">
      <w:pPr>
        <w:widowControl/>
        <w:autoSpaceDE w:val="0"/>
        <w:autoSpaceDN w:val="0"/>
        <w:adjustRightInd w:val="0"/>
        <w:jc w:val="center"/>
        <w:rPr>
          <w:rFonts w:cs="Arial"/>
          <w:color w:val="000000" w:themeColor="text1"/>
          <w:szCs w:val="24"/>
        </w:rPr>
      </w:pPr>
      <w:r>
        <w:rPr>
          <w:rFonts w:cs="Arial"/>
          <w:color w:val="000000" w:themeColor="text1"/>
          <w:szCs w:val="24"/>
        </w:rPr>
        <w:br w:type="page"/>
      </w:r>
    </w:p>
    <w:p w14:paraId="66F8BC3C" w14:textId="7F900D9A" w:rsidR="00114F00" w:rsidRPr="000E1EBC" w:rsidRDefault="00114F00" w:rsidP="000E1EBC">
      <w:pPr>
        <w:widowControl/>
        <w:autoSpaceDE w:val="0"/>
        <w:autoSpaceDN w:val="0"/>
        <w:adjustRightInd w:val="0"/>
        <w:jc w:val="center"/>
        <w:rPr>
          <w:rFonts w:cs="Arial"/>
          <w:color w:val="000000" w:themeColor="text1"/>
          <w:sz w:val="20"/>
        </w:rPr>
      </w:pPr>
      <w:r w:rsidRPr="000E1EBC">
        <w:rPr>
          <w:rFonts w:cs="Arial"/>
          <w:color w:val="000000" w:themeColor="text1"/>
          <w:sz w:val="20"/>
        </w:rPr>
        <w:lastRenderedPageBreak/>
        <w:t>Gráfica 14</w:t>
      </w:r>
    </w:p>
    <w:p w14:paraId="4FAE1579" w14:textId="77777777" w:rsidR="000E1EBC" w:rsidRDefault="00114F00" w:rsidP="000E1EBC">
      <w:pPr>
        <w:widowControl/>
        <w:autoSpaceDE w:val="0"/>
        <w:autoSpaceDN w:val="0"/>
        <w:adjustRightInd w:val="0"/>
        <w:jc w:val="center"/>
        <w:rPr>
          <w:rFonts w:cs="Arial"/>
          <w:b/>
          <w:bCs/>
          <w:smallCaps/>
          <w:color w:val="000000"/>
          <w:sz w:val="22"/>
          <w:szCs w:val="22"/>
        </w:rPr>
      </w:pPr>
      <w:r w:rsidRPr="000E1EBC">
        <w:rPr>
          <w:rFonts w:cs="Arial"/>
          <w:b/>
          <w:bCs/>
          <w:smallCaps/>
          <w:color w:val="000000"/>
          <w:sz w:val="22"/>
          <w:szCs w:val="22"/>
        </w:rPr>
        <w:t xml:space="preserve">Tasa de quehaceres domésticos en condiciones no adecuadas por entidad federativa, </w:t>
      </w:r>
    </w:p>
    <w:p w14:paraId="6F5A4055" w14:textId="2269CB6F" w:rsidR="00114F00" w:rsidRPr="000E1EBC" w:rsidRDefault="00114F00" w:rsidP="000E1EBC">
      <w:pPr>
        <w:widowControl/>
        <w:autoSpaceDE w:val="0"/>
        <w:autoSpaceDN w:val="0"/>
        <w:adjustRightInd w:val="0"/>
        <w:jc w:val="center"/>
        <w:rPr>
          <w:rFonts w:cs="Arial"/>
          <w:b/>
          <w:bCs/>
          <w:smallCaps/>
          <w:color w:val="000000"/>
          <w:sz w:val="22"/>
          <w:szCs w:val="22"/>
        </w:rPr>
      </w:pPr>
      <w:r w:rsidRPr="000E1EBC">
        <w:rPr>
          <w:rFonts w:cs="Arial"/>
          <w:b/>
          <w:bCs/>
          <w:smallCaps/>
          <w:color w:val="000000"/>
          <w:sz w:val="22"/>
          <w:szCs w:val="22"/>
        </w:rPr>
        <w:t xml:space="preserve">2019 </w:t>
      </w:r>
      <w:proofErr w:type="gramStart"/>
      <w:r w:rsidRPr="000E1EBC">
        <w:rPr>
          <w:rFonts w:cs="Arial"/>
          <w:b/>
          <w:bCs/>
          <w:smallCaps/>
          <w:color w:val="000000"/>
          <w:sz w:val="22"/>
          <w:szCs w:val="22"/>
        </w:rPr>
        <w:t>y</w:t>
      </w:r>
      <w:proofErr w:type="gramEnd"/>
      <w:r w:rsidRPr="000E1EBC">
        <w:rPr>
          <w:rFonts w:cs="Arial"/>
          <w:b/>
          <w:bCs/>
          <w:smallCaps/>
          <w:color w:val="000000"/>
          <w:sz w:val="22"/>
          <w:szCs w:val="22"/>
        </w:rPr>
        <w:t xml:space="preserve"> 2022</w:t>
      </w:r>
    </w:p>
    <w:p w14:paraId="7462E45A" w14:textId="5C529DFF" w:rsidR="00114F00" w:rsidRPr="0003346F" w:rsidRDefault="00114F00" w:rsidP="000E1EBC">
      <w:pPr>
        <w:widowControl/>
        <w:autoSpaceDE w:val="0"/>
        <w:autoSpaceDN w:val="0"/>
        <w:adjustRightInd w:val="0"/>
        <w:jc w:val="center"/>
        <w:rPr>
          <w:rFonts w:cs="Arial"/>
          <w:color w:val="000000"/>
          <w:sz w:val="18"/>
          <w:szCs w:val="18"/>
        </w:rPr>
      </w:pPr>
      <w:r w:rsidRPr="0003346F">
        <w:rPr>
          <w:rFonts w:cs="Arial"/>
          <w:color w:val="000000"/>
          <w:sz w:val="18"/>
          <w:szCs w:val="18"/>
        </w:rPr>
        <w:t>(</w:t>
      </w:r>
      <w:r w:rsidR="002C2946">
        <w:rPr>
          <w:rFonts w:cs="Arial"/>
          <w:color w:val="000000"/>
          <w:sz w:val="18"/>
          <w:szCs w:val="18"/>
        </w:rPr>
        <w:t>p</w:t>
      </w:r>
      <w:r w:rsidRPr="0003346F">
        <w:rPr>
          <w:rFonts w:cs="Arial"/>
          <w:color w:val="000000"/>
          <w:sz w:val="18"/>
          <w:szCs w:val="18"/>
        </w:rPr>
        <w:t>orcentaje respecto a la población de 5 a 17 años)</w:t>
      </w:r>
    </w:p>
    <w:p w14:paraId="10DF4B0E" w14:textId="7255A700" w:rsidR="00114F00" w:rsidRDefault="005207E7" w:rsidP="00114F00">
      <w:pPr>
        <w:widowControl/>
        <w:autoSpaceDE w:val="0"/>
        <w:autoSpaceDN w:val="0"/>
        <w:adjustRightInd w:val="0"/>
        <w:jc w:val="center"/>
        <w:rPr>
          <w:rFonts w:cs="Arial"/>
          <w:color w:val="000000"/>
          <w:szCs w:val="24"/>
        </w:rPr>
      </w:pPr>
      <w:r>
        <w:rPr>
          <w:noProof/>
        </w:rPr>
        <w:drawing>
          <wp:inline distT="0" distB="0" distL="0" distR="0" wp14:anchorId="4FDD0E40" wp14:editId="6E7885AA">
            <wp:extent cx="5310188" cy="6810375"/>
            <wp:effectExtent l="0" t="0" r="5080" b="0"/>
            <wp:docPr id="1327672029" name="Gráfico 1">
              <a:extLst xmlns:a="http://schemas.openxmlformats.org/drawingml/2006/main">
                <a:ext uri="{FF2B5EF4-FFF2-40B4-BE49-F238E27FC236}">
                  <a16:creationId xmlns:a16="http://schemas.microsoft.com/office/drawing/2014/main" id="{3FBF78DC-3A0B-41A8-B9FE-A960D44A1D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614F2363" w14:textId="2F569312" w:rsidR="00114F00" w:rsidRPr="00CD6FE9" w:rsidRDefault="00C00FE5" w:rsidP="00C00FE5">
      <w:pPr>
        <w:widowControl/>
        <w:autoSpaceDE w:val="0"/>
        <w:autoSpaceDN w:val="0"/>
        <w:adjustRightInd w:val="0"/>
        <w:spacing w:line="276" w:lineRule="auto"/>
        <w:jc w:val="left"/>
        <w:rPr>
          <w:rFonts w:cs="Arial"/>
          <w:color w:val="000000"/>
          <w:sz w:val="16"/>
          <w:szCs w:val="16"/>
        </w:rPr>
      </w:pPr>
      <w:r>
        <w:rPr>
          <w:rFonts w:cs="Arial"/>
          <w:color w:val="000000" w:themeColor="text1"/>
          <w:sz w:val="16"/>
          <w:szCs w:val="16"/>
        </w:rPr>
        <w:t xml:space="preserve">                  </w:t>
      </w:r>
      <w:r w:rsidR="00114F00" w:rsidRPr="00CD6FE9">
        <w:rPr>
          <w:rFonts w:cs="Arial"/>
          <w:color w:val="000000" w:themeColor="text1"/>
          <w:sz w:val="16"/>
          <w:szCs w:val="16"/>
        </w:rPr>
        <w:t>Fuente:</w:t>
      </w:r>
      <w:r w:rsidR="00114F00" w:rsidRPr="00CD6FE9">
        <w:rPr>
          <w:rFonts w:cs="Arial"/>
          <w:color w:val="000000" w:themeColor="text1"/>
          <w:sz w:val="16"/>
          <w:szCs w:val="16"/>
        </w:rPr>
        <w:tab/>
        <w:t>INEGI,</w:t>
      </w:r>
      <w:r w:rsidR="00114F00">
        <w:rPr>
          <w:rFonts w:cs="Arial"/>
          <w:color w:val="000000" w:themeColor="text1"/>
          <w:sz w:val="16"/>
          <w:szCs w:val="16"/>
        </w:rPr>
        <w:t xml:space="preserve"> </w:t>
      </w:r>
      <w:r w:rsidR="00114F00" w:rsidRPr="00CD6FE9">
        <w:rPr>
          <w:rFonts w:cs="Arial"/>
          <w:color w:val="000000" w:themeColor="text1"/>
          <w:sz w:val="16"/>
          <w:szCs w:val="16"/>
        </w:rPr>
        <w:t>ENTI</w:t>
      </w:r>
      <w:r w:rsidR="00581428">
        <w:rPr>
          <w:rFonts w:cs="Arial"/>
          <w:color w:val="000000" w:themeColor="text1"/>
          <w:sz w:val="16"/>
          <w:szCs w:val="16"/>
        </w:rPr>
        <w:t>.</w:t>
      </w:r>
      <w:r w:rsidR="00114F00" w:rsidRPr="00CD6FE9">
        <w:rPr>
          <w:rFonts w:cs="Arial"/>
          <w:color w:val="000000" w:themeColor="text1"/>
          <w:sz w:val="16"/>
          <w:szCs w:val="16"/>
        </w:rPr>
        <w:t xml:space="preserve"> 2019 y 2022.</w:t>
      </w:r>
    </w:p>
    <w:p w14:paraId="30518B61" w14:textId="435CCA53" w:rsidR="000D7175" w:rsidRDefault="000D7175" w:rsidP="009E43F3">
      <w:pPr>
        <w:widowControl/>
        <w:autoSpaceDE w:val="0"/>
        <w:autoSpaceDN w:val="0"/>
        <w:adjustRightInd w:val="0"/>
        <w:spacing w:line="276" w:lineRule="auto"/>
        <w:rPr>
          <w:rFonts w:cs="Arial"/>
          <w:color w:val="000000"/>
          <w:sz w:val="18"/>
          <w:szCs w:val="18"/>
        </w:rPr>
      </w:pPr>
    </w:p>
    <w:p w14:paraId="7D464CC9" w14:textId="77777777" w:rsidR="00C15A05" w:rsidRDefault="00C15A05" w:rsidP="009E43F3">
      <w:pPr>
        <w:widowControl/>
        <w:autoSpaceDE w:val="0"/>
        <w:autoSpaceDN w:val="0"/>
        <w:adjustRightInd w:val="0"/>
        <w:spacing w:line="276" w:lineRule="auto"/>
        <w:rPr>
          <w:rFonts w:cs="Arial"/>
          <w:color w:val="000000"/>
          <w:sz w:val="18"/>
          <w:szCs w:val="18"/>
        </w:rPr>
      </w:pPr>
    </w:p>
    <w:p w14:paraId="58F415BB" w14:textId="77777777" w:rsidR="00C15A05" w:rsidRDefault="00C15A05" w:rsidP="009E43F3">
      <w:pPr>
        <w:widowControl/>
        <w:autoSpaceDE w:val="0"/>
        <w:autoSpaceDN w:val="0"/>
        <w:adjustRightInd w:val="0"/>
        <w:spacing w:line="276" w:lineRule="auto"/>
        <w:rPr>
          <w:rFonts w:cs="Arial"/>
          <w:color w:val="000000"/>
          <w:sz w:val="18"/>
          <w:szCs w:val="18"/>
        </w:rPr>
      </w:pPr>
    </w:p>
    <w:p w14:paraId="0BEED5A0" w14:textId="2A57ABBD" w:rsidR="00791592" w:rsidRPr="00DA1FFF" w:rsidRDefault="00F53141" w:rsidP="00DA1FFF">
      <w:pPr>
        <w:pStyle w:val="Prrafodelista"/>
        <w:widowControl/>
        <w:numPr>
          <w:ilvl w:val="0"/>
          <w:numId w:val="9"/>
        </w:numPr>
        <w:autoSpaceDE w:val="0"/>
        <w:autoSpaceDN w:val="0"/>
        <w:adjustRightInd w:val="0"/>
        <w:jc w:val="center"/>
        <w:rPr>
          <w:rFonts w:ascii="Arial Negrita" w:hAnsi="Arial Negrita" w:cs="Arial"/>
          <w:b/>
          <w:bCs/>
          <w:smallCaps/>
          <w:color w:val="000000"/>
          <w:szCs w:val="24"/>
        </w:rPr>
      </w:pPr>
      <w:r w:rsidRPr="00DA1FFF">
        <w:rPr>
          <w:rFonts w:ascii="Arial Negrita" w:hAnsi="Arial Negrita" w:cs="Arial"/>
          <w:b/>
          <w:bCs/>
          <w:smallCaps/>
          <w:color w:val="000000"/>
          <w:szCs w:val="24"/>
        </w:rPr>
        <w:lastRenderedPageBreak/>
        <w:t>Hogares</w:t>
      </w:r>
    </w:p>
    <w:p w14:paraId="64862215" w14:textId="77777777" w:rsidR="00791592" w:rsidRDefault="00791592" w:rsidP="000E1EBC">
      <w:pPr>
        <w:widowControl/>
        <w:autoSpaceDE w:val="0"/>
        <w:autoSpaceDN w:val="0"/>
        <w:adjustRightInd w:val="0"/>
        <w:ind w:right="51"/>
        <w:rPr>
          <w:rFonts w:cs="Arial"/>
          <w:color w:val="000000"/>
          <w:szCs w:val="24"/>
        </w:rPr>
      </w:pPr>
    </w:p>
    <w:p w14:paraId="364C17A9" w14:textId="3721C6AE" w:rsidR="00AA3A69" w:rsidRPr="00E61E1D" w:rsidRDefault="00AA3A69" w:rsidP="000E1EBC">
      <w:pPr>
        <w:widowControl/>
        <w:autoSpaceDE w:val="0"/>
        <w:autoSpaceDN w:val="0"/>
        <w:adjustRightInd w:val="0"/>
        <w:ind w:right="51"/>
        <w:rPr>
          <w:rFonts w:cs="Arial"/>
          <w:color w:val="000000"/>
          <w:szCs w:val="24"/>
        </w:rPr>
      </w:pPr>
      <w:r w:rsidRPr="00E61E1D">
        <w:rPr>
          <w:rFonts w:cs="Arial"/>
          <w:color w:val="000000"/>
          <w:szCs w:val="24"/>
        </w:rPr>
        <w:t xml:space="preserve">En 2022, se reportaron 17 millones de hogares con </w:t>
      </w:r>
      <w:r w:rsidR="00DE220D" w:rsidRPr="00E61E1D">
        <w:rPr>
          <w:rFonts w:cs="Arial"/>
          <w:color w:val="000000"/>
          <w:szCs w:val="24"/>
        </w:rPr>
        <w:t xml:space="preserve">niñas, niños o adolescentes </w:t>
      </w:r>
      <w:r w:rsidRPr="00E61E1D">
        <w:rPr>
          <w:rFonts w:cs="Arial"/>
          <w:color w:val="000000"/>
          <w:szCs w:val="24"/>
        </w:rPr>
        <w:t xml:space="preserve">de 5 a 17 años; de </w:t>
      </w:r>
      <w:r w:rsidR="005F3581" w:rsidRPr="00E61E1D">
        <w:rPr>
          <w:rFonts w:cs="Arial"/>
          <w:color w:val="000000"/>
          <w:szCs w:val="24"/>
        </w:rPr>
        <w:t>estos hogares</w:t>
      </w:r>
      <w:r w:rsidRPr="00E61E1D">
        <w:rPr>
          <w:rFonts w:cs="Arial"/>
          <w:color w:val="000000"/>
          <w:szCs w:val="24"/>
        </w:rPr>
        <w:t xml:space="preserve">, </w:t>
      </w:r>
      <w:r w:rsidR="005E1D63" w:rsidRPr="00E61E1D">
        <w:rPr>
          <w:rFonts w:cs="Arial"/>
          <w:color w:val="000000"/>
          <w:szCs w:val="24"/>
        </w:rPr>
        <w:t xml:space="preserve">3.1 </w:t>
      </w:r>
      <w:r w:rsidRPr="00E61E1D">
        <w:rPr>
          <w:rFonts w:cs="Arial"/>
          <w:color w:val="000000"/>
          <w:szCs w:val="24"/>
        </w:rPr>
        <w:t xml:space="preserve">millones tuvieron </w:t>
      </w:r>
      <w:r w:rsidR="00B9526C" w:rsidRPr="00E61E1D">
        <w:rPr>
          <w:rFonts w:cs="Arial"/>
          <w:color w:val="000000"/>
          <w:szCs w:val="24"/>
        </w:rPr>
        <w:t xml:space="preserve">menores en </w:t>
      </w:r>
      <w:r w:rsidRPr="00E61E1D">
        <w:rPr>
          <w:rFonts w:cs="Arial"/>
          <w:color w:val="000000"/>
          <w:szCs w:val="24"/>
        </w:rPr>
        <w:t>trabajo infantil (</w:t>
      </w:r>
      <w:r w:rsidR="005E1D63" w:rsidRPr="00E61E1D">
        <w:rPr>
          <w:rFonts w:cs="Arial"/>
          <w:color w:val="000000"/>
          <w:szCs w:val="24"/>
        </w:rPr>
        <w:t xml:space="preserve">18.2 </w:t>
      </w:r>
      <w:r w:rsidRPr="00E61E1D">
        <w:rPr>
          <w:rFonts w:cs="Arial"/>
          <w:color w:val="000000"/>
          <w:szCs w:val="24"/>
        </w:rPr>
        <w:t>%), 1</w:t>
      </w:r>
      <w:r w:rsidR="00221203" w:rsidRPr="00E61E1D">
        <w:rPr>
          <w:rFonts w:cs="Arial"/>
          <w:color w:val="000000"/>
          <w:szCs w:val="24"/>
        </w:rPr>
        <w:t>.</w:t>
      </w:r>
      <w:r w:rsidRPr="00E61E1D">
        <w:rPr>
          <w:rFonts w:cs="Arial"/>
          <w:color w:val="000000"/>
          <w:szCs w:val="24"/>
        </w:rPr>
        <w:t>8 millones</w:t>
      </w:r>
      <w:r w:rsidR="00B9526C" w:rsidRPr="00E61E1D">
        <w:rPr>
          <w:rFonts w:cs="Arial"/>
          <w:color w:val="000000"/>
          <w:szCs w:val="24"/>
        </w:rPr>
        <w:t xml:space="preserve"> con</w:t>
      </w:r>
      <w:r w:rsidRPr="00E61E1D">
        <w:rPr>
          <w:rFonts w:cs="Arial"/>
          <w:color w:val="000000"/>
          <w:szCs w:val="24"/>
        </w:rPr>
        <w:t xml:space="preserve"> ocupación no permitida (10.6 %) y </w:t>
      </w:r>
      <w:r w:rsidR="005534C9" w:rsidRPr="00E61E1D">
        <w:rPr>
          <w:rFonts w:cs="Arial"/>
          <w:color w:val="000000"/>
          <w:szCs w:val="24"/>
        </w:rPr>
        <w:t xml:space="preserve">en </w:t>
      </w:r>
      <w:r w:rsidRPr="00E61E1D">
        <w:rPr>
          <w:rFonts w:cs="Arial"/>
          <w:color w:val="000000"/>
          <w:szCs w:val="24"/>
        </w:rPr>
        <w:t xml:space="preserve">1.7 millones (9.8 %) </w:t>
      </w:r>
      <w:r w:rsidR="00B9526C" w:rsidRPr="00E61E1D">
        <w:rPr>
          <w:rFonts w:cs="Arial"/>
          <w:color w:val="000000"/>
          <w:szCs w:val="24"/>
        </w:rPr>
        <w:t>con aquellos</w:t>
      </w:r>
      <w:r w:rsidR="005534C9" w:rsidRPr="00E61E1D">
        <w:rPr>
          <w:rFonts w:cs="Arial"/>
          <w:color w:val="000000"/>
          <w:szCs w:val="24"/>
        </w:rPr>
        <w:t xml:space="preserve"> </w:t>
      </w:r>
      <w:r w:rsidR="00B9526C" w:rsidRPr="00E61E1D">
        <w:rPr>
          <w:rFonts w:cs="Arial"/>
          <w:color w:val="000000"/>
          <w:szCs w:val="24"/>
        </w:rPr>
        <w:t xml:space="preserve">que </w:t>
      </w:r>
      <w:r w:rsidRPr="00E61E1D">
        <w:rPr>
          <w:rFonts w:cs="Arial"/>
          <w:color w:val="000000"/>
          <w:szCs w:val="24"/>
        </w:rPr>
        <w:t>realiza</w:t>
      </w:r>
      <w:r w:rsidR="00221203" w:rsidRPr="00E61E1D">
        <w:rPr>
          <w:rFonts w:cs="Arial"/>
          <w:color w:val="000000"/>
          <w:szCs w:val="24"/>
        </w:rPr>
        <w:t>ron</w:t>
      </w:r>
      <w:r w:rsidRPr="00E61E1D">
        <w:rPr>
          <w:rFonts w:cs="Arial"/>
          <w:color w:val="000000"/>
          <w:szCs w:val="24"/>
        </w:rPr>
        <w:t xml:space="preserve"> quehaceres domésticos en condiciones no adecuadas</w:t>
      </w:r>
      <w:r w:rsidR="004E0174" w:rsidRPr="00E61E1D">
        <w:rPr>
          <w:rFonts w:cs="Arial"/>
          <w:szCs w:val="24"/>
        </w:rPr>
        <w:t xml:space="preserve"> (ver cuadro 25).</w:t>
      </w:r>
    </w:p>
    <w:p w14:paraId="3AE35FB8" w14:textId="77777777" w:rsidR="0027111E" w:rsidRPr="00E61E1D" w:rsidRDefault="0027111E" w:rsidP="000E1EBC">
      <w:pPr>
        <w:widowControl/>
        <w:autoSpaceDE w:val="0"/>
        <w:autoSpaceDN w:val="0"/>
        <w:adjustRightInd w:val="0"/>
        <w:ind w:right="51"/>
        <w:rPr>
          <w:rFonts w:cs="Arial"/>
          <w:color w:val="000000"/>
          <w:szCs w:val="24"/>
        </w:rPr>
      </w:pPr>
    </w:p>
    <w:p w14:paraId="6E1B0CEE" w14:textId="607ADB08" w:rsidR="00AA3A69" w:rsidRPr="00E61E1D" w:rsidRDefault="00D316B8" w:rsidP="000E1EBC">
      <w:pPr>
        <w:widowControl/>
        <w:autoSpaceDE w:val="0"/>
        <w:autoSpaceDN w:val="0"/>
        <w:adjustRightInd w:val="0"/>
        <w:ind w:right="51"/>
        <w:rPr>
          <w:rFonts w:cs="Arial"/>
          <w:color w:val="000000"/>
          <w:szCs w:val="24"/>
        </w:rPr>
      </w:pPr>
      <w:r w:rsidRPr="00E61E1D">
        <w:rPr>
          <w:rFonts w:cs="Arial"/>
          <w:color w:val="000000"/>
          <w:szCs w:val="24"/>
        </w:rPr>
        <w:t xml:space="preserve">Del total de hogares con ocupación no permitida, </w:t>
      </w:r>
      <w:r w:rsidR="00221203" w:rsidRPr="00E61E1D">
        <w:rPr>
          <w:rFonts w:cs="Arial"/>
          <w:color w:val="000000"/>
          <w:szCs w:val="24"/>
        </w:rPr>
        <w:t xml:space="preserve">en </w:t>
      </w:r>
      <w:r w:rsidRPr="00E61E1D">
        <w:rPr>
          <w:rFonts w:cs="Arial"/>
          <w:color w:val="000000"/>
          <w:szCs w:val="24"/>
        </w:rPr>
        <w:t>1.6 millones (86.4 %) la jefa o jefe del hogar estuvo ocupado en la producción</w:t>
      </w:r>
      <w:r w:rsidR="00221203" w:rsidRPr="00E61E1D">
        <w:rPr>
          <w:rFonts w:cs="Arial"/>
          <w:color w:val="000000"/>
          <w:szCs w:val="24"/>
        </w:rPr>
        <w:t xml:space="preserve"> económica</w:t>
      </w:r>
      <w:r w:rsidRPr="00E61E1D">
        <w:rPr>
          <w:rFonts w:cs="Arial"/>
          <w:color w:val="000000"/>
          <w:szCs w:val="24"/>
        </w:rPr>
        <w:t xml:space="preserve"> y 0.2 millones (13.6 %) </w:t>
      </w:r>
      <w:r w:rsidR="007D63FE" w:rsidRPr="00E61E1D">
        <w:rPr>
          <w:rFonts w:cs="Arial"/>
          <w:color w:val="000000"/>
          <w:szCs w:val="24"/>
        </w:rPr>
        <w:t xml:space="preserve">estuvieron como </w:t>
      </w:r>
      <w:r w:rsidRPr="00E61E1D">
        <w:rPr>
          <w:rFonts w:cs="Arial"/>
          <w:color w:val="000000"/>
          <w:szCs w:val="24"/>
        </w:rPr>
        <w:t>no ocupados</w:t>
      </w:r>
      <w:r w:rsidR="004E0174" w:rsidRPr="00E61E1D">
        <w:rPr>
          <w:rFonts w:cs="Arial"/>
          <w:szCs w:val="24"/>
        </w:rPr>
        <w:t xml:space="preserve"> (ver cuadro 2</w:t>
      </w:r>
      <w:r w:rsidR="004D4F9A" w:rsidRPr="00E61E1D">
        <w:rPr>
          <w:rFonts w:cs="Arial"/>
          <w:szCs w:val="24"/>
        </w:rPr>
        <w:t>5</w:t>
      </w:r>
      <w:r w:rsidR="004E0174" w:rsidRPr="00E61E1D">
        <w:rPr>
          <w:rFonts w:cs="Arial"/>
          <w:szCs w:val="24"/>
        </w:rPr>
        <w:t>).</w:t>
      </w:r>
      <w:r w:rsidR="00076EED" w:rsidRPr="00E61E1D">
        <w:rPr>
          <w:rFonts w:cs="Arial"/>
          <w:color w:val="000000"/>
          <w:szCs w:val="24"/>
        </w:rPr>
        <w:t xml:space="preserve"> </w:t>
      </w:r>
      <w:r w:rsidR="00F01080" w:rsidRPr="00E61E1D">
        <w:rPr>
          <w:rFonts w:cs="Arial"/>
          <w:color w:val="000000"/>
          <w:szCs w:val="24"/>
        </w:rPr>
        <w:t>De los cuales,</w:t>
      </w:r>
      <w:r w:rsidRPr="00E61E1D">
        <w:rPr>
          <w:rFonts w:cs="Arial"/>
          <w:color w:val="000000"/>
          <w:szCs w:val="24"/>
        </w:rPr>
        <w:t xml:space="preserve"> 72.5 % de los hogares con ocupación no permitida tuvo a un hombre como jefe del hogar y en 27.5 %</w:t>
      </w:r>
      <w:r w:rsidR="00B300D7" w:rsidRPr="00E61E1D">
        <w:rPr>
          <w:rFonts w:cs="Arial"/>
          <w:color w:val="000000"/>
          <w:szCs w:val="24"/>
        </w:rPr>
        <w:t>, a</w:t>
      </w:r>
      <w:r w:rsidRPr="00E61E1D">
        <w:rPr>
          <w:rFonts w:cs="Arial"/>
          <w:color w:val="000000"/>
          <w:szCs w:val="24"/>
        </w:rPr>
        <w:t xml:space="preserve"> una mujer. Asimismo, en el caso de los </w:t>
      </w:r>
      <w:r w:rsidR="00870059" w:rsidRPr="00E61E1D">
        <w:rPr>
          <w:rFonts w:cs="Arial"/>
          <w:color w:val="000000"/>
          <w:szCs w:val="24"/>
        </w:rPr>
        <w:t>hogares donde el jefe del hogar estuvo ocupado, 77.6 % fue hombre y 22.4 %</w:t>
      </w:r>
      <w:r w:rsidR="00B300D7" w:rsidRPr="00E61E1D">
        <w:rPr>
          <w:rFonts w:cs="Arial"/>
          <w:color w:val="000000"/>
          <w:szCs w:val="24"/>
        </w:rPr>
        <w:t>,</w:t>
      </w:r>
      <w:r w:rsidR="00870059" w:rsidRPr="00E61E1D">
        <w:rPr>
          <w:rFonts w:cs="Arial"/>
          <w:color w:val="000000"/>
          <w:szCs w:val="24"/>
        </w:rPr>
        <w:t xml:space="preserve"> mujer; mientras </w:t>
      </w:r>
      <w:r w:rsidR="00CB1FB7" w:rsidRPr="00E61E1D">
        <w:rPr>
          <w:rFonts w:cs="Arial"/>
          <w:color w:val="000000"/>
          <w:szCs w:val="24"/>
        </w:rPr>
        <w:t>que,</w:t>
      </w:r>
      <w:r w:rsidR="00870059" w:rsidRPr="00E61E1D">
        <w:rPr>
          <w:rFonts w:cs="Arial"/>
          <w:color w:val="000000"/>
          <w:szCs w:val="24"/>
        </w:rPr>
        <w:t xml:space="preserve"> en los hogares con jefes no ocupados, 39.5 % fue jefe y 60.5 %</w:t>
      </w:r>
      <w:r w:rsidR="00B300D7" w:rsidRPr="00E61E1D">
        <w:rPr>
          <w:rFonts w:cs="Arial"/>
          <w:color w:val="000000"/>
          <w:szCs w:val="24"/>
        </w:rPr>
        <w:t>,</w:t>
      </w:r>
      <w:r w:rsidR="00870059" w:rsidRPr="00E61E1D">
        <w:rPr>
          <w:rFonts w:cs="Arial"/>
          <w:color w:val="000000"/>
          <w:szCs w:val="24"/>
        </w:rPr>
        <w:t xml:space="preserve"> jefa de hogar.</w:t>
      </w:r>
    </w:p>
    <w:p w14:paraId="38F1B2C5" w14:textId="77777777" w:rsidR="00D316B8" w:rsidRDefault="00D316B8" w:rsidP="00B300D7">
      <w:pPr>
        <w:widowControl/>
        <w:autoSpaceDE w:val="0"/>
        <w:autoSpaceDN w:val="0"/>
        <w:adjustRightInd w:val="0"/>
        <w:rPr>
          <w:rFonts w:cs="Arial"/>
          <w:color w:val="000000"/>
          <w:szCs w:val="24"/>
        </w:rPr>
      </w:pPr>
    </w:p>
    <w:p w14:paraId="646E28CD" w14:textId="334A3B86" w:rsidR="009E086F" w:rsidRPr="000E1EBC" w:rsidRDefault="009E086F" w:rsidP="000E1EBC">
      <w:pPr>
        <w:widowControl/>
        <w:autoSpaceDE w:val="0"/>
        <w:autoSpaceDN w:val="0"/>
        <w:adjustRightInd w:val="0"/>
        <w:jc w:val="center"/>
        <w:rPr>
          <w:rFonts w:cs="Arial"/>
          <w:color w:val="000000"/>
          <w:sz w:val="20"/>
        </w:rPr>
      </w:pPr>
      <w:r w:rsidRPr="000E1EBC">
        <w:rPr>
          <w:rFonts w:cs="Arial"/>
          <w:color w:val="000000"/>
          <w:sz w:val="20"/>
        </w:rPr>
        <w:t>Cuadro 2</w:t>
      </w:r>
      <w:r w:rsidR="002C2946" w:rsidRPr="000E1EBC">
        <w:rPr>
          <w:rFonts w:cs="Arial"/>
          <w:color w:val="000000"/>
          <w:sz w:val="20"/>
        </w:rPr>
        <w:t>5</w:t>
      </w:r>
    </w:p>
    <w:p w14:paraId="712039C7" w14:textId="77777777" w:rsidR="009E086F" w:rsidRPr="000E1EBC" w:rsidRDefault="009E086F" w:rsidP="000E1EBC">
      <w:pPr>
        <w:widowControl/>
        <w:autoSpaceDE w:val="0"/>
        <w:autoSpaceDN w:val="0"/>
        <w:adjustRightInd w:val="0"/>
        <w:ind w:right="51"/>
        <w:jc w:val="center"/>
        <w:rPr>
          <w:rFonts w:cs="Arial"/>
          <w:b/>
          <w:smallCaps/>
          <w:sz w:val="22"/>
          <w:szCs w:val="22"/>
        </w:rPr>
      </w:pPr>
      <w:r w:rsidRPr="000E1EBC">
        <w:rPr>
          <w:rFonts w:cs="Arial"/>
          <w:b/>
          <w:smallCaps/>
          <w:sz w:val="22"/>
          <w:szCs w:val="22"/>
        </w:rPr>
        <w:t>Hogares con ocupación infantil no permitida por condición de ocupación según sexo de la persona jefa del hogar del hogar</w:t>
      </w:r>
    </w:p>
    <w:tbl>
      <w:tblPr>
        <w:tblW w:w="9923" w:type="dxa"/>
        <w:tblCellMar>
          <w:left w:w="70" w:type="dxa"/>
          <w:right w:w="70" w:type="dxa"/>
        </w:tblCellMar>
        <w:tblLook w:val="04A0" w:firstRow="1" w:lastRow="0" w:firstColumn="1" w:lastColumn="0" w:noHBand="0" w:noVBand="1"/>
      </w:tblPr>
      <w:tblGrid>
        <w:gridCol w:w="220"/>
        <w:gridCol w:w="2580"/>
        <w:gridCol w:w="880"/>
        <w:gridCol w:w="1140"/>
        <w:gridCol w:w="992"/>
        <w:gridCol w:w="1418"/>
        <w:gridCol w:w="1275"/>
        <w:gridCol w:w="1418"/>
      </w:tblGrid>
      <w:tr w:rsidR="009E086F" w:rsidRPr="004572EC" w14:paraId="149104B8" w14:textId="77777777" w:rsidTr="00562DA7">
        <w:trPr>
          <w:trHeight w:val="510"/>
        </w:trPr>
        <w:tc>
          <w:tcPr>
            <w:tcW w:w="2800" w:type="dxa"/>
            <w:gridSpan w:val="2"/>
            <w:vMerge w:val="restart"/>
            <w:tcBorders>
              <w:top w:val="nil"/>
              <w:left w:val="nil"/>
              <w:bottom w:val="nil"/>
              <w:right w:val="nil"/>
            </w:tcBorders>
            <w:shd w:val="clear" w:color="auto" w:fill="338B99"/>
            <w:vAlign w:val="center"/>
            <w:hideMark/>
          </w:tcPr>
          <w:p w14:paraId="7C558A6A" w14:textId="32847FA3" w:rsidR="009E086F" w:rsidRPr="004572EC" w:rsidRDefault="009E086F" w:rsidP="009E086F">
            <w:pPr>
              <w:widowControl/>
              <w:jc w:val="left"/>
              <w:rPr>
                <w:rFonts w:cs="Arial"/>
                <w:b/>
                <w:bCs/>
                <w:color w:val="FFFFFF"/>
                <w:sz w:val="20"/>
                <w:lang w:eastAsia="es-MX"/>
              </w:rPr>
            </w:pPr>
            <w:r w:rsidRPr="004572EC">
              <w:rPr>
                <w:rFonts w:cs="Arial"/>
                <w:b/>
                <w:bCs/>
                <w:color w:val="FFFFFF"/>
                <w:sz w:val="20"/>
                <w:lang w:eastAsia="es-MX"/>
              </w:rPr>
              <w:t>Condición de ocupación de la jefa o jefe del hogar</w:t>
            </w:r>
          </w:p>
        </w:tc>
        <w:tc>
          <w:tcPr>
            <w:tcW w:w="3012" w:type="dxa"/>
            <w:gridSpan w:val="3"/>
            <w:tcBorders>
              <w:top w:val="nil"/>
              <w:left w:val="nil"/>
              <w:bottom w:val="single" w:sz="4" w:space="0" w:color="FFFFFF"/>
              <w:right w:val="nil"/>
            </w:tcBorders>
            <w:shd w:val="clear" w:color="auto" w:fill="338B99"/>
            <w:vAlign w:val="center"/>
            <w:hideMark/>
          </w:tcPr>
          <w:p w14:paraId="78ABFFE9" w14:textId="3B591EFE" w:rsidR="009E086F" w:rsidRPr="004572EC" w:rsidRDefault="009E086F" w:rsidP="009E086F">
            <w:pPr>
              <w:widowControl/>
              <w:jc w:val="center"/>
              <w:rPr>
                <w:rFonts w:cs="Arial"/>
                <w:b/>
                <w:bCs/>
                <w:color w:val="FFFFFF"/>
                <w:sz w:val="20"/>
                <w:lang w:eastAsia="es-MX"/>
              </w:rPr>
            </w:pPr>
            <w:r>
              <w:rPr>
                <w:rFonts w:cs="Arial"/>
                <w:b/>
                <w:bCs/>
                <w:color w:val="FFFFFF"/>
                <w:sz w:val="20"/>
                <w:lang w:eastAsia="es-MX"/>
              </w:rPr>
              <w:t>M</w:t>
            </w:r>
            <w:r w:rsidRPr="004572EC">
              <w:rPr>
                <w:rFonts w:cs="Arial"/>
                <w:b/>
                <w:bCs/>
                <w:color w:val="FFFFFF"/>
                <w:sz w:val="20"/>
                <w:lang w:eastAsia="es-MX"/>
              </w:rPr>
              <w:t>illones de hogares</w:t>
            </w:r>
          </w:p>
        </w:tc>
        <w:tc>
          <w:tcPr>
            <w:tcW w:w="4111" w:type="dxa"/>
            <w:gridSpan w:val="3"/>
            <w:tcBorders>
              <w:top w:val="nil"/>
              <w:left w:val="nil"/>
              <w:bottom w:val="single" w:sz="4" w:space="0" w:color="FFFFFF"/>
              <w:right w:val="nil"/>
            </w:tcBorders>
            <w:shd w:val="clear" w:color="auto" w:fill="338B99"/>
            <w:vAlign w:val="center"/>
            <w:hideMark/>
          </w:tcPr>
          <w:p w14:paraId="79859423" w14:textId="52311148" w:rsidR="009E086F" w:rsidRPr="004572EC" w:rsidRDefault="009E086F" w:rsidP="009E086F">
            <w:pPr>
              <w:widowControl/>
              <w:jc w:val="center"/>
              <w:rPr>
                <w:rFonts w:cs="Arial"/>
                <w:b/>
                <w:bCs/>
                <w:color w:val="FFFFFF"/>
                <w:sz w:val="20"/>
                <w:lang w:eastAsia="es-MX"/>
              </w:rPr>
            </w:pPr>
            <w:r w:rsidRPr="004572EC">
              <w:rPr>
                <w:rFonts w:cs="Arial"/>
                <w:b/>
                <w:bCs/>
                <w:color w:val="FFFFFF"/>
                <w:sz w:val="20"/>
                <w:lang w:eastAsia="es-MX"/>
              </w:rPr>
              <w:t>Distribución</w:t>
            </w:r>
            <w:r>
              <w:rPr>
                <w:rFonts w:cs="Arial"/>
                <w:b/>
                <w:bCs/>
                <w:color w:val="FFFFFF"/>
                <w:sz w:val="20"/>
                <w:lang w:eastAsia="es-MX"/>
              </w:rPr>
              <w:t xml:space="preserve"> porcentual</w:t>
            </w:r>
          </w:p>
        </w:tc>
      </w:tr>
      <w:tr w:rsidR="009E086F" w:rsidRPr="004572EC" w14:paraId="442C1A4A" w14:textId="77777777" w:rsidTr="00562DA7">
        <w:trPr>
          <w:trHeight w:val="300"/>
        </w:trPr>
        <w:tc>
          <w:tcPr>
            <w:tcW w:w="2800" w:type="dxa"/>
            <w:gridSpan w:val="2"/>
            <w:vMerge/>
            <w:tcBorders>
              <w:top w:val="nil"/>
              <w:left w:val="nil"/>
              <w:bottom w:val="nil"/>
              <w:right w:val="nil"/>
            </w:tcBorders>
            <w:shd w:val="clear" w:color="auto" w:fill="338B99"/>
            <w:vAlign w:val="center"/>
            <w:hideMark/>
          </w:tcPr>
          <w:p w14:paraId="1A6EC004" w14:textId="77777777" w:rsidR="009E086F" w:rsidRPr="004572EC" w:rsidRDefault="009E086F" w:rsidP="009E086F">
            <w:pPr>
              <w:widowControl/>
              <w:jc w:val="left"/>
              <w:rPr>
                <w:rFonts w:cs="Arial"/>
                <w:b/>
                <w:bCs/>
                <w:color w:val="FFFFFF"/>
                <w:sz w:val="20"/>
                <w:lang w:eastAsia="es-MX"/>
              </w:rPr>
            </w:pPr>
          </w:p>
        </w:tc>
        <w:tc>
          <w:tcPr>
            <w:tcW w:w="880" w:type="dxa"/>
            <w:tcBorders>
              <w:top w:val="nil"/>
              <w:left w:val="nil"/>
              <w:bottom w:val="nil"/>
              <w:right w:val="nil"/>
            </w:tcBorders>
            <w:shd w:val="clear" w:color="auto" w:fill="338B99"/>
            <w:vAlign w:val="center"/>
            <w:hideMark/>
          </w:tcPr>
          <w:p w14:paraId="25C923A2" w14:textId="695E9228" w:rsidR="009E086F" w:rsidRPr="004572EC" w:rsidRDefault="009E086F" w:rsidP="009E086F">
            <w:pPr>
              <w:widowControl/>
              <w:jc w:val="center"/>
              <w:rPr>
                <w:rFonts w:cs="Arial"/>
                <w:b/>
                <w:bCs/>
                <w:color w:val="FFFFFF"/>
                <w:sz w:val="20"/>
                <w:lang w:eastAsia="es-MX"/>
              </w:rPr>
            </w:pPr>
            <w:r w:rsidRPr="004572EC">
              <w:rPr>
                <w:rFonts w:cs="Arial"/>
                <w:b/>
                <w:bCs/>
                <w:color w:val="FFFFFF"/>
                <w:sz w:val="20"/>
                <w:lang w:eastAsia="es-MX"/>
              </w:rPr>
              <w:t>Total</w:t>
            </w:r>
          </w:p>
        </w:tc>
        <w:tc>
          <w:tcPr>
            <w:tcW w:w="1140" w:type="dxa"/>
            <w:tcBorders>
              <w:top w:val="nil"/>
              <w:left w:val="nil"/>
              <w:bottom w:val="nil"/>
              <w:right w:val="nil"/>
            </w:tcBorders>
            <w:shd w:val="clear" w:color="auto" w:fill="338B99"/>
            <w:vAlign w:val="center"/>
            <w:hideMark/>
          </w:tcPr>
          <w:p w14:paraId="3068D0F3" w14:textId="39C5F466" w:rsidR="009E086F" w:rsidRPr="004572EC" w:rsidRDefault="009E086F" w:rsidP="009E086F">
            <w:pPr>
              <w:widowControl/>
              <w:jc w:val="center"/>
              <w:rPr>
                <w:rFonts w:cs="Arial"/>
                <w:b/>
                <w:bCs/>
                <w:color w:val="FFFFFF"/>
                <w:sz w:val="20"/>
                <w:lang w:eastAsia="es-MX"/>
              </w:rPr>
            </w:pPr>
            <w:r w:rsidRPr="004572EC">
              <w:rPr>
                <w:rFonts w:cs="Arial"/>
                <w:b/>
                <w:bCs/>
                <w:color w:val="FFFFFF"/>
                <w:sz w:val="20"/>
                <w:lang w:eastAsia="es-MX"/>
              </w:rPr>
              <w:t>Jefe</w:t>
            </w:r>
          </w:p>
        </w:tc>
        <w:tc>
          <w:tcPr>
            <w:tcW w:w="992" w:type="dxa"/>
            <w:tcBorders>
              <w:top w:val="nil"/>
              <w:left w:val="nil"/>
              <w:bottom w:val="nil"/>
              <w:right w:val="nil"/>
            </w:tcBorders>
            <w:shd w:val="clear" w:color="auto" w:fill="338B99"/>
            <w:vAlign w:val="center"/>
            <w:hideMark/>
          </w:tcPr>
          <w:p w14:paraId="4024BE9D" w14:textId="77777777" w:rsidR="009E086F" w:rsidRPr="004572EC" w:rsidRDefault="009E086F" w:rsidP="009E086F">
            <w:pPr>
              <w:widowControl/>
              <w:jc w:val="center"/>
              <w:rPr>
                <w:rFonts w:cs="Arial"/>
                <w:b/>
                <w:bCs/>
                <w:color w:val="FFFFFF"/>
                <w:sz w:val="20"/>
                <w:lang w:eastAsia="es-MX"/>
              </w:rPr>
            </w:pPr>
            <w:r w:rsidRPr="004572EC">
              <w:rPr>
                <w:rFonts w:cs="Arial"/>
                <w:b/>
                <w:bCs/>
                <w:color w:val="FFFFFF"/>
                <w:sz w:val="20"/>
                <w:lang w:eastAsia="es-MX"/>
              </w:rPr>
              <w:t>Jefa</w:t>
            </w:r>
          </w:p>
        </w:tc>
        <w:tc>
          <w:tcPr>
            <w:tcW w:w="1418" w:type="dxa"/>
            <w:tcBorders>
              <w:top w:val="nil"/>
              <w:left w:val="nil"/>
              <w:bottom w:val="nil"/>
              <w:right w:val="nil"/>
            </w:tcBorders>
            <w:shd w:val="clear" w:color="auto" w:fill="338B99"/>
            <w:vAlign w:val="center"/>
            <w:hideMark/>
          </w:tcPr>
          <w:p w14:paraId="5CB159AF" w14:textId="2C74AE5A" w:rsidR="009E086F" w:rsidRPr="004572EC" w:rsidRDefault="009E086F" w:rsidP="009E086F">
            <w:pPr>
              <w:widowControl/>
              <w:jc w:val="center"/>
              <w:rPr>
                <w:rFonts w:cs="Arial"/>
                <w:b/>
                <w:bCs/>
                <w:color w:val="FFFFFF"/>
                <w:sz w:val="20"/>
                <w:lang w:eastAsia="es-MX"/>
              </w:rPr>
            </w:pPr>
            <w:r w:rsidRPr="004572EC">
              <w:rPr>
                <w:rFonts w:cs="Arial"/>
                <w:b/>
                <w:bCs/>
                <w:color w:val="FFFFFF"/>
                <w:sz w:val="20"/>
                <w:lang w:eastAsia="es-MX"/>
              </w:rPr>
              <w:t>Total</w:t>
            </w:r>
          </w:p>
        </w:tc>
        <w:tc>
          <w:tcPr>
            <w:tcW w:w="1275" w:type="dxa"/>
            <w:tcBorders>
              <w:top w:val="nil"/>
              <w:left w:val="nil"/>
              <w:bottom w:val="nil"/>
              <w:right w:val="nil"/>
            </w:tcBorders>
            <w:shd w:val="clear" w:color="auto" w:fill="338B99"/>
            <w:vAlign w:val="center"/>
            <w:hideMark/>
          </w:tcPr>
          <w:p w14:paraId="1ACA87D0" w14:textId="37925796" w:rsidR="009E086F" w:rsidRPr="004572EC" w:rsidRDefault="009E086F" w:rsidP="009E086F">
            <w:pPr>
              <w:widowControl/>
              <w:jc w:val="center"/>
              <w:rPr>
                <w:rFonts w:cs="Arial"/>
                <w:b/>
                <w:bCs/>
                <w:color w:val="FFFFFF"/>
                <w:sz w:val="20"/>
                <w:lang w:eastAsia="es-MX"/>
              </w:rPr>
            </w:pPr>
            <w:r w:rsidRPr="004572EC">
              <w:rPr>
                <w:rFonts w:cs="Arial"/>
                <w:b/>
                <w:bCs/>
                <w:color w:val="FFFFFF"/>
                <w:sz w:val="20"/>
                <w:lang w:eastAsia="es-MX"/>
              </w:rPr>
              <w:t>Jefe</w:t>
            </w:r>
          </w:p>
        </w:tc>
        <w:tc>
          <w:tcPr>
            <w:tcW w:w="1418" w:type="dxa"/>
            <w:tcBorders>
              <w:top w:val="nil"/>
              <w:left w:val="nil"/>
              <w:bottom w:val="nil"/>
              <w:right w:val="nil"/>
            </w:tcBorders>
            <w:shd w:val="clear" w:color="auto" w:fill="338B99"/>
            <w:vAlign w:val="center"/>
            <w:hideMark/>
          </w:tcPr>
          <w:p w14:paraId="66C8E5FD" w14:textId="77777777" w:rsidR="009E086F" w:rsidRPr="004572EC" w:rsidRDefault="009E086F" w:rsidP="009E086F">
            <w:pPr>
              <w:widowControl/>
              <w:jc w:val="center"/>
              <w:rPr>
                <w:rFonts w:cs="Arial"/>
                <w:b/>
                <w:bCs/>
                <w:color w:val="FFFFFF"/>
                <w:sz w:val="20"/>
                <w:lang w:eastAsia="es-MX"/>
              </w:rPr>
            </w:pPr>
            <w:r w:rsidRPr="004572EC">
              <w:rPr>
                <w:rFonts w:cs="Arial"/>
                <w:b/>
                <w:bCs/>
                <w:color w:val="FFFFFF"/>
                <w:sz w:val="20"/>
                <w:lang w:eastAsia="es-MX"/>
              </w:rPr>
              <w:t>Jefa</w:t>
            </w:r>
          </w:p>
        </w:tc>
      </w:tr>
      <w:tr w:rsidR="009E086F" w:rsidRPr="004572EC" w14:paraId="002CC713" w14:textId="77777777" w:rsidTr="00562DA7">
        <w:trPr>
          <w:trHeight w:val="300"/>
        </w:trPr>
        <w:tc>
          <w:tcPr>
            <w:tcW w:w="2800" w:type="dxa"/>
            <w:gridSpan w:val="2"/>
            <w:tcBorders>
              <w:top w:val="nil"/>
              <w:left w:val="nil"/>
              <w:bottom w:val="nil"/>
              <w:right w:val="nil"/>
            </w:tcBorders>
            <w:shd w:val="clear" w:color="auto" w:fill="99C5CC"/>
            <w:vAlign w:val="center"/>
            <w:hideMark/>
          </w:tcPr>
          <w:p w14:paraId="6AF95AA1" w14:textId="77777777" w:rsidR="009E086F" w:rsidRPr="004572EC" w:rsidRDefault="009E086F" w:rsidP="00562DA7">
            <w:pPr>
              <w:widowControl/>
              <w:jc w:val="left"/>
              <w:rPr>
                <w:rFonts w:cs="Arial"/>
                <w:b/>
                <w:bCs/>
                <w:color w:val="000000"/>
                <w:sz w:val="20"/>
                <w:lang w:eastAsia="es-MX"/>
              </w:rPr>
            </w:pPr>
            <w:r w:rsidRPr="004572EC">
              <w:rPr>
                <w:rFonts w:cs="Arial"/>
                <w:b/>
                <w:bCs/>
                <w:sz w:val="20"/>
                <w:lang w:eastAsia="es-MX"/>
              </w:rPr>
              <w:t>Condición de ocupación</w:t>
            </w:r>
          </w:p>
        </w:tc>
        <w:tc>
          <w:tcPr>
            <w:tcW w:w="880" w:type="dxa"/>
            <w:tcBorders>
              <w:top w:val="nil"/>
              <w:left w:val="nil"/>
              <w:bottom w:val="nil"/>
              <w:right w:val="nil"/>
            </w:tcBorders>
            <w:shd w:val="clear" w:color="auto" w:fill="99C5CC"/>
            <w:vAlign w:val="center"/>
            <w:hideMark/>
          </w:tcPr>
          <w:p w14:paraId="7B16B2D8" w14:textId="77777777" w:rsidR="009E086F" w:rsidRPr="004572EC" w:rsidRDefault="009E086F" w:rsidP="00562DA7">
            <w:pPr>
              <w:widowControl/>
              <w:jc w:val="center"/>
              <w:rPr>
                <w:rFonts w:cs="Arial"/>
                <w:b/>
                <w:bCs/>
                <w:color w:val="000000"/>
                <w:sz w:val="20"/>
                <w:lang w:eastAsia="es-MX"/>
              </w:rPr>
            </w:pPr>
            <w:r w:rsidRPr="004572EC">
              <w:rPr>
                <w:rFonts w:cs="Arial"/>
                <w:b/>
                <w:bCs/>
                <w:sz w:val="20"/>
                <w:lang w:eastAsia="es-MX"/>
              </w:rPr>
              <w:t>1.8</w:t>
            </w:r>
          </w:p>
        </w:tc>
        <w:tc>
          <w:tcPr>
            <w:tcW w:w="1140" w:type="dxa"/>
            <w:tcBorders>
              <w:top w:val="nil"/>
              <w:left w:val="nil"/>
              <w:bottom w:val="nil"/>
              <w:right w:val="nil"/>
            </w:tcBorders>
            <w:shd w:val="clear" w:color="auto" w:fill="99C5CC"/>
            <w:vAlign w:val="center"/>
            <w:hideMark/>
          </w:tcPr>
          <w:p w14:paraId="30D7F916" w14:textId="77777777" w:rsidR="009E086F" w:rsidRPr="004572EC" w:rsidRDefault="009E086F" w:rsidP="00562DA7">
            <w:pPr>
              <w:widowControl/>
              <w:jc w:val="center"/>
              <w:rPr>
                <w:rFonts w:cs="Arial"/>
                <w:b/>
                <w:bCs/>
                <w:color w:val="000000"/>
                <w:sz w:val="20"/>
                <w:lang w:eastAsia="es-MX"/>
              </w:rPr>
            </w:pPr>
            <w:r w:rsidRPr="004572EC">
              <w:rPr>
                <w:rFonts w:cs="Arial"/>
                <w:b/>
                <w:bCs/>
                <w:sz w:val="20"/>
                <w:lang w:eastAsia="es-MX"/>
              </w:rPr>
              <w:t>1.3</w:t>
            </w:r>
          </w:p>
        </w:tc>
        <w:tc>
          <w:tcPr>
            <w:tcW w:w="992" w:type="dxa"/>
            <w:tcBorders>
              <w:top w:val="nil"/>
              <w:left w:val="nil"/>
              <w:bottom w:val="nil"/>
              <w:right w:val="nil"/>
            </w:tcBorders>
            <w:shd w:val="clear" w:color="auto" w:fill="99C5CC"/>
            <w:vAlign w:val="center"/>
            <w:hideMark/>
          </w:tcPr>
          <w:p w14:paraId="687B9B21" w14:textId="77777777" w:rsidR="009E086F" w:rsidRPr="004572EC" w:rsidRDefault="009E086F" w:rsidP="00562DA7">
            <w:pPr>
              <w:widowControl/>
              <w:jc w:val="center"/>
              <w:rPr>
                <w:rFonts w:cs="Arial"/>
                <w:b/>
                <w:bCs/>
                <w:color w:val="000000"/>
                <w:sz w:val="20"/>
                <w:lang w:eastAsia="es-MX"/>
              </w:rPr>
            </w:pPr>
            <w:r w:rsidRPr="004572EC">
              <w:rPr>
                <w:rFonts w:cs="Arial"/>
                <w:b/>
                <w:bCs/>
                <w:sz w:val="20"/>
                <w:lang w:eastAsia="es-MX"/>
              </w:rPr>
              <w:t>0.5</w:t>
            </w:r>
          </w:p>
        </w:tc>
        <w:tc>
          <w:tcPr>
            <w:tcW w:w="1418" w:type="dxa"/>
            <w:tcBorders>
              <w:top w:val="nil"/>
              <w:left w:val="nil"/>
              <w:bottom w:val="nil"/>
              <w:right w:val="nil"/>
            </w:tcBorders>
            <w:shd w:val="clear" w:color="auto" w:fill="99C5CC"/>
            <w:vAlign w:val="center"/>
            <w:hideMark/>
          </w:tcPr>
          <w:p w14:paraId="68FB2E88" w14:textId="77777777" w:rsidR="009E086F" w:rsidRPr="004572EC" w:rsidRDefault="009E086F" w:rsidP="00562DA7">
            <w:pPr>
              <w:widowControl/>
              <w:jc w:val="center"/>
              <w:rPr>
                <w:rFonts w:cs="Arial"/>
                <w:b/>
                <w:bCs/>
                <w:color w:val="000000"/>
                <w:sz w:val="20"/>
                <w:lang w:eastAsia="es-MX"/>
              </w:rPr>
            </w:pPr>
            <w:r w:rsidRPr="004572EC">
              <w:rPr>
                <w:rFonts w:cs="Arial"/>
                <w:b/>
                <w:bCs/>
                <w:sz w:val="20"/>
                <w:lang w:eastAsia="es-MX"/>
              </w:rPr>
              <w:t>100.0</w:t>
            </w:r>
          </w:p>
        </w:tc>
        <w:tc>
          <w:tcPr>
            <w:tcW w:w="1275" w:type="dxa"/>
            <w:tcBorders>
              <w:top w:val="nil"/>
              <w:left w:val="nil"/>
              <w:bottom w:val="nil"/>
              <w:right w:val="nil"/>
            </w:tcBorders>
            <w:shd w:val="clear" w:color="auto" w:fill="99C5CC"/>
            <w:vAlign w:val="center"/>
            <w:hideMark/>
          </w:tcPr>
          <w:p w14:paraId="073506AE" w14:textId="77777777" w:rsidR="009E086F" w:rsidRPr="004572EC" w:rsidRDefault="009E086F" w:rsidP="00562DA7">
            <w:pPr>
              <w:widowControl/>
              <w:jc w:val="center"/>
              <w:rPr>
                <w:rFonts w:cs="Arial"/>
                <w:b/>
                <w:bCs/>
                <w:color w:val="000000"/>
                <w:sz w:val="20"/>
                <w:lang w:eastAsia="es-MX"/>
              </w:rPr>
            </w:pPr>
            <w:r w:rsidRPr="004572EC">
              <w:rPr>
                <w:rFonts w:cs="Arial"/>
                <w:b/>
                <w:bCs/>
                <w:sz w:val="20"/>
                <w:lang w:eastAsia="es-MX"/>
              </w:rPr>
              <w:t>100.0</w:t>
            </w:r>
          </w:p>
        </w:tc>
        <w:tc>
          <w:tcPr>
            <w:tcW w:w="1418" w:type="dxa"/>
            <w:tcBorders>
              <w:top w:val="nil"/>
              <w:left w:val="nil"/>
              <w:bottom w:val="nil"/>
              <w:right w:val="nil"/>
            </w:tcBorders>
            <w:shd w:val="clear" w:color="auto" w:fill="99C5CC"/>
            <w:vAlign w:val="center"/>
            <w:hideMark/>
          </w:tcPr>
          <w:p w14:paraId="184DEA93" w14:textId="77777777" w:rsidR="009E086F" w:rsidRPr="004572EC" w:rsidRDefault="009E086F" w:rsidP="00562DA7">
            <w:pPr>
              <w:widowControl/>
              <w:jc w:val="center"/>
              <w:rPr>
                <w:rFonts w:cs="Arial"/>
                <w:b/>
                <w:bCs/>
                <w:color w:val="000000"/>
                <w:sz w:val="20"/>
                <w:lang w:eastAsia="es-MX"/>
              </w:rPr>
            </w:pPr>
            <w:r w:rsidRPr="004572EC">
              <w:rPr>
                <w:rFonts w:cs="Arial"/>
                <w:b/>
                <w:bCs/>
                <w:sz w:val="20"/>
                <w:lang w:eastAsia="es-MX"/>
              </w:rPr>
              <w:t>100.0</w:t>
            </w:r>
          </w:p>
        </w:tc>
      </w:tr>
      <w:tr w:rsidR="009E086F" w:rsidRPr="004572EC" w14:paraId="16748556" w14:textId="77777777" w:rsidTr="00562DA7">
        <w:trPr>
          <w:trHeight w:val="300"/>
        </w:trPr>
        <w:tc>
          <w:tcPr>
            <w:tcW w:w="220" w:type="dxa"/>
            <w:tcBorders>
              <w:top w:val="nil"/>
              <w:left w:val="nil"/>
              <w:right w:val="nil"/>
            </w:tcBorders>
            <w:shd w:val="clear" w:color="auto" w:fill="CCE2E6"/>
            <w:vAlign w:val="center"/>
            <w:hideMark/>
          </w:tcPr>
          <w:p w14:paraId="50DDC3D2" w14:textId="77777777" w:rsidR="009E086F" w:rsidRPr="004572EC" w:rsidRDefault="009E086F" w:rsidP="00562DA7">
            <w:pPr>
              <w:widowControl/>
              <w:jc w:val="left"/>
              <w:rPr>
                <w:rFonts w:cs="Arial"/>
                <w:color w:val="000000"/>
                <w:sz w:val="20"/>
                <w:lang w:eastAsia="es-MX"/>
              </w:rPr>
            </w:pPr>
            <w:r w:rsidRPr="004572EC">
              <w:rPr>
                <w:rFonts w:cs="Arial"/>
                <w:color w:val="000000"/>
                <w:sz w:val="20"/>
                <w:lang w:eastAsia="es-MX"/>
              </w:rPr>
              <w:t> </w:t>
            </w:r>
          </w:p>
        </w:tc>
        <w:tc>
          <w:tcPr>
            <w:tcW w:w="2580" w:type="dxa"/>
            <w:tcBorders>
              <w:top w:val="nil"/>
              <w:left w:val="nil"/>
              <w:right w:val="nil"/>
            </w:tcBorders>
            <w:shd w:val="clear" w:color="auto" w:fill="CCE2E6"/>
            <w:vAlign w:val="center"/>
            <w:hideMark/>
          </w:tcPr>
          <w:p w14:paraId="66AE37AA" w14:textId="77777777" w:rsidR="009E086F" w:rsidRPr="004572EC" w:rsidRDefault="009E086F" w:rsidP="00562DA7">
            <w:pPr>
              <w:widowControl/>
              <w:jc w:val="left"/>
              <w:rPr>
                <w:rFonts w:cs="Arial"/>
                <w:color w:val="000000"/>
                <w:sz w:val="20"/>
                <w:lang w:eastAsia="es-MX"/>
              </w:rPr>
            </w:pPr>
            <w:r w:rsidRPr="004572EC">
              <w:rPr>
                <w:rFonts w:cs="Arial"/>
                <w:sz w:val="20"/>
                <w:lang w:eastAsia="es-MX"/>
              </w:rPr>
              <w:t>Ocupado</w:t>
            </w:r>
          </w:p>
        </w:tc>
        <w:tc>
          <w:tcPr>
            <w:tcW w:w="880" w:type="dxa"/>
            <w:tcBorders>
              <w:top w:val="nil"/>
              <w:left w:val="nil"/>
              <w:right w:val="nil"/>
            </w:tcBorders>
            <w:shd w:val="clear" w:color="auto" w:fill="CCE2E6"/>
            <w:vAlign w:val="center"/>
            <w:hideMark/>
          </w:tcPr>
          <w:p w14:paraId="449A5DF5" w14:textId="77777777" w:rsidR="009E086F" w:rsidRPr="004572EC" w:rsidRDefault="009E086F" w:rsidP="00562DA7">
            <w:pPr>
              <w:widowControl/>
              <w:jc w:val="center"/>
              <w:rPr>
                <w:rFonts w:cs="Arial"/>
                <w:color w:val="000000"/>
                <w:sz w:val="20"/>
                <w:lang w:eastAsia="es-MX"/>
              </w:rPr>
            </w:pPr>
            <w:r w:rsidRPr="004572EC">
              <w:rPr>
                <w:rFonts w:cs="Arial"/>
                <w:sz w:val="20"/>
                <w:lang w:eastAsia="es-MX"/>
              </w:rPr>
              <w:t>1.6</w:t>
            </w:r>
          </w:p>
        </w:tc>
        <w:tc>
          <w:tcPr>
            <w:tcW w:w="1140" w:type="dxa"/>
            <w:tcBorders>
              <w:top w:val="nil"/>
              <w:left w:val="nil"/>
              <w:right w:val="nil"/>
            </w:tcBorders>
            <w:shd w:val="clear" w:color="auto" w:fill="CCE2E6"/>
            <w:vAlign w:val="center"/>
            <w:hideMark/>
          </w:tcPr>
          <w:p w14:paraId="71135ABD" w14:textId="77777777" w:rsidR="009E086F" w:rsidRPr="004572EC" w:rsidRDefault="009E086F" w:rsidP="00562DA7">
            <w:pPr>
              <w:widowControl/>
              <w:jc w:val="center"/>
              <w:rPr>
                <w:rFonts w:cs="Arial"/>
                <w:color w:val="000000"/>
                <w:sz w:val="20"/>
                <w:lang w:eastAsia="es-MX"/>
              </w:rPr>
            </w:pPr>
            <w:r w:rsidRPr="004572EC">
              <w:rPr>
                <w:rFonts w:cs="Arial"/>
                <w:sz w:val="20"/>
                <w:lang w:eastAsia="es-MX"/>
              </w:rPr>
              <w:t>1.2</w:t>
            </w:r>
          </w:p>
        </w:tc>
        <w:tc>
          <w:tcPr>
            <w:tcW w:w="992" w:type="dxa"/>
            <w:tcBorders>
              <w:top w:val="nil"/>
              <w:left w:val="nil"/>
              <w:right w:val="nil"/>
            </w:tcBorders>
            <w:shd w:val="clear" w:color="auto" w:fill="CCE2E6"/>
            <w:vAlign w:val="center"/>
            <w:hideMark/>
          </w:tcPr>
          <w:p w14:paraId="0E8D0398" w14:textId="77777777" w:rsidR="009E086F" w:rsidRPr="004572EC" w:rsidRDefault="009E086F" w:rsidP="00562DA7">
            <w:pPr>
              <w:widowControl/>
              <w:jc w:val="center"/>
              <w:rPr>
                <w:rFonts w:cs="Arial"/>
                <w:color w:val="000000"/>
                <w:sz w:val="20"/>
                <w:lang w:eastAsia="es-MX"/>
              </w:rPr>
            </w:pPr>
            <w:r w:rsidRPr="004572EC">
              <w:rPr>
                <w:rFonts w:cs="Arial"/>
                <w:sz w:val="20"/>
                <w:lang w:eastAsia="es-MX"/>
              </w:rPr>
              <w:t>0.3</w:t>
            </w:r>
          </w:p>
        </w:tc>
        <w:tc>
          <w:tcPr>
            <w:tcW w:w="1418" w:type="dxa"/>
            <w:tcBorders>
              <w:top w:val="nil"/>
              <w:left w:val="nil"/>
              <w:right w:val="nil"/>
            </w:tcBorders>
            <w:shd w:val="clear" w:color="auto" w:fill="CCE2E6"/>
            <w:vAlign w:val="center"/>
            <w:hideMark/>
          </w:tcPr>
          <w:p w14:paraId="52CF864E" w14:textId="77777777" w:rsidR="009E086F" w:rsidRPr="004572EC" w:rsidRDefault="009E086F" w:rsidP="00562DA7">
            <w:pPr>
              <w:widowControl/>
              <w:jc w:val="center"/>
              <w:rPr>
                <w:rFonts w:cs="Arial"/>
                <w:color w:val="000000"/>
                <w:sz w:val="20"/>
                <w:lang w:eastAsia="es-MX"/>
              </w:rPr>
            </w:pPr>
            <w:r w:rsidRPr="004572EC">
              <w:rPr>
                <w:rFonts w:cs="Arial"/>
                <w:sz w:val="20"/>
                <w:lang w:eastAsia="es-MX"/>
              </w:rPr>
              <w:t>86.4</w:t>
            </w:r>
          </w:p>
        </w:tc>
        <w:tc>
          <w:tcPr>
            <w:tcW w:w="1275" w:type="dxa"/>
            <w:tcBorders>
              <w:top w:val="nil"/>
              <w:left w:val="nil"/>
              <w:right w:val="nil"/>
            </w:tcBorders>
            <w:shd w:val="clear" w:color="auto" w:fill="CCE2E6"/>
            <w:vAlign w:val="center"/>
            <w:hideMark/>
          </w:tcPr>
          <w:p w14:paraId="7E603EFD" w14:textId="77777777" w:rsidR="009E086F" w:rsidRPr="004572EC" w:rsidRDefault="009E086F" w:rsidP="00562DA7">
            <w:pPr>
              <w:widowControl/>
              <w:jc w:val="center"/>
              <w:rPr>
                <w:rFonts w:cs="Arial"/>
                <w:color w:val="000000"/>
                <w:sz w:val="20"/>
                <w:lang w:eastAsia="es-MX"/>
              </w:rPr>
            </w:pPr>
            <w:r w:rsidRPr="004572EC">
              <w:rPr>
                <w:rFonts w:cs="Arial"/>
                <w:sz w:val="20"/>
                <w:lang w:eastAsia="es-MX"/>
              </w:rPr>
              <w:t>92.6</w:t>
            </w:r>
          </w:p>
        </w:tc>
        <w:tc>
          <w:tcPr>
            <w:tcW w:w="1418" w:type="dxa"/>
            <w:tcBorders>
              <w:top w:val="nil"/>
              <w:left w:val="nil"/>
              <w:right w:val="nil"/>
            </w:tcBorders>
            <w:shd w:val="clear" w:color="auto" w:fill="CCE2E6"/>
            <w:vAlign w:val="center"/>
            <w:hideMark/>
          </w:tcPr>
          <w:p w14:paraId="4D5D7C40" w14:textId="77777777" w:rsidR="009E086F" w:rsidRPr="004572EC" w:rsidRDefault="009E086F" w:rsidP="00562DA7">
            <w:pPr>
              <w:widowControl/>
              <w:jc w:val="center"/>
              <w:rPr>
                <w:rFonts w:cs="Arial"/>
                <w:color w:val="000000"/>
                <w:sz w:val="20"/>
                <w:lang w:eastAsia="es-MX"/>
              </w:rPr>
            </w:pPr>
            <w:r w:rsidRPr="004572EC">
              <w:rPr>
                <w:rFonts w:cs="Arial"/>
                <w:sz w:val="20"/>
                <w:lang w:eastAsia="es-MX"/>
              </w:rPr>
              <w:t>70.2</w:t>
            </w:r>
          </w:p>
        </w:tc>
      </w:tr>
      <w:tr w:rsidR="009E086F" w:rsidRPr="004572EC" w14:paraId="4664E9A3" w14:textId="77777777" w:rsidTr="00562DA7">
        <w:trPr>
          <w:trHeight w:val="300"/>
        </w:trPr>
        <w:tc>
          <w:tcPr>
            <w:tcW w:w="220" w:type="dxa"/>
            <w:tcBorders>
              <w:top w:val="nil"/>
              <w:left w:val="nil"/>
              <w:right w:val="nil"/>
            </w:tcBorders>
            <w:shd w:val="clear" w:color="auto" w:fill="CCE2E6"/>
            <w:vAlign w:val="center"/>
            <w:hideMark/>
          </w:tcPr>
          <w:p w14:paraId="0F2BDECE" w14:textId="77777777" w:rsidR="009E086F" w:rsidRPr="004572EC" w:rsidRDefault="009E086F" w:rsidP="00562DA7">
            <w:pPr>
              <w:widowControl/>
              <w:jc w:val="left"/>
              <w:rPr>
                <w:rFonts w:cs="Arial"/>
                <w:color w:val="000000"/>
                <w:sz w:val="20"/>
                <w:lang w:eastAsia="es-MX"/>
              </w:rPr>
            </w:pPr>
            <w:r w:rsidRPr="004572EC">
              <w:rPr>
                <w:rFonts w:cs="Arial"/>
                <w:color w:val="000000"/>
                <w:sz w:val="20"/>
                <w:lang w:eastAsia="es-MX"/>
              </w:rPr>
              <w:t> </w:t>
            </w:r>
          </w:p>
        </w:tc>
        <w:tc>
          <w:tcPr>
            <w:tcW w:w="2580" w:type="dxa"/>
            <w:tcBorders>
              <w:top w:val="nil"/>
              <w:left w:val="nil"/>
              <w:right w:val="nil"/>
            </w:tcBorders>
            <w:shd w:val="clear" w:color="auto" w:fill="CCE2E6"/>
            <w:vAlign w:val="center"/>
            <w:hideMark/>
          </w:tcPr>
          <w:p w14:paraId="210F3EE8" w14:textId="77777777" w:rsidR="009E086F" w:rsidRPr="004572EC" w:rsidRDefault="009E086F" w:rsidP="00562DA7">
            <w:pPr>
              <w:widowControl/>
              <w:jc w:val="left"/>
              <w:rPr>
                <w:rFonts w:cs="Arial"/>
                <w:color w:val="000000"/>
                <w:sz w:val="20"/>
                <w:lang w:eastAsia="es-MX"/>
              </w:rPr>
            </w:pPr>
            <w:r w:rsidRPr="004572EC">
              <w:rPr>
                <w:rFonts w:cs="Arial"/>
                <w:sz w:val="20"/>
                <w:lang w:eastAsia="es-MX"/>
              </w:rPr>
              <w:t>No ocupado</w:t>
            </w:r>
          </w:p>
        </w:tc>
        <w:tc>
          <w:tcPr>
            <w:tcW w:w="880" w:type="dxa"/>
            <w:tcBorders>
              <w:top w:val="nil"/>
              <w:left w:val="nil"/>
              <w:right w:val="nil"/>
            </w:tcBorders>
            <w:shd w:val="clear" w:color="auto" w:fill="CCE2E6"/>
            <w:vAlign w:val="center"/>
            <w:hideMark/>
          </w:tcPr>
          <w:p w14:paraId="60ED1B5A" w14:textId="77777777" w:rsidR="009E086F" w:rsidRPr="004572EC" w:rsidRDefault="009E086F" w:rsidP="00562DA7">
            <w:pPr>
              <w:widowControl/>
              <w:jc w:val="center"/>
              <w:rPr>
                <w:rFonts w:cs="Arial"/>
                <w:color w:val="000000"/>
                <w:sz w:val="20"/>
                <w:lang w:eastAsia="es-MX"/>
              </w:rPr>
            </w:pPr>
            <w:r w:rsidRPr="004572EC">
              <w:rPr>
                <w:rFonts w:cs="Arial"/>
                <w:sz w:val="20"/>
                <w:lang w:eastAsia="es-MX"/>
              </w:rPr>
              <w:t>0.2</w:t>
            </w:r>
          </w:p>
        </w:tc>
        <w:tc>
          <w:tcPr>
            <w:tcW w:w="1140" w:type="dxa"/>
            <w:tcBorders>
              <w:top w:val="nil"/>
              <w:left w:val="nil"/>
              <w:right w:val="nil"/>
            </w:tcBorders>
            <w:shd w:val="clear" w:color="auto" w:fill="CCE2E6"/>
            <w:vAlign w:val="center"/>
            <w:hideMark/>
          </w:tcPr>
          <w:p w14:paraId="033F3A12" w14:textId="77777777" w:rsidR="009E086F" w:rsidRPr="004572EC" w:rsidRDefault="009E086F" w:rsidP="00562DA7">
            <w:pPr>
              <w:widowControl/>
              <w:jc w:val="center"/>
              <w:rPr>
                <w:rFonts w:cs="Arial"/>
                <w:color w:val="000000"/>
                <w:sz w:val="20"/>
                <w:lang w:eastAsia="es-MX"/>
              </w:rPr>
            </w:pPr>
            <w:r w:rsidRPr="004572EC">
              <w:rPr>
                <w:rFonts w:cs="Arial"/>
                <w:sz w:val="20"/>
                <w:lang w:eastAsia="es-MX"/>
              </w:rPr>
              <w:t>0.1</w:t>
            </w:r>
          </w:p>
        </w:tc>
        <w:tc>
          <w:tcPr>
            <w:tcW w:w="992" w:type="dxa"/>
            <w:tcBorders>
              <w:top w:val="nil"/>
              <w:left w:val="nil"/>
              <w:right w:val="nil"/>
            </w:tcBorders>
            <w:shd w:val="clear" w:color="auto" w:fill="CCE2E6"/>
            <w:vAlign w:val="center"/>
            <w:hideMark/>
          </w:tcPr>
          <w:p w14:paraId="2BA36702" w14:textId="77777777" w:rsidR="009E086F" w:rsidRPr="004572EC" w:rsidRDefault="009E086F" w:rsidP="00562DA7">
            <w:pPr>
              <w:widowControl/>
              <w:jc w:val="center"/>
              <w:rPr>
                <w:rFonts w:cs="Arial"/>
                <w:color w:val="000000"/>
                <w:sz w:val="20"/>
                <w:lang w:eastAsia="es-MX"/>
              </w:rPr>
            </w:pPr>
            <w:r w:rsidRPr="004572EC">
              <w:rPr>
                <w:rFonts w:cs="Arial"/>
                <w:sz w:val="20"/>
                <w:lang w:eastAsia="es-MX"/>
              </w:rPr>
              <w:t>0.1</w:t>
            </w:r>
          </w:p>
        </w:tc>
        <w:tc>
          <w:tcPr>
            <w:tcW w:w="1418" w:type="dxa"/>
            <w:tcBorders>
              <w:top w:val="nil"/>
              <w:left w:val="nil"/>
              <w:right w:val="nil"/>
            </w:tcBorders>
            <w:shd w:val="clear" w:color="auto" w:fill="CCE2E6"/>
            <w:vAlign w:val="center"/>
            <w:hideMark/>
          </w:tcPr>
          <w:p w14:paraId="36B3807C" w14:textId="77777777" w:rsidR="009E086F" w:rsidRPr="004572EC" w:rsidRDefault="009E086F" w:rsidP="00562DA7">
            <w:pPr>
              <w:widowControl/>
              <w:jc w:val="center"/>
              <w:rPr>
                <w:rFonts w:cs="Arial"/>
                <w:color w:val="000000"/>
                <w:sz w:val="20"/>
                <w:lang w:eastAsia="es-MX"/>
              </w:rPr>
            </w:pPr>
            <w:r w:rsidRPr="004572EC">
              <w:rPr>
                <w:rFonts w:cs="Arial"/>
                <w:sz w:val="20"/>
                <w:lang w:eastAsia="es-MX"/>
              </w:rPr>
              <w:t>13.6</w:t>
            </w:r>
          </w:p>
        </w:tc>
        <w:tc>
          <w:tcPr>
            <w:tcW w:w="1275" w:type="dxa"/>
            <w:tcBorders>
              <w:top w:val="nil"/>
              <w:left w:val="nil"/>
              <w:right w:val="nil"/>
            </w:tcBorders>
            <w:shd w:val="clear" w:color="auto" w:fill="CCE2E6"/>
            <w:vAlign w:val="center"/>
            <w:hideMark/>
          </w:tcPr>
          <w:p w14:paraId="1F54EDD7" w14:textId="77777777" w:rsidR="009E086F" w:rsidRPr="004572EC" w:rsidRDefault="009E086F" w:rsidP="00562DA7">
            <w:pPr>
              <w:widowControl/>
              <w:jc w:val="center"/>
              <w:rPr>
                <w:rFonts w:cs="Arial"/>
                <w:color w:val="000000"/>
                <w:sz w:val="20"/>
                <w:lang w:eastAsia="es-MX"/>
              </w:rPr>
            </w:pPr>
            <w:r w:rsidRPr="004572EC">
              <w:rPr>
                <w:rFonts w:cs="Arial"/>
                <w:sz w:val="20"/>
                <w:lang w:eastAsia="es-MX"/>
              </w:rPr>
              <w:t>7.4</w:t>
            </w:r>
          </w:p>
        </w:tc>
        <w:tc>
          <w:tcPr>
            <w:tcW w:w="1418" w:type="dxa"/>
            <w:tcBorders>
              <w:top w:val="nil"/>
              <w:left w:val="nil"/>
              <w:right w:val="nil"/>
            </w:tcBorders>
            <w:shd w:val="clear" w:color="auto" w:fill="CCE2E6"/>
            <w:vAlign w:val="center"/>
            <w:hideMark/>
          </w:tcPr>
          <w:p w14:paraId="18350DF3" w14:textId="77777777" w:rsidR="009E086F" w:rsidRPr="004572EC" w:rsidRDefault="009E086F" w:rsidP="00562DA7">
            <w:pPr>
              <w:widowControl/>
              <w:jc w:val="center"/>
              <w:rPr>
                <w:rFonts w:cs="Arial"/>
                <w:color w:val="000000"/>
                <w:sz w:val="20"/>
                <w:lang w:eastAsia="es-MX"/>
              </w:rPr>
            </w:pPr>
            <w:r w:rsidRPr="004572EC">
              <w:rPr>
                <w:rFonts w:cs="Arial"/>
                <w:sz w:val="20"/>
                <w:lang w:eastAsia="es-MX"/>
              </w:rPr>
              <w:t>29.8</w:t>
            </w:r>
          </w:p>
        </w:tc>
      </w:tr>
    </w:tbl>
    <w:p w14:paraId="2863DB32" w14:textId="2754D7BB" w:rsidR="009E086F" w:rsidRPr="00560388" w:rsidRDefault="00960C37" w:rsidP="009E086F">
      <w:pPr>
        <w:widowControl/>
        <w:autoSpaceDE w:val="0"/>
        <w:autoSpaceDN w:val="0"/>
        <w:adjustRightInd w:val="0"/>
        <w:rPr>
          <w:rFonts w:cs="Arial"/>
          <w:sz w:val="16"/>
          <w:szCs w:val="16"/>
        </w:rPr>
      </w:pPr>
      <w:r>
        <w:rPr>
          <w:rFonts w:cs="Arial"/>
          <w:color w:val="000000" w:themeColor="text1"/>
          <w:sz w:val="16"/>
          <w:szCs w:val="16"/>
        </w:rPr>
        <w:t xml:space="preserve"> </w:t>
      </w:r>
      <w:r w:rsidR="009E086F" w:rsidRPr="00560388">
        <w:rPr>
          <w:rFonts w:cs="Arial"/>
          <w:color w:val="000000" w:themeColor="text1"/>
          <w:sz w:val="16"/>
          <w:szCs w:val="16"/>
        </w:rPr>
        <w:t>Fuente: INEGI, ENTI. 2022.</w:t>
      </w:r>
    </w:p>
    <w:p w14:paraId="232D66C6" w14:textId="77777777" w:rsidR="009E086F" w:rsidRDefault="009E086F" w:rsidP="00B300D7">
      <w:pPr>
        <w:widowControl/>
        <w:autoSpaceDE w:val="0"/>
        <w:autoSpaceDN w:val="0"/>
        <w:adjustRightInd w:val="0"/>
        <w:rPr>
          <w:rFonts w:cs="Arial"/>
          <w:color w:val="000000"/>
          <w:szCs w:val="24"/>
        </w:rPr>
      </w:pPr>
    </w:p>
    <w:p w14:paraId="7B584721" w14:textId="61A8F818" w:rsidR="00870059" w:rsidRPr="00E61E1D" w:rsidRDefault="007835C6" w:rsidP="000E1EBC">
      <w:pPr>
        <w:widowControl/>
        <w:autoSpaceDE w:val="0"/>
        <w:autoSpaceDN w:val="0"/>
        <w:adjustRightInd w:val="0"/>
        <w:ind w:right="51"/>
        <w:rPr>
          <w:rFonts w:cs="Arial"/>
          <w:color w:val="000000"/>
          <w:szCs w:val="24"/>
        </w:rPr>
      </w:pPr>
      <w:r w:rsidRPr="00E61E1D">
        <w:rPr>
          <w:rFonts w:cs="Arial"/>
          <w:color w:val="000000"/>
          <w:szCs w:val="24"/>
        </w:rPr>
        <w:t>Según l</w:t>
      </w:r>
      <w:r w:rsidR="00870059" w:rsidRPr="00E61E1D">
        <w:rPr>
          <w:rFonts w:cs="Arial"/>
          <w:color w:val="000000"/>
          <w:szCs w:val="24"/>
        </w:rPr>
        <w:t>a clase de hogar</w:t>
      </w:r>
      <w:r w:rsidRPr="00E61E1D">
        <w:rPr>
          <w:rFonts w:cs="Arial"/>
          <w:color w:val="000000"/>
          <w:szCs w:val="24"/>
        </w:rPr>
        <w:t>,</w:t>
      </w:r>
      <w:r w:rsidR="00870059" w:rsidRPr="00E61E1D">
        <w:rPr>
          <w:rFonts w:cs="Arial"/>
          <w:color w:val="000000"/>
          <w:szCs w:val="24"/>
        </w:rPr>
        <w:t xml:space="preserve"> 1.2 millones </w:t>
      </w:r>
      <w:r w:rsidR="00221203" w:rsidRPr="00E61E1D">
        <w:rPr>
          <w:rFonts w:cs="Arial"/>
          <w:color w:val="000000"/>
          <w:szCs w:val="24"/>
        </w:rPr>
        <w:t xml:space="preserve">(67.7 %) </w:t>
      </w:r>
      <w:r w:rsidR="00870059" w:rsidRPr="00E61E1D">
        <w:rPr>
          <w:rFonts w:cs="Arial"/>
          <w:color w:val="000000"/>
          <w:szCs w:val="24"/>
        </w:rPr>
        <w:t xml:space="preserve">de hogares familiares fueron </w:t>
      </w:r>
      <w:r w:rsidR="00870059" w:rsidRPr="00E61E1D">
        <w:rPr>
          <w:rFonts w:cs="Arial"/>
          <w:color w:val="000000" w:themeColor="text1"/>
          <w:szCs w:val="24"/>
        </w:rPr>
        <w:t>nucleares</w:t>
      </w:r>
      <w:r w:rsidR="00B300D7" w:rsidRPr="00E61E1D">
        <w:rPr>
          <w:rFonts w:cs="Arial"/>
          <w:color w:val="000000" w:themeColor="text1"/>
          <w:szCs w:val="24"/>
        </w:rPr>
        <w:t xml:space="preserve"> </w:t>
      </w:r>
      <w:r w:rsidR="00B300D7" w:rsidRPr="00E61E1D">
        <w:rPr>
          <w:rFonts w:cs="Arial"/>
          <w:color w:val="000000" w:themeColor="text1"/>
          <w:szCs w:val="24"/>
          <w:shd w:val="clear" w:color="auto" w:fill="FFFFFF"/>
        </w:rPr>
        <w:t>—</w:t>
      </w:r>
      <w:r w:rsidR="00870059" w:rsidRPr="00E61E1D">
        <w:rPr>
          <w:rFonts w:cs="Arial"/>
          <w:color w:val="000000" w:themeColor="text1"/>
          <w:szCs w:val="24"/>
        </w:rPr>
        <w:t>es decir, estuvieron conformados por la jefa y/</w:t>
      </w:r>
      <w:r w:rsidR="00B300D7" w:rsidRPr="00E61E1D">
        <w:rPr>
          <w:rFonts w:cs="Arial"/>
          <w:color w:val="000000" w:themeColor="text1"/>
          <w:szCs w:val="24"/>
        </w:rPr>
        <w:t xml:space="preserve"> </w:t>
      </w:r>
      <w:r w:rsidR="00870059" w:rsidRPr="00E61E1D">
        <w:rPr>
          <w:rFonts w:cs="Arial"/>
          <w:color w:val="000000" w:themeColor="text1"/>
          <w:szCs w:val="24"/>
        </w:rPr>
        <w:t>o jefe y las hijas y/</w:t>
      </w:r>
      <w:r w:rsidR="00B300D7" w:rsidRPr="00E61E1D">
        <w:rPr>
          <w:rFonts w:cs="Arial"/>
          <w:color w:val="000000" w:themeColor="text1"/>
          <w:szCs w:val="24"/>
        </w:rPr>
        <w:t xml:space="preserve"> </w:t>
      </w:r>
      <w:r w:rsidR="00870059" w:rsidRPr="00E61E1D">
        <w:rPr>
          <w:rFonts w:cs="Arial"/>
          <w:color w:val="000000" w:themeColor="text1"/>
          <w:szCs w:val="24"/>
        </w:rPr>
        <w:t>o hijos</w:t>
      </w:r>
      <w:r w:rsidR="00B300D7" w:rsidRPr="00E61E1D">
        <w:rPr>
          <w:rFonts w:cs="Arial"/>
          <w:color w:val="000000" w:themeColor="text1"/>
          <w:szCs w:val="24"/>
          <w:shd w:val="clear" w:color="auto" w:fill="FFFFFF"/>
        </w:rPr>
        <w:t>—</w:t>
      </w:r>
      <w:r w:rsidR="00870059" w:rsidRPr="00E61E1D">
        <w:rPr>
          <w:rFonts w:cs="Arial"/>
          <w:color w:val="000000" w:themeColor="text1"/>
          <w:szCs w:val="24"/>
        </w:rPr>
        <w:t>; 0.</w:t>
      </w:r>
      <w:r w:rsidR="005277A3" w:rsidRPr="00E61E1D">
        <w:rPr>
          <w:rFonts w:cs="Arial"/>
          <w:color w:val="000000" w:themeColor="text1"/>
          <w:szCs w:val="24"/>
        </w:rPr>
        <w:t>6</w:t>
      </w:r>
      <w:r w:rsidR="00870059" w:rsidRPr="00E61E1D">
        <w:rPr>
          <w:rFonts w:cs="Arial"/>
          <w:color w:val="000000" w:themeColor="text1"/>
          <w:szCs w:val="24"/>
        </w:rPr>
        <w:t xml:space="preserve"> millones </w:t>
      </w:r>
      <w:r w:rsidR="00221203" w:rsidRPr="00E61E1D">
        <w:rPr>
          <w:rFonts w:cs="Arial"/>
          <w:color w:val="000000" w:themeColor="text1"/>
          <w:szCs w:val="24"/>
        </w:rPr>
        <w:t xml:space="preserve">(32.3 %) </w:t>
      </w:r>
      <w:r w:rsidR="00870059" w:rsidRPr="00E61E1D">
        <w:rPr>
          <w:rFonts w:cs="Arial"/>
          <w:color w:val="000000" w:themeColor="text1"/>
          <w:szCs w:val="24"/>
        </w:rPr>
        <w:t>fueron hogares no nucleares</w:t>
      </w:r>
      <w:r w:rsidR="00B300D7" w:rsidRPr="00E61E1D">
        <w:rPr>
          <w:rFonts w:cs="Arial"/>
          <w:color w:val="000000" w:themeColor="text1"/>
          <w:szCs w:val="24"/>
        </w:rPr>
        <w:t xml:space="preserve"> </w:t>
      </w:r>
      <w:r w:rsidR="00B300D7" w:rsidRPr="00E61E1D">
        <w:rPr>
          <w:rFonts w:cs="Arial"/>
          <w:color w:val="000000" w:themeColor="text1"/>
          <w:szCs w:val="24"/>
          <w:shd w:val="clear" w:color="auto" w:fill="FFFFFF"/>
        </w:rPr>
        <w:t>—</w:t>
      </w:r>
      <w:r w:rsidR="00870059" w:rsidRPr="00E61E1D">
        <w:rPr>
          <w:rFonts w:cs="Arial"/>
          <w:color w:val="000000" w:themeColor="text1"/>
          <w:szCs w:val="24"/>
        </w:rPr>
        <w:t>había además un familiar y/</w:t>
      </w:r>
      <w:r w:rsidR="00B300D7" w:rsidRPr="00E61E1D">
        <w:rPr>
          <w:rFonts w:cs="Arial"/>
          <w:color w:val="000000" w:themeColor="text1"/>
          <w:szCs w:val="24"/>
        </w:rPr>
        <w:t xml:space="preserve"> </w:t>
      </w:r>
      <w:r w:rsidR="00870059" w:rsidRPr="00E61E1D">
        <w:rPr>
          <w:rFonts w:cs="Arial"/>
          <w:color w:val="000000" w:themeColor="text1"/>
          <w:szCs w:val="24"/>
        </w:rPr>
        <w:t>o</w:t>
      </w:r>
      <w:r w:rsidR="00221203" w:rsidRPr="00E61E1D">
        <w:rPr>
          <w:rFonts w:cs="Arial"/>
          <w:color w:val="000000" w:themeColor="text1"/>
          <w:szCs w:val="24"/>
        </w:rPr>
        <w:t xml:space="preserve"> un</w:t>
      </w:r>
      <w:r w:rsidR="00870059" w:rsidRPr="00E61E1D">
        <w:rPr>
          <w:rFonts w:cs="Arial"/>
          <w:color w:val="000000" w:themeColor="text1"/>
          <w:szCs w:val="24"/>
        </w:rPr>
        <w:t xml:space="preserve"> no familiar</w:t>
      </w:r>
      <w:r w:rsidR="00B300D7" w:rsidRPr="00E61E1D">
        <w:rPr>
          <w:rFonts w:cs="Arial"/>
          <w:color w:val="000000" w:themeColor="text1"/>
          <w:szCs w:val="24"/>
          <w:shd w:val="clear" w:color="auto" w:fill="FFFFFF"/>
        </w:rPr>
        <w:t>—</w:t>
      </w:r>
      <w:r w:rsidR="00870059" w:rsidRPr="00E61E1D">
        <w:rPr>
          <w:rFonts w:cs="Arial"/>
          <w:color w:val="000000" w:themeColor="text1"/>
          <w:szCs w:val="24"/>
        </w:rPr>
        <w:t>.</w:t>
      </w:r>
      <w:r w:rsidR="00076EED" w:rsidRPr="00E61E1D">
        <w:rPr>
          <w:rFonts w:cs="Arial"/>
          <w:color w:val="000000" w:themeColor="text1"/>
          <w:szCs w:val="24"/>
        </w:rPr>
        <w:t xml:space="preserve"> </w:t>
      </w:r>
      <w:r w:rsidR="00870059" w:rsidRPr="00E61E1D">
        <w:rPr>
          <w:rFonts w:cs="Arial"/>
          <w:color w:val="000000"/>
          <w:szCs w:val="24"/>
        </w:rPr>
        <w:t xml:space="preserve">Del total de hogares nucleares, 0.2 millones (20 %) fueron hogares monoparentales </w:t>
      </w:r>
      <w:r w:rsidR="00B300D7" w:rsidRPr="00E61E1D">
        <w:rPr>
          <w:rFonts w:cs="Arial"/>
          <w:color w:val="000000" w:themeColor="text1"/>
          <w:szCs w:val="24"/>
          <w:shd w:val="clear" w:color="auto" w:fill="FFFFFF"/>
        </w:rPr>
        <w:t>—</w:t>
      </w:r>
      <w:r w:rsidR="00870059" w:rsidRPr="00E61E1D">
        <w:rPr>
          <w:rFonts w:cs="Arial"/>
          <w:color w:val="000000" w:themeColor="text1"/>
          <w:szCs w:val="24"/>
        </w:rPr>
        <w:t>es decir, la jefa o el jefe estuvo presente en el hogar</w:t>
      </w:r>
      <w:r w:rsidR="00B300D7" w:rsidRPr="00E61E1D">
        <w:rPr>
          <w:rFonts w:cs="Arial"/>
          <w:color w:val="000000" w:themeColor="text1"/>
          <w:szCs w:val="24"/>
          <w:shd w:val="clear" w:color="auto" w:fill="FFFFFF"/>
        </w:rPr>
        <w:t>—</w:t>
      </w:r>
      <w:r w:rsidR="00870059" w:rsidRPr="00E61E1D">
        <w:rPr>
          <w:rFonts w:cs="Arial"/>
          <w:color w:val="000000" w:themeColor="text1"/>
          <w:szCs w:val="24"/>
        </w:rPr>
        <w:t xml:space="preserve"> </w:t>
      </w:r>
      <w:r w:rsidR="00870059" w:rsidRPr="00E61E1D">
        <w:rPr>
          <w:rFonts w:cs="Arial"/>
          <w:color w:val="000000"/>
          <w:szCs w:val="24"/>
        </w:rPr>
        <w:t xml:space="preserve">y en </w:t>
      </w:r>
      <w:r w:rsidR="00B300D7" w:rsidRPr="00E61E1D">
        <w:rPr>
          <w:rFonts w:cs="Arial"/>
          <w:color w:val="000000"/>
          <w:szCs w:val="24"/>
        </w:rPr>
        <w:t>un</w:t>
      </w:r>
      <w:r w:rsidR="00870059" w:rsidRPr="00E61E1D">
        <w:rPr>
          <w:rFonts w:cs="Arial"/>
          <w:color w:val="000000"/>
          <w:szCs w:val="24"/>
        </w:rPr>
        <w:t xml:space="preserve"> millón (80 %) estuv</w:t>
      </w:r>
      <w:r w:rsidR="00B300D7" w:rsidRPr="00E61E1D">
        <w:rPr>
          <w:rFonts w:cs="Arial"/>
          <w:color w:val="000000"/>
          <w:szCs w:val="24"/>
        </w:rPr>
        <w:t>o</w:t>
      </w:r>
      <w:r w:rsidR="00870059" w:rsidRPr="00E61E1D">
        <w:rPr>
          <w:rFonts w:cs="Arial"/>
          <w:color w:val="000000"/>
          <w:szCs w:val="24"/>
        </w:rPr>
        <w:t xml:space="preserve"> presente </w:t>
      </w:r>
      <w:r w:rsidR="00B300D7" w:rsidRPr="00E61E1D">
        <w:rPr>
          <w:rFonts w:cs="Arial"/>
          <w:color w:val="000000"/>
          <w:szCs w:val="24"/>
        </w:rPr>
        <w:t>la pareja con o sin hijos</w:t>
      </w:r>
      <w:r w:rsidR="004E0174" w:rsidRPr="00E61E1D">
        <w:rPr>
          <w:rFonts w:cs="Arial"/>
          <w:szCs w:val="24"/>
        </w:rPr>
        <w:t xml:space="preserve"> (ver cuadro 2</w:t>
      </w:r>
      <w:r w:rsidR="004D4F9A" w:rsidRPr="00E61E1D">
        <w:rPr>
          <w:rFonts w:cs="Arial"/>
          <w:szCs w:val="24"/>
        </w:rPr>
        <w:t>6</w:t>
      </w:r>
      <w:r w:rsidR="004E0174" w:rsidRPr="00E61E1D">
        <w:rPr>
          <w:rFonts w:cs="Arial"/>
          <w:szCs w:val="24"/>
        </w:rPr>
        <w:t>).</w:t>
      </w:r>
      <w:r w:rsidR="0044505A" w:rsidRPr="00E61E1D">
        <w:rPr>
          <w:rFonts w:cs="Arial"/>
          <w:color w:val="000000"/>
          <w:szCs w:val="24"/>
        </w:rPr>
        <w:t xml:space="preserve"> En particular, en los hogares monoparentales, </w:t>
      </w:r>
      <w:r w:rsidR="00555017" w:rsidRPr="00E61E1D">
        <w:rPr>
          <w:rFonts w:cs="Arial"/>
          <w:color w:val="000000"/>
          <w:szCs w:val="24"/>
        </w:rPr>
        <w:t>en</w:t>
      </w:r>
      <w:r w:rsidR="0044505A" w:rsidRPr="00E61E1D">
        <w:rPr>
          <w:rFonts w:cs="Arial"/>
          <w:color w:val="000000"/>
          <w:szCs w:val="24"/>
        </w:rPr>
        <w:t xml:space="preserve"> 88.2 % </w:t>
      </w:r>
      <w:r w:rsidR="00D1560E" w:rsidRPr="00E61E1D">
        <w:rPr>
          <w:rFonts w:cs="Arial"/>
          <w:color w:val="000000"/>
          <w:szCs w:val="24"/>
        </w:rPr>
        <w:t xml:space="preserve">tuvieron la presencia de </w:t>
      </w:r>
      <w:r w:rsidR="0044505A" w:rsidRPr="00E61E1D">
        <w:rPr>
          <w:rFonts w:cs="Arial"/>
          <w:color w:val="000000"/>
          <w:szCs w:val="24"/>
        </w:rPr>
        <w:t>una jefa</w:t>
      </w:r>
      <w:r w:rsidR="00D1560E" w:rsidRPr="00E61E1D">
        <w:rPr>
          <w:rFonts w:cs="Arial"/>
          <w:color w:val="000000"/>
          <w:szCs w:val="24"/>
        </w:rPr>
        <w:t xml:space="preserve"> del hogar</w:t>
      </w:r>
      <w:r w:rsidR="0044505A" w:rsidRPr="00E61E1D">
        <w:rPr>
          <w:rFonts w:cs="Arial"/>
          <w:color w:val="000000"/>
          <w:szCs w:val="24"/>
        </w:rPr>
        <w:t xml:space="preserve"> y en 11. 8</w:t>
      </w:r>
      <w:r w:rsidR="00B300D7" w:rsidRPr="00E61E1D">
        <w:rPr>
          <w:rFonts w:cs="Arial"/>
          <w:color w:val="000000"/>
          <w:szCs w:val="24"/>
        </w:rPr>
        <w:t xml:space="preserve"> </w:t>
      </w:r>
      <w:r w:rsidR="0044505A" w:rsidRPr="00E61E1D">
        <w:rPr>
          <w:rFonts w:cs="Arial"/>
          <w:color w:val="000000"/>
          <w:szCs w:val="24"/>
        </w:rPr>
        <w:t>%</w:t>
      </w:r>
      <w:r w:rsidR="00B300D7" w:rsidRPr="00E61E1D">
        <w:rPr>
          <w:rFonts w:cs="Arial"/>
          <w:color w:val="000000"/>
          <w:szCs w:val="24"/>
        </w:rPr>
        <w:t>, la de</w:t>
      </w:r>
      <w:r w:rsidR="0044505A" w:rsidRPr="00E61E1D">
        <w:rPr>
          <w:rFonts w:cs="Arial"/>
          <w:color w:val="000000"/>
          <w:szCs w:val="24"/>
        </w:rPr>
        <w:t xml:space="preserve"> un jefe.</w:t>
      </w:r>
    </w:p>
    <w:p w14:paraId="67720576" w14:textId="77777777" w:rsidR="00344162" w:rsidRDefault="00344162" w:rsidP="00B300D7">
      <w:pPr>
        <w:widowControl/>
        <w:autoSpaceDE w:val="0"/>
        <w:autoSpaceDN w:val="0"/>
        <w:adjustRightInd w:val="0"/>
        <w:rPr>
          <w:rFonts w:cs="Arial"/>
          <w:color w:val="000000"/>
          <w:szCs w:val="24"/>
        </w:rPr>
      </w:pPr>
    </w:p>
    <w:p w14:paraId="431A1218" w14:textId="6CDBBBAE" w:rsidR="009E086F" w:rsidRPr="000E1EBC" w:rsidRDefault="009E086F" w:rsidP="000E1EBC">
      <w:pPr>
        <w:widowControl/>
        <w:autoSpaceDE w:val="0"/>
        <w:autoSpaceDN w:val="0"/>
        <w:adjustRightInd w:val="0"/>
        <w:jc w:val="center"/>
        <w:rPr>
          <w:rFonts w:cs="Arial"/>
          <w:color w:val="000000"/>
          <w:sz w:val="20"/>
        </w:rPr>
      </w:pPr>
      <w:r w:rsidRPr="000E1EBC">
        <w:rPr>
          <w:rFonts w:cs="Arial"/>
          <w:color w:val="000000"/>
          <w:sz w:val="20"/>
        </w:rPr>
        <w:t>Cuadro 2</w:t>
      </w:r>
      <w:r w:rsidR="002C2946" w:rsidRPr="000E1EBC">
        <w:rPr>
          <w:rFonts w:cs="Arial"/>
          <w:color w:val="000000"/>
          <w:sz w:val="20"/>
        </w:rPr>
        <w:t>6</w:t>
      </w:r>
    </w:p>
    <w:p w14:paraId="5A350E3D" w14:textId="77777777" w:rsidR="009E086F" w:rsidRPr="000E1EBC" w:rsidRDefault="009E086F" w:rsidP="000E1EBC">
      <w:pPr>
        <w:widowControl/>
        <w:autoSpaceDE w:val="0"/>
        <w:autoSpaceDN w:val="0"/>
        <w:adjustRightInd w:val="0"/>
        <w:ind w:right="51"/>
        <w:jc w:val="center"/>
        <w:rPr>
          <w:rFonts w:cs="Arial"/>
          <w:b/>
          <w:smallCaps/>
          <w:sz w:val="22"/>
          <w:szCs w:val="22"/>
        </w:rPr>
      </w:pPr>
      <w:r w:rsidRPr="000E1EBC">
        <w:rPr>
          <w:rFonts w:cs="Arial"/>
          <w:b/>
          <w:smallCaps/>
          <w:sz w:val="22"/>
          <w:szCs w:val="22"/>
        </w:rPr>
        <w:t>Hogares familiares con ocupación infantil no permitida por clase de hogar según sexo de la persona jefa del hogar</w:t>
      </w:r>
    </w:p>
    <w:tbl>
      <w:tblPr>
        <w:tblW w:w="9923" w:type="dxa"/>
        <w:tblCellMar>
          <w:left w:w="70" w:type="dxa"/>
          <w:right w:w="70" w:type="dxa"/>
        </w:tblCellMar>
        <w:tblLook w:val="04A0" w:firstRow="1" w:lastRow="0" w:firstColumn="1" w:lastColumn="0" w:noHBand="0" w:noVBand="1"/>
      </w:tblPr>
      <w:tblGrid>
        <w:gridCol w:w="220"/>
        <w:gridCol w:w="2580"/>
        <w:gridCol w:w="880"/>
        <w:gridCol w:w="1140"/>
        <w:gridCol w:w="992"/>
        <w:gridCol w:w="1276"/>
        <w:gridCol w:w="1417"/>
        <w:gridCol w:w="1418"/>
      </w:tblGrid>
      <w:tr w:rsidR="009E086F" w:rsidRPr="00253132" w14:paraId="74DA9386" w14:textId="77777777" w:rsidTr="00562DA7">
        <w:trPr>
          <w:trHeight w:val="510"/>
        </w:trPr>
        <w:tc>
          <w:tcPr>
            <w:tcW w:w="2800" w:type="dxa"/>
            <w:gridSpan w:val="2"/>
            <w:vMerge w:val="restart"/>
            <w:tcBorders>
              <w:top w:val="nil"/>
              <w:left w:val="nil"/>
              <w:bottom w:val="nil"/>
              <w:right w:val="nil"/>
            </w:tcBorders>
            <w:shd w:val="clear" w:color="auto" w:fill="338B99"/>
            <w:vAlign w:val="center"/>
            <w:hideMark/>
          </w:tcPr>
          <w:p w14:paraId="40702D1A" w14:textId="17B11077" w:rsidR="009E086F" w:rsidRPr="00253132" w:rsidRDefault="009E086F" w:rsidP="009E086F">
            <w:pPr>
              <w:widowControl/>
              <w:jc w:val="left"/>
              <w:rPr>
                <w:rFonts w:cs="Arial"/>
                <w:b/>
                <w:bCs/>
                <w:color w:val="FFFFFF"/>
                <w:sz w:val="20"/>
                <w:lang w:eastAsia="es-MX"/>
              </w:rPr>
            </w:pPr>
            <w:r w:rsidRPr="00253132">
              <w:rPr>
                <w:rFonts w:cs="Arial"/>
                <w:b/>
                <w:bCs/>
                <w:color w:val="FFFFFF"/>
                <w:sz w:val="20"/>
                <w:lang w:eastAsia="es-MX"/>
              </w:rPr>
              <w:t>Clase de hogar</w:t>
            </w:r>
          </w:p>
        </w:tc>
        <w:tc>
          <w:tcPr>
            <w:tcW w:w="3012" w:type="dxa"/>
            <w:gridSpan w:val="3"/>
            <w:tcBorders>
              <w:top w:val="nil"/>
              <w:left w:val="nil"/>
              <w:bottom w:val="single" w:sz="4" w:space="0" w:color="FFFFFF"/>
              <w:right w:val="nil"/>
            </w:tcBorders>
            <w:shd w:val="clear" w:color="auto" w:fill="338B99"/>
            <w:vAlign w:val="center"/>
            <w:hideMark/>
          </w:tcPr>
          <w:p w14:paraId="2A7F0A59" w14:textId="3F75F2BD" w:rsidR="009E086F" w:rsidRPr="00253132" w:rsidRDefault="009E086F" w:rsidP="009E086F">
            <w:pPr>
              <w:widowControl/>
              <w:jc w:val="center"/>
              <w:rPr>
                <w:rFonts w:cs="Arial"/>
                <w:b/>
                <w:bCs/>
                <w:color w:val="FFFFFF"/>
                <w:sz w:val="20"/>
                <w:lang w:eastAsia="es-MX"/>
              </w:rPr>
            </w:pPr>
            <w:r>
              <w:rPr>
                <w:rFonts w:cs="Arial"/>
                <w:b/>
                <w:bCs/>
                <w:color w:val="FFFFFF"/>
                <w:sz w:val="20"/>
                <w:lang w:eastAsia="es-MX"/>
              </w:rPr>
              <w:t>Mi</w:t>
            </w:r>
            <w:r w:rsidRPr="00253132">
              <w:rPr>
                <w:rFonts w:cs="Arial"/>
                <w:b/>
                <w:bCs/>
                <w:color w:val="FFFFFF"/>
                <w:sz w:val="20"/>
                <w:lang w:eastAsia="es-MX"/>
              </w:rPr>
              <w:t>llones de hogares</w:t>
            </w:r>
          </w:p>
        </w:tc>
        <w:tc>
          <w:tcPr>
            <w:tcW w:w="4111" w:type="dxa"/>
            <w:gridSpan w:val="3"/>
            <w:tcBorders>
              <w:top w:val="nil"/>
              <w:left w:val="nil"/>
              <w:bottom w:val="single" w:sz="4" w:space="0" w:color="FFFFFF"/>
              <w:right w:val="nil"/>
            </w:tcBorders>
            <w:shd w:val="clear" w:color="auto" w:fill="338B99"/>
            <w:vAlign w:val="center"/>
            <w:hideMark/>
          </w:tcPr>
          <w:p w14:paraId="66BCD23E" w14:textId="094F9048" w:rsidR="009E086F" w:rsidRPr="00253132" w:rsidRDefault="009E086F" w:rsidP="009E086F">
            <w:pPr>
              <w:widowControl/>
              <w:jc w:val="center"/>
              <w:rPr>
                <w:rFonts w:cs="Arial"/>
                <w:b/>
                <w:bCs/>
                <w:color w:val="FFFFFF"/>
                <w:sz w:val="20"/>
                <w:lang w:eastAsia="es-MX"/>
              </w:rPr>
            </w:pPr>
            <w:r w:rsidRPr="00253132">
              <w:rPr>
                <w:rFonts w:cs="Arial"/>
                <w:b/>
                <w:bCs/>
                <w:color w:val="FFFFFF"/>
                <w:sz w:val="20"/>
                <w:lang w:eastAsia="es-MX"/>
              </w:rPr>
              <w:t>Distribución</w:t>
            </w:r>
            <w:r>
              <w:rPr>
                <w:rFonts w:cs="Arial"/>
                <w:b/>
                <w:bCs/>
                <w:color w:val="FFFFFF"/>
                <w:sz w:val="20"/>
                <w:lang w:eastAsia="es-MX"/>
              </w:rPr>
              <w:t xml:space="preserve"> porcentual</w:t>
            </w:r>
          </w:p>
        </w:tc>
      </w:tr>
      <w:tr w:rsidR="009E086F" w:rsidRPr="00253132" w14:paraId="7FF237FE" w14:textId="77777777" w:rsidTr="00562DA7">
        <w:trPr>
          <w:trHeight w:val="300"/>
        </w:trPr>
        <w:tc>
          <w:tcPr>
            <w:tcW w:w="2800" w:type="dxa"/>
            <w:gridSpan w:val="2"/>
            <w:vMerge/>
            <w:tcBorders>
              <w:top w:val="nil"/>
              <w:left w:val="nil"/>
              <w:bottom w:val="nil"/>
              <w:right w:val="nil"/>
            </w:tcBorders>
            <w:shd w:val="clear" w:color="auto" w:fill="338B99"/>
            <w:vAlign w:val="center"/>
            <w:hideMark/>
          </w:tcPr>
          <w:p w14:paraId="005A7751" w14:textId="77777777" w:rsidR="009E086F" w:rsidRPr="00253132" w:rsidRDefault="009E086F" w:rsidP="009E086F">
            <w:pPr>
              <w:widowControl/>
              <w:jc w:val="left"/>
              <w:rPr>
                <w:rFonts w:cs="Arial"/>
                <w:b/>
                <w:bCs/>
                <w:color w:val="FFFFFF"/>
                <w:sz w:val="20"/>
                <w:lang w:eastAsia="es-MX"/>
              </w:rPr>
            </w:pPr>
          </w:p>
        </w:tc>
        <w:tc>
          <w:tcPr>
            <w:tcW w:w="880" w:type="dxa"/>
            <w:tcBorders>
              <w:top w:val="nil"/>
              <w:left w:val="nil"/>
              <w:bottom w:val="nil"/>
              <w:right w:val="nil"/>
            </w:tcBorders>
            <w:shd w:val="clear" w:color="auto" w:fill="338B99"/>
            <w:vAlign w:val="center"/>
            <w:hideMark/>
          </w:tcPr>
          <w:p w14:paraId="29A006D0" w14:textId="6C2BCFB6" w:rsidR="009E086F" w:rsidRPr="00253132" w:rsidRDefault="009E086F" w:rsidP="009E086F">
            <w:pPr>
              <w:widowControl/>
              <w:jc w:val="center"/>
              <w:rPr>
                <w:rFonts w:cs="Arial"/>
                <w:b/>
                <w:bCs/>
                <w:color w:val="FFFFFF"/>
                <w:sz w:val="20"/>
                <w:lang w:eastAsia="es-MX"/>
              </w:rPr>
            </w:pPr>
            <w:r w:rsidRPr="00253132">
              <w:rPr>
                <w:rFonts w:cs="Arial"/>
                <w:b/>
                <w:bCs/>
                <w:color w:val="FFFFFF"/>
                <w:sz w:val="20"/>
                <w:lang w:eastAsia="es-MX"/>
              </w:rPr>
              <w:t>Total</w:t>
            </w:r>
          </w:p>
        </w:tc>
        <w:tc>
          <w:tcPr>
            <w:tcW w:w="1140" w:type="dxa"/>
            <w:tcBorders>
              <w:top w:val="nil"/>
              <w:left w:val="nil"/>
              <w:bottom w:val="nil"/>
              <w:right w:val="nil"/>
            </w:tcBorders>
            <w:shd w:val="clear" w:color="auto" w:fill="338B99"/>
            <w:vAlign w:val="center"/>
            <w:hideMark/>
          </w:tcPr>
          <w:p w14:paraId="7B322FBA" w14:textId="276032AE" w:rsidR="009E086F" w:rsidRPr="00253132" w:rsidRDefault="009E086F" w:rsidP="009E086F">
            <w:pPr>
              <w:widowControl/>
              <w:jc w:val="center"/>
              <w:rPr>
                <w:rFonts w:cs="Arial"/>
                <w:b/>
                <w:bCs/>
                <w:color w:val="FFFFFF"/>
                <w:sz w:val="20"/>
                <w:lang w:eastAsia="es-MX"/>
              </w:rPr>
            </w:pPr>
            <w:r w:rsidRPr="00253132">
              <w:rPr>
                <w:rFonts w:cs="Arial"/>
                <w:b/>
                <w:bCs/>
                <w:color w:val="FFFFFF"/>
                <w:sz w:val="20"/>
                <w:lang w:eastAsia="es-MX"/>
              </w:rPr>
              <w:t>Jefe</w:t>
            </w:r>
          </w:p>
        </w:tc>
        <w:tc>
          <w:tcPr>
            <w:tcW w:w="992" w:type="dxa"/>
            <w:tcBorders>
              <w:top w:val="nil"/>
              <w:left w:val="nil"/>
              <w:bottom w:val="nil"/>
              <w:right w:val="nil"/>
            </w:tcBorders>
            <w:shd w:val="clear" w:color="auto" w:fill="338B99"/>
            <w:vAlign w:val="center"/>
            <w:hideMark/>
          </w:tcPr>
          <w:p w14:paraId="4F5DFCD0" w14:textId="77777777" w:rsidR="009E086F" w:rsidRPr="00253132" w:rsidRDefault="009E086F" w:rsidP="009E086F">
            <w:pPr>
              <w:widowControl/>
              <w:jc w:val="center"/>
              <w:rPr>
                <w:rFonts w:cs="Arial"/>
                <w:b/>
                <w:bCs/>
                <w:color w:val="FFFFFF"/>
                <w:sz w:val="20"/>
                <w:lang w:eastAsia="es-MX"/>
              </w:rPr>
            </w:pPr>
            <w:r w:rsidRPr="00253132">
              <w:rPr>
                <w:rFonts w:cs="Arial"/>
                <w:b/>
                <w:bCs/>
                <w:color w:val="FFFFFF"/>
                <w:sz w:val="20"/>
                <w:lang w:eastAsia="es-MX"/>
              </w:rPr>
              <w:t>Jefa</w:t>
            </w:r>
          </w:p>
        </w:tc>
        <w:tc>
          <w:tcPr>
            <w:tcW w:w="1276" w:type="dxa"/>
            <w:tcBorders>
              <w:top w:val="nil"/>
              <w:left w:val="nil"/>
              <w:bottom w:val="nil"/>
              <w:right w:val="nil"/>
            </w:tcBorders>
            <w:shd w:val="clear" w:color="auto" w:fill="338B99"/>
            <w:vAlign w:val="center"/>
            <w:hideMark/>
          </w:tcPr>
          <w:p w14:paraId="63B89658" w14:textId="7A1D5E8F" w:rsidR="009E086F" w:rsidRPr="00253132" w:rsidRDefault="009E086F" w:rsidP="009E086F">
            <w:pPr>
              <w:widowControl/>
              <w:jc w:val="center"/>
              <w:rPr>
                <w:rFonts w:cs="Arial"/>
                <w:b/>
                <w:bCs/>
                <w:color w:val="FFFFFF"/>
                <w:sz w:val="20"/>
                <w:lang w:eastAsia="es-MX"/>
              </w:rPr>
            </w:pPr>
            <w:r w:rsidRPr="00253132">
              <w:rPr>
                <w:rFonts w:cs="Arial"/>
                <w:b/>
                <w:bCs/>
                <w:color w:val="FFFFFF"/>
                <w:sz w:val="20"/>
                <w:lang w:eastAsia="es-MX"/>
              </w:rPr>
              <w:t>Total</w:t>
            </w:r>
          </w:p>
        </w:tc>
        <w:tc>
          <w:tcPr>
            <w:tcW w:w="1417" w:type="dxa"/>
            <w:tcBorders>
              <w:top w:val="nil"/>
              <w:left w:val="nil"/>
              <w:bottom w:val="nil"/>
              <w:right w:val="nil"/>
            </w:tcBorders>
            <w:shd w:val="clear" w:color="auto" w:fill="338B99"/>
            <w:vAlign w:val="center"/>
            <w:hideMark/>
          </w:tcPr>
          <w:p w14:paraId="3B6CA58E" w14:textId="43A855FD" w:rsidR="009E086F" w:rsidRPr="00253132" w:rsidRDefault="009E086F" w:rsidP="009E086F">
            <w:pPr>
              <w:widowControl/>
              <w:jc w:val="center"/>
              <w:rPr>
                <w:rFonts w:cs="Arial"/>
                <w:b/>
                <w:bCs/>
                <w:color w:val="FFFFFF"/>
                <w:sz w:val="20"/>
                <w:lang w:eastAsia="es-MX"/>
              </w:rPr>
            </w:pPr>
            <w:r w:rsidRPr="00253132">
              <w:rPr>
                <w:rFonts w:cs="Arial"/>
                <w:b/>
                <w:bCs/>
                <w:color w:val="FFFFFF"/>
                <w:sz w:val="20"/>
                <w:lang w:eastAsia="es-MX"/>
              </w:rPr>
              <w:t>Jefe</w:t>
            </w:r>
          </w:p>
        </w:tc>
        <w:tc>
          <w:tcPr>
            <w:tcW w:w="1418" w:type="dxa"/>
            <w:tcBorders>
              <w:top w:val="nil"/>
              <w:left w:val="nil"/>
              <w:bottom w:val="nil"/>
              <w:right w:val="nil"/>
            </w:tcBorders>
            <w:shd w:val="clear" w:color="auto" w:fill="338B99"/>
            <w:vAlign w:val="center"/>
            <w:hideMark/>
          </w:tcPr>
          <w:p w14:paraId="52180E87" w14:textId="77777777" w:rsidR="009E086F" w:rsidRPr="00253132" w:rsidRDefault="009E086F" w:rsidP="009E086F">
            <w:pPr>
              <w:widowControl/>
              <w:jc w:val="center"/>
              <w:rPr>
                <w:rFonts w:cs="Arial"/>
                <w:b/>
                <w:bCs/>
                <w:color w:val="FFFFFF"/>
                <w:sz w:val="20"/>
                <w:lang w:eastAsia="es-MX"/>
              </w:rPr>
            </w:pPr>
            <w:r w:rsidRPr="00253132">
              <w:rPr>
                <w:rFonts w:cs="Arial"/>
                <w:b/>
                <w:bCs/>
                <w:color w:val="FFFFFF"/>
                <w:sz w:val="20"/>
                <w:lang w:eastAsia="es-MX"/>
              </w:rPr>
              <w:t>Jefa</w:t>
            </w:r>
          </w:p>
        </w:tc>
      </w:tr>
      <w:tr w:rsidR="009E086F" w:rsidRPr="00253132" w14:paraId="7F3B1742" w14:textId="77777777" w:rsidTr="00562DA7">
        <w:trPr>
          <w:trHeight w:val="300"/>
        </w:trPr>
        <w:tc>
          <w:tcPr>
            <w:tcW w:w="2800" w:type="dxa"/>
            <w:gridSpan w:val="2"/>
            <w:tcBorders>
              <w:top w:val="nil"/>
              <w:left w:val="nil"/>
              <w:bottom w:val="nil"/>
              <w:right w:val="nil"/>
            </w:tcBorders>
            <w:shd w:val="clear" w:color="auto" w:fill="66A8B3"/>
            <w:vAlign w:val="center"/>
            <w:hideMark/>
          </w:tcPr>
          <w:p w14:paraId="0A5AFB25" w14:textId="77777777" w:rsidR="009E086F" w:rsidRPr="00253132" w:rsidRDefault="009E086F" w:rsidP="00562DA7">
            <w:pPr>
              <w:widowControl/>
              <w:jc w:val="left"/>
              <w:rPr>
                <w:rFonts w:cs="Arial"/>
                <w:b/>
                <w:bCs/>
                <w:color w:val="000000"/>
                <w:sz w:val="20"/>
                <w:lang w:eastAsia="es-MX"/>
              </w:rPr>
            </w:pPr>
            <w:r w:rsidRPr="00253132">
              <w:rPr>
                <w:rFonts w:cs="Arial"/>
                <w:b/>
                <w:bCs/>
                <w:sz w:val="20"/>
                <w:lang w:eastAsia="es-MX"/>
              </w:rPr>
              <w:t>Familiar</w:t>
            </w:r>
          </w:p>
        </w:tc>
        <w:tc>
          <w:tcPr>
            <w:tcW w:w="880" w:type="dxa"/>
            <w:tcBorders>
              <w:top w:val="nil"/>
              <w:left w:val="nil"/>
              <w:bottom w:val="nil"/>
              <w:right w:val="nil"/>
            </w:tcBorders>
            <w:shd w:val="clear" w:color="auto" w:fill="66A8B3"/>
            <w:vAlign w:val="center"/>
            <w:hideMark/>
          </w:tcPr>
          <w:p w14:paraId="5F617542" w14:textId="77777777" w:rsidR="009E086F" w:rsidRPr="00253132" w:rsidRDefault="009E086F" w:rsidP="00562DA7">
            <w:pPr>
              <w:widowControl/>
              <w:jc w:val="center"/>
              <w:rPr>
                <w:rFonts w:cs="Arial"/>
                <w:b/>
                <w:bCs/>
                <w:color w:val="000000"/>
                <w:sz w:val="20"/>
                <w:lang w:eastAsia="es-MX"/>
              </w:rPr>
            </w:pPr>
            <w:r w:rsidRPr="00253132">
              <w:rPr>
                <w:rFonts w:cs="Arial"/>
                <w:b/>
                <w:bCs/>
                <w:sz w:val="20"/>
                <w:lang w:eastAsia="es-MX"/>
              </w:rPr>
              <w:t>1.8</w:t>
            </w:r>
          </w:p>
        </w:tc>
        <w:tc>
          <w:tcPr>
            <w:tcW w:w="1140" w:type="dxa"/>
            <w:tcBorders>
              <w:top w:val="nil"/>
              <w:left w:val="nil"/>
              <w:bottom w:val="nil"/>
              <w:right w:val="nil"/>
            </w:tcBorders>
            <w:shd w:val="clear" w:color="auto" w:fill="66A8B3"/>
            <w:vAlign w:val="center"/>
            <w:hideMark/>
          </w:tcPr>
          <w:p w14:paraId="38DC555F" w14:textId="77777777" w:rsidR="009E086F" w:rsidRPr="00253132" w:rsidRDefault="009E086F" w:rsidP="00562DA7">
            <w:pPr>
              <w:widowControl/>
              <w:jc w:val="center"/>
              <w:rPr>
                <w:rFonts w:cs="Arial"/>
                <w:b/>
                <w:bCs/>
                <w:color w:val="000000"/>
                <w:sz w:val="20"/>
                <w:lang w:eastAsia="es-MX"/>
              </w:rPr>
            </w:pPr>
            <w:r w:rsidRPr="00253132">
              <w:rPr>
                <w:rFonts w:cs="Arial"/>
                <w:b/>
                <w:bCs/>
                <w:sz w:val="20"/>
                <w:lang w:eastAsia="es-MX"/>
              </w:rPr>
              <w:t>1.3</w:t>
            </w:r>
          </w:p>
        </w:tc>
        <w:tc>
          <w:tcPr>
            <w:tcW w:w="992" w:type="dxa"/>
            <w:tcBorders>
              <w:top w:val="nil"/>
              <w:left w:val="nil"/>
              <w:bottom w:val="nil"/>
              <w:right w:val="nil"/>
            </w:tcBorders>
            <w:shd w:val="clear" w:color="auto" w:fill="66A8B3"/>
            <w:vAlign w:val="center"/>
            <w:hideMark/>
          </w:tcPr>
          <w:p w14:paraId="77C3E2AB" w14:textId="77777777" w:rsidR="009E086F" w:rsidRPr="00253132" w:rsidRDefault="009E086F" w:rsidP="00562DA7">
            <w:pPr>
              <w:widowControl/>
              <w:jc w:val="center"/>
              <w:rPr>
                <w:rFonts w:cs="Arial"/>
                <w:b/>
                <w:bCs/>
                <w:color w:val="000000"/>
                <w:sz w:val="20"/>
                <w:lang w:eastAsia="es-MX"/>
              </w:rPr>
            </w:pPr>
            <w:r w:rsidRPr="00253132">
              <w:rPr>
                <w:rFonts w:cs="Arial"/>
                <w:b/>
                <w:bCs/>
                <w:sz w:val="20"/>
                <w:lang w:eastAsia="es-MX"/>
              </w:rPr>
              <w:t>0.5</w:t>
            </w:r>
          </w:p>
        </w:tc>
        <w:tc>
          <w:tcPr>
            <w:tcW w:w="1276" w:type="dxa"/>
            <w:tcBorders>
              <w:top w:val="nil"/>
              <w:left w:val="nil"/>
              <w:bottom w:val="nil"/>
              <w:right w:val="nil"/>
            </w:tcBorders>
            <w:shd w:val="clear" w:color="auto" w:fill="66A8B3"/>
            <w:vAlign w:val="center"/>
            <w:hideMark/>
          </w:tcPr>
          <w:p w14:paraId="30DBAD10" w14:textId="77777777" w:rsidR="009E086F" w:rsidRPr="00253132" w:rsidRDefault="009E086F" w:rsidP="00562DA7">
            <w:pPr>
              <w:widowControl/>
              <w:jc w:val="center"/>
              <w:rPr>
                <w:rFonts w:cs="Arial"/>
                <w:b/>
                <w:bCs/>
                <w:color w:val="000000"/>
                <w:sz w:val="20"/>
                <w:lang w:eastAsia="es-MX"/>
              </w:rPr>
            </w:pPr>
            <w:r w:rsidRPr="00253132">
              <w:rPr>
                <w:rFonts w:cs="Arial"/>
                <w:b/>
                <w:bCs/>
                <w:sz w:val="20"/>
                <w:lang w:eastAsia="es-MX"/>
              </w:rPr>
              <w:t>100.0</w:t>
            </w:r>
          </w:p>
        </w:tc>
        <w:tc>
          <w:tcPr>
            <w:tcW w:w="1417" w:type="dxa"/>
            <w:tcBorders>
              <w:top w:val="nil"/>
              <w:left w:val="nil"/>
              <w:bottom w:val="nil"/>
              <w:right w:val="nil"/>
            </w:tcBorders>
            <w:shd w:val="clear" w:color="auto" w:fill="66A8B3"/>
            <w:vAlign w:val="center"/>
            <w:hideMark/>
          </w:tcPr>
          <w:p w14:paraId="768B0ADD" w14:textId="77777777" w:rsidR="009E086F" w:rsidRPr="00253132" w:rsidRDefault="009E086F" w:rsidP="00562DA7">
            <w:pPr>
              <w:widowControl/>
              <w:jc w:val="center"/>
              <w:rPr>
                <w:rFonts w:cs="Arial"/>
                <w:b/>
                <w:bCs/>
                <w:color w:val="000000"/>
                <w:sz w:val="20"/>
                <w:lang w:eastAsia="es-MX"/>
              </w:rPr>
            </w:pPr>
            <w:r w:rsidRPr="00253132">
              <w:rPr>
                <w:rFonts w:cs="Arial"/>
                <w:b/>
                <w:bCs/>
                <w:sz w:val="20"/>
                <w:lang w:eastAsia="es-MX"/>
              </w:rPr>
              <w:t>100.0</w:t>
            </w:r>
          </w:p>
        </w:tc>
        <w:tc>
          <w:tcPr>
            <w:tcW w:w="1418" w:type="dxa"/>
            <w:tcBorders>
              <w:top w:val="nil"/>
              <w:left w:val="nil"/>
              <w:bottom w:val="nil"/>
              <w:right w:val="nil"/>
            </w:tcBorders>
            <w:shd w:val="clear" w:color="auto" w:fill="66A8B3"/>
            <w:vAlign w:val="center"/>
            <w:hideMark/>
          </w:tcPr>
          <w:p w14:paraId="4F2CA823" w14:textId="77777777" w:rsidR="009E086F" w:rsidRPr="00253132" w:rsidRDefault="009E086F" w:rsidP="00562DA7">
            <w:pPr>
              <w:widowControl/>
              <w:jc w:val="center"/>
              <w:rPr>
                <w:rFonts w:cs="Arial"/>
                <w:b/>
                <w:bCs/>
                <w:color w:val="000000"/>
                <w:sz w:val="20"/>
                <w:lang w:eastAsia="es-MX"/>
              </w:rPr>
            </w:pPr>
            <w:r w:rsidRPr="00253132">
              <w:rPr>
                <w:rFonts w:cs="Arial"/>
                <w:b/>
                <w:bCs/>
                <w:sz w:val="20"/>
                <w:lang w:eastAsia="es-MX"/>
              </w:rPr>
              <w:t>100.0</w:t>
            </w:r>
          </w:p>
        </w:tc>
      </w:tr>
      <w:tr w:rsidR="009E086F" w:rsidRPr="00253132" w14:paraId="023A3F1C" w14:textId="77777777" w:rsidTr="00562DA7">
        <w:trPr>
          <w:trHeight w:val="300"/>
        </w:trPr>
        <w:tc>
          <w:tcPr>
            <w:tcW w:w="2800" w:type="dxa"/>
            <w:gridSpan w:val="2"/>
            <w:tcBorders>
              <w:top w:val="nil"/>
              <w:left w:val="nil"/>
              <w:bottom w:val="nil"/>
              <w:right w:val="nil"/>
            </w:tcBorders>
            <w:shd w:val="clear" w:color="auto" w:fill="99C5CC"/>
            <w:vAlign w:val="center"/>
            <w:hideMark/>
          </w:tcPr>
          <w:p w14:paraId="18F8494C" w14:textId="77777777" w:rsidR="009E086F" w:rsidRPr="00253132" w:rsidRDefault="009E086F" w:rsidP="00562DA7">
            <w:pPr>
              <w:widowControl/>
              <w:jc w:val="left"/>
              <w:rPr>
                <w:rFonts w:cs="Arial"/>
                <w:b/>
                <w:bCs/>
                <w:color w:val="000000"/>
                <w:sz w:val="20"/>
                <w:lang w:eastAsia="es-MX"/>
              </w:rPr>
            </w:pPr>
            <w:r w:rsidRPr="00253132">
              <w:rPr>
                <w:rFonts w:cs="Arial"/>
                <w:b/>
                <w:bCs/>
                <w:sz w:val="20"/>
                <w:lang w:eastAsia="es-MX"/>
              </w:rPr>
              <w:t>Nuclear</w:t>
            </w:r>
          </w:p>
        </w:tc>
        <w:tc>
          <w:tcPr>
            <w:tcW w:w="880" w:type="dxa"/>
            <w:tcBorders>
              <w:top w:val="nil"/>
              <w:left w:val="nil"/>
              <w:bottom w:val="nil"/>
              <w:right w:val="nil"/>
            </w:tcBorders>
            <w:shd w:val="clear" w:color="auto" w:fill="99C5CC"/>
            <w:vAlign w:val="center"/>
            <w:hideMark/>
          </w:tcPr>
          <w:p w14:paraId="0820A814" w14:textId="77777777" w:rsidR="009E086F" w:rsidRPr="00253132" w:rsidRDefault="009E086F" w:rsidP="00562DA7">
            <w:pPr>
              <w:widowControl/>
              <w:jc w:val="center"/>
              <w:rPr>
                <w:rFonts w:cs="Arial"/>
                <w:b/>
                <w:bCs/>
                <w:color w:val="000000"/>
                <w:sz w:val="20"/>
                <w:lang w:eastAsia="es-MX"/>
              </w:rPr>
            </w:pPr>
            <w:r w:rsidRPr="00253132">
              <w:rPr>
                <w:rFonts w:cs="Arial"/>
                <w:b/>
                <w:bCs/>
                <w:sz w:val="20"/>
                <w:lang w:eastAsia="es-MX"/>
              </w:rPr>
              <w:t>1.2</w:t>
            </w:r>
          </w:p>
        </w:tc>
        <w:tc>
          <w:tcPr>
            <w:tcW w:w="1140" w:type="dxa"/>
            <w:tcBorders>
              <w:top w:val="nil"/>
              <w:left w:val="nil"/>
              <w:bottom w:val="nil"/>
              <w:right w:val="nil"/>
            </w:tcBorders>
            <w:shd w:val="clear" w:color="auto" w:fill="99C5CC"/>
            <w:vAlign w:val="center"/>
            <w:hideMark/>
          </w:tcPr>
          <w:p w14:paraId="67DCB4F8" w14:textId="77777777" w:rsidR="009E086F" w:rsidRPr="00253132" w:rsidRDefault="009E086F" w:rsidP="00562DA7">
            <w:pPr>
              <w:widowControl/>
              <w:jc w:val="center"/>
              <w:rPr>
                <w:rFonts w:cs="Arial"/>
                <w:b/>
                <w:bCs/>
                <w:color w:val="000000"/>
                <w:sz w:val="20"/>
                <w:lang w:eastAsia="es-MX"/>
              </w:rPr>
            </w:pPr>
            <w:r w:rsidRPr="00253132">
              <w:rPr>
                <w:rFonts w:cs="Arial"/>
                <w:b/>
                <w:bCs/>
                <w:sz w:val="20"/>
                <w:lang w:eastAsia="es-MX"/>
              </w:rPr>
              <w:t>0.9</w:t>
            </w:r>
          </w:p>
        </w:tc>
        <w:tc>
          <w:tcPr>
            <w:tcW w:w="992" w:type="dxa"/>
            <w:tcBorders>
              <w:top w:val="nil"/>
              <w:left w:val="nil"/>
              <w:bottom w:val="nil"/>
              <w:right w:val="nil"/>
            </w:tcBorders>
            <w:shd w:val="clear" w:color="auto" w:fill="99C5CC"/>
            <w:vAlign w:val="center"/>
            <w:hideMark/>
          </w:tcPr>
          <w:p w14:paraId="191786A8" w14:textId="77777777" w:rsidR="009E086F" w:rsidRPr="00253132" w:rsidRDefault="009E086F" w:rsidP="00562DA7">
            <w:pPr>
              <w:widowControl/>
              <w:jc w:val="center"/>
              <w:rPr>
                <w:rFonts w:cs="Arial"/>
                <w:b/>
                <w:bCs/>
                <w:color w:val="000000"/>
                <w:sz w:val="20"/>
                <w:lang w:eastAsia="es-MX"/>
              </w:rPr>
            </w:pPr>
            <w:r w:rsidRPr="00253132">
              <w:rPr>
                <w:rFonts w:cs="Arial"/>
                <w:b/>
                <w:bCs/>
                <w:sz w:val="20"/>
                <w:lang w:eastAsia="es-MX"/>
              </w:rPr>
              <w:t>0.3</w:t>
            </w:r>
          </w:p>
        </w:tc>
        <w:tc>
          <w:tcPr>
            <w:tcW w:w="1276" w:type="dxa"/>
            <w:tcBorders>
              <w:top w:val="nil"/>
              <w:left w:val="nil"/>
              <w:bottom w:val="nil"/>
              <w:right w:val="nil"/>
            </w:tcBorders>
            <w:shd w:val="clear" w:color="auto" w:fill="99C5CC"/>
            <w:vAlign w:val="center"/>
            <w:hideMark/>
          </w:tcPr>
          <w:p w14:paraId="36959879" w14:textId="77777777" w:rsidR="009E086F" w:rsidRPr="00253132" w:rsidRDefault="009E086F" w:rsidP="00562DA7">
            <w:pPr>
              <w:widowControl/>
              <w:jc w:val="center"/>
              <w:rPr>
                <w:rFonts w:cs="Arial"/>
                <w:b/>
                <w:bCs/>
                <w:color w:val="000000"/>
                <w:sz w:val="20"/>
                <w:lang w:eastAsia="es-MX"/>
              </w:rPr>
            </w:pPr>
            <w:r w:rsidRPr="00253132">
              <w:rPr>
                <w:rFonts w:cs="Arial"/>
                <w:b/>
                <w:bCs/>
                <w:sz w:val="20"/>
                <w:lang w:eastAsia="es-MX"/>
              </w:rPr>
              <w:t>67.7</w:t>
            </w:r>
          </w:p>
        </w:tc>
        <w:tc>
          <w:tcPr>
            <w:tcW w:w="1417" w:type="dxa"/>
            <w:tcBorders>
              <w:top w:val="nil"/>
              <w:left w:val="nil"/>
              <w:bottom w:val="nil"/>
              <w:right w:val="nil"/>
            </w:tcBorders>
            <w:shd w:val="clear" w:color="auto" w:fill="99C5CC"/>
            <w:vAlign w:val="center"/>
            <w:hideMark/>
          </w:tcPr>
          <w:p w14:paraId="240731B3" w14:textId="77777777" w:rsidR="009E086F" w:rsidRPr="00253132" w:rsidRDefault="009E086F" w:rsidP="00562DA7">
            <w:pPr>
              <w:widowControl/>
              <w:jc w:val="center"/>
              <w:rPr>
                <w:rFonts w:cs="Arial"/>
                <w:b/>
                <w:bCs/>
                <w:color w:val="000000"/>
                <w:sz w:val="20"/>
                <w:lang w:eastAsia="es-MX"/>
              </w:rPr>
            </w:pPr>
            <w:r w:rsidRPr="00253132">
              <w:rPr>
                <w:rFonts w:cs="Arial"/>
                <w:b/>
                <w:bCs/>
                <w:sz w:val="20"/>
                <w:lang w:eastAsia="es-MX"/>
              </w:rPr>
              <w:t>71.3</w:t>
            </w:r>
          </w:p>
        </w:tc>
        <w:tc>
          <w:tcPr>
            <w:tcW w:w="1418" w:type="dxa"/>
            <w:tcBorders>
              <w:top w:val="nil"/>
              <w:left w:val="nil"/>
              <w:bottom w:val="nil"/>
              <w:right w:val="nil"/>
            </w:tcBorders>
            <w:shd w:val="clear" w:color="auto" w:fill="99C5CC"/>
            <w:vAlign w:val="center"/>
            <w:hideMark/>
          </w:tcPr>
          <w:p w14:paraId="430A6E67" w14:textId="77777777" w:rsidR="009E086F" w:rsidRPr="00253132" w:rsidRDefault="009E086F" w:rsidP="00562DA7">
            <w:pPr>
              <w:widowControl/>
              <w:jc w:val="center"/>
              <w:rPr>
                <w:rFonts w:cs="Arial"/>
                <w:b/>
                <w:bCs/>
                <w:color w:val="000000"/>
                <w:sz w:val="20"/>
                <w:lang w:eastAsia="es-MX"/>
              </w:rPr>
            </w:pPr>
            <w:r w:rsidRPr="00253132">
              <w:rPr>
                <w:rFonts w:cs="Arial"/>
                <w:b/>
                <w:bCs/>
                <w:sz w:val="20"/>
                <w:lang w:eastAsia="es-MX"/>
              </w:rPr>
              <w:t>58.1</w:t>
            </w:r>
          </w:p>
        </w:tc>
      </w:tr>
      <w:tr w:rsidR="009E086F" w:rsidRPr="00253132" w14:paraId="079F3E60" w14:textId="77777777" w:rsidTr="00562DA7">
        <w:trPr>
          <w:trHeight w:val="510"/>
        </w:trPr>
        <w:tc>
          <w:tcPr>
            <w:tcW w:w="220" w:type="dxa"/>
            <w:tcBorders>
              <w:top w:val="nil"/>
              <w:left w:val="nil"/>
              <w:bottom w:val="nil"/>
              <w:right w:val="nil"/>
            </w:tcBorders>
            <w:shd w:val="clear" w:color="auto" w:fill="CCE2E6"/>
            <w:vAlign w:val="center"/>
            <w:hideMark/>
          </w:tcPr>
          <w:p w14:paraId="0F93D8E9" w14:textId="77777777" w:rsidR="009E086F" w:rsidRPr="00253132" w:rsidRDefault="009E086F" w:rsidP="00562DA7">
            <w:pPr>
              <w:widowControl/>
              <w:jc w:val="left"/>
              <w:rPr>
                <w:rFonts w:cs="Arial"/>
                <w:color w:val="000000"/>
                <w:sz w:val="20"/>
                <w:lang w:eastAsia="es-MX"/>
              </w:rPr>
            </w:pPr>
            <w:r w:rsidRPr="00253132">
              <w:rPr>
                <w:rFonts w:cs="Arial"/>
                <w:color w:val="000000"/>
                <w:sz w:val="20"/>
                <w:lang w:eastAsia="es-MX"/>
              </w:rPr>
              <w:t> </w:t>
            </w:r>
          </w:p>
        </w:tc>
        <w:tc>
          <w:tcPr>
            <w:tcW w:w="2580" w:type="dxa"/>
            <w:tcBorders>
              <w:top w:val="nil"/>
              <w:left w:val="nil"/>
              <w:bottom w:val="nil"/>
              <w:right w:val="nil"/>
            </w:tcBorders>
            <w:shd w:val="clear" w:color="auto" w:fill="CCE2E6"/>
            <w:vAlign w:val="center"/>
            <w:hideMark/>
          </w:tcPr>
          <w:p w14:paraId="35F51DEB" w14:textId="77777777" w:rsidR="009E086F" w:rsidRPr="00253132" w:rsidRDefault="009E086F" w:rsidP="00562DA7">
            <w:pPr>
              <w:widowControl/>
              <w:jc w:val="left"/>
              <w:rPr>
                <w:rFonts w:cs="Arial"/>
                <w:color w:val="000000"/>
                <w:sz w:val="20"/>
                <w:lang w:eastAsia="es-MX"/>
              </w:rPr>
            </w:pPr>
            <w:r w:rsidRPr="00253132">
              <w:rPr>
                <w:rFonts w:cs="Arial"/>
                <w:sz w:val="20"/>
                <w:lang w:eastAsia="es-MX"/>
              </w:rPr>
              <w:t>Jefe o jefa con hijos (Monoparentales)</w:t>
            </w:r>
          </w:p>
        </w:tc>
        <w:tc>
          <w:tcPr>
            <w:tcW w:w="880" w:type="dxa"/>
            <w:tcBorders>
              <w:top w:val="nil"/>
              <w:left w:val="nil"/>
              <w:bottom w:val="nil"/>
              <w:right w:val="nil"/>
            </w:tcBorders>
            <w:shd w:val="clear" w:color="auto" w:fill="CCE2E6"/>
            <w:vAlign w:val="center"/>
            <w:hideMark/>
          </w:tcPr>
          <w:p w14:paraId="17897E7D" w14:textId="77777777" w:rsidR="009E086F" w:rsidRPr="00253132" w:rsidRDefault="009E086F" w:rsidP="00562DA7">
            <w:pPr>
              <w:widowControl/>
              <w:jc w:val="center"/>
              <w:rPr>
                <w:rFonts w:cs="Arial"/>
                <w:color w:val="000000"/>
                <w:sz w:val="20"/>
                <w:lang w:eastAsia="es-MX"/>
              </w:rPr>
            </w:pPr>
            <w:r w:rsidRPr="00253132">
              <w:rPr>
                <w:rFonts w:cs="Arial"/>
                <w:sz w:val="20"/>
                <w:lang w:eastAsia="es-MX"/>
              </w:rPr>
              <w:t>0.2</w:t>
            </w:r>
          </w:p>
        </w:tc>
        <w:tc>
          <w:tcPr>
            <w:tcW w:w="1140" w:type="dxa"/>
            <w:tcBorders>
              <w:top w:val="nil"/>
              <w:left w:val="nil"/>
              <w:bottom w:val="nil"/>
              <w:right w:val="nil"/>
            </w:tcBorders>
            <w:shd w:val="clear" w:color="auto" w:fill="CCE2E6"/>
            <w:vAlign w:val="center"/>
            <w:hideMark/>
          </w:tcPr>
          <w:p w14:paraId="10C64B25" w14:textId="77777777" w:rsidR="009E086F" w:rsidRPr="00253132" w:rsidRDefault="009E086F" w:rsidP="00562DA7">
            <w:pPr>
              <w:widowControl/>
              <w:jc w:val="center"/>
              <w:rPr>
                <w:rFonts w:cs="Arial"/>
                <w:color w:val="000000"/>
                <w:sz w:val="20"/>
                <w:lang w:eastAsia="es-MX"/>
              </w:rPr>
            </w:pPr>
            <w:r w:rsidRPr="00253132">
              <w:rPr>
                <w:rFonts w:cs="Arial"/>
                <w:sz w:val="20"/>
                <w:lang w:eastAsia="es-MX"/>
              </w:rPr>
              <w:t>0.0</w:t>
            </w:r>
          </w:p>
        </w:tc>
        <w:tc>
          <w:tcPr>
            <w:tcW w:w="992" w:type="dxa"/>
            <w:tcBorders>
              <w:top w:val="nil"/>
              <w:left w:val="nil"/>
              <w:bottom w:val="nil"/>
              <w:right w:val="nil"/>
            </w:tcBorders>
            <w:shd w:val="clear" w:color="auto" w:fill="CCE2E6"/>
            <w:vAlign w:val="center"/>
            <w:hideMark/>
          </w:tcPr>
          <w:p w14:paraId="223D73BB" w14:textId="77777777" w:rsidR="009E086F" w:rsidRPr="00253132" w:rsidRDefault="009E086F" w:rsidP="00562DA7">
            <w:pPr>
              <w:widowControl/>
              <w:jc w:val="center"/>
              <w:rPr>
                <w:rFonts w:cs="Arial"/>
                <w:color w:val="000000"/>
                <w:sz w:val="20"/>
                <w:lang w:eastAsia="es-MX"/>
              </w:rPr>
            </w:pPr>
            <w:r w:rsidRPr="00253132">
              <w:rPr>
                <w:rFonts w:cs="Arial"/>
                <w:sz w:val="20"/>
                <w:lang w:eastAsia="es-MX"/>
              </w:rPr>
              <w:t>0.2</w:t>
            </w:r>
          </w:p>
        </w:tc>
        <w:tc>
          <w:tcPr>
            <w:tcW w:w="1276" w:type="dxa"/>
            <w:tcBorders>
              <w:top w:val="nil"/>
              <w:left w:val="nil"/>
              <w:bottom w:val="nil"/>
              <w:right w:val="nil"/>
            </w:tcBorders>
            <w:shd w:val="clear" w:color="auto" w:fill="CCE2E6"/>
            <w:vAlign w:val="center"/>
            <w:hideMark/>
          </w:tcPr>
          <w:p w14:paraId="2A8D83A2" w14:textId="77777777" w:rsidR="009E086F" w:rsidRPr="00253132" w:rsidRDefault="009E086F" w:rsidP="00562DA7">
            <w:pPr>
              <w:widowControl/>
              <w:jc w:val="center"/>
              <w:rPr>
                <w:rFonts w:cs="Arial"/>
                <w:color w:val="000000"/>
                <w:sz w:val="20"/>
                <w:lang w:eastAsia="es-MX"/>
              </w:rPr>
            </w:pPr>
            <w:r w:rsidRPr="00253132">
              <w:rPr>
                <w:rFonts w:cs="Arial"/>
                <w:sz w:val="20"/>
                <w:lang w:eastAsia="es-MX"/>
              </w:rPr>
              <w:t>20.0</w:t>
            </w:r>
          </w:p>
        </w:tc>
        <w:tc>
          <w:tcPr>
            <w:tcW w:w="1417" w:type="dxa"/>
            <w:tcBorders>
              <w:top w:val="nil"/>
              <w:left w:val="nil"/>
              <w:bottom w:val="nil"/>
              <w:right w:val="nil"/>
            </w:tcBorders>
            <w:shd w:val="clear" w:color="auto" w:fill="CCE2E6"/>
            <w:vAlign w:val="center"/>
            <w:hideMark/>
          </w:tcPr>
          <w:p w14:paraId="11FFA842" w14:textId="77777777" w:rsidR="009E086F" w:rsidRPr="00253132" w:rsidRDefault="009E086F" w:rsidP="00562DA7">
            <w:pPr>
              <w:widowControl/>
              <w:jc w:val="center"/>
              <w:rPr>
                <w:rFonts w:cs="Arial"/>
                <w:color w:val="000000"/>
                <w:sz w:val="20"/>
                <w:lang w:eastAsia="es-MX"/>
              </w:rPr>
            </w:pPr>
            <w:r w:rsidRPr="00253132">
              <w:rPr>
                <w:rFonts w:cs="Arial"/>
                <w:sz w:val="20"/>
                <w:lang w:eastAsia="es-MX"/>
              </w:rPr>
              <w:t>3.1</w:t>
            </w:r>
          </w:p>
        </w:tc>
        <w:tc>
          <w:tcPr>
            <w:tcW w:w="1418" w:type="dxa"/>
            <w:tcBorders>
              <w:top w:val="nil"/>
              <w:left w:val="nil"/>
              <w:bottom w:val="nil"/>
              <w:right w:val="nil"/>
            </w:tcBorders>
            <w:shd w:val="clear" w:color="auto" w:fill="CCE2E6"/>
            <w:vAlign w:val="center"/>
            <w:hideMark/>
          </w:tcPr>
          <w:p w14:paraId="17E6AD9E" w14:textId="77777777" w:rsidR="009E086F" w:rsidRPr="00253132" w:rsidRDefault="009E086F" w:rsidP="00562DA7">
            <w:pPr>
              <w:widowControl/>
              <w:jc w:val="center"/>
              <w:rPr>
                <w:rFonts w:cs="Arial"/>
                <w:color w:val="000000"/>
                <w:sz w:val="20"/>
                <w:lang w:eastAsia="es-MX"/>
              </w:rPr>
            </w:pPr>
            <w:r w:rsidRPr="00253132">
              <w:rPr>
                <w:rFonts w:cs="Arial"/>
                <w:sz w:val="20"/>
                <w:lang w:eastAsia="es-MX"/>
              </w:rPr>
              <w:t>74.6</w:t>
            </w:r>
          </w:p>
        </w:tc>
      </w:tr>
      <w:tr w:rsidR="009E086F" w:rsidRPr="00253132" w14:paraId="70039FCC" w14:textId="77777777" w:rsidTr="00562DA7">
        <w:trPr>
          <w:trHeight w:val="300"/>
        </w:trPr>
        <w:tc>
          <w:tcPr>
            <w:tcW w:w="220" w:type="dxa"/>
            <w:tcBorders>
              <w:top w:val="nil"/>
              <w:left w:val="nil"/>
              <w:bottom w:val="nil"/>
              <w:right w:val="nil"/>
            </w:tcBorders>
            <w:shd w:val="clear" w:color="auto" w:fill="CCE2E6"/>
            <w:vAlign w:val="center"/>
            <w:hideMark/>
          </w:tcPr>
          <w:p w14:paraId="0328904B" w14:textId="77777777" w:rsidR="009E086F" w:rsidRPr="00253132" w:rsidRDefault="009E086F" w:rsidP="00562DA7">
            <w:pPr>
              <w:widowControl/>
              <w:jc w:val="left"/>
              <w:rPr>
                <w:rFonts w:cs="Arial"/>
                <w:color w:val="000000"/>
                <w:sz w:val="20"/>
                <w:lang w:eastAsia="es-MX"/>
              </w:rPr>
            </w:pPr>
            <w:r w:rsidRPr="00253132">
              <w:rPr>
                <w:rFonts w:cs="Arial"/>
                <w:color w:val="000000"/>
                <w:sz w:val="20"/>
                <w:lang w:eastAsia="es-MX"/>
              </w:rPr>
              <w:t> </w:t>
            </w:r>
          </w:p>
        </w:tc>
        <w:tc>
          <w:tcPr>
            <w:tcW w:w="2580" w:type="dxa"/>
            <w:tcBorders>
              <w:top w:val="nil"/>
              <w:left w:val="nil"/>
              <w:bottom w:val="nil"/>
              <w:right w:val="nil"/>
            </w:tcBorders>
            <w:shd w:val="clear" w:color="auto" w:fill="CCE2E6"/>
            <w:vAlign w:val="center"/>
            <w:hideMark/>
          </w:tcPr>
          <w:p w14:paraId="46342F30" w14:textId="77777777" w:rsidR="009E086F" w:rsidRPr="00253132" w:rsidRDefault="009E086F" w:rsidP="00562DA7">
            <w:pPr>
              <w:widowControl/>
              <w:jc w:val="left"/>
              <w:rPr>
                <w:rFonts w:cs="Arial"/>
                <w:color w:val="000000"/>
                <w:sz w:val="20"/>
                <w:lang w:eastAsia="es-MX"/>
              </w:rPr>
            </w:pPr>
            <w:r w:rsidRPr="00253132">
              <w:rPr>
                <w:rFonts w:cs="Arial"/>
                <w:sz w:val="20"/>
                <w:lang w:eastAsia="es-MX"/>
              </w:rPr>
              <w:t>Pareja con o sin hijos</w:t>
            </w:r>
          </w:p>
        </w:tc>
        <w:tc>
          <w:tcPr>
            <w:tcW w:w="880" w:type="dxa"/>
            <w:tcBorders>
              <w:top w:val="nil"/>
              <w:left w:val="nil"/>
              <w:bottom w:val="nil"/>
              <w:right w:val="nil"/>
            </w:tcBorders>
            <w:shd w:val="clear" w:color="auto" w:fill="CCE2E6"/>
            <w:vAlign w:val="center"/>
            <w:hideMark/>
          </w:tcPr>
          <w:p w14:paraId="5B032924" w14:textId="77777777" w:rsidR="009E086F" w:rsidRPr="00253132" w:rsidRDefault="009E086F" w:rsidP="00562DA7">
            <w:pPr>
              <w:widowControl/>
              <w:jc w:val="center"/>
              <w:rPr>
                <w:rFonts w:cs="Arial"/>
                <w:color w:val="000000"/>
                <w:sz w:val="20"/>
                <w:lang w:eastAsia="es-MX"/>
              </w:rPr>
            </w:pPr>
            <w:r w:rsidRPr="00253132">
              <w:rPr>
                <w:rFonts w:cs="Arial"/>
                <w:sz w:val="20"/>
                <w:lang w:eastAsia="es-MX"/>
              </w:rPr>
              <w:t>1.0</w:t>
            </w:r>
          </w:p>
        </w:tc>
        <w:tc>
          <w:tcPr>
            <w:tcW w:w="1140" w:type="dxa"/>
            <w:tcBorders>
              <w:top w:val="nil"/>
              <w:left w:val="nil"/>
              <w:bottom w:val="nil"/>
              <w:right w:val="nil"/>
            </w:tcBorders>
            <w:shd w:val="clear" w:color="auto" w:fill="CCE2E6"/>
            <w:vAlign w:val="center"/>
            <w:hideMark/>
          </w:tcPr>
          <w:p w14:paraId="234E3FB8" w14:textId="77777777" w:rsidR="009E086F" w:rsidRPr="00253132" w:rsidRDefault="009E086F" w:rsidP="00562DA7">
            <w:pPr>
              <w:widowControl/>
              <w:jc w:val="center"/>
              <w:rPr>
                <w:rFonts w:cs="Arial"/>
                <w:color w:val="000000"/>
                <w:sz w:val="20"/>
                <w:lang w:eastAsia="es-MX"/>
              </w:rPr>
            </w:pPr>
            <w:r w:rsidRPr="00253132">
              <w:rPr>
                <w:rFonts w:cs="Arial"/>
                <w:sz w:val="20"/>
                <w:lang w:eastAsia="es-MX"/>
              </w:rPr>
              <w:t>0.9</w:t>
            </w:r>
          </w:p>
        </w:tc>
        <w:tc>
          <w:tcPr>
            <w:tcW w:w="992" w:type="dxa"/>
            <w:tcBorders>
              <w:top w:val="nil"/>
              <w:left w:val="nil"/>
              <w:bottom w:val="nil"/>
              <w:right w:val="nil"/>
            </w:tcBorders>
            <w:shd w:val="clear" w:color="auto" w:fill="CCE2E6"/>
            <w:vAlign w:val="center"/>
            <w:hideMark/>
          </w:tcPr>
          <w:p w14:paraId="0BEF3011" w14:textId="77777777" w:rsidR="009E086F" w:rsidRPr="00253132" w:rsidRDefault="009E086F" w:rsidP="00562DA7">
            <w:pPr>
              <w:widowControl/>
              <w:jc w:val="center"/>
              <w:rPr>
                <w:rFonts w:cs="Arial"/>
                <w:color w:val="000000"/>
                <w:sz w:val="20"/>
                <w:lang w:eastAsia="es-MX"/>
              </w:rPr>
            </w:pPr>
            <w:r w:rsidRPr="00253132">
              <w:rPr>
                <w:rFonts w:cs="Arial"/>
                <w:sz w:val="20"/>
                <w:lang w:eastAsia="es-MX"/>
              </w:rPr>
              <w:t>0.1</w:t>
            </w:r>
          </w:p>
        </w:tc>
        <w:tc>
          <w:tcPr>
            <w:tcW w:w="1276" w:type="dxa"/>
            <w:tcBorders>
              <w:top w:val="nil"/>
              <w:left w:val="nil"/>
              <w:bottom w:val="nil"/>
              <w:right w:val="nil"/>
            </w:tcBorders>
            <w:shd w:val="clear" w:color="auto" w:fill="CCE2E6"/>
            <w:vAlign w:val="center"/>
            <w:hideMark/>
          </w:tcPr>
          <w:p w14:paraId="7213B4D2" w14:textId="77777777" w:rsidR="009E086F" w:rsidRPr="00253132" w:rsidRDefault="009E086F" w:rsidP="00562DA7">
            <w:pPr>
              <w:widowControl/>
              <w:jc w:val="center"/>
              <w:rPr>
                <w:rFonts w:cs="Arial"/>
                <w:color w:val="000000"/>
                <w:sz w:val="20"/>
                <w:lang w:eastAsia="es-MX"/>
              </w:rPr>
            </w:pPr>
            <w:r w:rsidRPr="00253132">
              <w:rPr>
                <w:rFonts w:cs="Arial"/>
                <w:sz w:val="20"/>
                <w:lang w:eastAsia="es-MX"/>
              </w:rPr>
              <w:t>80.0</w:t>
            </w:r>
          </w:p>
        </w:tc>
        <w:tc>
          <w:tcPr>
            <w:tcW w:w="1417" w:type="dxa"/>
            <w:tcBorders>
              <w:top w:val="nil"/>
              <w:left w:val="nil"/>
              <w:bottom w:val="nil"/>
              <w:right w:val="nil"/>
            </w:tcBorders>
            <w:shd w:val="clear" w:color="auto" w:fill="CCE2E6"/>
            <w:vAlign w:val="center"/>
            <w:hideMark/>
          </w:tcPr>
          <w:p w14:paraId="790CC26A" w14:textId="77777777" w:rsidR="009E086F" w:rsidRPr="00253132" w:rsidRDefault="009E086F" w:rsidP="00562DA7">
            <w:pPr>
              <w:widowControl/>
              <w:jc w:val="center"/>
              <w:rPr>
                <w:rFonts w:cs="Arial"/>
                <w:color w:val="000000"/>
                <w:sz w:val="20"/>
                <w:lang w:eastAsia="es-MX"/>
              </w:rPr>
            </w:pPr>
            <w:r w:rsidRPr="00253132">
              <w:rPr>
                <w:rFonts w:cs="Arial"/>
                <w:sz w:val="20"/>
                <w:lang w:eastAsia="es-MX"/>
              </w:rPr>
              <w:t>96.9</w:t>
            </w:r>
          </w:p>
        </w:tc>
        <w:tc>
          <w:tcPr>
            <w:tcW w:w="1418" w:type="dxa"/>
            <w:tcBorders>
              <w:top w:val="nil"/>
              <w:left w:val="nil"/>
              <w:bottom w:val="nil"/>
              <w:right w:val="nil"/>
            </w:tcBorders>
            <w:shd w:val="clear" w:color="auto" w:fill="CCE2E6"/>
            <w:vAlign w:val="center"/>
            <w:hideMark/>
          </w:tcPr>
          <w:p w14:paraId="798B4C86" w14:textId="77777777" w:rsidR="009E086F" w:rsidRPr="00253132" w:rsidRDefault="009E086F" w:rsidP="00562DA7">
            <w:pPr>
              <w:widowControl/>
              <w:jc w:val="center"/>
              <w:rPr>
                <w:rFonts w:cs="Arial"/>
                <w:color w:val="000000"/>
                <w:sz w:val="20"/>
                <w:lang w:eastAsia="es-MX"/>
              </w:rPr>
            </w:pPr>
            <w:r w:rsidRPr="00253132">
              <w:rPr>
                <w:rFonts w:cs="Arial"/>
                <w:sz w:val="20"/>
                <w:lang w:eastAsia="es-MX"/>
              </w:rPr>
              <w:t>25.4</w:t>
            </w:r>
          </w:p>
        </w:tc>
      </w:tr>
      <w:tr w:rsidR="009E086F" w:rsidRPr="00253132" w14:paraId="6D985599" w14:textId="77777777" w:rsidTr="00562DA7">
        <w:trPr>
          <w:trHeight w:val="315"/>
        </w:trPr>
        <w:tc>
          <w:tcPr>
            <w:tcW w:w="2800" w:type="dxa"/>
            <w:gridSpan w:val="2"/>
            <w:tcBorders>
              <w:top w:val="nil"/>
              <w:left w:val="nil"/>
              <w:bottom w:val="nil"/>
              <w:right w:val="nil"/>
            </w:tcBorders>
            <w:shd w:val="clear" w:color="auto" w:fill="99C5CC"/>
            <w:vAlign w:val="center"/>
            <w:hideMark/>
          </w:tcPr>
          <w:p w14:paraId="56163D55" w14:textId="77777777" w:rsidR="009E086F" w:rsidRPr="00253132" w:rsidRDefault="009E086F" w:rsidP="00562DA7">
            <w:pPr>
              <w:widowControl/>
              <w:jc w:val="left"/>
              <w:rPr>
                <w:rFonts w:cs="Arial"/>
                <w:b/>
                <w:bCs/>
                <w:color w:val="000000"/>
                <w:sz w:val="20"/>
                <w:lang w:eastAsia="es-MX"/>
              </w:rPr>
            </w:pPr>
            <w:r w:rsidRPr="00253132">
              <w:rPr>
                <w:rFonts w:cs="Arial"/>
                <w:b/>
                <w:bCs/>
                <w:sz w:val="20"/>
                <w:lang w:eastAsia="es-MX"/>
              </w:rPr>
              <w:t>No nuclear</w:t>
            </w:r>
          </w:p>
        </w:tc>
        <w:tc>
          <w:tcPr>
            <w:tcW w:w="880" w:type="dxa"/>
            <w:tcBorders>
              <w:top w:val="nil"/>
              <w:left w:val="nil"/>
              <w:bottom w:val="nil"/>
              <w:right w:val="nil"/>
            </w:tcBorders>
            <w:shd w:val="clear" w:color="auto" w:fill="99C5CC"/>
            <w:vAlign w:val="center"/>
            <w:hideMark/>
          </w:tcPr>
          <w:p w14:paraId="2E3BD932" w14:textId="77777777" w:rsidR="009E086F" w:rsidRPr="00253132" w:rsidRDefault="009E086F" w:rsidP="00562DA7">
            <w:pPr>
              <w:widowControl/>
              <w:jc w:val="center"/>
              <w:rPr>
                <w:rFonts w:cs="Arial"/>
                <w:b/>
                <w:bCs/>
                <w:color w:val="000000"/>
                <w:sz w:val="20"/>
                <w:lang w:eastAsia="es-MX"/>
              </w:rPr>
            </w:pPr>
            <w:r w:rsidRPr="00253132">
              <w:rPr>
                <w:rFonts w:cs="Arial"/>
                <w:b/>
                <w:bCs/>
                <w:sz w:val="20"/>
                <w:lang w:eastAsia="es-MX"/>
              </w:rPr>
              <w:t>0.6</w:t>
            </w:r>
          </w:p>
        </w:tc>
        <w:tc>
          <w:tcPr>
            <w:tcW w:w="1140" w:type="dxa"/>
            <w:tcBorders>
              <w:top w:val="nil"/>
              <w:left w:val="nil"/>
              <w:bottom w:val="nil"/>
              <w:right w:val="nil"/>
            </w:tcBorders>
            <w:shd w:val="clear" w:color="auto" w:fill="99C5CC"/>
            <w:vAlign w:val="center"/>
            <w:hideMark/>
          </w:tcPr>
          <w:p w14:paraId="49081B8B" w14:textId="77777777" w:rsidR="009E086F" w:rsidRPr="00253132" w:rsidRDefault="009E086F" w:rsidP="00562DA7">
            <w:pPr>
              <w:widowControl/>
              <w:jc w:val="center"/>
              <w:rPr>
                <w:rFonts w:cs="Arial"/>
                <w:b/>
                <w:bCs/>
                <w:color w:val="000000"/>
                <w:sz w:val="20"/>
                <w:lang w:eastAsia="es-MX"/>
              </w:rPr>
            </w:pPr>
            <w:r w:rsidRPr="00253132">
              <w:rPr>
                <w:rFonts w:cs="Arial"/>
                <w:b/>
                <w:bCs/>
                <w:sz w:val="20"/>
                <w:lang w:eastAsia="es-MX"/>
              </w:rPr>
              <w:t>0.4</w:t>
            </w:r>
          </w:p>
        </w:tc>
        <w:tc>
          <w:tcPr>
            <w:tcW w:w="992" w:type="dxa"/>
            <w:tcBorders>
              <w:top w:val="nil"/>
              <w:left w:val="nil"/>
              <w:bottom w:val="nil"/>
              <w:right w:val="nil"/>
            </w:tcBorders>
            <w:shd w:val="clear" w:color="auto" w:fill="99C5CC"/>
            <w:vAlign w:val="center"/>
            <w:hideMark/>
          </w:tcPr>
          <w:p w14:paraId="57158F2B" w14:textId="77777777" w:rsidR="009E086F" w:rsidRPr="00253132" w:rsidRDefault="009E086F" w:rsidP="00562DA7">
            <w:pPr>
              <w:widowControl/>
              <w:jc w:val="center"/>
              <w:rPr>
                <w:rFonts w:cs="Arial"/>
                <w:b/>
                <w:bCs/>
                <w:color w:val="000000"/>
                <w:sz w:val="20"/>
                <w:lang w:eastAsia="es-MX"/>
              </w:rPr>
            </w:pPr>
            <w:r w:rsidRPr="00253132">
              <w:rPr>
                <w:rFonts w:cs="Arial"/>
                <w:b/>
                <w:bCs/>
                <w:sz w:val="20"/>
                <w:lang w:eastAsia="es-MX"/>
              </w:rPr>
              <w:t>0.2</w:t>
            </w:r>
          </w:p>
        </w:tc>
        <w:tc>
          <w:tcPr>
            <w:tcW w:w="1276" w:type="dxa"/>
            <w:tcBorders>
              <w:top w:val="nil"/>
              <w:left w:val="nil"/>
              <w:bottom w:val="nil"/>
              <w:right w:val="nil"/>
            </w:tcBorders>
            <w:shd w:val="clear" w:color="auto" w:fill="99C5CC"/>
            <w:vAlign w:val="center"/>
            <w:hideMark/>
          </w:tcPr>
          <w:p w14:paraId="71223F22" w14:textId="77777777" w:rsidR="009E086F" w:rsidRPr="00253132" w:rsidRDefault="009E086F" w:rsidP="00562DA7">
            <w:pPr>
              <w:widowControl/>
              <w:jc w:val="center"/>
              <w:rPr>
                <w:rFonts w:cs="Arial"/>
                <w:b/>
                <w:bCs/>
                <w:color w:val="000000"/>
                <w:sz w:val="20"/>
                <w:lang w:eastAsia="es-MX"/>
              </w:rPr>
            </w:pPr>
            <w:r w:rsidRPr="00253132">
              <w:rPr>
                <w:rFonts w:cs="Arial"/>
                <w:b/>
                <w:bCs/>
                <w:sz w:val="20"/>
                <w:lang w:eastAsia="es-MX"/>
              </w:rPr>
              <w:t>32.3</w:t>
            </w:r>
          </w:p>
        </w:tc>
        <w:tc>
          <w:tcPr>
            <w:tcW w:w="1417" w:type="dxa"/>
            <w:tcBorders>
              <w:top w:val="nil"/>
              <w:left w:val="nil"/>
              <w:bottom w:val="nil"/>
              <w:right w:val="nil"/>
            </w:tcBorders>
            <w:shd w:val="clear" w:color="auto" w:fill="99C5CC"/>
            <w:vAlign w:val="center"/>
            <w:hideMark/>
          </w:tcPr>
          <w:p w14:paraId="49DCE560" w14:textId="77777777" w:rsidR="009E086F" w:rsidRPr="00253132" w:rsidRDefault="009E086F" w:rsidP="00562DA7">
            <w:pPr>
              <w:widowControl/>
              <w:jc w:val="center"/>
              <w:rPr>
                <w:rFonts w:cs="Arial"/>
                <w:b/>
                <w:bCs/>
                <w:color w:val="000000"/>
                <w:sz w:val="20"/>
                <w:lang w:eastAsia="es-MX"/>
              </w:rPr>
            </w:pPr>
            <w:r w:rsidRPr="00253132">
              <w:rPr>
                <w:rFonts w:cs="Arial"/>
                <w:b/>
                <w:bCs/>
                <w:sz w:val="20"/>
                <w:lang w:eastAsia="es-MX"/>
              </w:rPr>
              <w:t>28.7</w:t>
            </w:r>
          </w:p>
        </w:tc>
        <w:tc>
          <w:tcPr>
            <w:tcW w:w="1418" w:type="dxa"/>
            <w:tcBorders>
              <w:top w:val="nil"/>
              <w:left w:val="nil"/>
              <w:bottom w:val="nil"/>
              <w:right w:val="nil"/>
            </w:tcBorders>
            <w:shd w:val="clear" w:color="auto" w:fill="99C5CC"/>
            <w:vAlign w:val="center"/>
            <w:hideMark/>
          </w:tcPr>
          <w:p w14:paraId="3A586E9D" w14:textId="77777777" w:rsidR="009E086F" w:rsidRPr="00253132" w:rsidRDefault="009E086F" w:rsidP="00562DA7">
            <w:pPr>
              <w:widowControl/>
              <w:jc w:val="center"/>
              <w:rPr>
                <w:rFonts w:cs="Arial"/>
                <w:b/>
                <w:bCs/>
                <w:color w:val="000000"/>
                <w:sz w:val="20"/>
                <w:lang w:eastAsia="es-MX"/>
              </w:rPr>
            </w:pPr>
            <w:r w:rsidRPr="00253132">
              <w:rPr>
                <w:rFonts w:cs="Arial"/>
                <w:b/>
                <w:bCs/>
                <w:sz w:val="20"/>
                <w:lang w:eastAsia="es-MX"/>
              </w:rPr>
              <w:t>41.9</w:t>
            </w:r>
          </w:p>
        </w:tc>
      </w:tr>
    </w:tbl>
    <w:p w14:paraId="0818C340" w14:textId="7CE4F1A1" w:rsidR="009E086F" w:rsidRPr="00560388" w:rsidRDefault="00960C37" w:rsidP="009E086F">
      <w:pPr>
        <w:widowControl/>
        <w:autoSpaceDE w:val="0"/>
        <w:autoSpaceDN w:val="0"/>
        <w:adjustRightInd w:val="0"/>
        <w:rPr>
          <w:rFonts w:cs="Arial"/>
          <w:sz w:val="16"/>
          <w:szCs w:val="16"/>
        </w:rPr>
      </w:pPr>
      <w:r>
        <w:rPr>
          <w:rFonts w:cs="Arial"/>
          <w:color w:val="000000" w:themeColor="text1"/>
          <w:sz w:val="16"/>
          <w:szCs w:val="16"/>
        </w:rPr>
        <w:t xml:space="preserve"> </w:t>
      </w:r>
      <w:r w:rsidR="009E086F" w:rsidRPr="00560388">
        <w:rPr>
          <w:rFonts w:cs="Arial"/>
          <w:color w:val="000000" w:themeColor="text1"/>
          <w:sz w:val="16"/>
          <w:szCs w:val="16"/>
        </w:rPr>
        <w:t>Fuente: INEGI, ENTI. 2022.</w:t>
      </w:r>
    </w:p>
    <w:p w14:paraId="25DDA545" w14:textId="77777777" w:rsidR="009E086F" w:rsidRDefault="009E086F" w:rsidP="0054204D">
      <w:pPr>
        <w:widowControl/>
        <w:autoSpaceDE w:val="0"/>
        <w:autoSpaceDN w:val="0"/>
        <w:adjustRightInd w:val="0"/>
        <w:rPr>
          <w:rFonts w:cs="Arial"/>
          <w:szCs w:val="24"/>
        </w:rPr>
      </w:pPr>
    </w:p>
    <w:p w14:paraId="5BDD0BA0" w14:textId="5A5C4CFC" w:rsidR="00CB1FB7" w:rsidRPr="00D03EF4" w:rsidRDefault="00CB1FB7" w:rsidP="000E1EBC">
      <w:pPr>
        <w:widowControl/>
        <w:autoSpaceDE w:val="0"/>
        <w:autoSpaceDN w:val="0"/>
        <w:adjustRightInd w:val="0"/>
        <w:ind w:right="51"/>
        <w:rPr>
          <w:rFonts w:cs="Arial"/>
          <w:color w:val="000000"/>
          <w:szCs w:val="24"/>
        </w:rPr>
      </w:pPr>
      <w:r w:rsidRPr="00D03EF4">
        <w:rPr>
          <w:rFonts w:cs="Arial"/>
          <w:color w:val="000000"/>
          <w:szCs w:val="24"/>
        </w:rPr>
        <w:t>De acuerdo con la condición de ocupación de la jefa o el jefe, en hogares con quehaceres domésticos en condiciones no adecuadas, 1.</w:t>
      </w:r>
      <w:r w:rsidR="00AC2F17" w:rsidRPr="00D03EF4">
        <w:rPr>
          <w:rFonts w:cs="Arial"/>
          <w:color w:val="000000"/>
          <w:szCs w:val="24"/>
        </w:rPr>
        <w:t>4</w:t>
      </w:r>
      <w:r w:rsidRPr="00D03EF4">
        <w:rPr>
          <w:rFonts w:cs="Arial"/>
          <w:color w:val="000000"/>
          <w:szCs w:val="24"/>
        </w:rPr>
        <w:t xml:space="preserve"> millones (8</w:t>
      </w:r>
      <w:r w:rsidR="00AC2F17" w:rsidRPr="00D03EF4">
        <w:rPr>
          <w:rFonts w:cs="Arial"/>
          <w:color w:val="000000"/>
          <w:szCs w:val="24"/>
        </w:rPr>
        <w:t>2</w:t>
      </w:r>
      <w:r w:rsidRPr="00D03EF4">
        <w:rPr>
          <w:rFonts w:cs="Arial"/>
          <w:color w:val="000000"/>
          <w:szCs w:val="24"/>
        </w:rPr>
        <w:t>.</w:t>
      </w:r>
      <w:r w:rsidR="00AC2F17" w:rsidRPr="00D03EF4">
        <w:rPr>
          <w:rFonts w:cs="Arial"/>
          <w:color w:val="000000"/>
          <w:szCs w:val="24"/>
        </w:rPr>
        <w:t>5</w:t>
      </w:r>
      <w:r w:rsidRPr="00D03EF4">
        <w:rPr>
          <w:rFonts w:cs="Arial"/>
          <w:color w:val="000000"/>
          <w:szCs w:val="24"/>
        </w:rPr>
        <w:t xml:space="preserve"> %) </w:t>
      </w:r>
      <w:r w:rsidR="00AC2F17" w:rsidRPr="00D03EF4">
        <w:rPr>
          <w:rFonts w:cs="Arial"/>
          <w:color w:val="000000"/>
          <w:szCs w:val="24"/>
        </w:rPr>
        <w:t xml:space="preserve">de los jefes </w:t>
      </w:r>
      <w:r w:rsidRPr="00D03EF4">
        <w:rPr>
          <w:rFonts w:cs="Arial"/>
          <w:color w:val="000000"/>
          <w:szCs w:val="24"/>
        </w:rPr>
        <w:t>del hogar estuv</w:t>
      </w:r>
      <w:r w:rsidR="00AC2F17" w:rsidRPr="00D03EF4">
        <w:rPr>
          <w:rFonts w:cs="Arial"/>
          <w:color w:val="000000"/>
          <w:szCs w:val="24"/>
        </w:rPr>
        <w:t>ieron</w:t>
      </w:r>
      <w:r w:rsidRPr="00D03EF4">
        <w:rPr>
          <w:rFonts w:cs="Arial"/>
          <w:color w:val="000000"/>
          <w:szCs w:val="24"/>
        </w:rPr>
        <w:t xml:space="preserve"> ocupado</w:t>
      </w:r>
      <w:r w:rsidR="00AC2F17" w:rsidRPr="00D03EF4">
        <w:rPr>
          <w:rFonts w:cs="Arial"/>
          <w:color w:val="000000"/>
          <w:szCs w:val="24"/>
        </w:rPr>
        <w:t>s</w:t>
      </w:r>
      <w:r w:rsidRPr="00D03EF4">
        <w:rPr>
          <w:rFonts w:cs="Arial"/>
          <w:color w:val="000000"/>
          <w:szCs w:val="24"/>
        </w:rPr>
        <w:t xml:space="preserve"> y 0.</w:t>
      </w:r>
      <w:r w:rsidR="00AC2F17" w:rsidRPr="00D03EF4">
        <w:rPr>
          <w:rFonts w:cs="Arial"/>
          <w:color w:val="000000"/>
          <w:szCs w:val="24"/>
        </w:rPr>
        <w:t>3</w:t>
      </w:r>
      <w:r w:rsidRPr="00D03EF4">
        <w:rPr>
          <w:rFonts w:cs="Arial"/>
          <w:color w:val="000000"/>
          <w:szCs w:val="24"/>
        </w:rPr>
        <w:t xml:space="preserve"> millones (1</w:t>
      </w:r>
      <w:r w:rsidR="00AC2F17" w:rsidRPr="00D03EF4">
        <w:rPr>
          <w:rFonts w:cs="Arial"/>
          <w:color w:val="000000"/>
          <w:szCs w:val="24"/>
        </w:rPr>
        <w:t>7.5</w:t>
      </w:r>
      <w:r w:rsidRPr="00D03EF4">
        <w:rPr>
          <w:rFonts w:cs="Arial"/>
          <w:color w:val="000000"/>
          <w:szCs w:val="24"/>
        </w:rPr>
        <w:t xml:space="preserve"> %) fueron no ocupados</w:t>
      </w:r>
      <w:r w:rsidR="004E0174" w:rsidRPr="00D03EF4">
        <w:rPr>
          <w:rFonts w:cs="Arial"/>
          <w:szCs w:val="24"/>
        </w:rPr>
        <w:t xml:space="preserve"> (ver cuadro 2</w:t>
      </w:r>
      <w:r w:rsidR="004D4F9A" w:rsidRPr="00D03EF4">
        <w:rPr>
          <w:rFonts w:cs="Arial"/>
          <w:szCs w:val="24"/>
        </w:rPr>
        <w:t>7</w:t>
      </w:r>
      <w:r w:rsidR="004E0174" w:rsidRPr="00D03EF4">
        <w:rPr>
          <w:rFonts w:cs="Arial"/>
          <w:szCs w:val="24"/>
        </w:rPr>
        <w:t>).</w:t>
      </w:r>
      <w:r w:rsidR="00076EED" w:rsidRPr="00D03EF4">
        <w:rPr>
          <w:rFonts w:cs="Arial"/>
          <w:color w:val="000000"/>
          <w:szCs w:val="24"/>
        </w:rPr>
        <w:t xml:space="preserve"> </w:t>
      </w:r>
      <w:r w:rsidR="001C7A82" w:rsidRPr="00D03EF4">
        <w:rPr>
          <w:rFonts w:cs="Arial"/>
          <w:color w:val="000000"/>
          <w:szCs w:val="24"/>
        </w:rPr>
        <w:t>De los hogares con quehaceres domésticos en condiciones no adecuadas,</w:t>
      </w:r>
      <w:r w:rsidRPr="00D03EF4">
        <w:rPr>
          <w:rFonts w:cs="Arial"/>
          <w:color w:val="000000"/>
          <w:szCs w:val="24"/>
        </w:rPr>
        <w:t xml:space="preserve"> </w:t>
      </w:r>
      <w:r w:rsidR="00AC2F17" w:rsidRPr="00D03EF4">
        <w:rPr>
          <w:rFonts w:cs="Arial"/>
          <w:color w:val="000000"/>
          <w:szCs w:val="24"/>
        </w:rPr>
        <w:t>69.9</w:t>
      </w:r>
      <w:r w:rsidRPr="00D03EF4">
        <w:rPr>
          <w:rFonts w:cs="Arial"/>
          <w:color w:val="000000"/>
          <w:szCs w:val="24"/>
        </w:rPr>
        <w:t xml:space="preserve"> % tuvo a un jefe del hogar y </w:t>
      </w:r>
      <w:r w:rsidR="00AC2F17" w:rsidRPr="00D03EF4">
        <w:rPr>
          <w:rFonts w:cs="Arial"/>
          <w:color w:val="000000"/>
          <w:szCs w:val="24"/>
        </w:rPr>
        <w:t>30.1</w:t>
      </w:r>
      <w:r w:rsidRPr="00D03EF4">
        <w:rPr>
          <w:rFonts w:cs="Arial"/>
          <w:color w:val="000000"/>
          <w:szCs w:val="24"/>
        </w:rPr>
        <w:t xml:space="preserve"> %</w:t>
      </w:r>
      <w:r w:rsidR="0054204D" w:rsidRPr="00D03EF4">
        <w:rPr>
          <w:rFonts w:cs="Arial"/>
          <w:color w:val="000000"/>
          <w:szCs w:val="24"/>
        </w:rPr>
        <w:t>,</w:t>
      </w:r>
      <w:r w:rsidRPr="00D03EF4">
        <w:rPr>
          <w:rFonts w:cs="Arial"/>
          <w:color w:val="000000"/>
          <w:szCs w:val="24"/>
        </w:rPr>
        <w:t xml:space="preserve"> </w:t>
      </w:r>
      <w:r w:rsidR="000117C4" w:rsidRPr="00D03EF4">
        <w:rPr>
          <w:rFonts w:cs="Arial"/>
          <w:color w:val="000000"/>
          <w:szCs w:val="24"/>
        </w:rPr>
        <w:t>a</w:t>
      </w:r>
      <w:r w:rsidRPr="00D03EF4">
        <w:rPr>
          <w:rFonts w:cs="Arial"/>
          <w:color w:val="000000"/>
          <w:szCs w:val="24"/>
        </w:rPr>
        <w:t xml:space="preserve"> una </w:t>
      </w:r>
      <w:r w:rsidR="0054204D" w:rsidRPr="00D03EF4">
        <w:rPr>
          <w:rFonts w:cs="Arial"/>
          <w:color w:val="000000"/>
          <w:szCs w:val="24"/>
        </w:rPr>
        <w:t>jefa</w:t>
      </w:r>
      <w:r w:rsidRPr="00D03EF4">
        <w:rPr>
          <w:rFonts w:cs="Arial"/>
          <w:color w:val="000000"/>
          <w:szCs w:val="24"/>
        </w:rPr>
        <w:t xml:space="preserve">. </w:t>
      </w:r>
      <w:r w:rsidR="00AC2F17" w:rsidRPr="00D03EF4">
        <w:rPr>
          <w:rFonts w:cs="Arial"/>
          <w:color w:val="000000"/>
          <w:szCs w:val="24"/>
        </w:rPr>
        <w:t>En particular</w:t>
      </w:r>
      <w:r w:rsidRPr="00D03EF4">
        <w:rPr>
          <w:rFonts w:cs="Arial"/>
          <w:color w:val="000000"/>
          <w:szCs w:val="24"/>
        </w:rPr>
        <w:t>, e</w:t>
      </w:r>
      <w:r w:rsidR="00AC2F17" w:rsidRPr="00D03EF4">
        <w:rPr>
          <w:rFonts w:cs="Arial"/>
          <w:color w:val="000000"/>
          <w:szCs w:val="24"/>
        </w:rPr>
        <w:t>n</w:t>
      </w:r>
      <w:r w:rsidRPr="00D03EF4">
        <w:rPr>
          <w:rFonts w:cs="Arial"/>
          <w:color w:val="000000"/>
          <w:szCs w:val="24"/>
        </w:rPr>
        <w:t xml:space="preserve"> los hogares donde el jefe </w:t>
      </w:r>
      <w:r w:rsidR="00AC2F17" w:rsidRPr="00D03EF4">
        <w:rPr>
          <w:rFonts w:cs="Arial"/>
          <w:color w:val="000000"/>
          <w:szCs w:val="24"/>
        </w:rPr>
        <w:t xml:space="preserve">o jefa </w:t>
      </w:r>
      <w:r w:rsidRPr="00D03EF4">
        <w:rPr>
          <w:rFonts w:cs="Arial"/>
          <w:color w:val="000000"/>
          <w:szCs w:val="24"/>
        </w:rPr>
        <w:t>del hogar estuvo ocupado, 7</w:t>
      </w:r>
      <w:r w:rsidR="00AC2F17" w:rsidRPr="00D03EF4">
        <w:rPr>
          <w:rFonts w:cs="Arial"/>
          <w:color w:val="000000"/>
          <w:szCs w:val="24"/>
        </w:rPr>
        <w:t>6</w:t>
      </w:r>
      <w:r w:rsidRPr="00D03EF4">
        <w:rPr>
          <w:rFonts w:cs="Arial"/>
          <w:color w:val="000000"/>
          <w:szCs w:val="24"/>
        </w:rPr>
        <w:t>.</w:t>
      </w:r>
      <w:r w:rsidR="00AC2F17" w:rsidRPr="00D03EF4">
        <w:rPr>
          <w:rFonts w:cs="Arial"/>
          <w:color w:val="000000"/>
          <w:szCs w:val="24"/>
        </w:rPr>
        <w:t>3</w:t>
      </w:r>
      <w:r w:rsidRPr="00D03EF4">
        <w:rPr>
          <w:rFonts w:cs="Arial"/>
          <w:color w:val="000000"/>
          <w:szCs w:val="24"/>
        </w:rPr>
        <w:t xml:space="preserve"> % fueron hombres y 2</w:t>
      </w:r>
      <w:r w:rsidR="00AC2F17" w:rsidRPr="00D03EF4">
        <w:rPr>
          <w:rFonts w:cs="Arial"/>
          <w:color w:val="000000"/>
          <w:szCs w:val="24"/>
        </w:rPr>
        <w:t>3</w:t>
      </w:r>
      <w:r w:rsidRPr="00D03EF4">
        <w:rPr>
          <w:rFonts w:cs="Arial"/>
          <w:color w:val="000000"/>
          <w:szCs w:val="24"/>
        </w:rPr>
        <w:t>.</w:t>
      </w:r>
      <w:r w:rsidR="00AC2F17" w:rsidRPr="00D03EF4">
        <w:rPr>
          <w:rFonts w:cs="Arial"/>
          <w:color w:val="000000"/>
          <w:szCs w:val="24"/>
        </w:rPr>
        <w:t>7</w:t>
      </w:r>
      <w:r w:rsidRPr="00D03EF4">
        <w:rPr>
          <w:rFonts w:cs="Arial"/>
          <w:color w:val="000000"/>
          <w:szCs w:val="24"/>
        </w:rPr>
        <w:t xml:space="preserve"> %</w:t>
      </w:r>
      <w:r w:rsidR="0054204D" w:rsidRPr="00D03EF4">
        <w:rPr>
          <w:rFonts w:cs="Arial"/>
          <w:color w:val="000000"/>
          <w:szCs w:val="24"/>
        </w:rPr>
        <w:t>,</w:t>
      </w:r>
      <w:r w:rsidRPr="00D03EF4">
        <w:rPr>
          <w:rFonts w:cs="Arial"/>
          <w:color w:val="000000"/>
          <w:szCs w:val="24"/>
        </w:rPr>
        <w:t xml:space="preserve"> mujeres; mientras que, en los hogares con jefes no ocupados, </w:t>
      </w:r>
      <w:r w:rsidR="000117C4" w:rsidRPr="00D03EF4">
        <w:rPr>
          <w:rFonts w:cs="Arial"/>
          <w:color w:val="000000"/>
          <w:szCs w:val="24"/>
        </w:rPr>
        <w:t xml:space="preserve">60.4 % fueron mujeres y </w:t>
      </w:r>
      <w:r w:rsidRPr="00D03EF4">
        <w:rPr>
          <w:rFonts w:cs="Arial"/>
          <w:color w:val="000000"/>
          <w:szCs w:val="24"/>
        </w:rPr>
        <w:t>39.</w:t>
      </w:r>
      <w:r w:rsidR="00AC2F17" w:rsidRPr="00D03EF4">
        <w:rPr>
          <w:rFonts w:cs="Arial"/>
          <w:color w:val="000000"/>
          <w:szCs w:val="24"/>
        </w:rPr>
        <w:t>6</w:t>
      </w:r>
      <w:r w:rsidRPr="00D03EF4">
        <w:rPr>
          <w:rFonts w:cs="Arial"/>
          <w:color w:val="000000"/>
          <w:szCs w:val="24"/>
        </w:rPr>
        <w:t xml:space="preserve"> %</w:t>
      </w:r>
      <w:r w:rsidR="0054204D" w:rsidRPr="00D03EF4">
        <w:rPr>
          <w:rFonts w:cs="Arial"/>
          <w:color w:val="000000"/>
          <w:szCs w:val="24"/>
        </w:rPr>
        <w:t>,</w:t>
      </w:r>
      <w:r w:rsidRPr="00D03EF4">
        <w:rPr>
          <w:rFonts w:cs="Arial"/>
          <w:color w:val="000000"/>
          <w:szCs w:val="24"/>
        </w:rPr>
        <w:t xml:space="preserve"> </w:t>
      </w:r>
      <w:r w:rsidR="000117C4" w:rsidRPr="00D03EF4">
        <w:rPr>
          <w:rFonts w:cs="Arial"/>
          <w:color w:val="000000"/>
          <w:szCs w:val="24"/>
        </w:rPr>
        <w:t>hombres.</w:t>
      </w:r>
    </w:p>
    <w:p w14:paraId="324D69B0" w14:textId="77777777" w:rsidR="00CB1FB7" w:rsidRDefault="00CB1FB7" w:rsidP="0054204D">
      <w:pPr>
        <w:widowControl/>
        <w:autoSpaceDE w:val="0"/>
        <w:autoSpaceDN w:val="0"/>
        <w:adjustRightInd w:val="0"/>
        <w:rPr>
          <w:rFonts w:cs="Arial"/>
          <w:szCs w:val="24"/>
        </w:rPr>
      </w:pPr>
    </w:p>
    <w:p w14:paraId="384F949F" w14:textId="7C4527C9" w:rsidR="009E086F" w:rsidRPr="000E1EBC" w:rsidRDefault="009E086F" w:rsidP="009E086F">
      <w:pPr>
        <w:widowControl/>
        <w:autoSpaceDE w:val="0"/>
        <w:autoSpaceDN w:val="0"/>
        <w:adjustRightInd w:val="0"/>
        <w:jc w:val="center"/>
        <w:rPr>
          <w:rFonts w:cs="Arial"/>
          <w:color w:val="000000"/>
          <w:sz w:val="20"/>
        </w:rPr>
      </w:pPr>
      <w:r w:rsidRPr="000E1EBC">
        <w:rPr>
          <w:rFonts w:cs="Arial"/>
          <w:color w:val="000000"/>
          <w:sz w:val="20"/>
        </w:rPr>
        <w:t>Cuadro 2</w:t>
      </w:r>
      <w:r w:rsidR="002C2946" w:rsidRPr="000E1EBC">
        <w:rPr>
          <w:rFonts w:cs="Arial"/>
          <w:color w:val="000000"/>
          <w:sz w:val="20"/>
        </w:rPr>
        <w:t>7</w:t>
      </w:r>
    </w:p>
    <w:p w14:paraId="60055F64" w14:textId="77777777" w:rsidR="009E086F" w:rsidRPr="000E1EBC" w:rsidRDefault="009E086F" w:rsidP="009E086F">
      <w:pPr>
        <w:widowControl/>
        <w:autoSpaceDE w:val="0"/>
        <w:autoSpaceDN w:val="0"/>
        <w:adjustRightInd w:val="0"/>
        <w:spacing w:after="120"/>
        <w:ind w:right="51"/>
        <w:jc w:val="center"/>
        <w:rPr>
          <w:rFonts w:cs="Arial"/>
          <w:b/>
          <w:smallCaps/>
          <w:sz w:val="22"/>
          <w:szCs w:val="22"/>
        </w:rPr>
      </w:pPr>
      <w:r w:rsidRPr="000E1EBC">
        <w:rPr>
          <w:rFonts w:cs="Arial"/>
          <w:b/>
          <w:smallCaps/>
          <w:sz w:val="22"/>
          <w:szCs w:val="22"/>
        </w:rPr>
        <w:t>Hogares con quehaceres domésticos en condiciones no adecuadas por condición de ocupación y sexo de la persona jefa del hogar</w:t>
      </w:r>
    </w:p>
    <w:tbl>
      <w:tblPr>
        <w:tblW w:w="9923" w:type="dxa"/>
        <w:tblCellMar>
          <w:left w:w="70" w:type="dxa"/>
          <w:right w:w="70" w:type="dxa"/>
        </w:tblCellMar>
        <w:tblLook w:val="04A0" w:firstRow="1" w:lastRow="0" w:firstColumn="1" w:lastColumn="0" w:noHBand="0" w:noVBand="1"/>
      </w:tblPr>
      <w:tblGrid>
        <w:gridCol w:w="220"/>
        <w:gridCol w:w="2580"/>
        <w:gridCol w:w="880"/>
        <w:gridCol w:w="1140"/>
        <w:gridCol w:w="1134"/>
        <w:gridCol w:w="1134"/>
        <w:gridCol w:w="1276"/>
        <w:gridCol w:w="1559"/>
      </w:tblGrid>
      <w:tr w:rsidR="009E086F" w:rsidRPr="009F5BAC" w14:paraId="5B0E94C2" w14:textId="77777777" w:rsidTr="00562DA7">
        <w:trPr>
          <w:trHeight w:val="510"/>
        </w:trPr>
        <w:tc>
          <w:tcPr>
            <w:tcW w:w="2800" w:type="dxa"/>
            <w:gridSpan w:val="2"/>
            <w:vMerge w:val="restart"/>
            <w:tcBorders>
              <w:top w:val="nil"/>
              <w:left w:val="nil"/>
              <w:bottom w:val="nil"/>
              <w:right w:val="nil"/>
            </w:tcBorders>
            <w:shd w:val="clear" w:color="auto" w:fill="338B99"/>
            <w:vAlign w:val="center"/>
            <w:hideMark/>
          </w:tcPr>
          <w:p w14:paraId="4929720B" w14:textId="1F3651B1" w:rsidR="009E086F" w:rsidRPr="009F5BAC" w:rsidRDefault="009E086F" w:rsidP="009E086F">
            <w:pPr>
              <w:widowControl/>
              <w:jc w:val="left"/>
              <w:rPr>
                <w:rFonts w:cs="Arial"/>
                <w:b/>
                <w:bCs/>
                <w:color w:val="FFFFFF"/>
                <w:sz w:val="20"/>
                <w:lang w:eastAsia="es-MX"/>
              </w:rPr>
            </w:pPr>
            <w:r w:rsidRPr="009F5BAC">
              <w:rPr>
                <w:rFonts w:cs="Arial"/>
                <w:b/>
                <w:bCs/>
                <w:color w:val="FFFFFF"/>
                <w:sz w:val="20"/>
                <w:lang w:eastAsia="es-MX"/>
              </w:rPr>
              <w:t>Condición de ocupación de la jefa o jefe del hogar</w:t>
            </w:r>
          </w:p>
        </w:tc>
        <w:tc>
          <w:tcPr>
            <w:tcW w:w="3154" w:type="dxa"/>
            <w:gridSpan w:val="3"/>
            <w:tcBorders>
              <w:top w:val="nil"/>
              <w:left w:val="nil"/>
              <w:bottom w:val="single" w:sz="4" w:space="0" w:color="FFFFFF"/>
              <w:right w:val="nil"/>
            </w:tcBorders>
            <w:shd w:val="clear" w:color="auto" w:fill="338B99"/>
            <w:vAlign w:val="center"/>
            <w:hideMark/>
          </w:tcPr>
          <w:p w14:paraId="5608ED5B" w14:textId="554D3239" w:rsidR="009E086F" w:rsidRPr="009F5BAC" w:rsidRDefault="009E086F" w:rsidP="009E086F">
            <w:pPr>
              <w:widowControl/>
              <w:jc w:val="center"/>
              <w:rPr>
                <w:rFonts w:cs="Arial"/>
                <w:b/>
                <w:bCs/>
                <w:color w:val="FFFFFF"/>
                <w:sz w:val="20"/>
                <w:lang w:eastAsia="es-MX"/>
              </w:rPr>
            </w:pPr>
            <w:r>
              <w:rPr>
                <w:rFonts w:cs="Arial"/>
                <w:b/>
                <w:bCs/>
                <w:color w:val="FFFFFF"/>
                <w:sz w:val="20"/>
                <w:lang w:eastAsia="es-MX"/>
              </w:rPr>
              <w:t>Mi</w:t>
            </w:r>
            <w:r w:rsidRPr="00253132">
              <w:rPr>
                <w:rFonts w:cs="Arial"/>
                <w:b/>
                <w:bCs/>
                <w:color w:val="FFFFFF"/>
                <w:sz w:val="20"/>
                <w:lang w:eastAsia="es-MX"/>
              </w:rPr>
              <w:t>llones de hogares</w:t>
            </w:r>
          </w:p>
        </w:tc>
        <w:tc>
          <w:tcPr>
            <w:tcW w:w="3969" w:type="dxa"/>
            <w:gridSpan w:val="3"/>
            <w:tcBorders>
              <w:top w:val="nil"/>
              <w:left w:val="nil"/>
              <w:bottom w:val="single" w:sz="4" w:space="0" w:color="FFFFFF"/>
              <w:right w:val="nil"/>
            </w:tcBorders>
            <w:shd w:val="clear" w:color="auto" w:fill="338B99"/>
            <w:vAlign w:val="center"/>
            <w:hideMark/>
          </w:tcPr>
          <w:p w14:paraId="2F86A256" w14:textId="65706C15" w:rsidR="009E086F" w:rsidRPr="009F5BAC" w:rsidRDefault="009E086F" w:rsidP="009E086F">
            <w:pPr>
              <w:widowControl/>
              <w:jc w:val="center"/>
              <w:rPr>
                <w:rFonts w:cs="Arial"/>
                <w:b/>
                <w:bCs/>
                <w:color w:val="FFFFFF"/>
                <w:sz w:val="20"/>
                <w:lang w:eastAsia="es-MX"/>
              </w:rPr>
            </w:pPr>
            <w:r w:rsidRPr="00253132">
              <w:rPr>
                <w:rFonts w:cs="Arial"/>
                <w:b/>
                <w:bCs/>
                <w:color w:val="FFFFFF"/>
                <w:sz w:val="20"/>
                <w:lang w:eastAsia="es-MX"/>
              </w:rPr>
              <w:t>Distribución</w:t>
            </w:r>
            <w:r>
              <w:rPr>
                <w:rFonts w:cs="Arial"/>
                <w:b/>
                <w:bCs/>
                <w:color w:val="FFFFFF"/>
                <w:sz w:val="20"/>
                <w:lang w:eastAsia="es-MX"/>
              </w:rPr>
              <w:t xml:space="preserve"> porcentual</w:t>
            </w:r>
          </w:p>
        </w:tc>
      </w:tr>
      <w:tr w:rsidR="009E086F" w:rsidRPr="009F5BAC" w14:paraId="0E0516CB" w14:textId="77777777" w:rsidTr="00562DA7">
        <w:trPr>
          <w:trHeight w:val="300"/>
        </w:trPr>
        <w:tc>
          <w:tcPr>
            <w:tcW w:w="2800" w:type="dxa"/>
            <w:gridSpan w:val="2"/>
            <w:vMerge/>
            <w:tcBorders>
              <w:top w:val="nil"/>
              <w:left w:val="nil"/>
              <w:bottom w:val="nil"/>
              <w:right w:val="nil"/>
            </w:tcBorders>
            <w:shd w:val="clear" w:color="auto" w:fill="338B99"/>
            <w:vAlign w:val="center"/>
            <w:hideMark/>
          </w:tcPr>
          <w:p w14:paraId="596DB64F" w14:textId="77777777" w:rsidR="009E086F" w:rsidRPr="009F5BAC" w:rsidRDefault="009E086F" w:rsidP="009E086F">
            <w:pPr>
              <w:widowControl/>
              <w:jc w:val="left"/>
              <w:rPr>
                <w:rFonts w:cs="Arial"/>
                <w:b/>
                <w:bCs/>
                <w:color w:val="FFFFFF"/>
                <w:sz w:val="20"/>
                <w:lang w:eastAsia="es-MX"/>
              </w:rPr>
            </w:pPr>
          </w:p>
        </w:tc>
        <w:tc>
          <w:tcPr>
            <w:tcW w:w="880" w:type="dxa"/>
            <w:tcBorders>
              <w:top w:val="nil"/>
              <w:left w:val="nil"/>
              <w:bottom w:val="nil"/>
              <w:right w:val="nil"/>
            </w:tcBorders>
            <w:shd w:val="clear" w:color="auto" w:fill="338B99"/>
            <w:vAlign w:val="center"/>
            <w:hideMark/>
          </w:tcPr>
          <w:p w14:paraId="60F7DAC0" w14:textId="0C1EF5DC" w:rsidR="009E086F" w:rsidRPr="009F5BAC" w:rsidRDefault="009E086F" w:rsidP="009E086F">
            <w:pPr>
              <w:widowControl/>
              <w:jc w:val="center"/>
              <w:rPr>
                <w:rFonts w:cs="Arial"/>
                <w:b/>
                <w:bCs/>
                <w:color w:val="FFFFFF"/>
                <w:sz w:val="20"/>
                <w:lang w:eastAsia="es-MX"/>
              </w:rPr>
            </w:pPr>
            <w:r w:rsidRPr="009F5BAC">
              <w:rPr>
                <w:rFonts w:cs="Arial"/>
                <w:b/>
                <w:bCs/>
                <w:color w:val="FFFFFF"/>
                <w:sz w:val="20"/>
                <w:lang w:eastAsia="es-MX"/>
              </w:rPr>
              <w:t>Total</w:t>
            </w:r>
          </w:p>
        </w:tc>
        <w:tc>
          <w:tcPr>
            <w:tcW w:w="1140" w:type="dxa"/>
            <w:tcBorders>
              <w:top w:val="nil"/>
              <w:left w:val="nil"/>
              <w:bottom w:val="nil"/>
              <w:right w:val="nil"/>
            </w:tcBorders>
            <w:shd w:val="clear" w:color="auto" w:fill="338B99"/>
            <w:vAlign w:val="center"/>
            <w:hideMark/>
          </w:tcPr>
          <w:p w14:paraId="1F8FE0BA" w14:textId="6CC0312A" w:rsidR="009E086F" w:rsidRPr="009F5BAC" w:rsidRDefault="009E086F" w:rsidP="009E086F">
            <w:pPr>
              <w:widowControl/>
              <w:jc w:val="center"/>
              <w:rPr>
                <w:rFonts w:cs="Arial"/>
                <w:b/>
                <w:bCs/>
                <w:color w:val="FFFFFF"/>
                <w:sz w:val="20"/>
                <w:lang w:eastAsia="es-MX"/>
              </w:rPr>
            </w:pPr>
            <w:r w:rsidRPr="009F5BAC">
              <w:rPr>
                <w:rFonts w:cs="Arial"/>
                <w:b/>
                <w:bCs/>
                <w:color w:val="FFFFFF"/>
                <w:sz w:val="20"/>
                <w:lang w:eastAsia="es-MX"/>
              </w:rPr>
              <w:t>Jefe</w:t>
            </w:r>
          </w:p>
        </w:tc>
        <w:tc>
          <w:tcPr>
            <w:tcW w:w="1134" w:type="dxa"/>
            <w:tcBorders>
              <w:top w:val="nil"/>
              <w:left w:val="nil"/>
              <w:bottom w:val="nil"/>
              <w:right w:val="nil"/>
            </w:tcBorders>
            <w:shd w:val="clear" w:color="auto" w:fill="338B99"/>
            <w:vAlign w:val="center"/>
            <w:hideMark/>
          </w:tcPr>
          <w:p w14:paraId="6DAD0567" w14:textId="77777777" w:rsidR="009E086F" w:rsidRPr="009F5BAC" w:rsidRDefault="009E086F" w:rsidP="009E086F">
            <w:pPr>
              <w:widowControl/>
              <w:jc w:val="center"/>
              <w:rPr>
                <w:rFonts w:cs="Arial"/>
                <w:b/>
                <w:bCs/>
                <w:color w:val="FFFFFF"/>
                <w:sz w:val="20"/>
                <w:lang w:eastAsia="es-MX"/>
              </w:rPr>
            </w:pPr>
            <w:r w:rsidRPr="009F5BAC">
              <w:rPr>
                <w:rFonts w:cs="Arial"/>
                <w:b/>
                <w:bCs/>
                <w:color w:val="FFFFFF"/>
                <w:sz w:val="20"/>
                <w:lang w:eastAsia="es-MX"/>
              </w:rPr>
              <w:t>Jefa</w:t>
            </w:r>
          </w:p>
        </w:tc>
        <w:tc>
          <w:tcPr>
            <w:tcW w:w="1134" w:type="dxa"/>
            <w:tcBorders>
              <w:top w:val="nil"/>
              <w:left w:val="nil"/>
              <w:bottom w:val="nil"/>
              <w:right w:val="nil"/>
            </w:tcBorders>
            <w:shd w:val="clear" w:color="auto" w:fill="338B99"/>
            <w:vAlign w:val="center"/>
            <w:hideMark/>
          </w:tcPr>
          <w:p w14:paraId="21B52559" w14:textId="20B5C250" w:rsidR="009E086F" w:rsidRPr="009F5BAC" w:rsidRDefault="009E086F" w:rsidP="009E086F">
            <w:pPr>
              <w:widowControl/>
              <w:jc w:val="center"/>
              <w:rPr>
                <w:rFonts w:cs="Arial"/>
                <w:b/>
                <w:bCs/>
                <w:color w:val="FFFFFF"/>
                <w:sz w:val="20"/>
                <w:lang w:eastAsia="es-MX"/>
              </w:rPr>
            </w:pPr>
            <w:r w:rsidRPr="009F5BAC">
              <w:rPr>
                <w:rFonts w:cs="Arial"/>
                <w:b/>
                <w:bCs/>
                <w:color w:val="FFFFFF"/>
                <w:sz w:val="20"/>
                <w:lang w:eastAsia="es-MX"/>
              </w:rPr>
              <w:t>Total</w:t>
            </w:r>
          </w:p>
        </w:tc>
        <w:tc>
          <w:tcPr>
            <w:tcW w:w="1276" w:type="dxa"/>
            <w:tcBorders>
              <w:top w:val="nil"/>
              <w:left w:val="nil"/>
              <w:bottom w:val="nil"/>
              <w:right w:val="nil"/>
            </w:tcBorders>
            <w:shd w:val="clear" w:color="auto" w:fill="338B99"/>
            <w:vAlign w:val="center"/>
            <w:hideMark/>
          </w:tcPr>
          <w:p w14:paraId="3D669495" w14:textId="3E19B469" w:rsidR="009E086F" w:rsidRPr="009F5BAC" w:rsidRDefault="009E086F" w:rsidP="009E086F">
            <w:pPr>
              <w:widowControl/>
              <w:jc w:val="center"/>
              <w:rPr>
                <w:rFonts w:cs="Arial"/>
                <w:b/>
                <w:bCs/>
                <w:color w:val="FFFFFF"/>
                <w:sz w:val="20"/>
                <w:lang w:eastAsia="es-MX"/>
              </w:rPr>
            </w:pPr>
            <w:r w:rsidRPr="009F5BAC">
              <w:rPr>
                <w:rFonts w:cs="Arial"/>
                <w:b/>
                <w:bCs/>
                <w:color w:val="FFFFFF"/>
                <w:sz w:val="20"/>
                <w:lang w:eastAsia="es-MX"/>
              </w:rPr>
              <w:t>Jefe</w:t>
            </w:r>
          </w:p>
        </w:tc>
        <w:tc>
          <w:tcPr>
            <w:tcW w:w="1559" w:type="dxa"/>
            <w:tcBorders>
              <w:top w:val="nil"/>
              <w:left w:val="nil"/>
              <w:bottom w:val="nil"/>
              <w:right w:val="nil"/>
            </w:tcBorders>
            <w:shd w:val="clear" w:color="auto" w:fill="338B99"/>
            <w:vAlign w:val="center"/>
            <w:hideMark/>
          </w:tcPr>
          <w:p w14:paraId="235EFC63" w14:textId="77777777" w:rsidR="009E086F" w:rsidRPr="009F5BAC" w:rsidRDefault="009E086F" w:rsidP="009E086F">
            <w:pPr>
              <w:widowControl/>
              <w:jc w:val="center"/>
              <w:rPr>
                <w:rFonts w:cs="Arial"/>
                <w:b/>
                <w:bCs/>
                <w:color w:val="FFFFFF"/>
                <w:sz w:val="20"/>
                <w:lang w:eastAsia="es-MX"/>
              </w:rPr>
            </w:pPr>
            <w:r w:rsidRPr="009F5BAC">
              <w:rPr>
                <w:rFonts w:cs="Arial"/>
                <w:b/>
                <w:bCs/>
                <w:color w:val="FFFFFF"/>
                <w:sz w:val="20"/>
                <w:lang w:eastAsia="es-MX"/>
              </w:rPr>
              <w:t>Jefa</w:t>
            </w:r>
          </w:p>
        </w:tc>
      </w:tr>
      <w:tr w:rsidR="009E086F" w:rsidRPr="009F5BAC" w14:paraId="2B8C03C2" w14:textId="77777777" w:rsidTr="00562DA7">
        <w:trPr>
          <w:trHeight w:val="300"/>
        </w:trPr>
        <w:tc>
          <w:tcPr>
            <w:tcW w:w="2800" w:type="dxa"/>
            <w:gridSpan w:val="2"/>
            <w:tcBorders>
              <w:top w:val="nil"/>
              <w:left w:val="nil"/>
              <w:bottom w:val="nil"/>
              <w:right w:val="nil"/>
            </w:tcBorders>
            <w:shd w:val="clear" w:color="auto" w:fill="99C5CC"/>
            <w:vAlign w:val="center"/>
            <w:hideMark/>
          </w:tcPr>
          <w:p w14:paraId="74481F64" w14:textId="77777777" w:rsidR="009E086F" w:rsidRPr="009F5BAC" w:rsidRDefault="009E086F" w:rsidP="00562DA7">
            <w:pPr>
              <w:widowControl/>
              <w:jc w:val="left"/>
              <w:rPr>
                <w:rFonts w:cs="Arial"/>
                <w:b/>
                <w:bCs/>
                <w:color w:val="000000"/>
                <w:sz w:val="20"/>
                <w:lang w:eastAsia="es-MX"/>
              </w:rPr>
            </w:pPr>
            <w:r w:rsidRPr="009F5BAC">
              <w:rPr>
                <w:rFonts w:cs="Arial"/>
                <w:b/>
                <w:bCs/>
                <w:sz w:val="20"/>
                <w:lang w:eastAsia="es-MX"/>
              </w:rPr>
              <w:t>Condición de ocupación</w:t>
            </w:r>
          </w:p>
        </w:tc>
        <w:tc>
          <w:tcPr>
            <w:tcW w:w="880" w:type="dxa"/>
            <w:tcBorders>
              <w:top w:val="nil"/>
              <w:left w:val="nil"/>
              <w:bottom w:val="nil"/>
              <w:right w:val="nil"/>
            </w:tcBorders>
            <w:shd w:val="clear" w:color="auto" w:fill="99C5CC"/>
            <w:vAlign w:val="center"/>
            <w:hideMark/>
          </w:tcPr>
          <w:p w14:paraId="0DE941A2" w14:textId="77777777" w:rsidR="009E086F" w:rsidRPr="009F5BAC" w:rsidRDefault="009E086F" w:rsidP="00562DA7">
            <w:pPr>
              <w:widowControl/>
              <w:jc w:val="center"/>
              <w:rPr>
                <w:rFonts w:cs="Arial"/>
                <w:b/>
                <w:bCs/>
                <w:color w:val="000000"/>
                <w:sz w:val="20"/>
                <w:lang w:eastAsia="es-MX"/>
              </w:rPr>
            </w:pPr>
            <w:r w:rsidRPr="009F5BAC">
              <w:rPr>
                <w:rFonts w:cs="Arial"/>
                <w:b/>
                <w:bCs/>
                <w:sz w:val="20"/>
                <w:lang w:eastAsia="es-MX"/>
              </w:rPr>
              <w:t>1.7</w:t>
            </w:r>
          </w:p>
        </w:tc>
        <w:tc>
          <w:tcPr>
            <w:tcW w:w="1140" w:type="dxa"/>
            <w:tcBorders>
              <w:top w:val="nil"/>
              <w:left w:val="nil"/>
              <w:bottom w:val="nil"/>
              <w:right w:val="nil"/>
            </w:tcBorders>
            <w:shd w:val="clear" w:color="auto" w:fill="99C5CC"/>
            <w:vAlign w:val="center"/>
            <w:hideMark/>
          </w:tcPr>
          <w:p w14:paraId="48879288" w14:textId="77777777" w:rsidR="009E086F" w:rsidRPr="009F5BAC" w:rsidRDefault="009E086F" w:rsidP="00562DA7">
            <w:pPr>
              <w:widowControl/>
              <w:jc w:val="center"/>
              <w:rPr>
                <w:rFonts w:cs="Arial"/>
                <w:b/>
                <w:bCs/>
                <w:color w:val="000000"/>
                <w:sz w:val="20"/>
                <w:lang w:eastAsia="es-MX"/>
              </w:rPr>
            </w:pPr>
            <w:r w:rsidRPr="009F5BAC">
              <w:rPr>
                <w:rFonts w:cs="Arial"/>
                <w:b/>
                <w:bCs/>
                <w:sz w:val="20"/>
                <w:lang w:eastAsia="es-MX"/>
              </w:rPr>
              <w:t>1.2</w:t>
            </w:r>
          </w:p>
        </w:tc>
        <w:tc>
          <w:tcPr>
            <w:tcW w:w="1134" w:type="dxa"/>
            <w:tcBorders>
              <w:top w:val="nil"/>
              <w:left w:val="nil"/>
              <w:bottom w:val="nil"/>
              <w:right w:val="nil"/>
            </w:tcBorders>
            <w:shd w:val="clear" w:color="auto" w:fill="99C5CC"/>
            <w:vAlign w:val="center"/>
            <w:hideMark/>
          </w:tcPr>
          <w:p w14:paraId="140D4B78" w14:textId="77777777" w:rsidR="009E086F" w:rsidRPr="009F5BAC" w:rsidRDefault="009E086F" w:rsidP="00562DA7">
            <w:pPr>
              <w:widowControl/>
              <w:jc w:val="center"/>
              <w:rPr>
                <w:rFonts w:cs="Arial"/>
                <w:b/>
                <w:bCs/>
                <w:color w:val="000000"/>
                <w:sz w:val="20"/>
                <w:lang w:eastAsia="es-MX"/>
              </w:rPr>
            </w:pPr>
            <w:r w:rsidRPr="009F5BAC">
              <w:rPr>
                <w:rFonts w:cs="Arial"/>
                <w:b/>
                <w:bCs/>
                <w:sz w:val="20"/>
                <w:lang w:eastAsia="es-MX"/>
              </w:rPr>
              <w:t>0.5</w:t>
            </w:r>
          </w:p>
        </w:tc>
        <w:tc>
          <w:tcPr>
            <w:tcW w:w="1134" w:type="dxa"/>
            <w:tcBorders>
              <w:top w:val="nil"/>
              <w:left w:val="nil"/>
              <w:bottom w:val="nil"/>
              <w:right w:val="nil"/>
            </w:tcBorders>
            <w:shd w:val="clear" w:color="auto" w:fill="99C5CC"/>
            <w:vAlign w:val="center"/>
            <w:hideMark/>
          </w:tcPr>
          <w:p w14:paraId="5D14E8D3" w14:textId="77777777" w:rsidR="009E086F" w:rsidRPr="009F5BAC" w:rsidRDefault="009E086F" w:rsidP="00562DA7">
            <w:pPr>
              <w:widowControl/>
              <w:jc w:val="center"/>
              <w:rPr>
                <w:rFonts w:cs="Arial"/>
                <w:b/>
                <w:bCs/>
                <w:color w:val="000000"/>
                <w:sz w:val="20"/>
                <w:lang w:eastAsia="es-MX"/>
              </w:rPr>
            </w:pPr>
            <w:r w:rsidRPr="009F5BAC">
              <w:rPr>
                <w:rFonts w:cs="Arial"/>
                <w:b/>
                <w:bCs/>
                <w:sz w:val="20"/>
                <w:lang w:eastAsia="es-MX"/>
              </w:rPr>
              <w:t>100.0</w:t>
            </w:r>
          </w:p>
        </w:tc>
        <w:tc>
          <w:tcPr>
            <w:tcW w:w="1276" w:type="dxa"/>
            <w:tcBorders>
              <w:top w:val="nil"/>
              <w:left w:val="nil"/>
              <w:bottom w:val="nil"/>
              <w:right w:val="nil"/>
            </w:tcBorders>
            <w:shd w:val="clear" w:color="auto" w:fill="99C5CC"/>
            <w:vAlign w:val="center"/>
            <w:hideMark/>
          </w:tcPr>
          <w:p w14:paraId="0634C344" w14:textId="77777777" w:rsidR="009E086F" w:rsidRPr="009F5BAC" w:rsidRDefault="009E086F" w:rsidP="00562DA7">
            <w:pPr>
              <w:widowControl/>
              <w:jc w:val="center"/>
              <w:rPr>
                <w:rFonts w:cs="Arial"/>
                <w:b/>
                <w:bCs/>
                <w:color w:val="000000"/>
                <w:sz w:val="20"/>
                <w:lang w:eastAsia="es-MX"/>
              </w:rPr>
            </w:pPr>
            <w:r w:rsidRPr="009F5BAC">
              <w:rPr>
                <w:rFonts w:cs="Arial"/>
                <w:b/>
                <w:bCs/>
                <w:sz w:val="20"/>
                <w:lang w:eastAsia="es-MX"/>
              </w:rPr>
              <w:t>100.0</w:t>
            </w:r>
          </w:p>
        </w:tc>
        <w:tc>
          <w:tcPr>
            <w:tcW w:w="1559" w:type="dxa"/>
            <w:tcBorders>
              <w:top w:val="nil"/>
              <w:left w:val="nil"/>
              <w:bottom w:val="nil"/>
              <w:right w:val="nil"/>
            </w:tcBorders>
            <w:shd w:val="clear" w:color="auto" w:fill="99C5CC"/>
            <w:vAlign w:val="center"/>
            <w:hideMark/>
          </w:tcPr>
          <w:p w14:paraId="3133CEA9" w14:textId="77777777" w:rsidR="009E086F" w:rsidRPr="009F5BAC" w:rsidRDefault="009E086F" w:rsidP="00562DA7">
            <w:pPr>
              <w:widowControl/>
              <w:jc w:val="center"/>
              <w:rPr>
                <w:rFonts w:cs="Arial"/>
                <w:b/>
                <w:bCs/>
                <w:color w:val="000000"/>
                <w:sz w:val="20"/>
                <w:lang w:eastAsia="es-MX"/>
              </w:rPr>
            </w:pPr>
            <w:r w:rsidRPr="009F5BAC">
              <w:rPr>
                <w:rFonts w:cs="Arial"/>
                <w:b/>
                <w:bCs/>
                <w:sz w:val="20"/>
                <w:lang w:eastAsia="es-MX"/>
              </w:rPr>
              <w:t>100.0</w:t>
            </w:r>
          </w:p>
        </w:tc>
      </w:tr>
      <w:tr w:rsidR="009E086F" w:rsidRPr="009F5BAC" w14:paraId="43646348" w14:textId="77777777" w:rsidTr="00562DA7">
        <w:trPr>
          <w:trHeight w:val="300"/>
        </w:trPr>
        <w:tc>
          <w:tcPr>
            <w:tcW w:w="220" w:type="dxa"/>
            <w:tcBorders>
              <w:top w:val="nil"/>
              <w:left w:val="nil"/>
              <w:right w:val="nil"/>
            </w:tcBorders>
            <w:shd w:val="clear" w:color="auto" w:fill="CCE2E6"/>
            <w:vAlign w:val="center"/>
            <w:hideMark/>
          </w:tcPr>
          <w:p w14:paraId="35790590" w14:textId="77777777" w:rsidR="009E086F" w:rsidRPr="009F5BAC" w:rsidRDefault="009E086F" w:rsidP="00562DA7">
            <w:pPr>
              <w:widowControl/>
              <w:jc w:val="left"/>
              <w:rPr>
                <w:rFonts w:cs="Arial"/>
                <w:color w:val="000000"/>
                <w:sz w:val="20"/>
                <w:lang w:eastAsia="es-MX"/>
              </w:rPr>
            </w:pPr>
            <w:r w:rsidRPr="009F5BAC">
              <w:rPr>
                <w:rFonts w:cs="Arial"/>
                <w:color w:val="000000"/>
                <w:sz w:val="20"/>
                <w:lang w:eastAsia="es-MX"/>
              </w:rPr>
              <w:t> </w:t>
            </w:r>
          </w:p>
        </w:tc>
        <w:tc>
          <w:tcPr>
            <w:tcW w:w="2580" w:type="dxa"/>
            <w:tcBorders>
              <w:top w:val="nil"/>
              <w:left w:val="nil"/>
              <w:right w:val="nil"/>
            </w:tcBorders>
            <w:shd w:val="clear" w:color="auto" w:fill="CCE2E6"/>
            <w:vAlign w:val="center"/>
            <w:hideMark/>
          </w:tcPr>
          <w:p w14:paraId="7ED74837" w14:textId="77777777" w:rsidR="009E086F" w:rsidRPr="009F5BAC" w:rsidRDefault="009E086F" w:rsidP="00562DA7">
            <w:pPr>
              <w:widowControl/>
              <w:jc w:val="left"/>
              <w:rPr>
                <w:rFonts w:cs="Arial"/>
                <w:color w:val="000000"/>
                <w:sz w:val="20"/>
                <w:lang w:eastAsia="es-MX"/>
              </w:rPr>
            </w:pPr>
            <w:r w:rsidRPr="009F5BAC">
              <w:rPr>
                <w:rFonts w:cs="Arial"/>
                <w:sz w:val="20"/>
                <w:lang w:eastAsia="es-MX"/>
              </w:rPr>
              <w:t>Ocupado</w:t>
            </w:r>
          </w:p>
        </w:tc>
        <w:tc>
          <w:tcPr>
            <w:tcW w:w="880" w:type="dxa"/>
            <w:tcBorders>
              <w:top w:val="nil"/>
              <w:left w:val="nil"/>
              <w:right w:val="nil"/>
            </w:tcBorders>
            <w:shd w:val="clear" w:color="auto" w:fill="CCE2E6"/>
            <w:vAlign w:val="center"/>
            <w:hideMark/>
          </w:tcPr>
          <w:p w14:paraId="23FA5D32" w14:textId="77777777" w:rsidR="009E086F" w:rsidRPr="009F5BAC" w:rsidRDefault="009E086F" w:rsidP="00562DA7">
            <w:pPr>
              <w:widowControl/>
              <w:jc w:val="center"/>
              <w:rPr>
                <w:rFonts w:cs="Arial"/>
                <w:color w:val="000000"/>
                <w:sz w:val="20"/>
                <w:lang w:eastAsia="es-MX"/>
              </w:rPr>
            </w:pPr>
            <w:r w:rsidRPr="009F5BAC">
              <w:rPr>
                <w:rFonts w:cs="Arial"/>
                <w:sz w:val="20"/>
                <w:lang w:eastAsia="es-MX"/>
              </w:rPr>
              <w:t>1.4</w:t>
            </w:r>
          </w:p>
        </w:tc>
        <w:tc>
          <w:tcPr>
            <w:tcW w:w="1140" w:type="dxa"/>
            <w:tcBorders>
              <w:top w:val="nil"/>
              <w:left w:val="nil"/>
              <w:right w:val="nil"/>
            </w:tcBorders>
            <w:shd w:val="clear" w:color="auto" w:fill="CCE2E6"/>
            <w:vAlign w:val="center"/>
            <w:hideMark/>
          </w:tcPr>
          <w:p w14:paraId="56D5FA57" w14:textId="77777777" w:rsidR="009E086F" w:rsidRPr="009F5BAC" w:rsidRDefault="009E086F" w:rsidP="00562DA7">
            <w:pPr>
              <w:widowControl/>
              <w:jc w:val="center"/>
              <w:rPr>
                <w:rFonts w:cs="Arial"/>
                <w:color w:val="000000"/>
                <w:sz w:val="20"/>
                <w:lang w:eastAsia="es-MX"/>
              </w:rPr>
            </w:pPr>
            <w:r w:rsidRPr="009F5BAC">
              <w:rPr>
                <w:rFonts w:cs="Arial"/>
                <w:sz w:val="20"/>
                <w:lang w:eastAsia="es-MX"/>
              </w:rPr>
              <w:t>1.1</w:t>
            </w:r>
          </w:p>
        </w:tc>
        <w:tc>
          <w:tcPr>
            <w:tcW w:w="1134" w:type="dxa"/>
            <w:tcBorders>
              <w:top w:val="nil"/>
              <w:left w:val="nil"/>
              <w:right w:val="nil"/>
            </w:tcBorders>
            <w:shd w:val="clear" w:color="auto" w:fill="CCE2E6"/>
            <w:vAlign w:val="center"/>
            <w:hideMark/>
          </w:tcPr>
          <w:p w14:paraId="69F1B7C4" w14:textId="77777777" w:rsidR="009E086F" w:rsidRPr="009F5BAC" w:rsidRDefault="009E086F" w:rsidP="00562DA7">
            <w:pPr>
              <w:widowControl/>
              <w:jc w:val="center"/>
              <w:rPr>
                <w:rFonts w:cs="Arial"/>
                <w:color w:val="000000"/>
                <w:sz w:val="20"/>
                <w:lang w:eastAsia="es-MX"/>
              </w:rPr>
            </w:pPr>
            <w:r w:rsidRPr="009F5BAC">
              <w:rPr>
                <w:rFonts w:cs="Arial"/>
                <w:sz w:val="20"/>
                <w:lang w:eastAsia="es-MX"/>
              </w:rPr>
              <w:t>0.3</w:t>
            </w:r>
          </w:p>
        </w:tc>
        <w:tc>
          <w:tcPr>
            <w:tcW w:w="1134" w:type="dxa"/>
            <w:tcBorders>
              <w:top w:val="nil"/>
              <w:left w:val="nil"/>
              <w:right w:val="nil"/>
            </w:tcBorders>
            <w:shd w:val="clear" w:color="auto" w:fill="CCE2E6"/>
            <w:vAlign w:val="center"/>
            <w:hideMark/>
          </w:tcPr>
          <w:p w14:paraId="7923C413" w14:textId="77777777" w:rsidR="009E086F" w:rsidRPr="009F5BAC" w:rsidRDefault="009E086F" w:rsidP="00562DA7">
            <w:pPr>
              <w:widowControl/>
              <w:jc w:val="center"/>
              <w:rPr>
                <w:rFonts w:cs="Arial"/>
                <w:color w:val="000000"/>
                <w:sz w:val="20"/>
                <w:lang w:eastAsia="es-MX"/>
              </w:rPr>
            </w:pPr>
            <w:r w:rsidRPr="009F5BAC">
              <w:rPr>
                <w:rFonts w:cs="Arial"/>
                <w:sz w:val="20"/>
                <w:lang w:eastAsia="es-MX"/>
              </w:rPr>
              <w:t>82.5</w:t>
            </w:r>
          </w:p>
        </w:tc>
        <w:tc>
          <w:tcPr>
            <w:tcW w:w="1276" w:type="dxa"/>
            <w:tcBorders>
              <w:top w:val="nil"/>
              <w:left w:val="nil"/>
              <w:right w:val="nil"/>
            </w:tcBorders>
            <w:shd w:val="clear" w:color="auto" w:fill="CCE2E6"/>
            <w:vAlign w:val="center"/>
            <w:hideMark/>
          </w:tcPr>
          <w:p w14:paraId="6C25FFFD" w14:textId="77777777" w:rsidR="009E086F" w:rsidRPr="009F5BAC" w:rsidRDefault="009E086F" w:rsidP="00562DA7">
            <w:pPr>
              <w:widowControl/>
              <w:jc w:val="center"/>
              <w:rPr>
                <w:rFonts w:cs="Arial"/>
                <w:color w:val="000000"/>
                <w:sz w:val="20"/>
                <w:lang w:eastAsia="es-MX"/>
              </w:rPr>
            </w:pPr>
            <w:r w:rsidRPr="009F5BAC">
              <w:rPr>
                <w:rFonts w:cs="Arial"/>
                <w:sz w:val="20"/>
                <w:lang w:eastAsia="es-MX"/>
              </w:rPr>
              <w:t>90.0</w:t>
            </w:r>
          </w:p>
        </w:tc>
        <w:tc>
          <w:tcPr>
            <w:tcW w:w="1559" w:type="dxa"/>
            <w:tcBorders>
              <w:top w:val="nil"/>
              <w:left w:val="nil"/>
              <w:right w:val="nil"/>
            </w:tcBorders>
            <w:shd w:val="clear" w:color="auto" w:fill="CCE2E6"/>
            <w:vAlign w:val="center"/>
            <w:hideMark/>
          </w:tcPr>
          <w:p w14:paraId="08DA8D1E" w14:textId="77777777" w:rsidR="009E086F" w:rsidRPr="009F5BAC" w:rsidRDefault="009E086F" w:rsidP="00562DA7">
            <w:pPr>
              <w:widowControl/>
              <w:jc w:val="center"/>
              <w:rPr>
                <w:rFonts w:cs="Arial"/>
                <w:color w:val="000000"/>
                <w:sz w:val="20"/>
                <w:lang w:eastAsia="es-MX"/>
              </w:rPr>
            </w:pPr>
            <w:r w:rsidRPr="009F5BAC">
              <w:rPr>
                <w:rFonts w:cs="Arial"/>
                <w:sz w:val="20"/>
                <w:lang w:eastAsia="es-MX"/>
              </w:rPr>
              <w:t>64.8</w:t>
            </w:r>
          </w:p>
        </w:tc>
      </w:tr>
      <w:tr w:rsidR="009E086F" w:rsidRPr="009F5BAC" w14:paraId="15623F5D" w14:textId="77777777" w:rsidTr="00562DA7">
        <w:trPr>
          <w:trHeight w:val="300"/>
        </w:trPr>
        <w:tc>
          <w:tcPr>
            <w:tcW w:w="220" w:type="dxa"/>
            <w:tcBorders>
              <w:top w:val="nil"/>
              <w:left w:val="nil"/>
              <w:right w:val="nil"/>
            </w:tcBorders>
            <w:shd w:val="clear" w:color="auto" w:fill="CCE2E6"/>
            <w:vAlign w:val="center"/>
            <w:hideMark/>
          </w:tcPr>
          <w:p w14:paraId="7D41A183" w14:textId="77777777" w:rsidR="009E086F" w:rsidRPr="009F5BAC" w:rsidRDefault="009E086F" w:rsidP="00562DA7">
            <w:pPr>
              <w:widowControl/>
              <w:jc w:val="left"/>
              <w:rPr>
                <w:rFonts w:cs="Arial"/>
                <w:color w:val="000000"/>
                <w:sz w:val="20"/>
                <w:lang w:eastAsia="es-MX"/>
              </w:rPr>
            </w:pPr>
            <w:r w:rsidRPr="009F5BAC">
              <w:rPr>
                <w:rFonts w:cs="Arial"/>
                <w:color w:val="000000"/>
                <w:sz w:val="20"/>
                <w:lang w:eastAsia="es-MX"/>
              </w:rPr>
              <w:t> </w:t>
            </w:r>
          </w:p>
        </w:tc>
        <w:tc>
          <w:tcPr>
            <w:tcW w:w="2580" w:type="dxa"/>
            <w:tcBorders>
              <w:top w:val="nil"/>
              <w:left w:val="nil"/>
              <w:right w:val="nil"/>
            </w:tcBorders>
            <w:shd w:val="clear" w:color="auto" w:fill="CCE2E6"/>
            <w:vAlign w:val="center"/>
            <w:hideMark/>
          </w:tcPr>
          <w:p w14:paraId="59DE0F0E" w14:textId="77777777" w:rsidR="009E086F" w:rsidRPr="009F5BAC" w:rsidRDefault="009E086F" w:rsidP="00562DA7">
            <w:pPr>
              <w:widowControl/>
              <w:jc w:val="left"/>
              <w:rPr>
                <w:rFonts w:cs="Arial"/>
                <w:color w:val="000000"/>
                <w:sz w:val="20"/>
                <w:lang w:eastAsia="es-MX"/>
              </w:rPr>
            </w:pPr>
            <w:r w:rsidRPr="009F5BAC">
              <w:rPr>
                <w:rFonts w:cs="Arial"/>
                <w:sz w:val="20"/>
                <w:lang w:eastAsia="es-MX"/>
              </w:rPr>
              <w:t>No ocupado</w:t>
            </w:r>
          </w:p>
        </w:tc>
        <w:tc>
          <w:tcPr>
            <w:tcW w:w="880" w:type="dxa"/>
            <w:tcBorders>
              <w:top w:val="nil"/>
              <w:left w:val="nil"/>
              <w:right w:val="nil"/>
            </w:tcBorders>
            <w:shd w:val="clear" w:color="auto" w:fill="CCE2E6"/>
            <w:vAlign w:val="center"/>
            <w:hideMark/>
          </w:tcPr>
          <w:p w14:paraId="36F47EA7" w14:textId="77777777" w:rsidR="009E086F" w:rsidRPr="009F5BAC" w:rsidRDefault="009E086F" w:rsidP="00562DA7">
            <w:pPr>
              <w:widowControl/>
              <w:jc w:val="center"/>
              <w:rPr>
                <w:rFonts w:cs="Arial"/>
                <w:color w:val="000000"/>
                <w:sz w:val="20"/>
                <w:lang w:eastAsia="es-MX"/>
              </w:rPr>
            </w:pPr>
            <w:r w:rsidRPr="009F5BAC">
              <w:rPr>
                <w:rFonts w:cs="Arial"/>
                <w:sz w:val="20"/>
                <w:lang w:eastAsia="es-MX"/>
              </w:rPr>
              <w:t>0.3</w:t>
            </w:r>
          </w:p>
        </w:tc>
        <w:tc>
          <w:tcPr>
            <w:tcW w:w="1140" w:type="dxa"/>
            <w:tcBorders>
              <w:top w:val="nil"/>
              <w:left w:val="nil"/>
              <w:right w:val="nil"/>
            </w:tcBorders>
            <w:shd w:val="clear" w:color="auto" w:fill="CCE2E6"/>
            <w:vAlign w:val="center"/>
            <w:hideMark/>
          </w:tcPr>
          <w:p w14:paraId="5CAB9C17" w14:textId="77777777" w:rsidR="009E086F" w:rsidRPr="009F5BAC" w:rsidRDefault="009E086F" w:rsidP="00562DA7">
            <w:pPr>
              <w:widowControl/>
              <w:jc w:val="center"/>
              <w:rPr>
                <w:rFonts w:cs="Arial"/>
                <w:color w:val="000000"/>
                <w:sz w:val="20"/>
                <w:lang w:eastAsia="es-MX"/>
              </w:rPr>
            </w:pPr>
            <w:r w:rsidRPr="009F5BAC">
              <w:rPr>
                <w:rFonts w:cs="Arial"/>
                <w:sz w:val="20"/>
                <w:lang w:eastAsia="es-MX"/>
              </w:rPr>
              <w:t>0.1</w:t>
            </w:r>
          </w:p>
        </w:tc>
        <w:tc>
          <w:tcPr>
            <w:tcW w:w="1134" w:type="dxa"/>
            <w:tcBorders>
              <w:top w:val="nil"/>
              <w:left w:val="nil"/>
              <w:right w:val="nil"/>
            </w:tcBorders>
            <w:shd w:val="clear" w:color="auto" w:fill="CCE2E6"/>
            <w:vAlign w:val="center"/>
            <w:hideMark/>
          </w:tcPr>
          <w:p w14:paraId="3E900CE0" w14:textId="77777777" w:rsidR="009E086F" w:rsidRPr="009F5BAC" w:rsidRDefault="009E086F" w:rsidP="00562DA7">
            <w:pPr>
              <w:widowControl/>
              <w:jc w:val="center"/>
              <w:rPr>
                <w:rFonts w:cs="Arial"/>
                <w:color w:val="000000"/>
                <w:sz w:val="20"/>
                <w:lang w:eastAsia="es-MX"/>
              </w:rPr>
            </w:pPr>
            <w:r w:rsidRPr="009F5BAC">
              <w:rPr>
                <w:rFonts w:cs="Arial"/>
                <w:sz w:val="20"/>
                <w:lang w:eastAsia="es-MX"/>
              </w:rPr>
              <w:t>0.2</w:t>
            </w:r>
          </w:p>
        </w:tc>
        <w:tc>
          <w:tcPr>
            <w:tcW w:w="1134" w:type="dxa"/>
            <w:tcBorders>
              <w:top w:val="nil"/>
              <w:left w:val="nil"/>
              <w:right w:val="nil"/>
            </w:tcBorders>
            <w:shd w:val="clear" w:color="auto" w:fill="CCE2E6"/>
            <w:vAlign w:val="center"/>
            <w:hideMark/>
          </w:tcPr>
          <w:p w14:paraId="374AC425" w14:textId="77777777" w:rsidR="009E086F" w:rsidRPr="009F5BAC" w:rsidRDefault="009E086F" w:rsidP="00562DA7">
            <w:pPr>
              <w:widowControl/>
              <w:jc w:val="center"/>
              <w:rPr>
                <w:rFonts w:cs="Arial"/>
                <w:color w:val="000000"/>
                <w:sz w:val="20"/>
                <w:lang w:eastAsia="es-MX"/>
              </w:rPr>
            </w:pPr>
            <w:r w:rsidRPr="009F5BAC">
              <w:rPr>
                <w:rFonts w:cs="Arial"/>
                <w:sz w:val="20"/>
                <w:lang w:eastAsia="es-MX"/>
              </w:rPr>
              <w:t>17.5</w:t>
            </w:r>
          </w:p>
        </w:tc>
        <w:tc>
          <w:tcPr>
            <w:tcW w:w="1276" w:type="dxa"/>
            <w:tcBorders>
              <w:top w:val="nil"/>
              <w:left w:val="nil"/>
              <w:right w:val="nil"/>
            </w:tcBorders>
            <w:shd w:val="clear" w:color="auto" w:fill="CCE2E6"/>
            <w:vAlign w:val="center"/>
            <w:hideMark/>
          </w:tcPr>
          <w:p w14:paraId="4A537FF4" w14:textId="77777777" w:rsidR="009E086F" w:rsidRPr="009F5BAC" w:rsidRDefault="009E086F" w:rsidP="00562DA7">
            <w:pPr>
              <w:widowControl/>
              <w:jc w:val="center"/>
              <w:rPr>
                <w:rFonts w:cs="Arial"/>
                <w:color w:val="000000"/>
                <w:sz w:val="20"/>
                <w:lang w:eastAsia="es-MX"/>
              </w:rPr>
            </w:pPr>
            <w:r w:rsidRPr="009F5BAC">
              <w:rPr>
                <w:rFonts w:cs="Arial"/>
                <w:sz w:val="20"/>
                <w:lang w:eastAsia="es-MX"/>
              </w:rPr>
              <w:t>10.0</w:t>
            </w:r>
          </w:p>
        </w:tc>
        <w:tc>
          <w:tcPr>
            <w:tcW w:w="1559" w:type="dxa"/>
            <w:tcBorders>
              <w:top w:val="nil"/>
              <w:left w:val="nil"/>
              <w:right w:val="nil"/>
            </w:tcBorders>
            <w:shd w:val="clear" w:color="auto" w:fill="CCE2E6"/>
            <w:vAlign w:val="center"/>
            <w:hideMark/>
          </w:tcPr>
          <w:p w14:paraId="00609C8B" w14:textId="77777777" w:rsidR="009E086F" w:rsidRPr="009F5BAC" w:rsidRDefault="009E086F" w:rsidP="00562DA7">
            <w:pPr>
              <w:widowControl/>
              <w:jc w:val="center"/>
              <w:rPr>
                <w:rFonts w:cs="Arial"/>
                <w:color w:val="000000"/>
                <w:sz w:val="20"/>
                <w:lang w:eastAsia="es-MX"/>
              </w:rPr>
            </w:pPr>
            <w:r w:rsidRPr="009F5BAC">
              <w:rPr>
                <w:rFonts w:cs="Arial"/>
                <w:sz w:val="20"/>
                <w:lang w:eastAsia="es-MX"/>
              </w:rPr>
              <w:t>35.2</w:t>
            </w:r>
          </w:p>
        </w:tc>
      </w:tr>
    </w:tbl>
    <w:p w14:paraId="75259578" w14:textId="5CED29AC" w:rsidR="009E086F" w:rsidRPr="00560388" w:rsidRDefault="009E086F" w:rsidP="009E086F">
      <w:pPr>
        <w:widowControl/>
        <w:autoSpaceDE w:val="0"/>
        <w:autoSpaceDN w:val="0"/>
        <w:adjustRightInd w:val="0"/>
        <w:rPr>
          <w:rFonts w:cs="Arial"/>
          <w:sz w:val="16"/>
          <w:szCs w:val="16"/>
        </w:rPr>
      </w:pPr>
      <w:r w:rsidRPr="00560388">
        <w:rPr>
          <w:rFonts w:cs="Arial"/>
          <w:color w:val="000000" w:themeColor="text1"/>
          <w:sz w:val="16"/>
          <w:szCs w:val="16"/>
        </w:rPr>
        <w:t>Fuente: INEGI, ENTI. 2022.</w:t>
      </w:r>
    </w:p>
    <w:p w14:paraId="5510DB96" w14:textId="77777777" w:rsidR="009E086F" w:rsidRDefault="009E086F" w:rsidP="00114F00">
      <w:pPr>
        <w:widowControl/>
        <w:autoSpaceDE w:val="0"/>
        <w:autoSpaceDN w:val="0"/>
        <w:adjustRightInd w:val="0"/>
        <w:rPr>
          <w:rFonts w:cs="Arial"/>
          <w:color w:val="000000"/>
          <w:szCs w:val="24"/>
        </w:rPr>
      </w:pPr>
    </w:p>
    <w:p w14:paraId="365159C1" w14:textId="72DA125F" w:rsidR="00CB1FB7" w:rsidRPr="00D03EF4" w:rsidRDefault="00AC2F17" w:rsidP="000E1EBC">
      <w:pPr>
        <w:widowControl/>
        <w:autoSpaceDE w:val="0"/>
        <w:autoSpaceDN w:val="0"/>
        <w:adjustRightInd w:val="0"/>
        <w:ind w:right="51"/>
        <w:rPr>
          <w:rFonts w:cs="Arial"/>
          <w:color w:val="000000"/>
          <w:szCs w:val="24"/>
        </w:rPr>
      </w:pPr>
      <w:r w:rsidRPr="00D03EF4">
        <w:rPr>
          <w:rFonts w:cs="Arial"/>
          <w:color w:val="000000"/>
          <w:szCs w:val="24"/>
        </w:rPr>
        <w:t xml:space="preserve">Los </w:t>
      </w:r>
      <w:r w:rsidR="00CB1FB7" w:rsidRPr="00D03EF4">
        <w:rPr>
          <w:rFonts w:cs="Arial"/>
          <w:color w:val="000000"/>
          <w:szCs w:val="24"/>
        </w:rPr>
        <w:t>hogares familiares nucleares</w:t>
      </w:r>
      <w:r w:rsidRPr="00D03EF4">
        <w:rPr>
          <w:rFonts w:cs="Arial"/>
          <w:color w:val="000000"/>
          <w:szCs w:val="24"/>
        </w:rPr>
        <w:t xml:space="preserve"> </w:t>
      </w:r>
      <w:r w:rsidR="005D1CE1" w:rsidRPr="00D03EF4">
        <w:rPr>
          <w:rFonts w:cs="Arial"/>
          <w:color w:val="000000"/>
          <w:szCs w:val="24"/>
        </w:rPr>
        <w:t xml:space="preserve">con quehaceres domésticos en condiciones no adecuadas </w:t>
      </w:r>
      <w:r w:rsidRPr="00D03EF4">
        <w:rPr>
          <w:rFonts w:cs="Arial"/>
          <w:color w:val="000000"/>
          <w:szCs w:val="24"/>
        </w:rPr>
        <w:t>fueron 1.1 millones (66.5 %)</w:t>
      </w:r>
      <w:r w:rsidR="00CB1FB7" w:rsidRPr="00D03EF4">
        <w:rPr>
          <w:rFonts w:cs="Arial"/>
          <w:color w:val="000000"/>
          <w:szCs w:val="24"/>
        </w:rPr>
        <w:t>, mientras que 0.</w:t>
      </w:r>
      <w:r w:rsidRPr="00D03EF4">
        <w:rPr>
          <w:rFonts w:cs="Arial"/>
          <w:color w:val="000000"/>
          <w:szCs w:val="24"/>
        </w:rPr>
        <w:t>6</w:t>
      </w:r>
      <w:r w:rsidR="00CB1FB7" w:rsidRPr="00D03EF4">
        <w:rPr>
          <w:rFonts w:cs="Arial"/>
          <w:color w:val="000000"/>
          <w:szCs w:val="24"/>
        </w:rPr>
        <w:t xml:space="preserve"> millones </w:t>
      </w:r>
      <w:r w:rsidRPr="00D03EF4">
        <w:rPr>
          <w:rFonts w:cs="Arial"/>
          <w:color w:val="000000"/>
          <w:szCs w:val="24"/>
        </w:rPr>
        <w:t xml:space="preserve">(33.5 %) </w:t>
      </w:r>
      <w:r w:rsidR="00CB1FB7" w:rsidRPr="00D03EF4">
        <w:rPr>
          <w:rFonts w:cs="Arial"/>
          <w:color w:val="000000"/>
          <w:szCs w:val="24"/>
        </w:rPr>
        <w:t>fueron hogares no nucleares</w:t>
      </w:r>
      <w:r w:rsidRPr="00D03EF4">
        <w:rPr>
          <w:rFonts w:cs="Arial"/>
          <w:color w:val="000000"/>
          <w:szCs w:val="24"/>
        </w:rPr>
        <w:t>. Asimismo, d</w:t>
      </w:r>
      <w:r w:rsidR="00CB1FB7" w:rsidRPr="00D03EF4">
        <w:rPr>
          <w:rFonts w:cs="Arial"/>
          <w:color w:val="000000"/>
          <w:szCs w:val="24"/>
        </w:rPr>
        <w:t>el total de hogares nucleares</w:t>
      </w:r>
      <w:r w:rsidRPr="00D03EF4">
        <w:rPr>
          <w:rFonts w:cs="Arial"/>
          <w:color w:val="000000"/>
          <w:szCs w:val="24"/>
        </w:rPr>
        <w:t xml:space="preserve"> con </w:t>
      </w:r>
      <w:r w:rsidR="00D92FDD" w:rsidRPr="00D03EF4">
        <w:rPr>
          <w:rFonts w:cs="Arial"/>
          <w:color w:val="000000"/>
          <w:szCs w:val="24"/>
        </w:rPr>
        <w:t>población de 5 a 17 años</w:t>
      </w:r>
      <w:r w:rsidRPr="00D03EF4">
        <w:rPr>
          <w:rFonts w:cs="Arial"/>
          <w:color w:val="000000"/>
          <w:szCs w:val="24"/>
        </w:rPr>
        <w:t xml:space="preserve"> que realizó quehaceres domésticos en condiciones no adecuadas</w:t>
      </w:r>
      <w:r w:rsidR="00CB1FB7" w:rsidRPr="00D03EF4">
        <w:rPr>
          <w:rFonts w:cs="Arial"/>
          <w:color w:val="000000"/>
          <w:szCs w:val="24"/>
        </w:rPr>
        <w:t>, 0.2 millones (20</w:t>
      </w:r>
      <w:r w:rsidRPr="00D03EF4">
        <w:rPr>
          <w:rFonts w:cs="Arial"/>
          <w:color w:val="000000"/>
          <w:szCs w:val="24"/>
        </w:rPr>
        <w:t>.9</w:t>
      </w:r>
      <w:r w:rsidR="00CB1FB7" w:rsidRPr="00D03EF4">
        <w:rPr>
          <w:rFonts w:cs="Arial"/>
          <w:color w:val="000000"/>
          <w:szCs w:val="24"/>
        </w:rPr>
        <w:t xml:space="preserve"> %) fueron hogares monoparentales, es decir, la jefa o el jefe estuvo presente en el hogar y </w:t>
      </w:r>
      <w:r w:rsidRPr="00D03EF4">
        <w:rPr>
          <w:rFonts w:cs="Arial"/>
          <w:color w:val="000000"/>
          <w:szCs w:val="24"/>
        </w:rPr>
        <w:t>en 0.9</w:t>
      </w:r>
      <w:r w:rsidR="00CB1FB7" w:rsidRPr="00D03EF4">
        <w:rPr>
          <w:rFonts w:cs="Arial"/>
          <w:color w:val="000000"/>
          <w:szCs w:val="24"/>
        </w:rPr>
        <w:t xml:space="preserve"> mill</w:t>
      </w:r>
      <w:r w:rsidRPr="00D03EF4">
        <w:rPr>
          <w:rFonts w:cs="Arial"/>
          <w:color w:val="000000"/>
          <w:szCs w:val="24"/>
        </w:rPr>
        <w:t>ones</w:t>
      </w:r>
      <w:r w:rsidR="00CB1FB7" w:rsidRPr="00D03EF4">
        <w:rPr>
          <w:rFonts w:cs="Arial"/>
          <w:color w:val="000000"/>
          <w:szCs w:val="24"/>
        </w:rPr>
        <w:t xml:space="preserve"> </w:t>
      </w:r>
      <w:r w:rsidR="000E1EBC">
        <w:rPr>
          <w:rFonts w:cs="Arial"/>
          <w:color w:val="000000"/>
          <w:szCs w:val="24"/>
        </w:rPr>
        <w:br/>
      </w:r>
      <w:r w:rsidR="00CB1FB7" w:rsidRPr="00D03EF4">
        <w:rPr>
          <w:rFonts w:cs="Arial"/>
          <w:color w:val="000000"/>
          <w:szCs w:val="24"/>
        </w:rPr>
        <w:t>(</w:t>
      </w:r>
      <w:r w:rsidRPr="00D03EF4">
        <w:rPr>
          <w:rFonts w:cs="Arial"/>
          <w:color w:val="000000"/>
          <w:szCs w:val="24"/>
        </w:rPr>
        <w:t>79.1</w:t>
      </w:r>
      <w:r w:rsidR="00CB1FB7" w:rsidRPr="00D03EF4">
        <w:rPr>
          <w:rFonts w:cs="Arial"/>
          <w:color w:val="000000"/>
          <w:szCs w:val="24"/>
        </w:rPr>
        <w:t xml:space="preserve"> %) estuvieron presentes la </w:t>
      </w:r>
      <w:r w:rsidR="0054204D" w:rsidRPr="00D03EF4">
        <w:rPr>
          <w:rFonts w:cs="Arial"/>
          <w:color w:val="000000"/>
          <w:szCs w:val="24"/>
        </w:rPr>
        <w:t>pareja con o sin hijos</w:t>
      </w:r>
      <w:r w:rsidR="004E0174" w:rsidRPr="00D03EF4">
        <w:rPr>
          <w:rFonts w:cs="Arial"/>
          <w:szCs w:val="24"/>
        </w:rPr>
        <w:t xml:space="preserve"> (ver cuadro 2</w:t>
      </w:r>
      <w:r w:rsidR="004D4F9A" w:rsidRPr="00D03EF4">
        <w:rPr>
          <w:rFonts w:cs="Arial"/>
          <w:szCs w:val="24"/>
        </w:rPr>
        <w:t>8</w:t>
      </w:r>
      <w:r w:rsidR="004E0174" w:rsidRPr="00D03EF4">
        <w:rPr>
          <w:rFonts w:cs="Arial"/>
          <w:szCs w:val="24"/>
        </w:rPr>
        <w:t>).</w:t>
      </w:r>
      <w:r w:rsidR="00CB1FB7" w:rsidRPr="00D03EF4">
        <w:rPr>
          <w:rFonts w:cs="Arial"/>
          <w:color w:val="000000"/>
          <w:szCs w:val="24"/>
        </w:rPr>
        <w:t xml:space="preserve"> En particular, en los hogares monoparentales, </w:t>
      </w:r>
      <w:r w:rsidRPr="00D03EF4">
        <w:rPr>
          <w:rFonts w:cs="Arial"/>
          <w:color w:val="000000"/>
          <w:szCs w:val="24"/>
        </w:rPr>
        <w:t>89.2</w:t>
      </w:r>
      <w:r w:rsidR="00CB1FB7" w:rsidRPr="00D03EF4">
        <w:rPr>
          <w:rFonts w:cs="Arial"/>
          <w:color w:val="000000"/>
          <w:szCs w:val="24"/>
        </w:rPr>
        <w:t xml:space="preserve"> % fueron comandados por una jefa y </w:t>
      </w:r>
      <w:r w:rsidRPr="00D03EF4">
        <w:rPr>
          <w:rFonts w:cs="Arial"/>
          <w:color w:val="000000"/>
          <w:szCs w:val="24"/>
        </w:rPr>
        <w:t>10</w:t>
      </w:r>
      <w:r w:rsidR="00CB1FB7" w:rsidRPr="00D03EF4">
        <w:rPr>
          <w:rFonts w:cs="Arial"/>
          <w:color w:val="000000"/>
          <w:szCs w:val="24"/>
        </w:rPr>
        <w:t>.8</w:t>
      </w:r>
      <w:r w:rsidRPr="00D03EF4">
        <w:rPr>
          <w:rFonts w:cs="Arial"/>
          <w:color w:val="000000"/>
          <w:szCs w:val="24"/>
        </w:rPr>
        <w:t xml:space="preserve"> </w:t>
      </w:r>
      <w:r w:rsidR="00CB1FB7" w:rsidRPr="00D03EF4">
        <w:rPr>
          <w:rFonts w:cs="Arial"/>
          <w:color w:val="000000"/>
          <w:szCs w:val="24"/>
        </w:rPr>
        <w:t>%</w:t>
      </w:r>
      <w:r w:rsidR="0054204D" w:rsidRPr="00D03EF4">
        <w:rPr>
          <w:rFonts w:cs="Arial"/>
          <w:color w:val="000000"/>
          <w:szCs w:val="24"/>
        </w:rPr>
        <w:t>,</w:t>
      </w:r>
      <w:r w:rsidR="00CB1FB7" w:rsidRPr="00D03EF4">
        <w:rPr>
          <w:rFonts w:cs="Arial"/>
          <w:color w:val="000000"/>
          <w:szCs w:val="24"/>
        </w:rPr>
        <w:t xml:space="preserve"> por un jefe.</w:t>
      </w:r>
    </w:p>
    <w:p w14:paraId="19D9D1AF" w14:textId="77777777" w:rsidR="000E1EBC" w:rsidRDefault="000E1EBC" w:rsidP="000E1EBC">
      <w:pPr>
        <w:widowControl/>
        <w:jc w:val="left"/>
        <w:rPr>
          <w:rFonts w:cs="Arial"/>
          <w:color w:val="000000"/>
          <w:szCs w:val="24"/>
        </w:rPr>
      </w:pPr>
    </w:p>
    <w:p w14:paraId="3677BDF1" w14:textId="1DC140A6" w:rsidR="00660057" w:rsidRPr="000E1EBC" w:rsidRDefault="00660057" w:rsidP="000E1EBC">
      <w:pPr>
        <w:widowControl/>
        <w:jc w:val="center"/>
        <w:rPr>
          <w:rFonts w:cs="Arial"/>
          <w:color w:val="000000"/>
          <w:sz w:val="20"/>
        </w:rPr>
      </w:pPr>
      <w:r w:rsidRPr="000E1EBC">
        <w:rPr>
          <w:rFonts w:cs="Arial"/>
          <w:color w:val="000000"/>
          <w:sz w:val="20"/>
        </w:rPr>
        <w:t>Cuadro 2</w:t>
      </w:r>
      <w:r w:rsidR="002C2946" w:rsidRPr="000E1EBC">
        <w:rPr>
          <w:rFonts w:cs="Arial"/>
          <w:color w:val="000000"/>
          <w:sz w:val="20"/>
        </w:rPr>
        <w:t>8</w:t>
      </w:r>
    </w:p>
    <w:p w14:paraId="2ABE9D9E" w14:textId="77777777" w:rsidR="00660057" w:rsidRPr="000E1EBC" w:rsidRDefault="00660057" w:rsidP="000E1EBC">
      <w:pPr>
        <w:widowControl/>
        <w:autoSpaceDE w:val="0"/>
        <w:autoSpaceDN w:val="0"/>
        <w:adjustRightInd w:val="0"/>
        <w:ind w:right="51"/>
        <w:jc w:val="center"/>
        <w:rPr>
          <w:rFonts w:cs="Arial"/>
          <w:b/>
          <w:smallCaps/>
          <w:sz w:val="22"/>
          <w:szCs w:val="22"/>
        </w:rPr>
      </w:pPr>
      <w:r w:rsidRPr="000E1EBC">
        <w:rPr>
          <w:rFonts w:cs="Arial"/>
          <w:b/>
          <w:smallCaps/>
          <w:sz w:val="22"/>
          <w:szCs w:val="22"/>
        </w:rPr>
        <w:t>Hogares familiares con quehaceres domésticos en condiciones no adecuadas por clase de hogar según sexo de la persona jefa del hogar</w:t>
      </w:r>
    </w:p>
    <w:tbl>
      <w:tblPr>
        <w:tblW w:w="9781" w:type="dxa"/>
        <w:tblCellMar>
          <w:left w:w="70" w:type="dxa"/>
          <w:right w:w="70" w:type="dxa"/>
        </w:tblCellMar>
        <w:tblLook w:val="04A0" w:firstRow="1" w:lastRow="0" w:firstColumn="1" w:lastColumn="0" w:noHBand="0" w:noVBand="1"/>
      </w:tblPr>
      <w:tblGrid>
        <w:gridCol w:w="220"/>
        <w:gridCol w:w="2580"/>
        <w:gridCol w:w="880"/>
        <w:gridCol w:w="1282"/>
        <w:gridCol w:w="1134"/>
        <w:gridCol w:w="992"/>
        <w:gridCol w:w="1276"/>
        <w:gridCol w:w="1417"/>
      </w:tblGrid>
      <w:tr w:rsidR="00660057" w:rsidRPr="00170DAC" w14:paraId="61BE5BAF" w14:textId="77777777">
        <w:trPr>
          <w:trHeight w:val="510"/>
        </w:trPr>
        <w:tc>
          <w:tcPr>
            <w:tcW w:w="2800" w:type="dxa"/>
            <w:gridSpan w:val="2"/>
            <w:vMerge w:val="restart"/>
            <w:tcBorders>
              <w:top w:val="nil"/>
              <w:left w:val="nil"/>
              <w:bottom w:val="nil"/>
              <w:right w:val="nil"/>
            </w:tcBorders>
            <w:shd w:val="clear" w:color="auto" w:fill="338B99"/>
            <w:vAlign w:val="center"/>
            <w:hideMark/>
          </w:tcPr>
          <w:p w14:paraId="6DB192C8" w14:textId="6DD8D9BC" w:rsidR="00660057" w:rsidRPr="00170DAC" w:rsidRDefault="00660057" w:rsidP="00660057">
            <w:pPr>
              <w:widowControl/>
              <w:jc w:val="left"/>
              <w:rPr>
                <w:rFonts w:cs="Arial"/>
                <w:b/>
                <w:bCs/>
                <w:color w:val="FFFFFF"/>
                <w:sz w:val="20"/>
                <w:lang w:eastAsia="es-MX"/>
              </w:rPr>
            </w:pPr>
            <w:r w:rsidRPr="00170DAC">
              <w:rPr>
                <w:rFonts w:cs="Arial"/>
                <w:b/>
                <w:bCs/>
                <w:color w:val="FFFFFF"/>
                <w:sz w:val="20"/>
                <w:lang w:eastAsia="es-MX"/>
              </w:rPr>
              <w:t>Clase de hogar</w:t>
            </w:r>
          </w:p>
        </w:tc>
        <w:tc>
          <w:tcPr>
            <w:tcW w:w="3296" w:type="dxa"/>
            <w:gridSpan w:val="3"/>
            <w:tcBorders>
              <w:top w:val="nil"/>
              <w:left w:val="nil"/>
              <w:bottom w:val="single" w:sz="4" w:space="0" w:color="FFFFFF"/>
              <w:right w:val="nil"/>
            </w:tcBorders>
            <w:shd w:val="clear" w:color="auto" w:fill="338B99"/>
            <w:vAlign w:val="center"/>
            <w:hideMark/>
          </w:tcPr>
          <w:p w14:paraId="5059016F" w14:textId="52AD0D7D" w:rsidR="00660057" w:rsidRPr="00170DAC" w:rsidRDefault="00660057" w:rsidP="00660057">
            <w:pPr>
              <w:widowControl/>
              <w:jc w:val="center"/>
              <w:rPr>
                <w:rFonts w:cs="Arial"/>
                <w:b/>
                <w:bCs/>
                <w:color w:val="FFFFFF"/>
                <w:sz w:val="20"/>
                <w:lang w:eastAsia="es-MX"/>
              </w:rPr>
            </w:pPr>
            <w:r>
              <w:rPr>
                <w:rFonts w:cs="Arial"/>
                <w:b/>
                <w:bCs/>
                <w:color w:val="FFFFFF"/>
                <w:sz w:val="20"/>
                <w:lang w:eastAsia="es-MX"/>
              </w:rPr>
              <w:t>Mi</w:t>
            </w:r>
            <w:r w:rsidRPr="00253132">
              <w:rPr>
                <w:rFonts w:cs="Arial"/>
                <w:b/>
                <w:bCs/>
                <w:color w:val="FFFFFF"/>
                <w:sz w:val="20"/>
                <w:lang w:eastAsia="es-MX"/>
              </w:rPr>
              <w:t>llones de hogares</w:t>
            </w:r>
          </w:p>
        </w:tc>
        <w:tc>
          <w:tcPr>
            <w:tcW w:w="3685" w:type="dxa"/>
            <w:gridSpan w:val="3"/>
            <w:tcBorders>
              <w:top w:val="nil"/>
              <w:left w:val="nil"/>
              <w:bottom w:val="single" w:sz="4" w:space="0" w:color="FFFFFF"/>
              <w:right w:val="nil"/>
            </w:tcBorders>
            <w:shd w:val="clear" w:color="auto" w:fill="338B99"/>
            <w:vAlign w:val="center"/>
            <w:hideMark/>
          </w:tcPr>
          <w:p w14:paraId="0198E60E" w14:textId="03E0ED8A" w:rsidR="00660057" w:rsidRPr="00170DAC" w:rsidRDefault="00660057" w:rsidP="00660057">
            <w:pPr>
              <w:widowControl/>
              <w:jc w:val="center"/>
              <w:rPr>
                <w:rFonts w:cs="Arial"/>
                <w:b/>
                <w:bCs/>
                <w:color w:val="FFFFFF"/>
                <w:sz w:val="20"/>
                <w:lang w:eastAsia="es-MX"/>
              </w:rPr>
            </w:pPr>
            <w:r w:rsidRPr="00253132">
              <w:rPr>
                <w:rFonts w:cs="Arial"/>
                <w:b/>
                <w:bCs/>
                <w:color w:val="FFFFFF"/>
                <w:sz w:val="20"/>
                <w:lang w:eastAsia="es-MX"/>
              </w:rPr>
              <w:t>Distribución</w:t>
            </w:r>
            <w:r>
              <w:rPr>
                <w:rFonts w:cs="Arial"/>
                <w:b/>
                <w:bCs/>
                <w:color w:val="FFFFFF"/>
                <w:sz w:val="20"/>
                <w:lang w:eastAsia="es-MX"/>
              </w:rPr>
              <w:t xml:space="preserve"> porcentual</w:t>
            </w:r>
          </w:p>
        </w:tc>
      </w:tr>
      <w:tr w:rsidR="00660057" w:rsidRPr="00170DAC" w14:paraId="6C166774" w14:textId="77777777">
        <w:trPr>
          <w:trHeight w:val="300"/>
        </w:trPr>
        <w:tc>
          <w:tcPr>
            <w:tcW w:w="2800" w:type="dxa"/>
            <w:gridSpan w:val="2"/>
            <w:vMerge/>
            <w:tcBorders>
              <w:top w:val="nil"/>
              <w:left w:val="nil"/>
              <w:bottom w:val="nil"/>
              <w:right w:val="nil"/>
            </w:tcBorders>
            <w:shd w:val="clear" w:color="auto" w:fill="338B99"/>
            <w:vAlign w:val="center"/>
            <w:hideMark/>
          </w:tcPr>
          <w:p w14:paraId="5ED0360B" w14:textId="77777777" w:rsidR="00660057" w:rsidRPr="00170DAC" w:rsidRDefault="00660057" w:rsidP="00660057">
            <w:pPr>
              <w:widowControl/>
              <w:jc w:val="left"/>
              <w:rPr>
                <w:rFonts w:cs="Arial"/>
                <w:b/>
                <w:bCs/>
                <w:color w:val="FFFFFF"/>
                <w:sz w:val="20"/>
                <w:lang w:eastAsia="es-MX"/>
              </w:rPr>
            </w:pPr>
          </w:p>
        </w:tc>
        <w:tc>
          <w:tcPr>
            <w:tcW w:w="880" w:type="dxa"/>
            <w:tcBorders>
              <w:top w:val="nil"/>
              <w:left w:val="nil"/>
              <w:bottom w:val="nil"/>
              <w:right w:val="nil"/>
            </w:tcBorders>
            <w:shd w:val="clear" w:color="auto" w:fill="338B99"/>
            <w:vAlign w:val="center"/>
            <w:hideMark/>
          </w:tcPr>
          <w:p w14:paraId="74B637C2" w14:textId="58F85BF0" w:rsidR="00660057" w:rsidRPr="00170DAC" w:rsidRDefault="00660057" w:rsidP="00660057">
            <w:pPr>
              <w:widowControl/>
              <w:jc w:val="center"/>
              <w:rPr>
                <w:rFonts w:cs="Arial"/>
                <w:b/>
                <w:bCs/>
                <w:color w:val="FFFFFF"/>
                <w:sz w:val="20"/>
                <w:lang w:eastAsia="es-MX"/>
              </w:rPr>
            </w:pPr>
            <w:r w:rsidRPr="00170DAC">
              <w:rPr>
                <w:rFonts w:cs="Arial"/>
                <w:b/>
                <w:bCs/>
                <w:color w:val="FFFFFF"/>
                <w:sz w:val="20"/>
                <w:lang w:eastAsia="es-MX"/>
              </w:rPr>
              <w:t>Total</w:t>
            </w:r>
          </w:p>
        </w:tc>
        <w:tc>
          <w:tcPr>
            <w:tcW w:w="1282" w:type="dxa"/>
            <w:tcBorders>
              <w:top w:val="nil"/>
              <w:left w:val="nil"/>
              <w:bottom w:val="nil"/>
              <w:right w:val="nil"/>
            </w:tcBorders>
            <w:shd w:val="clear" w:color="auto" w:fill="338B99"/>
            <w:vAlign w:val="center"/>
            <w:hideMark/>
          </w:tcPr>
          <w:p w14:paraId="0D85FFAC" w14:textId="5606DDD3" w:rsidR="00660057" w:rsidRPr="00170DAC" w:rsidRDefault="00660057" w:rsidP="00660057">
            <w:pPr>
              <w:widowControl/>
              <w:jc w:val="center"/>
              <w:rPr>
                <w:rFonts w:cs="Arial"/>
                <w:b/>
                <w:bCs/>
                <w:color w:val="FFFFFF"/>
                <w:sz w:val="20"/>
                <w:lang w:eastAsia="es-MX"/>
              </w:rPr>
            </w:pPr>
            <w:r w:rsidRPr="00170DAC">
              <w:rPr>
                <w:rFonts w:cs="Arial"/>
                <w:b/>
                <w:bCs/>
                <w:color w:val="FFFFFF"/>
                <w:sz w:val="20"/>
                <w:lang w:eastAsia="es-MX"/>
              </w:rPr>
              <w:t>Jefe</w:t>
            </w:r>
          </w:p>
        </w:tc>
        <w:tc>
          <w:tcPr>
            <w:tcW w:w="1134" w:type="dxa"/>
            <w:tcBorders>
              <w:top w:val="nil"/>
              <w:left w:val="nil"/>
              <w:bottom w:val="nil"/>
              <w:right w:val="nil"/>
            </w:tcBorders>
            <w:shd w:val="clear" w:color="auto" w:fill="338B99"/>
            <w:vAlign w:val="center"/>
            <w:hideMark/>
          </w:tcPr>
          <w:p w14:paraId="68AE1611" w14:textId="77777777" w:rsidR="00660057" w:rsidRPr="00170DAC" w:rsidRDefault="00660057" w:rsidP="00660057">
            <w:pPr>
              <w:widowControl/>
              <w:jc w:val="center"/>
              <w:rPr>
                <w:rFonts w:cs="Arial"/>
                <w:b/>
                <w:bCs/>
                <w:color w:val="FFFFFF"/>
                <w:sz w:val="20"/>
                <w:lang w:eastAsia="es-MX"/>
              </w:rPr>
            </w:pPr>
            <w:r w:rsidRPr="00170DAC">
              <w:rPr>
                <w:rFonts w:cs="Arial"/>
                <w:b/>
                <w:bCs/>
                <w:color w:val="FFFFFF"/>
                <w:sz w:val="20"/>
                <w:lang w:eastAsia="es-MX"/>
              </w:rPr>
              <w:t>Jefa</w:t>
            </w:r>
          </w:p>
        </w:tc>
        <w:tc>
          <w:tcPr>
            <w:tcW w:w="992" w:type="dxa"/>
            <w:tcBorders>
              <w:top w:val="nil"/>
              <w:left w:val="nil"/>
              <w:bottom w:val="nil"/>
              <w:right w:val="nil"/>
            </w:tcBorders>
            <w:shd w:val="clear" w:color="auto" w:fill="338B99"/>
            <w:vAlign w:val="center"/>
            <w:hideMark/>
          </w:tcPr>
          <w:p w14:paraId="799166EF" w14:textId="17780459" w:rsidR="00660057" w:rsidRPr="00170DAC" w:rsidRDefault="00660057" w:rsidP="00660057">
            <w:pPr>
              <w:widowControl/>
              <w:jc w:val="center"/>
              <w:rPr>
                <w:rFonts w:cs="Arial"/>
                <w:b/>
                <w:bCs/>
                <w:color w:val="FFFFFF"/>
                <w:sz w:val="20"/>
                <w:lang w:eastAsia="es-MX"/>
              </w:rPr>
            </w:pPr>
            <w:r w:rsidRPr="00170DAC">
              <w:rPr>
                <w:rFonts w:cs="Arial"/>
                <w:b/>
                <w:bCs/>
                <w:color w:val="FFFFFF"/>
                <w:sz w:val="20"/>
                <w:lang w:eastAsia="es-MX"/>
              </w:rPr>
              <w:t>Total</w:t>
            </w:r>
          </w:p>
        </w:tc>
        <w:tc>
          <w:tcPr>
            <w:tcW w:w="1276" w:type="dxa"/>
            <w:tcBorders>
              <w:top w:val="nil"/>
              <w:left w:val="nil"/>
              <w:bottom w:val="nil"/>
              <w:right w:val="nil"/>
            </w:tcBorders>
            <w:shd w:val="clear" w:color="auto" w:fill="338B99"/>
            <w:vAlign w:val="center"/>
            <w:hideMark/>
          </w:tcPr>
          <w:p w14:paraId="5A26DA14" w14:textId="57344834" w:rsidR="00660057" w:rsidRPr="00170DAC" w:rsidRDefault="00660057" w:rsidP="00660057">
            <w:pPr>
              <w:widowControl/>
              <w:jc w:val="center"/>
              <w:rPr>
                <w:rFonts w:cs="Arial"/>
                <w:b/>
                <w:bCs/>
                <w:color w:val="FFFFFF"/>
                <w:sz w:val="20"/>
                <w:lang w:eastAsia="es-MX"/>
              </w:rPr>
            </w:pPr>
            <w:r w:rsidRPr="00170DAC">
              <w:rPr>
                <w:rFonts w:cs="Arial"/>
                <w:b/>
                <w:bCs/>
                <w:color w:val="FFFFFF"/>
                <w:sz w:val="20"/>
                <w:lang w:eastAsia="es-MX"/>
              </w:rPr>
              <w:t>Jefe</w:t>
            </w:r>
          </w:p>
        </w:tc>
        <w:tc>
          <w:tcPr>
            <w:tcW w:w="1417" w:type="dxa"/>
            <w:tcBorders>
              <w:top w:val="nil"/>
              <w:left w:val="nil"/>
              <w:bottom w:val="nil"/>
              <w:right w:val="nil"/>
            </w:tcBorders>
            <w:shd w:val="clear" w:color="auto" w:fill="338B99"/>
            <w:vAlign w:val="center"/>
            <w:hideMark/>
          </w:tcPr>
          <w:p w14:paraId="1F8929D4" w14:textId="77777777" w:rsidR="00660057" w:rsidRPr="00170DAC" w:rsidRDefault="00660057" w:rsidP="00660057">
            <w:pPr>
              <w:widowControl/>
              <w:jc w:val="center"/>
              <w:rPr>
                <w:rFonts w:cs="Arial"/>
                <w:b/>
                <w:bCs/>
                <w:color w:val="FFFFFF"/>
                <w:sz w:val="20"/>
                <w:lang w:eastAsia="es-MX"/>
              </w:rPr>
            </w:pPr>
            <w:r w:rsidRPr="00170DAC">
              <w:rPr>
                <w:rFonts w:cs="Arial"/>
                <w:b/>
                <w:bCs/>
                <w:color w:val="FFFFFF"/>
                <w:sz w:val="20"/>
                <w:lang w:eastAsia="es-MX"/>
              </w:rPr>
              <w:t>Jefa</w:t>
            </w:r>
          </w:p>
        </w:tc>
      </w:tr>
      <w:tr w:rsidR="00660057" w:rsidRPr="00170DAC" w14:paraId="2D2403EF" w14:textId="77777777">
        <w:trPr>
          <w:trHeight w:val="300"/>
        </w:trPr>
        <w:tc>
          <w:tcPr>
            <w:tcW w:w="2800" w:type="dxa"/>
            <w:gridSpan w:val="2"/>
            <w:tcBorders>
              <w:top w:val="nil"/>
              <w:left w:val="nil"/>
              <w:bottom w:val="nil"/>
              <w:right w:val="nil"/>
            </w:tcBorders>
            <w:shd w:val="clear" w:color="auto" w:fill="66A8B3"/>
            <w:vAlign w:val="center"/>
            <w:hideMark/>
          </w:tcPr>
          <w:p w14:paraId="328BCB3F" w14:textId="77777777" w:rsidR="00660057" w:rsidRPr="00170DAC" w:rsidRDefault="00660057">
            <w:pPr>
              <w:widowControl/>
              <w:jc w:val="left"/>
              <w:rPr>
                <w:rFonts w:cs="Arial"/>
                <w:b/>
                <w:bCs/>
                <w:color w:val="000000"/>
                <w:sz w:val="20"/>
                <w:lang w:eastAsia="es-MX"/>
              </w:rPr>
            </w:pPr>
            <w:r w:rsidRPr="00170DAC">
              <w:rPr>
                <w:rFonts w:cs="Arial"/>
                <w:b/>
                <w:bCs/>
                <w:sz w:val="20"/>
                <w:lang w:eastAsia="es-MX"/>
              </w:rPr>
              <w:t>Familiar</w:t>
            </w:r>
          </w:p>
        </w:tc>
        <w:tc>
          <w:tcPr>
            <w:tcW w:w="880" w:type="dxa"/>
            <w:tcBorders>
              <w:top w:val="nil"/>
              <w:left w:val="nil"/>
              <w:bottom w:val="nil"/>
              <w:right w:val="nil"/>
            </w:tcBorders>
            <w:shd w:val="clear" w:color="auto" w:fill="66A8B3"/>
            <w:vAlign w:val="center"/>
            <w:hideMark/>
          </w:tcPr>
          <w:p w14:paraId="3800FE56" w14:textId="77777777" w:rsidR="00660057" w:rsidRPr="00170DAC" w:rsidRDefault="00660057">
            <w:pPr>
              <w:widowControl/>
              <w:jc w:val="center"/>
              <w:rPr>
                <w:rFonts w:cs="Arial"/>
                <w:b/>
                <w:bCs/>
                <w:color w:val="000000"/>
                <w:sz w:val="20"/>
                <w:lang w:eastAsia="es-MX"/>
              </w:rPr>
            </w:pPr>
            <w:r w:rsidRPr="00170DAC">
              <w:rPr>
                <w:rFonts w:cs="Arial"/>
                <w:b/>
                <w:bCs/>
                <w:sz w:val="20"/>
                <w:lang w:eastAsia="es-MX"/>
              </w:rPr>
              <w:t>1.7</w:t>
            </w:r>
          </w:p>
        </w:tc>
        <w:tc>
          <w:tcPr>
            <w:tcW w:w="1282" w:type="dxa"/>
            <w:tcBorders>
              <w:top w:val="nil"/>
              <w:left w:val="nil"/>
              <w:bottom w:val="nil"/>
              <w:right w:val="nil"/>
            </w:tcBorders>
            <w:shd w:val="clear" w:color="auto" w:fill="66A8B3"/>
            <w:vAlign w:val="center"/>
            <w:hideMark/>
          </w:tcPr>
          <w:p w14:paraId="192A09E7" w14:textId="77777777" w:rsidR="00660057" w:rsidRPr="00170DAC" w:rsidRDefault="00660057">
            <w:pPr>
              <w:widowControl/>
              <w:jc w:val="center"/>
              <w:rPr>
                <w:rFonts w:cs="Arial"/>
                <w:b/>
                <w:bCs/>
                <w:color w:val="000000"/>
                <w:sz w:val="20"/>
                <w:lang w:eastAsia="es-MX"/>
              </w:rPr>
            </w:pPr>
            <w:r w:rsidRPr="00170DAC">
              <w:rPr>
                <w:rFonts w:cs="Arial"/>
                <w:b/>
                <w:bCs/>
                <w:sz w:val="20"/>
                <w:lang w:eastAsia="es-MX"/>
              </w:rPr>
              <w:t>1.2</w:t>
            </w:r>
          </w:p>
        </w:tc>
        <w:tc>
          <w:tcPr>
            <w:tcW w:w="1134" w:type="dxa"/>
            <w:tcBorders>
              <w:top w:val="nil"/>
              <w:left w:val="nil"/>
              <w:bottom w:val="nil"/>
              <w:right w:val="nil"/>
            </w:tcBorders>
            <w:shd w:val="clear" w:color="auto" w:fill="66A8B3"/>
            <w:vAlign w:val="center"/>
            <w:hideMark/>
          </w:tcPr>
          <w:p w14:paraId="7CCAA287" w14:textId="77777777" w:rsidR="00660057" w:rsidRPr="00170DAC" w:rsidRDefault="00660057">
            <w:pPr>
              <w:widowControl/>
              <w:jc w:val="center"/>
              <w:rPr>
                <w:rFonts w:cs="Arial"/>
                <w:b/>
                <w:bCs/>
                <w:color w:val="000000"/>
                <w:sz w:val="20"/>
                <w:lang w:eastAsia="es-MX"/>
              </w:rPr>
            </w:pPr>
            <w:r w:rsidRPr="00170DAC">
              <w:rPr>
                <w:rFonts w:cs="Arial"/>
                <w:b/>
                <w:bCs/>
                <w:sz w:val="20"/>
                <w:lang w:eastAsia="es-MX"/>
              </w:rPr>
              <w:t>0.5</w:t>
            </w:r>
          </w:p>
        </w:tc>
        <w:tc>
          <w:tcPr>
            <w:tcW w:w="992" w:type="dxa"/>
            <w:tcBorders>
              <w:top w:val="nil"/>
              <w:left w:val="nil"/>
              <w:bottom w:val="nil"/>
              <w:right w:val="nil"/>
            </w:tcBorders>
            <w:shd w:val="clear" w:color="auto" w:fill="66A8B3"/>
            <w:vAlign w:val="center"/>
            <w:hideMark/>
          </w:tcPr>
          <w:p w14:paraId="04CA1D6B" w14:textId="77777777" w:rsidR="00660057" w:rsidRPr="00170DAC" w:rsidRDefault="00660057">
            <w:pPr>
              <w:widowControl/>
              <w:jc w:val="center"/>
              <w:rPr>
                <w:rFonts w:cs="Arial"/>
                <w:b/>
                <w:bCs/>
                <w:color w:val="000000"/>
                <w:sz w:val="20"/>
                <w:lang w:eastAsia="es-MX"/>
              </w:rPr>
            </w:pPr>
            <w:r w:rsidRPr="00170DAC">
              <w:rPr>
                <w:rFonts w:cs="Arial"/>
                <w:b/>
                <w:bCs/>
                <w:sz w:val="20"/>
                <w:lang w:eastAsia="es-MX"/>
              </w:rPr>
              <w:t>100.0</w:t>
            </w:r>
          </w:p>
        </w:tc>
        <w:tc>
          <w:tcPr>
            <w:tcW w:w="1276" w:type="dxa"/>
            <w:tcBorders>
              <w:top w:val="nil"/>
              <w:left w:val="nil"/>
              <w:bottom w:val="nil"/>
              <w:right w:val="nil"/>
            </w:tcBorders>
            <w:shd w:val="clear" w:color="auto" w:fill="66A8B3"/>
            <w:vAlign w:val="center"/>
            <w:hideMark/>
          </w:tcPr>
          <w:p w14:paraId="58D73576" w14:textId="77777777" w:rsidR="00660057" w:rsidRPr="00170DAC" w:rsidRDefault="00660057">
            <w:pPr>
              <w:widowControl/>
              <w:jc w:val="center"/>
              <w:rPr>
                <w:rFonts w:cs="Arial"/>
                <w:b/>
                <w:bCs/>
                <w:color w:val="000000"/>
                <w:sz w:val="20"/>
                <w:lang w:eastAsia="es-MX"/>
              </w:rPr>
            </w:pPr>
            <w:r w:rsidRPr="00170DAC">
              <w:rPr>
                <w:rFonts w:cs="Arial"/>
                <w:b/>
                <w:bCs/>
                <w:sz w:val="20"/>
                <w:lang w:eastAsia="es-MX"/>
              </w:rPr>
              <w:t>100.0</w:t>
            </w:r>
          </w:p>
        </w:tc>
        <w:tc>
          <w:tcPr>
            <w:tcW w:w="1417" w:type="dxa"/>
            <w:tcBorders>
              <w:top w:val="nil"/>
              <w:left w:val="nil"/>
              <w:bottom w:val="nil"/>
              <w:right w:val="nil"/>
            </w:tcBorders>
            <w:shd w:val="clear" w:color="auto" w:fill="66A8B3"/>
            <w:vAlign w:val="center"/>
            <w:hideMark/>
          </w:tcPr>
          <w:p w14:paraId="532AD46C" w14:textId="77777777" w:rsidR="00660057" w:rsidRPr="00170DAC" w:rsidRDefault="00660057">
            <w:pPr>
              <w:widowControl/>
              <w:jc w:val="center"/>
              <w:rPr>
                <w:rFonts w:cs="Arial"/>
                <w:b/>
                <w:bCs/>
                <w:color w:val="000000"/>
                <w:sz w:val="20"/>
                <w:lang w:eastAsia="es-MX"/>
              </w:rPr>
            </w:pPr>
            <w:r w:rsidRPr="00170DAC">
              <w:rPr>
                <w:rFonts w:cs="Arial"/>
                <w:b/>
                <w:bCs/>
                <w:sz w:val="20"/>
                <w:lang w:eastAsia="es-MX"/>
              </w:rPr>
              <w:t>100.0</w:t>
            </w:r>
          </w:p>
        </w:tc>
      </w:tr>
      <w:tr w:rsidR="00660057" w:rsidRPr="00170DAC" w14:paraId="09A280FC" w14:textId="77777777">
        <w:trPr>
          <w:trHeight w:val="300"/>
        </w:trPr>
        <w:tc>
          <w:tcPr>
            <w:tcW w:w="2800" w:type="dxa"/>
            <w:gridSpan w:val="2"/>
            <w:tcBorders>
              <w:top w:val="nil"/>
              <w:left w:val="nil"/>
              <w:bottom w:val="nil"/>
              <w:right w:val="nil"/>
            </w:tcBorders>
            <w:shd w:val="clear" w:color="auto" w:fill="99C5CC"/>
            <w:vAlign w:val="center"/>
            <w:hideMark/>
          </w:tcPr>
          <w:p w14:paraId="59B7B35A" w14:textId="77777777" w:rsidR="00660057" w:rsidRPr="00170DAC" w:rsidRDefault="00660057">
            <w:pPr>
              <w:widowControl/>
              <w:jc w:val="left"/>
              <w:rPr>
                <w:rFonts w:cs="Arial"/>
                <w:b/>
                <w:bCs/>
                <w:color w:val="000000"/>
                <w:sz w:val="20"/>
                <w:lang w:eastAsia="es-MX"/>
              </w:rPr>
            </w:pPr>
            <w:r w:rsidRPr="00170DAC">
              <w:rPr>
                <w:rFonts w:cs="Arial"/>
                <w:b/>
                <w:bCs/>
                <w:sz w:val="20"/>
                <w:lang w:eastAsia="es-MX"/>
              </w:rPr>
              <w:t>Nuclear</w:t>
            </w:r>
          </w:p>
        </w:tc>
        <w:tc>
          <w:tcPr>
            <w:tcW w:w="880" w:type="dxa"/>
            <w:tcBorders>
              <w:top w:val="nil"/>
              <w:left w:val="nil"/>
              <w:bottom w:val="nil"/>
              <w:right w:val="nil"/>
            </w:tcBorders>
            <w:shd w:val="clear" w:color="auto" w:fill="99C5CC"/>
            <w:vAlign w:val="center"/>
            <w:hideMark/>
          </w:tcPr>
          <w:p w14:paraId="77686121" w14:textId="77777777" w:rsidR="00660057" w:rsidRPr="00170DAC" w:rsidRDefault="00660057">
            <w:pPr>
              <w:widowControl/>
              <w:jc w:val="center"/>
              <w:rPr>
                <w:rFonts w:cs="Arial"/>
                <w:b/>
                <w:bCs/>
                <w:color w:val="000000"/>
                <w:sz w:val="20"/>
                <w:lang w:eastAsia="es-MX"/>
              </w:rPr>
            </w:pPr>
            <w:r w:rsidRPr="00170DAC">
              <w:rPr>
                <w:rFonts w:cs="Arial"/>
                <w:b/>
                <w:bCs/>
                <w:sz w:val="20"/>
                <w:lang w:eastAsia="es-MX"/>
              </w:rPr>
              <w:t>1.1</w:t>
            </w:r>
          </w:p>
        </w:tc>
        <w:tc>
          <w:tcPr>
            <w:tcW w:w="1282" w:type="dxa"/>
            <w:tcBorders>
              <w:top w:val="nil"/>
              <w:left w:val="nil"/>
              <w:bottom w:val="nil"/>
              <w:right w:val="nil"/>
            </w:tcBorders>
            <w:shd w:val="clear" w:color="auto" w:fill="99C5CC"/>
            <w:vAlign w:val="center"/>
            <w:hideMark/>
          </w:tcPr>
          <w:p w14:paraId="7A631C3B" w14:textId="77777777" w:rsidR="00660057" w:rsidRPr="00170DAC" w:rsidRDefault="00660057">
            <w:pPr>
              <w:widowControl/>
              <w:jc w:val="center"/>
              <w:rPr>
                <w:rFonts w:cs="Arial"/>
                <w:b/>
                <w:bCs/>
                <w:color w:val="000000"/>
                <w:sz w:val="20"/>
                <w:lang w:eastAsia="es-MX"/>
              </w:rPr>
            </w:pPr>
            <w:r w:rsidRPr="00170DAC">
              <w:rPr>
                <w:rFonts w:cs="Arial"/>
                <w:b/>
                <w:bCs/>
                <w:sz w:val="20"/>
                <w:lang w:eastAsia="es-MX"/>
              </w:rPr>
              <w:t>0.8</w:t>
            </w:r>
          </w:p>
        </w:tc>
        <w:tc>
          <w:tcPr>
            <w:tcW w:w="1134" w:type="dxa"/>
            <w:tcBorders>
              <w:top w:val="nil"/>
              <w:left w:val="nil"/>
              <w:bottom w:val="nil"/>
              <w:right w:val="nil"/>
            </w:tcBorders>
            <w:shd w:val="clear" w:color="auto" w:fill="99C5CC"/>
            <w:vAlign w:val="center"/>
            <w:hideMark/>
          </w:tcPr>
          <w:p w14:paraId="473EFD58" w14:textId="77777777" w:rsidR="00660057" w:rsidRPr="00170DAC" w:rsidRDefault="00660057">
            <w:pPr>
              <w:widowControl/>
              <w:jc w:val="center"/>
              <w:rPr>
                <w:rFonts w:cs="Arial"/>
                <w:b/>
                <w:bCs/>
                <w:color w:val="000000"/>
                <w:sz w:val="20"/>
                <w:lang w:eastAsia="es-MX"/>
              </w:rPr>
            </w:pPr>
            <w:r w:rsidRPr="00170DAC">
              <w:rPr>
                <w:rFonts w:cs="Arial"/>
                <w:b/>
                <w:bCs/>
                <w:sz w:val="20"/>
                <w:lang w:eastAsia="es-MX"/>
              </w:rPr>
              <w:t>0.3</w:t>
            </w:r>
          </w:p>
        </w:tc>
        <w:tc>
          <w:tcPr>
            <w:tcW w:w="992" w:type="dxa"/>
            <w:tcBorders>
              <w:top w:val="nil"/>
              <w:left w:val="nil"/>
              <w:bottom w:val="nil"/>
              <w:right w:val="nil"/>
            </w:tcBorders>
            <w:shd w:val="clear" w:color="auto" w:fill="99C5CC"/>
            <w:vAlign w:val="center"/>
            <w:hideMark/>
          </w:tcPr>
          <w:p w14:paraId="5689E0D3" w14:textId="77777777" w:rsidR="00660057" w:rsidRPr="00170DAC" w:rsidRDefault="00660057">
            <w:pPr>
              <w:widowControl/>
              <w:jc w:val="center"/>
              <w:rPr>
                <w:rFonts w:cs="Arial"/>
                <w:b/>
                <w:bCs/>
                <w:color w:val="000000"/>
                <w:sz w:val="20"/>
                <w:lang w:eastAsia="es-MX"/>
              </w:rPr>
            </w:pPr>
            <w:r w:rsidRPr="00170DAC">
              <w:rPr>
                <w:rFonts w:cs="Arial"/>
                <w:b/>
                <w:bCs/>
                <w:sz w:val="20"/>
                <w:lang w:eastAsia="es-MX"/>
              </w:rPr>
              <w:t>66.5</w:t>
            </w:r>
          </w:p>
        </w:tc>
        <w:tc>
          <w:tcPr>
            <w:tcW w:w="1276" w:type="dxa"/>
            <w:tcBorders>
              <w:top w:val="nil"/>
              <w:left w:val="nil"/>
              <w:bottom w:val="nil"/>
              <w:right w:val="nil"/>
            </w:tcBorders>
            <w:shd w:val="clear" w:color="auto" w:fill="99C5CC"/>
            <w:vAlign w:val="center"/>
            <w:hideMark/>
          </w:tcPr>
          <w:p w14:paraId="0282DFEA" w14:textId="77777777" w:rsidR="00660057" w:rsidRPr="00170DAC" w:rsidRDefault="00660057">
            <w:pPr>
              <w:widowControl/>
              <w:jc w:val="center"/>
              <w:rPr>
                <w:rFonts w:cs="Arial"/>
                <w:b/>
                <w:bCs/>
                <w:color w:val="000000"/>
                <w:sz w:val="20"/>
                <w:lang w:eastAsia="es-MX"/>
              </w:rPr>
            </w:pPr>
            <w:r w:rsidRPr="00170DAC">
              <w:rPr>
                <w:rFonts w:cs="Arial"/>
                <w:b/>
                <w:bCs/>
                <w:sz w:val="20"/>
                <w:lang w:eastAsia="es-MX"/>
              </w:rPr>
              <w:t>70.0</w:t>
            </w:r>
          </w:p>
        </w:tc>
        <w:tc>
          <w:tcPr>
            <w:tcW w:w="1417" w:type="dxa"/>
            <w:tcBorders>
              <w:top w:val="nil"/>
              <w:left w:val="nil"/>
              <w:bottom w:val="nil"/>
              <w:right w:val="nil"/>
            </w:tcBorders>
            <w:shd w:val="clear" w:color="auto" w:fill="99C5CC"/>
            <w:vAlign w:val="center"/>
            <w:hideMark/>
          </w:tcPr>
          <w:p w14:paraId="71D4BEA4" w14:textId="77777777" w:rsidR="00660057" w:rsidRPr="00170DAC" w:rsidRDefault="00660057">
            <w:pPr>
              <w:widowControl/>
              <w:jc w:val="center"/>
              <w:rPr>
                <w:rFonts w:cs="Arial"/>
                <w:b/>
                <w:bCs/>
                <w:color w:val="000000"/>
                <w:sz w:val="20"/>
                <w:lang w:eastAsia="es-MX"/>
              </w:rPr>
            </w:pPr>
            <w:r w:rsidRPr="00170DAC">
              <w:rPr>
                <w:rFonts w:cs="Arial"/>
                <w:b/>
                <w:bCs/>
                <w:sz w:val="20"/>
                <w:lang w:eastAsia="es-MX"/>
              </w:rPr>
              <w:t>58.3</w:t>
            </w:r>
          </w:p>
        </w:tc>
      </w:tr>
      <w:tr w:rsidR="00660057" w:rsidRPr="00170DAC" w14:paraId="5A002392" w14:textId="77777777">
        <w:trPr>
          <w:trHeight w:val="510"/>
        </w:trPr>
        <w:tc>
          <w:tcPr>
            <w:tcW w:w="220" w:type="dxa"/>
            <w:tcBorders>
              <w:top w:val="nil"/>
              <w:left w:val="nil"/>
              <w:bottom w:val="nil"/>
              <w:right w:val="nil"/>
            </w:tcBorders>
            <w:shd w:val="clear" w:color="auto" w:fill="CCE2E6"/>
            <w:vAlign w:val="center"/>
            <w:hideMark/>
          </w:tcPr>
          <w:p w14:paraId="3A3B0137" w14:textId="77777777" w:rsidR="00660057" w:rsidRPr="00170DAC" w:rsidRDefault="00660057">
            <w:pPr>
              <w:widowControl/>
              <w:jc w:val="left"/>
              <w:rPr>
                <w:rFonts w:cs="Arial"/>
                <w:color w:val="000000"/>
                <w:sz w:val="20"/>
                <w:lang w:eastAsia="es-MX"/>
              </w:rPr>
            </w:pPr>
            <w:r w:rsidRPr="00170DAC">
              <w:rPr>
                <w:rFonts w:cs="Arial"/>
                <w:color w:val="000000"/>
                <w:sz w:val="20"/>
                <w:lang w:eastAsia="es-MX"/>
              </w:rPr>
              <w:t> </w:t>
            </w:r>
          </w:p>
        </w:tc>
        <w:tc>
          <w:tcPr>
            <w:tcW w:w="2580" w:type="dxa"/>
            <w:tcBorders>
              <w:top w:val="nil"/>
              <w:left w:val="nil"/>
              <w:bottom w:val="nil"/>
              <w:right w:val="nil"/>
            </w:tcBorders>
            <w:shd w:val="clear" w:color="auto" w:fill="CCE2E6"/>
            <w:vAlign w:val="center"/>
            <w:hideMark/>
          </w:tcPr>
          <w:p w14:paraId="04AA6144" w14:textId="77777777" w:rsidR="00660057" w:rsidRPr="00170DAC" w:rsidRDefault="00660057">
            <w:pPr>
              <w:widowControl/>
              <w:jc w:val="left"/>
              <w:rPr>
                <w:rFonts w:cs="Arial"/>
                <w:color w:val="000000"/>
                <w:sz w:val="20"/>
                <w:lang w:eastAsia="es-MX"/>
              </w:rPr>
            </w:pPr>
            <w:r w:rsidRPr="00170DAC">
              <w:rPr>
                <w:rFonts w:cs="Arial"/>
                <w:sz w:val="20"/>
                <w:lang w:eastAsia="es-MX"/>
              </w:rPr>
              <w:t>Jefe o jefa con hijos (Monoparentales)</w:t>
            </w:r>
          </w:p>
        </w:tc>
        <w:tc>
          <w:tcPr>
            <w:tcW w:w="880" w:type="dxa"/>
            <w:tcBorders>
              <w:top w:val="nil"/>
              <w:left w:val="nil"/>
              <w:bottom w:val="nil"/>
              <w:right w:val="nil"/>
            </w:tcBorders>
            <w:shd w:val="clear" w:color="auto" w:fill="CCE2E6"/>
            <w:vAlign w:val="center"/>
            <w:hideMark/>
          </w:tcPr>
          <w:p w14:paraId="17622FB8" w14:textId="77777777" w:rsidR="00660057" w:rsidRPr="00170DAC" w:rsidRDefault="00660057">
            <w:pPr>
              <w:widowControl/>
              <w:jc w:val="center"/>
              <w:rPr>
                <w:rFonts w:cs="Arial"/>
                <w:color w:val="000000"/>
                <w:sz w:val="20"/>
                <w:lang w:eastAsia="es-MX"/>
              </w:rPr>
            </w:pPr>
            <w:r w:rsidRPr="00170DAC">
              <w:rPr>
                <w:rFonts w:cs="Arial"/>
                <w:sz w:val="20"/>
                <w:lang w:eastAsia="es-MX"/>
              </w:rPr>
              <w:t>0.2</w:t>
            </w:r>
          </w:p>
        </w:tc>
        <w:tc>
          <w:tcPr>
            <w:tcW w:w="1282" w:type="dxa"/>
            <w:tcBorders>
              <w:top w:val="nil"/>
              <w:left w:val="nil"/>
              <w:bottom w:val="nil"/>
              <w:right w:val="nil"/>
            </w:tcBorders>
            <w:shd w:val="clear" w:color="auto" w:fill="CCE2E6"/>
            <w:vAlign w:val="center"/>
            <w:hideMark/>
          </w:tcPr>
          <w:p w14:paraId="2CCD5A4C" w14:textId="77777777" w:rsidR="00660057" w:rsidRPr="00170DAC" w:rsidRDefault="00660057">
            <w:pPr>
              <w:widowControl/>
              <w:jc w:val="center"/>
              <w:rPr>
                <w:rFonts w:cs="Arial"/>
                <w:color w:val="000000"/>
                <w:sz w:val="20"/>
                <w:lang w:eastAsia="es-MX"/>
              </w:rPr>
            </w:pPr>
            <w:r w:rsidRPr="00170DAC">
              <w:rPr>
                <w:rFonts w:cs="Arial"/>
                <w:sz w:val="20"/>
                <w:lang w:eastAsia="es-MX"/>
              </w:rPr>
              <w:t>0.0</w:t>
            </w:r>
          </w:p>
        </w:tc>
        <w:tc>
          <w:tcPr>
            <w:tcW w:w="1134" w:type="dxa"/>
            <w:tcBorders>
              <w:top w:val="nil"/>
              <w:left w:val="nil"/>
              <w:bottom w:val="nil"/>
              <w:right w:val="nil"/>
            </w:tcBorders>
            <w:shd w:val="clear" w:color="auto" w:fill="CCE2E6"/>
            <w:vAlign w:val="center"/>
            <w:hideMark/>
          </w:tcPr>
          <w:p w14:paraId="5D0DCEC7" w14:textId="77777777" w:rsidR="00660057" w:rsidRPr="00170DAC" w:rsidRDefault="00660057">
            <w:pPr>
              <w:widowControl/>
              <w:jc w:val="center"/>
              <w:rPr>
                <w:rFonts w:cs="Arial"/>
                <w:color w:val="000000"/>
                <w:sz w:val="20"/>
                <w:lang w:eastAsia="es-MX"/>
              </w:rPr>
            </w:pPr>
            <w:r w:rsidRPr="00170DAC">
              <w:rPr>
                <w:rFonts w:cs="Arial"/>
                <w:sz w:val="20"/>
                <w:lang w:eastAsia="es-MX"/>
              </w:rPr>
              <w:t>0.2</w:t>
            </w:r>
          </w:p>
        </w:tc>
        <w:tc>
          <w:tcPr>
            <w:tcW w:w="992" w:type="dxa"/>
            <w:tcBorders>
              <w:top w:val="nil"/>
              <w:left w:val="nil"/>
              <w:bottom w:val="nil"/>
              <w:right w:val="nil"/>
            </w:tcBorders>
            <w:shd w:val="clear" w:color="auto" w:fill="CCE2E6"/>
            <w:vAlign w:val="center"/>
            <w:hideMark/>
          </w:tcPr>
          <w:p w14:paraId="75C298D5" w14:textId="77777777" w:rsidR="00660057" w:rsidRPr="00170DAC" w:rsidRDefault="00660057">
            <w:pPr>
              <w:widowControl/>
              <w:jc w:val="center"/>
              <w:rPr>
                <w:rFonts w:cs="Arial"/>
                <w:color w:val="000000"/>
                <w:sz w:val="20"/>
                <w:lang w:eastAsia="es-MX"/>
              </w:rPr>
            </w:pPr>
            <w:r w:rsidRPr="00170DAC">
              <w:rPr>
                <w:rFonts w:cs="Arial"/>
                <w:sz w:val="20"/>
                <w:lang w:eastAsia="es-MX"/>
              </w:rPr>
              <w:t>20.9</w:t>
            </w:r>
          </w:p>
        </w:tc>
        <w:tc>
          <w:tcPr>
            <w:tcW w:w="1276" w:type="dxa"/>
            <w:tcBorders>
              <w:top w:val="nil"/>
              <w:left w:val="nil"/>
              <w:bottom w:val="nil"/>
              <w:right w:val="nil"/>
            </w:tcBorders>
            <w:shd w:val="clear" w:color="auto" w:fill="CCE2E6"/>
            <w:vAlign w:val="center"/>
            <w:hideMark/>
          </w:tcPr>
          <w:p w14:paraId="456E1CD6" w14:textId="77777777" w:rsidR="00660057" w:rsidRPr="00170DAC" w:rsidRDefault="00660057">
            <w:pPr>
              <w:widowControl/>
              <w:jc w:val="center"/>
              <w:rPr>
                <w:rFonts w:cs="Arial"/>
                <w:color w:val="000000"/>
                <w:sz w:val="20"/>
                <w:lang w:eastAsia="es-MX"/>
              </w:rPr>
            </w:pPr>
            <w:r w:rsidRPr="00170DAC">
              <w:rPr>
                <w:rFonts w:cs="Arial"/>
                <w:sz w:val="20"/>
                <w:lang w:eastAsia="es-MX"/>
              </w:rPr>
              <w:t>3.1</w:t>
            </w:r>
          </w:p>
        </w:tc>
        <w:tc>
          <w:tcPr>
            <w:tcW w:w="1417" w:type="dxa"/>
            <w:tcBorders>
              <w:top w:val="nil"/>
              <w:left w:val="nil"/>
              <w:bottom w:val="nil"/>
              <w:right w:val="nil"/>
            </w:tcBorders>
            <w:shd w:val="clear" w:color="auto" w:fill="CCE2E6"/>
            <w:vAlign w:val="center"/>
            <w:hideMark/>
          </w:tcPr>
          <w:p w14:paraId="2C552884" w14:textId="77777777" w:rsidR="00660057" w:rsidRPr="00170DAC" w:rsidRDefault="00660057">
            <w:pPr>
              <w:widowControl/>
              <w:jc w:val="center"/>
              <w:rPr>
                <w:rFonts w:cs="Arial"/>
                <w:color w:val="000000"/>
                <w:sz w:val="20"/>
                <w:lang w:eastAsia="es-MX"/>
              </w:rPr>
            </w:pPr>
            <w:r w:rsidRPr="00170DAC">
              <w:rPr>
                <w:rFonts w:cs="Arial"/>
                <w:sz w:val="20"/>
                <w:lang w:eastAsia="es-MX"/>
              </w:rPr>
              <w:t>70.5</w:t>
            </w:r>
          </w:p>
        </w:tc>
      </w:tr>
      <w:tr w:rsidR="00660057" w:rsidRPr="00170DAC" w14:paraId="6FB8F956" w14:textId="77777777">
        <w:trPr>
          <w:trHeight w:val="300"/>
        </w:trPr>
        <w:tc>
          <w:tcPr>
            <w:tcW w:w="220" w:type="dxa"/>
            <w:tcBorders>
              <w:top w:val="nil"/>
              <w:left w:val="nil"/>
              <w:bottom w:val="nil"/>
              <w:right w:val="nil"/>
            </w:tcBorders>
            <w:shd w:val="clear" w:color="auto" w:fill="CCE2E6"/>
            <w:vAlign w:val="center"/>
            <w:hideMark/>
          </w:tcPr>
          <w:p w14:paraId="52618D27" w14:textId="77777777" w:rsidR="00660057" w:rsidRPr="00170DAC" w:rsidRDefault="00660057">
            <w:pPr>
              <w:widowControl/>
              <w:jc w:val="left"/>
              <w:rPr>
                <w:rFonts w:cs="Arial"/>
                <w:color w:val="000000"/>
                <w:sz w:val="20"/>
                <w:lang w:eastAsia="es-MX"/>
              </w:rPr>
            </w:pPr>
            <w:r w:rsidRPr="00170DAC">
              <w:rPr>
                <w:rFonts w:cs="Arial"/>
                <w:color w:val="000000"/>
                <w:sz w:val="20"/>
                <w:lang w:eastAsia="es-MX"/>
              </w:rPr>
              <w:t> </w:t>
            </w:r>
          </w:p>
        </w:tc>
        <w:tc>
          <w:tcPr>
            <w:tcW w:w="2580" w:type="dxa"/>
            <w:tcBorders>
              <w:top w:val="nil"/>
              <w:left w:val="nil"/>
              <w:bottom w:val="nil"/>
              <w:right w:val="nil"/>
            </w:tcBorders>
            <w:shd w:val="clear" w:color="auto" w:fill="CCE2E6"/>
            <w:vAlign w:val="center"/>
            <w:hideMark/>
          </w:tcPr>
          <w:p w14:paraId="0370E757" w14:textId="77777777" w:rsidR="00660057" w:rsidRPr="00170DAC" w:rsidRDefault="00660057">
            <w:pPr>
              <w:widowControl/>
              <w:jc w:val="left"/>
              <w:rPr>
                <w:rFonts w:cs="Arial"/>
                <w:color w:val="000000"/>
                <w:sz w:val="20"/>
                <w:lang w:eastAsia="es-MX"/>
              </w:rPr>
            </w:pPr>
            <w:r w:rsidRPr="00170DAC">
              <w:rPr>
                <w:rFonts w:cs="Arial"/>
                <w:sz w:val="20"/>
                <w:lang w:eastAsia="es-MX"/>
              </w:rPr>
              <w:t>Pareja con o sin hijos</w:t>
            </w:r>
          </w:p>
        </w:tc>
        <w:tc>
          <w:tcPr>
            <w:tcW w:w="880" w:type="dxa"/>
            <w:tcBorders>
              <w:top w:val="nil"/>
              <w:left w:val="nil"/>
              <w:bottom w:val="nil"/>
              <w:right w:val="nil"/>
            </w:tcBorders>
            <w:shd w:val="clear" w:color="auto" w:fill="CCE2E6"/>
            <w:vAlign w:val="center"/>
            <w:hideMark/>
          </w:tcPr>
          <w:p w14:paraId="1D67A3BD" w14:textId="77777777" w:rsidR="00660057" w:rsidRPr="00170DAC" w:rsidRDefault="00660057">
            <w:pPr>
              <w:widowControl/>
              <w:jc w:val="center"/>
              <w:rPr>
                <w:rFonts w:cs="Arial"/>
                <w:color w:val="000000"/>
                <w:sz w:val="20"/>
                <w:lang w:eastAsia="es-MX"/>
              </w:rPr>
            </w:pPr>
            <w:r w:rsidRPr="00170DAC">
              <w:rPr>
                <w:rFonts w:cs="Arial"/>
                <w:sz w:val="20"/>
                <w:lang w:eastAsia="es-MX"/>
              </w:rPr>
              <w:t>0.9</w:t>
            </w:r>
          </w:p>
        </w:tc>
        <w:tc>
          <w:tcPr>
            <w:tcW w:w="1282" w:type="dxa"/>
            <w:tcBorders>
              <w:top w:val="nil"/>
              <w:left w:val="nil"/>
              <w:bottom w:val="nil"/>
              <w:right w:val="nil"/>
            </w:tcBorders>
            <w:shd w:val="clear" w:color="auto" w:fill="CCE2E6"/>
            <w:vAlign w:val="center"/>
            <w:hideMark/>
          </w:tcPr>
          <w:p w14:paraId="2C0146CE" w14:textId="77777777" w:rsidR="00660057" w:rsidRPr="00170DAC" w:rsidRDefault="00660057">
            <w:pPr>
              <w:widowControl/>
              <w:jc w:val="center"/>
              <w:rPr>
                <w:rFonts w:cs="Arial"/>
                <w:color w:val="000000"/>
                <w:sz w:val="20"/>
                <w:lang w:eastAsia="es-MX"/>
              </w:rPr>
            </w:pPr>
            <w:r w:rsidRPr="00170DAC">
              <w:rPr>
                <w:rFonts w:cs="Arial"/>
                <w:sz w:val="20"/>
                <w:lang w:eastAsia="es-MX"/>
              </w:rPr>
              <w:t>0.8</w:t>
            </w:r>
          </w:p>
        </w:tc>
        <w:tc>
          <w:tcPr>
            <w:tcW w:w="1134" w:type="dxa"/>
            <w:tcBorders>
              <w:top w:val="nil"/>
              <w:left w:val="nil"/>
              <w:bottom w:val="nil"/>
              <w:right w:val="nil"/>
            </w:tcBorders>
            <w:shd w:val="clear" w:color="auto" w:fill="CCE2E6"/>
            <w:vAlign w:val="center"/>
            <w:hideMark/>
          </w:tcPr>
          <w:p w14:paraId="480608B4" w14:textId="77777777" w:rsidR="00660057" w:rsidRPr="00170DAC" w:rsidRDefault="00660057">
            <w:pPr>
              <w:widowControl/>
              <w:jc w:val="center"/>
              <w:rPr>
                <w:rFonts w:cs="Arial"/>
                <w:color w:val="000000"/>
                <w:sz w:val="20"/>
                <w:lang w:eastAsia="es-MX"/>
              </w:rPr>
            </w:pPr>
            <w:r w:rsidRPr="00170DAC">
              <w:rPr>
                <w:rFonts w:cs="Arial"/>
                <w:sz w:val="20"/>
                <w:lang w:eastAsia="es-MX"/>
              </w:rPr>
              <w:t>0.1</w:t>
            </w:r>
          </w:p>
        </w:tc>
        <w:tc>
          <w:tcPr>
            <w:tcW w:w="992" w:type="dxa"/>
            <w:tcBorders>
              <w:top w:val="nil"/>
              <w:left w:val="nil"/>
              <w:bottom w:val="nil"/>
              <w:right w:val="nil"/>
            </w:tcBorders>
            <w:shd w:val="clear" w:color="auto" w:fill="CCE2E6"/>
            <w:vAlign w:val="center"/>
            <w:hideMark/>
          </w:tcPr>
          <w:p w14:paraId="2A88C040" w14:textId="77777777" w:rsidR="00660057" w:rsidRPr="00170DAC" w:rsidRDefault="00660057">
            <w:pPr>
              <w:widowControl/>
              <w:jc w:val="center"/>
              <w:rPr>
                <w:rFonts w:cs="Arial"/>
                <w:color w:val="000000"/>
                <w:sz w:val="20"/>
                <w:lang w:eastAsia="es-MX"/>
              </w:rPr>
            </w:pPr>
            <w:r w:rsidRPr="00170DAC">
              <w:rPr>
                <w:rFonts w:cs="Arial"/>
                <w:sz w:val="20"/>
                <w:lang w:eastAsia="es-MX"/>
              </w:rPr>
              <w:t>79.1</w:t>
            </w:r>
          </w:p>
        </w:tc>
        <w:tc>
          <w:tcPr>
            <w:tcW w:w="1276" w:type="dxa"/>
            <w:tcBorders>
              <w:top w:val="nil"/>
              <w:left w:val="nil"/>
              <w:bottom w:val="nil"/>
              <w:right w:val="nil"/>
            </w:tcBorders>
            <w:shd w:val="clear" w:color="auto" w:fill="CCE2E6"/>
            <w:vAlign w:val="center"/>
            <w:hideMark/>
          </w:tcPr>
          <w:p w14:paraId="5B442F70" w14:textId="77777777" w:rsidR="00660057" w:rsidRPr="00170DAC" w:rsidRDefault="00660057">
            <w:pPr>
              <w:widowControl/>
              <w:jc w:val="center"/>
              <w:rPr>
                <w:rFonts w:cs="Arial"/>
                <w:color w:val="000000"/>
                <w:sz w:val="20"/>
                <w:lang w:eastAsia="es-MX"/>
              </w:rPr>
            </w:pPr>
            <w:r w:rsidRPr="00170DAC">
              <w:rPr>
                <w:rFonts w:cs="Arial"/>
                <w:sz w:val="20"/>
                <w:lang w:eastAsia="es-MX"/>
              </w:rPr>
              <w:t>96.9</w:t>
            </w:r>
          </w:p>
        </w:tc>
        <w:tc>
          <w:tcPr>
            <w:tcW w:w="1417" w:type="dxa"/>
            <w:tcBorders>
              <w:top w:val="nil"/>
              <w:left w:val="nil"/>
              <w:bottom w:val="nil"/>
              <w:right w:val="nil"/>
            </w:tcBorders>
            <w:shd w:val="clear" w:color="auto" w:fill="CCE2E6"/>
            <w:vAlign w:val="center"/>
            <w:hideMark/>
          </w:tcPr>
          <w:p w14:paraId="61DCD3DF" w14:textId="77777777" w:rsidR="00660057" w:rsidRPr="00170DAC" w:rsidRDefault="00660057">
            <w:pPr>
              <w:widowControl/>
              <w:jc w:val="center"/>
              <w:rPr>
                <w:rFonts w:cs="Arial"/>
                <w:color w:val="000000"/>
                <w:sz w:val="20"/>
                <w:lang w:eastAsia="es-MX"/>
              </w:rPr>
            </w:pPr>
            <w:r w:rsidRPr="00170DAC">
              <w:rPr>
                <w:rFonts w:cs="Arial"/>
                <w:sz w:val="20"/>
                <w:lang w:eastAsia="es-MX"/>
              </w:rPr>
              <w:t>29.5</w:t>
            </w:r>
          </w:p>
        </w:tc>
      </w:tr>
      <w:tr w:rsidR="00660057" w:rsidRPr="00170DAC" w14:paraId="37E86CA6" w14:textId="77777777">
        <w:trPr>
          <w:trHeight w:val="315"/>
        </w:trPr>
        <w:tc>
          <w:tcPr>
            <w:tcW w:w="2800" w:type="dxa"/>
            <w:gridSpan w:val="2"/>
            <w:tcBorders>
              <w:top w:val="nil"/>
              <w:left w:val="nil"/>
              <w:bottom w:val="nil"/>
              <w:right w:val="nil"/>
            </w:tcBorders>
            <w:shd w:val="clear" w:color="auto" w:fill="99C5CC"/>
            <w:vAlign w:val="center"/>
            <w:hideMark/>
          </w:tcPr>
          <w:p w14:paraId="26424497" w14:textId="77777777" w:rsidR="00660057" w:rsidRPr="00170DAC" w:rsidRDefault="00660057">
            <w:pPr>
              <w:widowControl/>
              <w:jc w:val="left"/>
              <w:rPr>
                <w:rFonts w:cs="Arial"/>
                <w:b/>
                <w:bCs/>
                <w:color w:val="000000"/>
                <w:sz w:val="20"/>
                <w:lang w:eastAsia="es-MX"/>
              </w:rPr>
            </w:pPr>
            <w:r w:rsidRPr="00170DAC">
              <w:rPr>
                <w:rFonts w:cs="Arial"/>
                <w:b/>
                <w:bCs/>
                <w:sz w:val="20"/>
                <w:lang w:eastAsia="es-MX"/>
              </w:rPr>
              <w:t>No nuclear</w:t>
            </w:r>
          </w:p>
        </w:tc>
        <w:tc>
          <w:tcPr>
            <w:tcW w:w="880" w:type="dxa"/>
            <w:tcBorders>
              <w:top w:val="nil"/>
              <w:left w:val="nil"/>
              <w:bottom w:val="nil"/>
              <w:right w:val="nil"/>
            </w:tcBorders>
            <w:shd w:val="clear" w:color="auto" w:fill="99C5CC"/>
            <w:vAlign w:val="center"/>
            <w:hideMark/>
          </w:tcPr>
          <w:p w14:paraId="574E2182" w14:textId="77777777" w:rsidR="00660057" w:rsidRPr="00170DAC" w:rsidRDefault="00660057">
            <w:pPr>
              <w:widowControl/>
              <w:jc w:val="center"/>
              <w:rPr>
                <w:rFonts w:cs="Arial"/>
                <w:b/>
                <w:bCs/>
                <w:color w:val="000000"/>
                <w:sz w:val="20"/>
                <w:lang w:eastAsia="es-MX"/>
              </w:rPr>
            </w:pPr>
            <w:r w:rsidRPr="00170DAC">
              <w:rPr>
                <w:rFonts w:cs="Arial"/>
                <w:b/>
                <w:bCs/>
                <w:sz w:val="20"/>
                <w:lang w:eastAsia="es-MX"/>
              </w:rPr>
              <w:t>0.6</w:t>
            </w:r>
          </w:p>
        </w:tc>
        <w:tc>
          <w:tcPr>
            <w:tcW w:w="1282" w:type="dxa"/>
            <w:tcBorders>
              <w:top w:val="nil"/>
              <w:left w:val="nil"/>
              <w:bottom w:val="nil"/>
              <w:right w:val="nil"/>
            </w:tcBorders>
            <w:shd w:val="clear" w:color="auto" w:fill="99C5CC"/>
            <w:vAlign w:val="center"/>
            <w:hideMark/>
          </w:tcPr>
          <w:p w14:paraId="6B684B18" w14:textId="77777777" w:rsidR="00660057" w:rsidRPr="00170DAC" w:rsidRDefault="00660057">
            <w:pPr>
              <w:widowControl/>
              <w:jc w:val="center"/>
              <w:rPr>
                <w:rFonts w:cs="Arial"/>
                <w:b/>
                <w:bCs/>
                <w:color w:val="000000"/>
                <w:sz w:val="20"/>
                <w:lang w:eastAsia="es-MX"/>
              </w:rPr>
            </w:pPr>
            <w:r w:rsidRPr="00170DAC">
              <w:rPr>
                <w:rFonts w:cs="Arial"/>
                <w:b/>
                <w:bCs/>
                <w:sz w:val="20"/>
                <w:lang w:eastAsia="es-MX"/>
              </w:rPr>
              <w:t>0.4</w:t>
            </w:r>
          </w:p>
        </w:tc>
        <w:tc>
          <w:tcPr>
            <w:tcW w:w="1134" w:type="dxa"/>
            <w:tcBorders>
              <w:top w:val="nil"/>
              <w:left w:val="nil"/>
              <w:bottom w:val="nil"/>
              <w:right w:val="nil"/>
            </w:tcBorders>
            <w:shd w:val="clear" w:color="auto" w:fill="99C5CC"/>
            <w:vAlign w:val="center"/>
            <w:hideMark/>
          </w:tcPr>
          <w:p w14:paraId="1B15D3E1" w14:textId="77777777" w:rsidR="00660057" w:rsidRPr="00170DAC" w:rsidRDefault="00660057">
            <w:pPr>
              <w:widowControl/>
              <w:jc w:val="center"/>
              <w:rPr>
                <w:rFonts w:cs="Arial"/>
                <w:b/>
                <w:bCs/>
                <w:color w:val="000000"/>
                <w:sz w:val="20"/>
                <w:lang w:eastAsia="es-MX"/>
              </w:rPr>
            </w:pPr>
            <w:r w:rsidRPr="00170DAC">
              <w:rPr>
                <w:rFonts w:cs="Arial"/>
                <w:b/>
                <w:bCs/>
                <w:sz w:val="20"/>
                <w:lang w:eastAsia="es-MX"/>
              </w:rPr>
              <w:t>0.2</w:t>
            </w:r>
          </w:p>
        </w:tc>
        <w:tc>
          <w:tcPr>
            <w:tcW w:w="992" w:type="dxa"/>
            <w:tcBorders>
              <w:top w:val="nil"/>
              <w:left w:val="nil"/>
              <w:bottom w:val="nil"/>
              <w:right w:val="nil"/>
            </w:tcBorders>
            <w:shd w:val="clear" w:color="auto" w:fill="99C5CC"/>
            <w:vAlign w:val="center"/>
            <w:hideMark/>
          </w:tcPr>
          <w:p w14:paraId="2F6E1177" w14:textId="77777777" w:rsidR="00660057" w:rsidRPr="00170DAC" w:rsidRDefault="00660057">
            <w:pPr>
              <w:widowControl/>
              <w:jc w:val="center"/>
              <w:rPr>
                <w:rFonts w:cs="Arial"/>
                <w:b/>
                <w:bCs/>
                <w:color w:val="000000"/>
                <w:sz w:val="20"/>
                <w:lang w:eastAsia="es-MX"/>
              </w:rPr>
            </w:pPr>
            <w:r w:rsidRPr="00170DAC">
              <w:rPr>
                <w:rFonts w:cs="Arial"/>
                <w:b/>
                <w:bCs/>
                <w:sz w:val="20"/>
                <w:lang w:eastAsia="es-MX"/>
              </w:rPr>
              <w:t>33.5</w:t>
            </w:r>
          </w:p>
        </w:tc>
        <w:tc>
          <w:tcPr>
            <w:tcW w:w="1276" w:type="dxa"/>
            <w:tcBorders>
              <w:top w:val="nil"/>
              <w:left w:val="nil"/>
              <w:bottom w:val="nil"/>
              <w:right w:val="nil"/>
            </w:tcBorders>
            <w:shd w:val="clear" w:color="auto" w:fill="99C5CC"/>
            <w:vAlign w:val="center"/>
            <w:hideMark/>
          </w:tcPr>
          <w:p w14:paraId="2CA0DAF2" w14:textId="77777777" w:rsidR="00660057" w:rsidRPr="00170DAC" w:rsidRDefault="00660057">
            <w:pPr>
              <w:widowControl/>
              <w:jc w:val="center"/>
              <w:rPr>
                <w:rFonts w:cs="Arial"/>
                <w:b/>
                <w:bCs/>
                <w:color w:val="000000"/>
                <w:sz w:val="20"/>
                <w:lang w:eastAsia="es-MX"/>
              </w:rPr>
            </w:pPr>
            <w:r w:rsidRPr="00170DAC">
              <w:rPr>
                <w:rFonts w:cs="Arial"/>
                <w:b/>
                <w:bCs/>
                <w:sz w:val="20"/>
                <w:lang w:eastAsia="es-MX"/>
              </w:rPr>
              <w:t>30.0</w:t>
            </w:r>
          </w:p>
        </w:tc>
        <w:tc>
          <w:tcPr>
            <w:tcW w:w="1417" w:type="dxa"/>
            <w:tcBorders>
              <w:top w:val="nil"/>
              <w:left w:val="nil"/>
              <w:bottom w:val="nil"/>
              <w:right w:val="nil"/>
            </w:tcBorders>
            <w:shd w:val="clear" w:color="auto" w:fill="99C5CC"/>
            <w:vAlign w:val="center"/>
            <w:hideMark/>
          </w:tcPr>
          <w:p w14:paraId="31FC5227" w14:textId="77777777" w:rsidR="00660057" w:rsidRPr="00170DAC" w:rsidRDefault="00660057">
            <w:pPr>
              <w:widowControl/>
              <w:jc w:val="center"/>
              <w:rPr>
                <w:rFonts w:cs="Arial"/>
                <w:b/>
                <w:bCs/>
                <w:color w:val="000000"/>
                <w:sz w:val="20"/>
                <w:lang w:eastAsia="es-MX"/>
              </w:rPr>
            </w:pPr>
            <w:r w:rsidRPr="00170DAC">
              <w:rPr>
                <w:rFonts w:cs="Arial"/>
                <w:b/>
                <w:bCs/>
                <w:sz w:val="20"/>
                <w:lang w:eastAsia="es-MX"/>
              </w:rPr>
              <w:t>41.7</w:t>
            </w:r>
          </w:p>
        </w:tc>
      </w:tr>
    </w:tbl>
    <w:p w14:paraId="6A9CE4E8" w14:textId="5B46F133" w:rsidR="00660057" w:rsidRPr="00560388" w:rsidRDefault="00660057" w:rsidP="00660057">
      <w:pPr>
        <w:widowControl/>
        <w:autoSpaceDE w:val="0"/>
        <w:autoSpaceDN w:val="0"/>
        <w:adjustRightInd w:val="0"/>
        <w:rPr>
          <w:rFonts w:cs="Arial"/>
          <w:sz w:val="16"/>
          <w:szCs w:val="16"/>
        </w:rPr>
      </w:pPr>
      <w:r w:rsidRPr="00560388">
        <w:rPr>
          <w:rFonts w:cs="Arial"/>
          <w:color w:val="000000" w:themeColor="text1"/>
          <w:sz w:val="16"/>
          <w:szCs w:val="16"/>
        </w:rPr>
        <w:t>Fuente: INEGI, ENTI. 2022.</w:t>
      </w:r>
    </w:p>
    <w:p w14:paraId="200698DC" w14:textId="77777777" w:rsidR="00660057" w:rsidRDefault="00660057" w:rsidP="00660057">
      <w:pPr>
        <w:widowControl/>
        <w:autoSpaceDE w:val="0"/>
        <w:autoSpaceDN w:val="0"/>
        <w:adjustRightInd w:val="0"/>
        <w:rPr>
          <w:rFonts w:cs="Arial"/>
          <w:szCs w:val="24"/>
        </w:rPr>
      </w:pPr>
    </w:p>
    <w:p w14:paraId="50DC8218" w14:textId="77777777" w:rsidR="00660057" w:rsidRDefault="00660057">
      <w:pPr>
        <w:widowControl/>
        <w:autoSpaceDE w:val="0"/>
        <w:autoSpaceDN w:val="0"/>
        <w:adjustRightInd w:val="0"/>
        <w:rPr>
          <w:rFonts w:cs="Arial"/>
          <w:szCs w:val="24"/>
        </w:rPr>
      </w:pPr>
    </w:p>
    <w:p w14:paraId="05D12A0B" w14:textId="3A7A5E2C" w:rsidR="00F83719" w:rsidRPr="00D03EF4" w:rsidRDefault="00F83719" w:rsidP="000E1EBC">
      <w:pPr>
        <w:widowControl/>
        <w:autoSpaceDE w:val="0"/>
        <w:autoSpaceDN w:val="0"/>
        <w:adjustRightInd w:val="0"/>
        <w:ind w:right="51"/>
        <w:rPr>
          <w:rFonts w:cs="Arial"/>
          <w:szCs w:val="24"/>
        </w:rPr>
      </w:pPr>
      <w:r w:rsidRPr="00D03EF4">
        <w:rPr>
          <w:rFonts w:cs="Arial"/>
          <w:szCs w:val="24"/>
        </w:rPr>
        <w:t xml:space="preserve">En general, la ENTI 2022 reportó que 10.6 % de los hogares con </w:t>
      </w:r>
      <w:r w:rsidR="00D92FDD" w:rsidRPr="00D03EF4">
        <w:rPr>
          <w:rFonts w:cs="Arial"/>
          <w:szCs w:val="24"/>
        </w:rPr>
        <w:t>población de 5 a 17 años</w:t>
      </w:r>
      <w:r w:rsidRPr="00D03EF4">
        <w:rPr>
          <w:rFonts w:cs="Arial"/>
          <w:szCs w:val="24"/>
        </w:rPr>
        <w:t xml:space="preserve"> tuvieron </w:t>
      </w:r>
      <w:r w:rsidR="00C53C90" w:rsidRPr="00D03EF4">
        <w:rPr>
          <w:rFonts w:cs="Arial"/>
          <w:szCs w:val="24"/>
        </w:rPr>
        <w:t>niñas y niños</w:t>
      </w:r>
      <w:r w:rsidRPr="00D03EF4">
        <w:rPr>
          <w:rFonts w:cs="Arial"/>
          <w:szCs w:val="24"/>
        </w:rPr>
        <w:t xml:space="preserve"> dentro de la ocupación no permitida</w:t>
      </w:r>
      <w:r w:rsidR="0054204D" w:rsidRPr="00D03EF4">
        <w:rPr>
          <w:rFonts w:cs="Arial"/>
          <w:szCs w:val="24"/>
        </w:rPr>
        <w:t>. E</w:t>
      </w:r>
      <w:r w:rsidRPr="00D03EF4">
        <w:rPr>
          <w:rFonts w:cs="Arial"/>
          <w:szCs w:val="24"/>
        </w:rPr>
        <w:t>n hogares con jefatura masculina la tasa fue de 10.7 % y en hogares con jefatura femenina</w:t>
      </w:r>
      <w:r w:rsidR="0054204D" w:rsidRPr="00D03EF4">
        <w:rPr>
          <w:rFonts w:cs="Arial"/>
          <w:szCs w:val="24"/>
        </w:rPr>
        <w:t>,</w:t>
      </w:r>
      <w:r w:rsidRPr="00D03EF4">
        <w:rPr>
          <w:rFonts w:cs="Arial"/>
          <w:szCs w:val="24"/>
        </w:rPr>
        <w:t xml:space="preserve"> de 10.2 por ciento.</w:t>
      </w:r>
    </w:p>
    <w:p w14:paraId="21E875A1" w14:textId="77777777" w:rsidR="00F83719" w:rsidRPr="00D03EF4" w:rsidRDefault="00F83719">
      <w:pPr>
        <w:widowControl/>
        <w:autoSpaceDE w:val="0"/>
        <w:autoSpaceDN w:val="0"/>
        <w:adjustRightInd w:val="0"/>
        <w:rPr>
          <w:rFonts w:cs="Arial"/>
          <w:szCs w:val="24"/>
        </w:rPr>
      </w:pPr>
    </w:p>
    <w:p w14:paraId="361EDB26" w14:textId="09E56F54" w:rsidR="00A757BB" w:rsidRPr="00D03EF4" w:rsidRDefault="00F83719" w:rsidP="000E1EBC">
      <w:pPr>
        <w:widowControl/>
        <w:autoSpaceDE w:val="0"/>
        <w:autoSpaceDN w:val="0"/>
        <w:adjustRightInd w:val="0"/>
        <w:ind w:right="51"/>
        <w:rPr>
          <w:rFonts w:cs="Arial"/>
          <w:szCs w:val="24"/>
        </w:rPr>
      </w:pPr>
      <w:r w:rsidRPr="00D03EF4">
        <w:rPr>
          <w:rFonts w:cs="Arial"/>
          <w:szCs w:val="24"/>
        </w:rPr>
        <w:t>En los hogares monoparentales, la tasa de hogares con ocupación no permitida fue ligeramente más alta con 12.2 %</w:t>
      </w:r>
      <w:r w:rsidR="0054204D" w:rsidRPr="00D03EF4">
        <w:rPr>
          <w:rFonts w:cs="Arial"/>
          <w:szCs w:val="24"/>
        </w:rPr>
        <w:t>:</w:t>
      </w:r>
      <w:r w:rsidRPr="00D03EF4">
        <w:rPr>
          <w:rFonts w:cs="Arial"/>
          <w:szCs w:val="24"/>
        </w:rPr>
        <w:t xml:space="preserve"> con jefes hombres 15.2 % y con mujeres como jefas de hogar 11.9 por ciento.</w:t>
      </w:r>
      <w:r w:rsidR="00076EED" w:rsidRPr="00D03EF4">
        <w:rPr>
          <w:rFonts w:cs="Arial"/>
          <w:szCs w:val="24"/>
        </w:rPr>
        <w:t xml:space="preserve"> </w:t>
      </w:r>
      <w:r w:rsidRPr="00D03EF4">
        <w:rPr>
          <w:rFonts w:cs="Arial"/>
          <w:szCs w:val="24"/>
        </w:rPr>
        <w:t xml:space="preserve">La tasa de hogares con </w:t>
      </w:r>
      <w:r w:rsidR="00D92FDD" w:rsidRPr="00D03EF4">
        <w:rPr>
          <w:rFonts w:cs="Arial"/>
          <w:szCs w:val="24"/>
        </w:rPr>
        <w:t>población de 5 a 17 años</w:t>
      </w:r>
      <w:r w:rsidRPr="00D03EF4">
        <w:rPr>
          <w:rFonts w:cs="Arial"/>
          <w:szCs w:val="24"/>
        </w:rPr>
        <w:t xml:space="preserve"> en </w:t>
      </w:r>
      <w:r w:rsidR="00C54487" w:rsidRPr="00D03EF4">
        <w:rPr>
          <w:rFonts w:cs="Arial"/>
          <w:szCs w:val="24"/>
        </w:rPr>
        <w:t xml:space="preserve">quehaceres domésticos en </w:t>
      </w:r>
      <w:r w:rsidRPr="00D03EF4">
        <w:rPr>
          <w:rFonts w:cs="Arial"/>
          <w:szCs w:val="24"/>
        </w:rPr>
        <w:t>condiciones no adecuada</w:t>
      </w:r>
      <w:r w:rsidR="005D1CE1" w:rsidRPr="00D03EF4">
        <w:rPr>
          <w:rFonts w:cs="Arial"/>
          <w:szCs w:val="24"/>
        </w:rPr>
        <w:t>s</w:t>
      </w:r>
      <w:r w:rsidRPr="00D03EF4">
        <w:rPr>
          <w:rFonts w:cs="Arial"/>
          <w:szCs w:val="24"/>
        </w:rPr>
        <w:t xml:space="preserve"> fue de 9.8 %, porcentaje que en los hogares con jefes hombres fue de 9.6 % y </w:t>
      </w:r>
      <w:r w:rsidR="00A757BB" w:rsidRPr="00D03EF4">
        <w:rPr>
          <w:rFonts w:cs="Arial"/>
          <w:szCs w:val="24"/>
        </w:rPr>
        <w:t xml:space="preserve">de </w:t>
      </w:r>
      <w:r w:rsidR="00826FDA" w:rsidRPr="00D03EF4">
        <w:rPr>
          <w:rFonts w:cs="Arial"/>
          <w:szCs w:val="24"/>
        </w:rPr>
        <w:t>10.4</w:t>
      </w:r>
      <w:r w:rsidR="00A757BB" w:rsidRPr="00D03EF4">
        <w:rPr>
          <w:rFonts w:cs="Arial"/>
          <w:szCs w:val="24"/>
        </w:rPr>
        <w:t xml:space="preserve"> % </w:t>
      </w:r>
      <w:r w:rsidR="00CD127E" w:rsidRPr="00D03EF4">
        <w:rPr>
          <w:rFonts w:cs="Arial"/>
          <w:szCs w:val="24"/>
        </w:rPr>
        <w:t>con jefas mujeres</w:t>
      </w:r>
      <w:r w:rsidR="00A757BB" w:rsidRPr="00D03EF4">
        <w:rPr>
          <w:rFonts w:cs="Arial"/>
          <w:szCs w:val="24"/>
        </w:rPr>
        <w:t>.</w:t>
      </w:r>
      <w:r w:rsidR="00076EED" w:rsidRPr="00D03EF4">
        <w:rPr>
          <w:rFonts w:cs="Arial"/>
          <w:szCs w:val="24"/>
        </w:rPr>
        <w:t xml:space="preserve"> </w:t>
      </w:r>
      <w:r w:rsidR="00A757BB" w:rsidRPr="00D03EF4">
        <w:rPr>
          <w:rFonts w:cs="Arial"/>
          <w:szCs w:val="24"/>
        </w:rPr>
        <w:t xml:space="preserve">En los hogares monoparentales con </w:t>
      </w:r>
      <w:r w:rsidR="00D92FDD" w:rsidRPr="00D03EF4">
        <w:rPr>
          <w:rFonts w:cs="Arial"/>
          <w:szCs w:val="24"/>
        </w:rPr>
        <w:t>población de 5 a 17 años</w:t>
      </w:r>
      <w:r w:rsidR="00A757BB" w:rsidRPr="00D03EF4">
        <w:rPr>
          <w:rFonts w:cs="Arial"/>
          <w:szCs w:val="24"/>
        </w:rPr>
        <w:t xml:space="preserve"> en quehaceres domésticos en condiciones no adecuadas, la tasa fue de 11.6 %, con jefes hombres 13.2 % y con mujeres como jefas 11.5 </w:t>
      </w:r>
      <w:r w:rsidR="000E1EBC">
        <w:rPr>
          <w:rFonts w:cs="Arial"/>
          <w:szCs w:val="24"/>
        </w:rPr>
        <w:t>%</w:t>
      </w:r>
      <w:r w:rsidR="004E0174" w:rsidRPr="00D03EF4">
        <w:rPr>
          <w:rFonts w:cs="Arial"/>
          <w:szCs w:val="24"/>
        </w:rPr>
        <w:t xml:space="preserve"> </w:t>
      </w:r>
      <w:r w:rsidR="000E1EBC">
        <w:rPr>
          <w:rFonts w:cs="Arial"/>
          <w:szCs w:val="24"/>
        </w:rPr>
        <w:br/>
      </w:r>
      <w:r w:rsidR="004E0174" w:rsidRPr="00D03EF4">
        <w:rPr>
          <w:rFonts w:cs="Arial"/>
          <w:szCs w:val="24"/>
        </w:rPr>
        <w:t xml:space="preserve">(ver cuadro </w:t>
      </w:r>
      <w:r w:rsidR="004D4F9A" w:rsidRPr="00D03EF4">
        <w:rPr>
          <w:rFonts w:cs="Arial"/>
          <w:szCs w:val="24"/>
        </w:rPr>
        <w:t>29</w:t>
      </w:r>
      <w:r w:rsidR="004E0174" w:rsidRPr="00D03EF4">
        <w:rPr>
          <w:rFonts w:cs="Arial"/>
          <w:szCs w:val="24"/>
        </w:rPr>
        <w:t>)</w:t>
      </w:r>
      <w:r w:rsidR="00A757BB" w:rsidRPr="00D03EF4">
        <w:rPr>
          <w:rFonts w:cs="Arial"/>
          <w:szCs w:val="24"/>
        </w:rPr>
        <w:t>.</w:t>
      </w:r>
    </w:p>
    <w:p w14:paraId="0F45DEC0" w14:textId="64E168F3" w:rsidR="00E24A6C" w:rsidRDefault="00E24A6C">
      <w:pPr>
        <w:widowControl/>
        <w:jc w:val="left"/>
        <w:rPr>
          <w:rFonts w:cs="Arial"/>
          <w:b/>
          <w:szCs w:val="24"/>
        </w:rPr>
      </w:pPr>
    </w:p>
    <w:p w14:paraId="4607CDFF" w14:textId="2FAB2F3A" w:rsidR="00660057" w:rsidRPr="000E1EBC" w:rsidRDefault="00660057" w:rsidP="000E1EBC">
      <w:pPr>
        <w:widowControl/>
        <w:autoSpaceDE w:val="0"/>
        <w:autoSpaceDN w:val="0"/>
        <w:adjustRightInd w:val="0"/>
        <w:jc w:val="center"/>
        <w:rPr>
          <w:rFonts w:cs="Arial"/>
          <w:color w:val="000000"/>
          <w:sz w:val="20"/>
        </w:rPr>
      </w:pPr>
      <w:r w:rsidRPr="000E1EBC">
        <w:rPr>
          <w:rFonts w:cs="Arial"/>
          <w:color w:val="000000"/>
          <w:sz w:val="20"/>
        </w:rPr>
        <w:t xml:space="preserve">Cuadro </w:t>
      </w:r>
      <w:r w:rsidR="002C2946" w:rsidRPr="000E1EBC">
        <w:rPr>
          <w:rFonts w:cs="Arial"/>
          <w:color w:val="000000"/>
          <w:sz w:val="20"/>
        </w:rPr>
        <w:t>29</w:t>
      </w:r>
    </w:p>
    <w:p w14:paraId="34768A27" w14:textId="62D333D9" w:rsidR="00660057" w:rsidRPr="000E1EBC" w:rsidRDefault="00660057" w:rsidP="000E1EBC">
      <w:pPr>
        <w:widowControl/>
        <w:autoSpaceDE w:val="0"/>
        <w:autoSpaceDN w:val="0"/>
        <w:adjustRightInd w:val="0"/>
        <w:ind w:right="51"/>
        <w:jc w:val="center"/>
        <w:rPr>
          <w:rFonts w:cs="Arial"/>
          <w:b/>
          <w:smallCaps/>
          <w:sz w:val="22"/>
          <w:szCs w:val="22"/>
        </w:rPr>
      </w:pPr>
      <w:r w:rsidRPr="000E1EBC">
        <w:rPr>
          <w:rFonts w:cs="Arial"/>
          <w:b/>
          <w:smallCaps/>
          <w:sz w:val="22"/>
          <w:szCs w:val="22"/>
        </w:rPr>
        <w:t>Tasas de hogares con trabajo infantil según sexo de la persona jefa del hogar</w:t>
      </w:r>
    </w:p>
    <w:p w14:paraId="323F55ED" w14:textId="4792A8F3" w:rsidR="00440565" w:rsidRPr="00B95B1B" w:rsidRDefault="00440565" w:rsidP="000E1EBC">
      <w:pPr>
        <w:widowControl/>
        <w:autoSpaceDE w:val="0"/>
        <w:autoSpaceDN w:val="0"/>
        <w:adjustRightInd w:val="0"/>
        <w:jc w:val="center"/>
        <w:rPr>
          <w:rFonts w:cs="Arial"/>
          <w:color w:val="000000"/>
          <w:sz w:val="18"/>
          <w:szCs w:val="18"/>
        </w:rPr>
      </w:pPr>
      <w:r w:rsidRPr="00B95B1B">
        <w:rPr>
          <w:rFonts w:cs="Arial"/>
          <w:color w:val="000000"/>
          <w:sz w:val="18"/>
          <w:szCs w:val="18"/>
        </w:rPr>
        <w:t>(porcentajes respecto al total de hogares</w:t>
      </w:r>
      <w:r w:rsidR="000479C9" w:rsidRPr="00B95B1B">
        <w:rPr>
          <w:rFonts w:cs="Arial"/>
          <w:color w:val="000000"/>
          <w:sz w:val="18"/>
          <w:szCs w:val="18"/>
        </w:rPr>
        <w:t xml:space="preserve"> con población de 5 a 17 años</w:t>
      </w:r>
      <w:r w:rsidRPr="00B95B1B">
        <w:rPr>
          <w:rFonts w:cs="Arial"/>
          <w:color w:val="000000"/>
          <w:sz w:val="18"/>
          <w:szCs w:val="18"/>
        </w:rPr>
        <w:t>)</w:t>
      </w:r>
    </w:p>
    <w:tbl>
      <w:tblPr>
        <w:tblW w:w="9780" w:type="dxa"/>
        <w:tblCellMar>
          <w:left w:w="70" w:type="dxa"/>
          <w:right w:w="70" w:type="dxa"/>
        </w:tblCellMar>
        <w:tblLook w:val="04A0" w:firstRow="1" w:lastRow="0" w:firstColumn="1" w:lastColumn="0" w:noHBand="0" w:noVBand="1"/>
      </w:tblPr>
      <w:tblGrid>
        <w:gridCol w:w="220"/>
        <w:gridCol w:w="4760"/>
        <w:gridCol w:w="1600"/>
        <w:gridCol w:w="1600"/>
        <w:gridCol w:w="1600"/>
      </w:tblGrid>
      <w:tr w:rsidR="00660057" w:rsidRPr="00062FA6" w14:paraId="30347ADD" w14:textId="77777777">
        <w:trPr>
          <w:trHeight w:val="300"/>
        </w:trPr>
        <w:tc>
          <w:tcPr>
            <w:tcW w:w="4980" w:type="dxa"/>
            <w:gridSpan w:val="2"/>
            <w:tcBorders>
              <w:top w:val="nil"/>
              <w:left w:val="nil"/>
              <w:bottom w:val="nil"/>
              <w:right w:val="nil"/>
            </w:tcBorders>
            <w:shd w:val="clear" w:color="auto" w:fill="338B99"/>
            <w:vAlign w:val="center"/>
            <w:hideMark/>
          </w:tcPr>
          <w:p w14:paraId="1AA785F0" w14:textId="77777777" w:rsidR="00660057" w:rsidRPr="00062FA6" w:rsidRDefault="00660057" w:rsidP="00562DA7">
            <w:pPr>
              <w:widowControl/>
              <w:jc w:val="left"/>
              <w:rPr>
                <w:rFonts w:cs="Arial"/>
                <w:b/>
                <w:color w:val="FFFFFF"/>
                <w:sz w:val="20"/>
                <w:lang w:eastAsia="es-MX"/>
              </w:rPr>
            </w:pPr>
            <w:r w:rsidRPr="00062FA6">
              <w:rPr>
                <w:rFonts w:cs="Arial"/>
                <w:b/>
                <w:color w:val="FFFFFF"/>
                <w:sz w:val="20"/>
                <w:lang w:eastAsia="es-MX"/>
              </w:rPr>
              <w:t>Tasa</w:t>
            </w:r>
          </w:p>
        </w:tc>
        <w:tc>
          <w:tcPr>
            <w:tcW w:w="1600" w:type="dxa"/>
            <w:tcBorders>
              <w:top w:val="nil"/>
              <w:left w:val="nil"/>
              <w:bottom w:val="nil"/>
              <w:right w:val="nil"/>
            </w:tcBorders>
            <w:shd w:val="clear" w:color="auto" w:fill="338B99"/>
            <w:vAlign w:val="center"/>
            <w:hideMark/>
          </w:tcPr>
          <w:p w14:paraId="27CA1524" w14:textId="77777777" w:rsidR="00660057" w:rsidRPr="00062FA6" w:rsidRDefault="00660057" w:rsidP="00562DA7">
            <w:pPr>
              <w:widowControl/>
              <w:jc w:val="center"/>
              <w:rPr>
                <w:rFonts w:cs="Arial"/>
                <w:b/>
                <w:color w:val="FFFFFF"/>
                <w:sz w:val="20"/>
                <w:lang w:eastAsia="es-MX"/>
              </w:rPr>
            </w:pPr>
            <w:r w:rsidRPr="00062FA6">
              <w:rPr>
                <w:rFonts w:cs="Arial"/>
                <w:b/>
                <w:color w:val="FFFFFF"/>
                <w:sz w:val="20"/>
                <w:lang w:eastAsia="es-MX"/>
              </w:rPr>
              <w:t>Total</w:t>
            </w:r>
          </w:p>
        </w:tc>
        <w:tc>
          <w:tcPr>
            <w:tcW w:w="1600" w:type="dxa"/>
            <w:tcBorders>
              <w:top w:val="nil"/>
              <w:left w:val="nil"/>
              <w:bottom w:val="nil"/>
              <w:right w:val="nil"/>
            </w:tcBorders>
            <w:shd w:val="clear" w:color="auto" w:fill="338B99"/>
            <w:vAlign w:val="center"/>
            <w:hideMark/>
          </w:tcPr>
          <w:p w14:paraId="0E99CE76" w14:textId="77777777" w:rsidR="00660057" w:rsidRPr="00062FA6" w:rsidRDefault="00660057" w:rsidP="00562DA7">
            <w:pPr>
              <w:widowControl/>
              <w:jc w:val="center"/>
              <w:rPr>
                <w:rFonts w:cs="Arial"/>
                <w:b/>
                <w:color w:val="FFFFFF"/>
                <w:sz w:val="20"/>
                <w:lang w:eastAsia="es-MX"/>
              </w:rPr>
            </w:pPr>
            <w:r w:rsidRPr="00062FA6">
              <w:rPr>
                <w:rFonts w:cs="Arial"/>
                <w:b/>
                <w:color w:val="FFFFFF"/>
                <w:sz w:val="20"/>
                <w:lang w:eastAsia="es-MX"/>
              </w:rPr>
              <w:t>Jefe</w:t>
            </w:r>
          </w:p>
        </w:tc>
        <w:tc>
          <w:tcPr>
            <w:tcW w:w="1600" w:type="dxa"/>
            <w:tcBorders>
              <w:top w:val="nil"/>
              <w:left w:val="nil"/>
              <w:bottom w:val="nil"/>
              <w:right w:val="nil"/>
            </w:tcBorders>
            <w:shd w:val="clear" w:color="auto" w:fill="338B99"/>
            <w:vAlign w:val="center"/>
            <w:hideMark/>
          </w:tcPr>
          <w:p w14:paraId="3D924A2D" w14:textId="77777777" w:rsidR="00660057" w:rsidRPr="00062FA6" w:rsidRDefault="00660057" w:rsidP="00562DA7">
            <w:pPr>
              <w:widowControl/>
              <w:jc w:val="center"/>
              <w:rPr>
                <w:rFonts w:cs="Arial"/>
                <w:b/>
                <w:color w:val="FFFFFF"/>
                <w:sz w:val="20"/>
                <w:lang w:eastAsia="es-MX"/>
              </w:rPr>
            </w:pPr>
            <w:r w:rsidRPr="00062FA6">
              <w:rPr>
                <w:rFonts w:cs="Arial"/>
                <w:b/>
                <w:color w:val="FFFFFF"/>
                <w:sz w:val="20"/>
                <w:lang w:eastAsia="es-MX"/>
              </w:rPr>
              <w:t>Jefa</w:t>
            </w:r>
          </w:p>
        </w:tc>
      </w:tr>
      <w:tr w:rsidR="00660057" w:rsidRPr="00062FA6" w14:paraId="12E4B854" w14:textId="77777777">
        <w:trPr>
          <w:trHeight w:val="300"/>
        </w:trPr>
        <w:tc>
          <w:tcPr>
            <w:tcW w:w="220" w:type="dxa"/>
            <w:tcBorders>
              <w:top w:val="nil"/>
              <w:left w:val="nil"/>
              <w:bottom w:val="nil"/>
              <w:right w:val="nil"/>
            </w:tcBorders>
            <w:shd w:val="clear" w:color="auto" w:fill="CCE2E6"/>
            <w:noWrap/>
            <w:vAlign w:val="bottom"/>
            <w:hideMark/>
          </w:tcPr>
          <w:p w14:paraId="685A33F1" w14:textId="77777777" w:rsidR="00660057" w:rsidRPr="00062FA6" w:rsidRDefault="00660057" w:rsidP="00562DA7">
            <w:pPr>
              <w:widowControl/>
              <w:jc w:val="left"/>
              <w:rPr>
                <w:rFonts w:ascii="Times New Roman" w:hAnsi="Times New Roman"/>
                <w:color w:val="000000"/>
                <w:sz w:val="20"/>
                <w:lang w:eastAsia="es-MX"/>
              </w:rPr>
            </w:pPr>
            <w:r w:rsidRPr="00062FA6">
              <w:rPr>
                <w:rFonts w:ascii="Times New Roman" w:hAnsi="Times New Roman" w:cs="Arial"/>
                <w:sz w:val="20"/>
                <w:lang w:eastAsia="es-MX"/>
              </w:rPr>
              <w:t> </w:t>
            </w:r>
          </w:p>
        </w:tc>
        <w:tc>
          <w:tcPr>
            <w:tcW w:w="4760" w:type="dxa"/>
            <w:tcBorders>
              <w:top w:val="nil"/>
              <w:left w:val="nil"/>
              <w:bottom w:val="nil"/>
              <w:right w:val="nil"/>
            </w:tcBorders>
            <w:shd w:val="clear" w:color="auto" w:fill="CCE2E6"/>
            <w:vAlign w:val="center"/>
            <w:hideMark/>
          </w:tcPr>
          <w:p w14:paraId="6787A593" w14:textId="77777777" w:rsidR="00660057" w:rsidRPr="00062FA6" w:rsidRDefault="00660057" w:rsidP="00562DA7">
            <w:pPr>
              <w:widowControl/>
              <w:jc w:val="left"/>
              <w:rPr>
                <w:rFonts w:cs="Arial"/>
                <w:color w:val="000000"/>
                <w:sz w:val="20"/>
                <w:lang w:eastAsia="es-MX"/>
              </w:rPr>
            </w:pPr>
            <w:r w:rsidRPr="00062FA6">
              <w:rPr>
                <w:rFonts w:cs="Arial"/>
                <w:sz w:val="20"/>
                <w:lang w:eastAsia="es-MX"/>
              </w:rPr>
              <w:t>Tasa de hogares con ocupación infantil no permitida</w:t>
            </w:r>
          </w:p>
        </w:tc>
        <w:tc>
          <w:tcPr>
            <w:tcW w:w="1600" w:type="dxa"/>
            <w:tcBorders>
              <w:top w:val="nil"/>
              <w:left w:val="nil"/>
              <w:bottom w:val="nil"/>
              <w:right w:val="nil"/>
            </w:tcBorders>
            <w:shd w:val="clear" w:color="auto" w:fill="CCE2E6"/>
            <w:vAlign w:val="center"/>
            <w:hideMark/>
          </w:tcPr>
          <w:p w14:paraId="59E7F05C" w14:textId="77777777" w:rsidR="00660057" w:rsidRPr="00062FA6" w:rsidRDefault="00660057" w:rsidP="00562DA7">
            <w:pPr>
              <w:widowControl/>
              <w:jc w:val="center"/>
              <w:rPr>
                <w:rFonts w:cs="Arial"/>
                <w:color w:val="000000"/>
                <w:sz w:val="20"/>
                <w:lang w:eastAsia="es-MX"/>
              </w:rPr>
            </w:pPr>
            <w:r w:rsidRPr="00062FA6">
              <w:rPr>
                <w:rFonts w:cs="Arial"/>
                <w:sz w:val="20"/>
                <w:lang w:eastAsia="es-MX"/>
              </w:rPr>
              <w:t>10.6</w:t>
            </w:r>
          </w:p>
        </w:tc>
        <w:tc>
          <w:tcPr>
            <w:tcW w:w="1600" w:type="dxa"/>
            <w:tcBorders>
              <w:top w:val="nil"/>
              <w:left w:val="nil"/>
              <w:bottom w:val="nil"/>
              <w:right w:val="nil"/>
            </w:tcBorders>
            <w:shd w:val="clear" w:color="auto" w:fill="CCE2E6"/>
            <w:vAlign w:val="center"/>
            <w:hideMark/>
          </w:tcPr>
          <w:p w14:paraId="31FCF235" w14:textId="77777777" w:rsidR="00660057" w:rsidRPr="00062FA6" w:rsidRDefault="00660057" w:rsidP="00562DA7">
            <w:pPr>
              <w:widowControl/>
              <w:jc w:val="center"/>
              <w:rPr>
                <w:rFonts w:cs="Arial"/>
                <w:color w:val="000000"/>
                <w:sz w:val="20"/>
                <w:lang w:eastAsia="es-MX"/>
              </w:rPr>
            </w:pPr>
            <w:r w:rsidRPr="00062FA6">
              <w:rPr>
                <w:rFonts w:cs="Arial"/>
                <w:sz w:val="20"/>
                <w:lang w:eastAsia="es-MX"/>
              </w:rPr>
              <w:t>10.7</w:t>
            </w:r>
          </w:p>
        </w:tc>
        <w:tc>
          <w:tcPr>
            <w:tcW w:w="1600" w:type="dxa"/>
            <w:tcBorders>
              <w:top w:val="nil"/>
              <w:left w:val="nil"/>
              <w:bottom w:val="nil"/>
              <w:right w:val="nil"/>
            </w:tcBorders>
            <w:shd w:val="clear" w:color="auto" w:fill="CCE2E6"/>
            <w:vAlign w:val="center"/>
            <w:hideMark/>
          </w:tcPr>
          <w:p w14:paraId="4FE4AD99" w14:textId="77777777" w:rsidR="00660057" w:rsidRPr="00062FA6" w:rsidRDefault="00660057" w:rsidP="00562DA7">
            <w:pPr>
              <w:widowControl/>
              <w:jc w:val="center"/>
              <w:rPr>
                <w:rFonts w:cs="Arial"/>
                <w:color w:val="000000"/>
                <w:sz w:val="20"/>
                <w:lang w:eastAsia="es-MX"/>
              </w:rPr>
            </w:pPr>
            <w:r w:rsidRPr="00062FA6">
              <w:rPr>
                <w:rFonts w:cs="Arial"/>
                <w:sz w:val="20"/>
                <w:lang w:eastAsia="es-MX"/>
              </w:rPr>
              <w:t>10.2</w:t>
            </w:r>
          </w:p>
        </w:tc>
      </w:tr>
      <w:tr w:rsidR="00660057" w:rsidRPr="00062FA6" w14:paraId="0D75E411" w14:textId="77777777">
        <w:trPr>
          <w:trHeight w:val="510"/>
        </w:trPr>
        <w:tc>
          <w:tcPr>
            <w:tcW w:w="220" w:type="dxa"/>
            <w:tcBorders>
              <w:top w:val="nil"/>
              <w:left w:val="nil"/>
              <w:bottom w:val="nil"/>
              <w:right w:val="nil"/>
            </w:tcBorders>
            <w:shd w:val="clear" w:color="auto" w:fill="CCE2E6"/>
            <w:noWrap/>
            <w:vAlign w:val="bottom"/>
            <w:hideMark/>
          </w:tcPr>
          <w:p w14:paraId="6B8017A6" w14:textId="77777777" w:rsidR="00660057" w:rsidRPr="00062FA6" w:rsidRDefault="00660057" w:rsidP="00562DA7">
            <w:pPr>
              <w:widowControl/>
              <w:jc w:val="left"/>
              <w:rPr>
                <w:rFonts w:ascii="Times New Roman" w:hAnsi="Times New Roman"/>
                <w:color w:val="000000"/>
                <w:sz w:val="20"/>
                <w:lang w:eastAsia="es-MX"/>
              </w:rPr>
            </w:pPr>
            <w:r w:rsidRPr="00062FA6">
              <w:rPr>
                <w:rFonts w:ascii="Times New Roman" w:hAnsi="Times New Roman" w:cs="Arial"/>
                <w:sz w:val="20"/>
                <w:lang w:eastAsia="es-MX"/>
              </w:rPr>
              <w:t> </w:t>
            </w:r>
          </w:p>
        </w:tc>
        <w:tc>
          <w:tcPr>
            <w:tcW w:w="4760" w:type="dxa"/>
            <w:tcBorders>
              <w:top w:val="nil"/>
              <w:left w:val="nil"/>
              <w:bottom w:val="nil"/>
              <w:right w:val="nil"/>
            </w:tcBorders>
            <w:shd w:val="clear" w:color="auto" w:fill="CCE2E6"/>
            <w:vAlign w:val="center"/>
            <w:hideMark/>
          </w:tcPr>
          <w:p w14:paraId="2C1830CB" w14:textId="77777777" w:rsidR="00660057" w:rsidRPr="00062FA6" w:rsidRDefault="00660057" w:rsidP="00562DA7">
            <w:pPr>
              <w:widowControl/>
              <w:jc w:val="left"/>
              <w:rPr>
                <w:rFonts w:cs="Arial"/>
                <w:color w:val="000000"/>
                <w:sz w:val="20"/>
                <w:lang w:eastAsia="es-MX"/>
              </w:rPr>
            </w:pPr>
            <w:r w:rsidRPr="00062FA6">
              <w:rPr>
                <w:rFonts w:cs="Arial"/>
                <w:sz w:val="20"/>
                <w:lang w:eastAsia="es-MX"/>
              </w:rPr>
              <w:t>Tasa de hogares monoparentales con ocupación infantil no permitida</w:t>
            </w:r>
          </w:p>
        </w:tc>
        <w:tc>
          <w:tcPr>
            <w:tcW w:w="1600" w:type="dxa"/>
            <w:tcBorders>
              <w:top w:val="nil"/>
              <w:left w:val="nil"/>
              <w:bottom w:val="nil"/>
              <w:right w:val="nil"/>
            </w:tcBorders>
            <w:shd w:val="clear" w:color="auto" w:fill="CCE2E6"/>
            <w:vAlign w:val="center"/>
            <w:hideMark/>
          </w:tcPr>
          <w:p w14:paraId="3714AE65" w14:textId="77777777" w:rsidR="00660057" w:rsidRPr="00062FA6" w:rsidRDefault="00660057" w:rsidP="00562DA7">
            <w:pPr>
              <w:widowControl/>
              <w:jc w:val="center"/>
              <w:rPr>
                <w:rFonts w:cs="Arial"/>
                <w:color w:val="000000"/>
                <w:sz w:val="20"/>
                <w:lang w:eastAsia="es-MX"/>
              </w:rPr>
            </w:pPr>
            <w:r w:rsidRPr="00062FA6">
              <w:rPr>
                <w:rFonts w:cs="Arial"/>
                <w:sz w:val="20"/>
                <w:lang w:eastAsia="es-MX"/>
              </w:rPr>
              <w:t>12.2</w:t>
            </w:r>
          </w:p>
        </w:tc>
        <w:tc>
          <w:tcPr>
            <w:tcW w:w="1600" w:type="dxa"/>
            <w:tcBorders>
              <w:top w:val="nil"/>
              <w:left w:val="nil"/>
              <w:bottom w:val="nil"/>
              <w:right w:val="nil"/>
            </w:tcBorders>
            <w:shd w:val="clear" w:color="auto" w:fill="CCE2E6"/>
            <w:vAlign w:val="center"/>
            <w:hideMark/>
          </w:tcPr>
          <w:p w14:paraId="2F731995" w14:textId="77777777" w:rsidR="00660057" w:rsidRPr="00062FA6" w:rsidRDefault="00660057" w:rsidP="00562DA7">
            <w:pPr>
              <w:widowControl/>
              <w:jc w:val="center"/>
              <w:rPr>
                <w:rFonts w:cs="Arial"/>
                <w:color w:val="000000"/>
                <w:sz w:val="20"/>
                <w:lang w:eastAsia="es-MX"/>
              </w:rPr>
            </w:pPr>
            <w:r w:rsidRPr="00062FA6">
              <w:rPr>
                <w:rFonts w:cs="Arial"/>
                <w:sz w:val="20"/>
                <w:lang w:eastAsia="es-MX"/>
              </w:rPr>
              <w:t>15.2</w:t>
            </w:r>
          </w:p>
        </w:tc>
        <w:tc>
          <w:tcPr>
            <w:tcW w:w="1600" w:type="dxa"/>
            <w:tcBorders>
              <w:top w:val="nil"/>
              <w:left w:val="nil"/>
              <w:bottom w:val="nil"/>
              <w:right w:val="nil"/>
            </w:tcBorders>
            <w:shd w:val="clear" w:color="auto" w:fill="CCE2E6"/>
            <w:vAlign w:val="center"/>
            <w:hideMark/>
          </w:tcPr>
          <w:p w14:paraId="6DA92824" w14:textId="77777777" w:rsidR="00660057" w:rsidRPr="00062FA6" w:rsidRDefault="00660057" w:rsidP="00562DA7">
            <w:pPr>
              <w:widowControl/>
              <w:jc w:val="center"/>
              <w:rPr>
                <w:rFonts w:cs="Arial"/>
                <w:color w:val="000000"/>
                <w:sz w:val="20"/>
                <w:lang w:eastAsia="es-MX"/>
              </w:rPr>
            </w:pPr>
            <w:r w:rsidRPr="00062FA6">
              <w:rPr>
                <w:rFonts w:cs="Arial"/>
                <w:sz w:val="20"/>
                <w:lang w:eastAsia="es-MX"/>
              </w:rPr>
              <w:t>11.9</w:t>
            </w:r>
          </w:p>
        </w:tc>
      </w:tr>
      <w:tr w:rsidR="00660057" w:rsidRPr="00062FA6" w14:paraId="45706BBA" w14:textId="77777777">
        <w:trPr>
          <w:trHeight w:val="510"/>
        </w:trPr>
        <w:tc>
          <w:tcPr>
            <w:tcW w:w="220" w:type="dxa"/>
            <w:tcBorders>
              <w:top w:val="nil"/>
              <w:left w:val="nil"/>
              <w:right w:val="nil"/>
            </w:tcBorders>
            <w:shd w:val="clear" w:color="auto" w:fill="CCE2E6"/>
            <w:noWrap/>
            <w:vAlign w:val="bottom"/>
            <w:hideMark/>
          </w:tcPr>
          <w:p w14:paraId="7EBB24BB" w14:textId="77777777" w:rsidR="00660057" w:rsidRPr="00062FA6" w:rsidRDefault="00660057" w:rsidP="00562DA7">
            <w:pPr>
              <w:widowControl/>
              <w:jc w:val="left"/>
              <w:rPr>
                <w:rFonts w:ascii="Times New Roman" w:hAnsi="Times New Roman"/>
                <w:color w:val="000000"/>
                <w:sz w:val="20"/>
                <w:lang w:eastAsia="es-MX"/>
              </w:rPr>
            </w:pPr>
            <w:r w:rsidRPr="00062FA6">
              <w:rPr>
                <w:rFonts w:ascii="Times New Roman" w:hAnsi="Times New Roman" w:cs="Arial"/>
                <w:sz w:val="20"/>
                <w:lang w:eastAsia="es-MX"/>
              </w:rPr>
              <w:t> </w:t>
            </w:r>
          </w:p>
        </w:tc>
        <w:tc>
          <w:tcPr>
            <w:tcW w:w="4760" w:type="dxa"/>
            <w:tcBorders>
              <w:top w:val="nil"/>
              <w:left w:val="nil"/>
              <w:right w:val="nil"/>
            </w:tcBorders>
            <w:shd w:val="clear" w:color="auto" w:fill="CCE2E6"/>
            <w:vAlign w:val="center"/>
            <w:hideMark/>
          </w:tcPr>
          <w:p w14:paraId="6C7D21DA" w14:textId="77777777" w:rsidR="00660057" w:rsidRPr="00062FA6" w:rsidRDefault="00660057" w:rsidP="00562DA7">
            <w:pPr>
              <w:widowControl/>
              <w:jc w:val="left"/>
              <w:rPr>
                <w:rFonts w:cs="Arial"/>
                <w:color w:val="000000"/>
                <w:sz w:val="20"/>
                <w:lang w:eastAsia="es-MX"/>
              </w:rPr>
            </w:pPr>
            <w:r w:rsidRPr="00062FA6">
              <w:rPr>
                <w:rFonts w:cs="Arial"/>
                <w:sz w:val="20"/>
                <w:lang w:eastAsia="es-MX"/>
              </w:rPr>
              <w:t>Tasa de hogares con quehaceres domésticos en condiciones no adecuadas</w:t>
            </w:r>
          </w:p>
        </w:tc>
        <w:tc>
          <w:tcPr>
            <w:tcW w:w="1600" w:type="dxa"/>
            <w:tcBorders>
              <w:top w:val="nil"/>
              <w:left w:val="nil"/>
              <w:right w:val="nil"/>
            </w:tcBorders>
            <w:shd w:val="clear" w:color="auto" w:fill="CCE2E6"/>
            <w:vAlign w:val="center"/>
            <w:hideMark/>
          </w:tcPr>
          <w:p w14:paraId="17889538" w14:textId="77777777" w:rsidR="00660057" w:rsidRPr="00062FA6" w:rsidRDefault="00660057" w:rsidP="00562DA7">
            <w:pPr>
              <w:widowControl/>
              <w:jc w:val="center"/>
              <w:rPr>
                <w:rFonts w:cs="Arial"/>
                <w:color w:val="000000"/>
                <w:sz w:val="20"/>
                <w:lang w:eastAsia="es-MX"/>
              </w:rPr>
            </w:pPr>
            <w:r w:rsidRPr="00062FA6">
              <w:rPr>
                <w:rFonts w:cs="Arial"/>
                <w:sz w:val="20"/>
                <w:lang w:eastAsia="es-MX"/>
              </w:rPr>
              <w:t>9.8</w:t>
            </w:r>
          </w:p>
        </w:tc>
        <w:tc>
          <w:tcPr>
            <w:tcW w:w="1600" w:type="dxa"/>
            <w:tcBorders>
              <w:top w:val="nil"/>
              <w:left w:val="nil"/>
              <w:right w:val="nil"/>
            </w:tcBorders>
            <w:shd w:val="clear" w:color="auto" w:fill="CCE2E6"/>
            <w:vAlign w:val="center"/>
            <w:hideMark/>
          </w:tcPr>
          <w:p w14:paraId="6DD143E8" w14:textId="77777777" w:rsidR="00660057" w:rsidRPr="00062FA6" w:rsidRDefault="00660057" w:rsidP="00562DA7">
            <w:pPr>
              <w:widowControl/>
              <w:jc w:val="center"/>
              <w:rPr>
                <w:rFonts w:cs="Arial"/>
                <w:color w:val="000000"/>
                <w:sz w:val="20"/>
                <w:lang w:eastAsia="es-MX"/>
              </w:rPr>
            </w:pPr>
            <w:r w:rsidRPr="00062FA6">
              <w:rPr>
                <w:rFonts w:cs="Arial"/>
                <w:sz w:val="20"/>
                <w:lang w:eastAsia="es-MX"/>
              </w:rPr>
              <w:t>9.6</w:t>
            </w:r>
          </w:p>
        </w:tc>
        <w:tc>
          <w:tcPr>
            <w:tcW w:w="1600" w:type="dxa"/>
            <w:tcBorders>
              <w:top w:val="nil"/>
              <w:left w:val="nil"/>
              <w:right w:val="nil"/>
            </w:tcBorders>
            <w:shd w:val="clear" w:color="auto" w:fill="CCE2E6"/>
            <w:vAlign w:val="center"/>
            <w:hideMark/>
          </w:tcPr>
          <w:p w14:paraId="10270ED3" w14:textId="77777777" w:rsidR="00660057" w:rsidRPr="00062FA6" w:rsidRDefault="00660057" w:rsidP="00562DA7">
            <w:pPr>
              <w:widowControl/>
              <w:jc w:val="center"/>
              <w:rPr>
                <w:rFonts w:cs="Arial"/>
                <w:color w:val="000000"/>
                <w:sz w:val="20"/>
                <w:lang w:eastAsia="es-MX"/>
              </w:rPr>
            </w:pPr>
            <w:r w:rsidRPr="00062FA6">
              <w:rPr>
                <w:rFonts w:cs="Arial"/>
                <w:sz w:val="20"/>
                <w:lang w:eastAsia="es-MX"/>
              </w:rPr>
              <w:t>10.4</w:t>
            </w:r>
          </w:p>
        </w:tc>
      </w:tr>
      <w:tr w:rsidR="00660057" w:rsidRPr="00062FA6" w14:paraId="41711945" w14:textId="77777777">
        <w:trPr>
          <w:trHeight w:val="510"/>
        </w:trPr>
        <w:tc>
          <w:tcPr>
            <w:tcW w:w="220" w:type="dxa"/>
            <w:tcBorders>
              <w:top w:val="nil"/>
              <w:left w:val="nil"/>
              <w:right w:val="nil"/>
            </w:tcBorders>
            <w:shd w:val="clear" w:color="auto" w:fill="CCE2E6"/>
            <w:vAlign w:val="center"/>
            <w:hideMark/>
          </w:tcPr>
          <w:p w14:paraId="04E18575" w14:textId="77777777" w:rsidR="00660057" w:rsidRPr="00062FA6" w:rsidRDefault="00660057" w:rsidP="00562DA7">
            <w:pPr>
              <w:widowControl/>
              <w:jc w:val="left"/>
              <w:rPr>
                <w:rFonts w:ascii="Times New Roman" w:hAnsi="Times New Roman"/>
                <w:color w:val="000000"/>
                <w:sz w:val="20"/>
                <w:lang w:eastAsia="es-MX"/>
              </w:rPr>
            </w:pPr>
            <w:r w:rsidRPr="00062FA6">
              <w:rPr>
                <w:rFonts w:ascii="Times New Roman" w:hAnsi="Times New Roman" w:cs="Arial"/>
                <w:sz w:val="20"/>
                <w:lang w:eastAsia="es-MX"/>
              </w:rPr>
              <w:t> </w:t>
            </w:r>
          </w:p>
        </w:tc>
        <w:tc>
          <w:tcPr>
            <w:tcW w:w="4760" w:type="dxa"/>
            <w:tcBorders>
              <w:top w:val="nil"/>
              <w:left w:val="nil"/>
              <w:right w:val="nil"/>
            </w:tcBorders>
            <w:shd w:val="clear" w:color="auto" w:fill="CCE2E6"/>
            <w:vAlign w:val="center"/>
            <w:hideMark/>
          </w:tcPr>
          <w:p w14:paraId="5AC98689" w14:textId="77777777" w:rsidR="00660057" w:rsidRPr="00062FA6" w:rsidRDefault="00660057" w:rsidP="00562DA7">
            <w:pPr>
              <w:widowControl/>
              <w:jc w:val="left"/>
              <w:rPr>
                <w:rFonts w:cs="Arial"/>
                <w:color w:val="000000"/>
                <w:sz w:val="20"/>
                <w:lang w:eastAsia="es-MX"/>
              </w:rPr>
            </w:pPr>
            <w:r w:rsidRPr="00062FA6">
              <w:rPr>
                <w:rFonts w:cs="Arial"/>
                <w:sz w:val="20"/>
                <w:lang w:eastAsia="es-MX"/>
              </w:rPr>
              <w:t>Tasa de hogares monoparentales con quehaceres domésticos en condiciones no adecuadas</w:t>
            </w:r>
          </w:p>
        </w:tc>
        <w:tc>
          <w:tcPr>
            <w:tcW w:w="1600" w:type="dxa"/>
            <w:tcBorders>
              <w:top w:val="nil"/>
              <w:left w:val="nil"/>
              <w:right w:val="nil"/>
            </w:tcBorders>
            <w:shd w:val="clear" w:color="auto" w:fill="CCE2E6"/>
            <w:vAlign w:val="center"/>
            <w:hideMark/>
          </w:tcPr>
          <w:p w14:paraId="003B15FB" w14:textId="77777777" w:rsidR="00660057" w:rsidRPr="00062FA6" w:rsidRDefault="00660057" w:rsidP="00562DA7">
            <w:pPr>
              <w:widowControl/>
              <w:jc w:val="center"/>
              <w:rPr>
                <w:rFonts w:cs="Arial"/>
                <w:color w:val="000000"/>
                <w:sz w:val="20"/>
                <w:lang w:eastAsia="es-MX"/>
              </w:rPr>
            </w:pPr>
            <w:r w:rsidRPr="00062FA6">
              <w:rPr>
                <w:rFonts w:cs="Arial"/>
                <w:sz w:val="20"/>
                <w:lang w:eastAsia="es-MX"/>
              </w:rPr>
              <w:t>11.6</w:t>
            </w:r>
          </w:p>
        </w:tc>
        <w:tc>
          <w:tcPr>
            <w:tcW w:w="1600" w:type="dxa"/>
            <w:tcBorders>
              <w:top w:val="nil"/>
              <w:left w:val="nil"/>
              <w:right w:val="nil"/>
            </w:tcBorders>
            <w:shd w:val="clear" w:color="auto" w:fill="CCE2E6"/>
            <w:vAlign w:val="center"/>
            <w:hideMark/>
          </w:tcPr>
          <w:p w14:paraId="75C6FA59" w14:textId="77777777" w:rsidR="00660057" w:rsidRPr="00062FA6" w:rsidRDefault="00660057" w:rsidP="00562DA7">
            <w:pPr>
              <w:widowControl/>
              <w:jc w:val="center"/>
              <w:rPr>
                <w:rFonts w:cs="Arial"/>
                <w:color w:val="000000"/>
                <w:sz w:val="20"/>
                <w:lang w:eastAsia="es-MX"/>
              </w:rPr>
            </w:pPr>
            <w:r w:rsidRPr="00062FA6">
              <w:rPr>
                <w:rFonts w:cs="Arial"/>
                <w:sz w:val="20"/>
                <w:lang w:eastAsia="es-MX"/>
              </w:rPr>
              <w:t>13.2</w:t>
            </w:r>
          </w:p>
        </w:tc>
        <w:tc>
          <w:tcPr>
            <w:tcW w:w="1600" w:type="dxa"/>
            <w:tcBorders>
              <w:top w:val="nil"/>
              <w:left w:val="nil"/>
              <w:right w:val="nil"/>
            </w:tcBorders>
            <w:shd w:val="clear" w:color="auto" w:fill="CCE2E6"/>
            <w:vAlign w:val="center"/>
            <w:hideMark/>
          </w:tcPr>
          <w:p w14:paraId="6D7F2310" w14:textId="77777777" w:rsidR="00660057" w:rsidRPr="00062FA6" w:rsidRDefault="00660057" w:rsidP="00562DA7">
            <w:pPr>
              <w:widowControl/>
              <w:jc w:val="center"/>
              <w:rPr>
                <w:rFonts w:cs="Arial"/>
                <w:color w:val="000000"/>
                <w:sz w:val="20"/>
                <w:lang w:eastAsia="es-MX"/>
              </w:rPr>
            </w:pPr>
            <w:r w:rsidRPr="00062FA6">
              <w:rPr>
                <w:rFonts w:cs="Arial"/>
                <w:sz w:val="20"/>
                <w:lang w:eastAsia="es-MX"/>
              </w:rPr>
              <w:t>11.5</w:t>
            </w:r>
          </w:p>
        </w:tc>
      </w:tr>
    </w:tbl>
    <w:p w14:paraId="21F2E507" w14:textId="563722F1" w:rsidR="00660057" w:rsidRPr="00560388" w:rsidRDefault="00660057" w:rsidP="00660057">
      <w:pPr>
        <w:widowControl/>
        <w:autoSpaceDE w:val="0"/>
        <w:autoSpaceDN w:val="0"/>
        <w:adjustRightInd w:val="0"/>
        <w:rPr>
          <w:rFonts w:cs="Arial"/>
          <w:sz w:val="16"/>
          <w:szCs w:val="16"/>
        </w:rPr>
      </w:pPr>
      <w:r w:rsidRPr="00560388">
        <w:rPr>
          <w:rFonts w:cs="Arial"/>
          <w:color w:val="000000" w:themeColor="text1"/>
          <w:sz w:val="16"/>
          <w:szCs w:val="16"/>
        </w:rPr>
        <w:t>Fuente: INEGI, ENTI. 2022.</w:t>
      </w:r>
    </w:p>
    <w:p w14:paraId="4B237332" w14:textId="77777777" w:rsidR="00660057" w:rsidRDefault="00660057" w:rsidP="00042037">
      <w:pPr>
        <w:widowControl/>
        <w:autoSpaceDE w:val="0"/>
        <w:autoSpaceDN w:val="0"/>
        <w:adjustRightInd w:val="0"/>
        <w:rPr>
          <w:rFonts w:cs="Arial"/>
          <w:color w:val="000000"/>
          <w:szCs w:val="24"/>
        </w:rPr>
      </w:pPr>
    </w:p>
    <w:p w14:paraId="6581C69C" w14:textId="63E45F28" w:rsidR="00A757BB" w:rsidRPr="00D03EF4" w:rsidRDefault="00A757BB" w:rsidP="000E1EBC">
      <w:pPr>
        <w:widowControl/>
        <w:autoSpaceDE w:val="0"/>
        <w:autoSpaceDN w:val="0"/>
        <w:adjustRightInd w:val="0"/>
        <w:ind w:right="51"/>
        <w:rPr>
          <w:rFonts w:cs="Arial"/>
          <w:color w:val="000000"/>
          <w:szCs w:val="24"/>
        </w:rPr>
      </w:pPr>
      <w:r w:rsidRPr="00D03EF4">
        <w:rPr>
          <w:rFonts w:cs="Arial"/>
          <w:color w:val="000000"/>
          <w:szCs w:val="24"/>
        </w:rPr>
        <w:t>La ENTI 2022 captó información sobre un conjunto de problemas que enfrentaron los hogares según la percepción de su gravedad. En particular, cabe destacar el porcentaje de hogares según la forma de trabajo infantil</w:t>
      </w:r>
      <w:r w:rsidR="00472936" w:rsidRPr="00D03EF4">
        <w:rPr>
          <w:rFonts w:cs="Arial"/>
          <w:color w:val="000000"/>
          <w:szCs w:val="24"/>
        </w:rPr>
        <w:t xml:space="preserve"> en</w:t>
      </w:r>
      <w:r w:rsidRPr="00D03EF4">
        <w:rPr>
          <w:rFonts w:cs="Arial"/>
          <w:color w:val="000000"/>
          <w:szCs w:val="24"/>
        </w:rPr>
        <w:t xml:space="preserve"> donde </w:t>
      </w:r>
      <w:r w:rsidR="00472936" w:rsidRPr="00D03EF4">
        <w:rPr>
          <w:rFonts w:cs="Arial"/>
          <w:color w:val="000000"/>
          <w:szCs w:val="24"/>
        </w:rPr>
        <w:t>el problema fue</w:t>
      </w:r>
      <w:r w:rsidRPr="00D03EF4">
        <w:rPr>
          <w:rFonts w:cs="Arial"/>
          <w:color w:val="000000"/>
          <w:szCs w:val="24"/>
        </w:rPr>
        <w:t xml:space="preserve"> muy grave o grave. En este contexto, 58.8 % de los hogares con </w:t>
      </w:r>
      <w:r w:rsidR="00D92FDD" w:rsidRPr="00D03EF4">
        <w:rPr>
          <w:rFonts w:cs="Arial"/>
          <w:color w:val="000000"/>
          <w:szCs w:val="24"/>
        </w:rPr>
        <w:t>población de 5 a 17 años</w:t>
      </w:r>
      <w:r w:rsidRPr="00D03EF4">
        <w:rPr>
          <w:rFonts w:cs="Arial"/>
          <w:color w:val="000000"/>
          <w:szCs w:val="24"/>
        </w:rPr>
        <w:t xml:space="preserve"> report</w:t>
      </w:r>
      <w:r w:rsidR="005D6ED4" w:rsidRPr="00D03EF4">
        <w:rPr>
          <w:rFonts w:cs="Arial"/>
          <w:color w:val="000000"/>
          <w:szCs w:val="24"/>
        </w:rPr>
        <w:t>ó</w:t>
      </w:r>
      <w:r w:rsidRPr="00D03EF4">
        <w:rPr>
          <w:rFonts w:cs="Arial"/>
          <w:color w:val="000000"/>
          <w:szCs w:val="24"/>
        </w:rPr>
        <w:t xml:space="preserve"> que los precios elevados de los productos alimenticios los afectaron gravemente, porcentaje ligeramente mayor en los hogares c</w:t>
      </w:r>
      <w:r w:rsidR="005D1CE1" w:rsidRPr="00D03EF4">
        <w:rPr>
          <w:rFonts w:cs="Arial"/>
          <w:color w:val="000000"/>
          <w:szCs w:val="24"/>
        </w:rPr>
        <w:t xml:space="preserve">on alguna </w:t>
      </w:r>
      <w:r w:rsidRPr="00D03EF4">
        <w:rPr>
          <w:rFonts w:cs="Arial"/>
          <w:color w:val="000000"/>
          <w:szCs w:val="24"/>
        </w:rPr>
        <w:t>forma de trabajo infantil.</w:t>
      </w:r>
    </w:p>
    <w:p w14:paraId="3324858C" w14:textId="77777777" w:rsidR="00472936" w:rsidRPr="00D03EF4" w:rsidRDefault="00472936" w:rsidP="000E1EBC">
      <w:pPr>
        <w:widowControl/>
        <w:autoSpaceDE w:val="0"/>
        <w:autoSpaceDN w:val="0"/>
        <w:adjustRightInd w:val="0"/>
        <w:ind w:right="51"/>
        <w:rPr>
          <w:rFonts w:cs="Arial"/>
          <w:color w:val="000000"/>
          <w:szCs w:val="24"/>
        </w:rPr>
      </w:pPr>
    </w:p>
    <w:p w14:paraId="26602279" w14:textId="7D4D93F4" w:rsidR="00472936" w:rsidRDefault="00472936" w:rsidP="000E1EBC">
      <w:pPr>
        <w:widowControl/>
        <w:autoSpaceDE w:val="0"/>
        <w:autoSpaceDN w:val="0"/>
        <w:adjustRightInd w:val="0"/>
        <w:ind w:right="51"/>
        <w:rPr>
          <w:rFonts w:cs="Arial"/>
          <w:color w:val="000000"/>
          <w:szCs w:val="24"/>
          <w:shd w:val="clear" w:color="auto" w:fill="FFFFFF" w:themeFill="background1"/>
        </w:rPr>
      </w:pPr>
      <w:r w:rsidRPr="00D03EF4">
        <w:rPr>
          <w:rFonts w:cs="Arial"/>
          <w:color w:val="000000"/>
          <w:szCs w:val="24"/>
        </w:rPr>
        <w:t xml:space="preserve">En 14.8 % de los hogares con </w:t>
      </w:r>
      <w:r w:rsidR="00D92FDD" w:rsidRPr="00D03EF4">
        <w:rPr>
          <w:rFonts w:cs="Arial"/>
          <w:color w:val="000000"/>
          <w:szCs w:val="24"/>
        </w:rPr>
        <w:t>población de 5 a 17 años</w:t>
      </w:r>
      <w:r w:rsidRPr="00D03EF4">
        <w:rPr>
          <w:rFonts w:cs="Arial"/>
          <w:color w:val="000000"/>
          <w:szCs w:val="24"/>
        </w:rPr>
        <w:t xml:space="preserve"> </w:t>
      </w:r>
      <w:r w:rsidR="005D6ED4" w:rsidRPr="00D03EF4">
        <w:rPr>
          <w:rFonts w:cs="Arial"/>
          <w:color w:val="000000"/>
          <w:szCs w:val="24"/>
        </w:rPr>
        <w:t xml:space="preserve">se </w:t>
      </w:r>
      <w:r w:rsidRPr="00D03EF4">
        <w:rPr>
          <w:rFonts w:cs="Arial"/>
          <w:color w:val="000000"/>
          <w:szCs w:val="24"/>
        </w:rPr>
        <w:t>enfrent</w:t>
      </w:r>
      <w:r w:rsidR="005D6ED4" w:rsidRPr="00D03EF4">
        <w:rPr>
          <w:rFonts w:cs="Arial"/>
          <w:color w:val="000000"/>
          <w:szCs w:val="24"/>
        </w:rPr>
        <w:t>aron</w:t>
      </w:r>
      <w:r w:rsidRPr="00D03EF4">
        <w:rPr>
          <w:rFonts w:cs="Arial"/>
          <w:color w:val="000000"/>
          <w:szCs w:val="24"/>
        </w:rPr>
        <w:t xml:space="preserve"> problemas</w:t>
      </w:r>
      <w:r w:rsidR="005D6ED4" w:rsidRPr="00D03EF4">
        <w:rPr>
          <w:rFonts w:cs="Arial"/>
          <w:color w:val="000000"/>
          <w:szCs w:val="24"/>
        </w:rPr>
        <w:t xml:space="preserve"> </w:t>
      </w:r>
      <w:r w:rsidRPr="00D03EF4">
        <w:rPr>
          <w:rFonts w:cs="Arial"/>
          <w:color w:val="000000"/>
          <w:szCs w:val="24"/>
        </w:rPr>
        <w:t xml:space="preserve">de enfermedad </w:t>
      </w:r>
      <w:r w:rsidR="005D6ED4" w:rsidRPr="00D03EF4">
        <w:rPr>
          <w:rFonts w:cs="Arial"/>
          <w:color w:val="000000"/>
          <w:szCs w:val="24"/>
        </w:rPr>
        <w:t xml:space="preserve">grave </w:t>
      </w:r>
      <w:r w:rsidRPr="00D03EF4">
        <w:rPr>
          <w:rFonts w:cs="Arial"/>
          <w:color w:val="000000"/>
          <w:szCs w:val="24"/>
        </w:rPr>
        <w:t>o accidente de algún miembro del hogar, porcentaje que</w:t>
      </w:r>
      <w:r w:rsidR="00114F00" w:rsidRPr="00D03EF4">
        <w:rPr>
          <w:rFonts w:cs="Arial"/>
          <w:color w:val="000000"/>
          <w:szCs w:val="24"/>
        </w:rPr>
        <w:t xml:space="preserve"> </w:t>
      </w:r>
      <w:r w:rsidR="00114F00" w:rsidRPr="00D03EF4">
        <w:rPr>
          <w:rFonts w:cs="Arial"/>
          <w:color w:val="000000"/>
          <w:szCs w:val="24"/>
          <w:shd w:val="clear" w:color="auto" w:fill="FFFFFF" w:themeFill="background1"/>
        </w:rPr>
        <w:t>fue ligeramente más alto</w:t>
      </w:r>
      <w:r w:rsidRPr="00D03EF4">
        <w:rPr>
          <w:rFonts w:cs="Arial"/>
          <w:color w:val="000000"/>
          <w:szCs w:val="24"/>
        </w:rPr>
        <w:t xml:space="preserve"> en los hogares con trabajo </w:t>
      </w:r>
      <w:r w:rsidRPr="00D03EF4">
        <w:rPr>
          <w:rFonts w:cs="Arial"/>
          <w:color w:val="000000"/>
          <w:szCs w:val="24"/>
          <w:shd w:val="clear" w:color="auto" w:fill="FFFFFF" w:themeFill="background1"/>
        </w:rPr>
        <w:t xml:space="preserve">infantil </w:t>
      </w:r>
      <w:r w:rsidR="005D6ED4" w:rsidRPr="00D03EF4">
        <w:rPr>
          <w:rFonts w:cs="Arial"/>
          <w:color w:val="000000"/>
          <w:szCs w:val="24"/>
          <w:shd w:val="clear" w:color="auto" w:fill="FFFFFF" w:themeFill="background1"/>
        </w:rPr>
        <w:t>(</w:t>
      </w:r>
      <w:r w:rsidRPr="00D03EF4">
        <w:rPr>
          <w:rFonts w:cs="Arial"/>
          <w:color w:val="000000"/>
          <w:szCs w:val="24"/>
          <w:shd w:val="clear" w:color="auto" w:fill="FFFFFF" w:themeFill="background1"/>
        </w:rPr>
        <w:t>17.2 %</w:t>
      </w:r>
      <w:r w:rsidR="005D6ED4" w:rsidRPr="00D03EF4">
        <w:rPr>
          <w:rFonts w:cs="Arial"/>
          <w:color w:val="000000"/>
          <w:szCs w:val="24"/>
          <w:shd w:val="clear" w:color="auto" w:fill="FFFFFF" w:themeFill="background1"/>
        </w:rPr>
        <w:t>)</w:t>
      </w:r>
      <w:r w:rsidRPr="00D03EF4">
        <w:rPr>
          <w:rFonts w:cs="Arial"/>
          <w:color w:val="000000"/>
          <w:szCs w:val="24"/>
          <w:shd w:val="clear" w:color="auto" w:fill="FFFFFF" w:themeFill="background1"/>
        </w:rPr>
        <w:t xml:space="preserve"> </w:t>
      </w:r>
      <w:r w:rsidR="00114F00" w:rsidRPr="00D03EF4">
        <w:rPr>
          <w:rFonts w:cs="Arial"/>
          <w:color w:val="000000"/>
          <w:szCs w:val="24"/>
          <w:shd w:val="clear" w:color="auto" w:fill="FFFFFF" w:themeFill="background1"/>
        </w:rPr>
        <w:t>y</w:t>
      </w:r>
      <w:r w:rsidRPr="00D03EF4">
        <w:rPr>
          <w:rFonts w:cs="Arial"/>
          <w:color w:val="000000"/>
          <w:szCs w:val="24"/>
          <w:shd w:val="clear" w:color="auto" w:fill="FFFFFF" w:themeFill="background1"/>
        </w:rPr>
        <w:t xml:space="preserve"> con quehaceres domésticos en condiciones no adecuadas</w:t>
      </w:r>
      <w:r w:rsidR="005D6ED4" w:rsidRPr="00D03EF4">
        <w:rPr>
          <w:rFonts w:cs="Arial"/>
          <w:color w:val="000000"/>
          <w:szCs w:val="24"/>
          <w:shd w:val="clear" w:color="auto" w:fill="FFFFFF" w:themeFill="background1"/>
        </w:rPr>
        <w:t xml:space="preserve"> (21.4 %)</w:t>
      </w:r>
      <w:r w:rsidRPr="00D03EF4">
        <w:rPr>
          <w:rFonts w:cs="Arial"/>
          <w:color w:val="000000"/>
          <w:szCs w:val="24"/>
          <w:shd w:val="clear" w:color="auto" w:fill="FFFFFF" w:themeFill="background1"/>
        </w:rPr>
        <w:t>.</w:t>
      </w:r>
      <w:r w:rsidR="00076EED" w:rsidRPr="00D03EF4">
        <w:rPr>
          <w:rFonts w:cs="Arial"/>
          <w:color w:val="000000"/>
          <w:szCs w:val="24"/>
          <w:shd w:val="clear" w:color="auto" w:fill="FFFFFF" w:themeFill="background1"/>
        </w:rPr>
        <w:t xml:space="preserve"> En tanto, l</w:t>
      </w:r>
      <w:r w:rsidRPr="00D03EF4">
        <w:rPr>
          <w:rFonts w:cs="Arial"/>
          <w:color w:val="000000"/>
          <w:szCs w:val="24"/>
          <w:shd w:val="clear" w:color="auto" w:fill="FFFFFF" w:themeFill="background1"/>
        </w:rPr>
        <w:t>a p</w:t>
      </w:r>
      <w:r w:rsidR="005D1CE1" w:rsidRPr="00D03EF4">
        <w:rPr>
          <w:rFonts w:cs="Arial"/>
          <w:color w:val="000000"/>
          <w:szCs w:val="24"/>
          <w:shd w:val="clear" w:color="auto" w:fill="FFFFFF" w:themeFill="background1"/>
        </w:rPr>
        <w:t>é</w:t>
      </w:r>
      <w:r w:rsidRPr="00D03EF4">
        <w:rPr>
          <w:rFonts w:cs="Arial"/>
          <w:color w:val="000000"/>
          <w:szCs w:val="24"/>
          <w:shd w:val="clear" w:color="auto" w:fill="FFFFFF" w:themeFill="background1"/>
        </w:rPr>
        <w:t>rdida de ingresos por un trabajo remunerado afect</w:t>
      </w:r>
      <w:r w:rsidR="005D6ED4" w:rsidRPr="00D03EF4">
        <w:rPr>
          <w:rFonts w:cs="Arial"/>
          <w:color w:val="000000"/>
          <w:szCs w:val="24"/>
          <w:shd w:val="clear" w:color="auto" w:fill="FFFFFF" w:themeFill="background1"/>
        </w:rPr>
        <w:t>ó</w:t>
      </w:r>
      <w:r w:rsidRPr="00D03EF4">
        <w:rPr>
          <w:rFonts w:cs="Arial"/>
          <w:color w:val="000000"/>
          <w:szCs w:val="24"/>
          <w:shd w:val="clear" w:color="auto" w:fill="FFFFFF" w:themeFill="background1"/>
        </w:rPr>
        <w:t xml:space="preserve"> gravemente a 12.9 % de los hogares con </w:t>
      </w:r>
      <w:r w:rsidR="00D92FDD" w:rsidRPr="00D03EF4">
        <w:rPr>
          <w:rFonts w:cs="Arial"/>
          <w:color w:val="000000"/>
          <w:szCs w:val="24"/>
          <w:shd w:val="clear" w:color="auto" w:fill="FFFFFF" w:themeFill="background1"/>
        </w:rPr>
        <w:t>población de 5 a 17 años</w:t>
      </w:r>
      <w:r w:rsidRPr="00D03EF4">
        <w:rPr>
          <w:rFonts w:cs="Arial"/>
          <w:color w:val="000000"/>
          <w:szCs w:val="24"/>
          <w:shd w:val="clear" w:color="auto" w:fill="FFFFFF" w:themeFill="background1"/>
        </w:rPr>
        <w:t>, porcentaje que aument</w:t>
      </w:r>
      <w:r w:rsidR="00435924" w:rsidRPr="00D03EF4">
        <w:rPr>
          <w:rFonts w:cs="Arial"/>
          <w:color w:val="000000"/>
          <w:szCs w:val="24"/>
          <w:shd w:val="clear" w:color="auto" w:fill="FFFFFF" w:themeFill="background1"/>
        </w:rPr>
        <w:t>ó</w:t>
      </w:r>
      <w:r w:rsidRPr="00D03EF4">
        <w:rPr>
          <w:rFonts w:cs="Arial"/>
          <w:color w:val="000000"/>
          <w:szCs w:val="24"/>
          <w:shd w:val="clear" w:color="auto" w:fill="FFFFFF" w:themeFill="background1"/>
        </w:rPr>
        <w:t xml:space="preserve"> hasta 14.8 % en hogares con quehaceres domésticos en condiciones no adecuadas</w:t>
      </w:r>
      <w:r w:rsidR="004E0174" w:rsidRPr="00D03EF4">
        <w:rPr>
          <w:rFonts w:cs="Arial"/>
          <w:color w:val="000000"/>
          <w:szCs w:val="24"/>
          <w:shd w:val="clear" w:color="auto" w:fill="FFFFFF" w:themeFill="background1"/>
        </w:rPr>
        <w:t xml:space="preserve">, para mayor desglose ver cuadro </w:t>
      </w:r>
      <w:r w:rsidR="004D4F9A" w:rsidRPr="00D03EF4">
        <w:rPr>
          <w:rFonts w:cs="Arial"/>
          <w:color w:val="000000"/>
          <w:szCs w:val="24"/>
          <w:shd w:val="clear" w:color="auto" w:fill="FFFFFF" w:themeFill="background1"/>
        </w:rPr>
        <w:t>30</w:t>
      </w:r>
      <w:r w:rsidRPr="00D03EF4">
        <w:rPr>
          <w:rFonts w:cs="Arial"/>
          <w:color w:val="000000"/>
          <w:szCs w:val="24"/>
          <w:shd w:val="clear" w:color="auto" w:fill="FFFFFF" w:themeFill="background1"/>
        </w:rPr>
        <w:t>.</w:t>
      </w:r>
    </w:p>
    <w:p w14:paraId="79B5BA31" w14:textId="77777777" w:rsidR="003353B8" w:rsidRDefault="003353B8" w:rsidP="000E1EBC">
      <w:pPr>
        <w:widowControl/>
        <w:autoSpaceDE w:val="0"/>
        <w:autoSpaceDN w:val="0"/>
        <w:adjustRightInd w:val="0"/>
        <w:ind w:right="51"/>
        <w:rPr>
          <w:rFonts w:cs="Arial"/>
          <w:color w:val="000000"/>
          <w:szCs w:val="24"/>
          <w:shd w:val="clear" w:color="auto" w:fill="FFFFFF" w:themeFill="background1"/>
        </w:rPr>
      </w:pPr>
    </w:p>
    <w:p w14:paraId="752909A0" w14:textId="77777777" w:rsidR="003353B8" w:rsidRDefault="003353B8" w:rsidP="000E1EBC">
      <w:pPr>
        <w:widowControl/>
        <w:autoSpaceDE w:val="0"/>
        <w:autoSpaceDN w:val="0"/>
        <w:adjustRightInd w:val="0"/>
        <w:ind w:right="51"/>
        <w:rPr>
          <w:rFonts w:cs="Arial"/>
          <w:color w:val="000000"/>
          <w:szCs w:val="24"/>
          <w:shd w:val="clear" w:color="auto" w:fill="FFFFFF" w:themeFill="background1"/>
        </w:rPr>
      </w:pPr>
    </w:p>
    <w:p w14:paraId="74DA6753" w14:textId="77777777" w:rsidR="003353B8" w:rsidRDefault="003353B8" w:rsidP="000E1EBC">
      <w:pPr>
        <w:widowControl/>
        <w:autoSpaceDE w:val="0"/>
        <w:autoSpaceDN w:val="0"/>
        <w:adjustRightInd w:val="0"/>
        <w:ind w:right="51"/>
        <w:rPr>
          <w:rFonts w:cs="Arial"/>
          <w:color w:val="000000"/>
          <w:szCs w:val="24"/>
          <w:shd w:val="clear" w:color="auto" w:fill="FFFFFF" w:themeFill="background1"/>
        </w:rPr>
      </w:pPr>
    </w:p>
    <w:p w14:paraId="109DA276" w14:textId="77777777" w:rsidR="003353B8" w:rsidRDefault="003353B8" w:rsidP="000E1EBC">
      <w:pPr>
        <w:widowControl/>
        <w:autoSpaceDE w:val="0"/>
        <w:autoSpaceDN w:val="0"/>
        <w:adjustRightInd w:val="0"/>
        <w:ind w:right="51"/>
        <w:rPr>
          <w:rFonts w:cs="Arial"/>
          <w:color w:val="000000"/>
          <w:szCs w:val="24"/>
          <w:shd w:val="clear" w:color="auto" w:fill="FFFFFF" w:themeFill="background1"/>
        </w:rPr>
      </w:pPr>
    </w:p>
    <w:p w14:paraId="430AC243" w14:textId="77777777" w:rsidR="003353B8" w:rsidRDefault="003353B8" w:rsidP="000E1EBC">
      <w:pPr>
        <w:widowControl/>
        <w:autoSpaceDE w:val="0"/>
        <w:autoSpaceDN w:val="0"/>
        <w:adjustRightInd w:val="0"/>
        <w:ind w:right="51"/>
        <w:rPr>
          <w:rFonts w:cs="Arial"/>
          <w:color w:val="000000"/>
          <w:szCs w:val="24"/>
          <w:shd w:val="clear" w:color="auto" w:fill="FFFFFF" w:themeFill="background1"/>
        </w:rPr>
      </w:pPr>
    </w:p>
    <w:p w14:paraId="283CBB2A" w14:textId="77777777" w:rsidR="003353B8" w:rsidRDefault="003353B8" w:rsidP="000E1EBC">
      <w:pPr>
        <w:widowControl/>
        <w:autoSpaceDE w:val="0"/>
        <w:autoSpaceDN w:val="0"/>
        <w:adjustRightInd w:val="0"/>
        <w:ind w:right="51"/>
        <w:rPr>
          <w:rFonts w:cs="Arial"/>
          <w:color w:val="000000"/>
          <w:szCs w:val="24"/>
          <w:shd w:val="clear" w:color="auto" w:fill="FFFFFF" w:themeFill="background1"/>
        </w:rPr>
      </w:pPr>
    </w:p>
    <w:p w14:paraId="38B1723E" w14:textId="77777777" w:rsidR="003353B8" w:rsidRDefault="003353B8" w:rsidP="000E1EBC">
      <w:pPr>
        <w:widowControl/>
        <w:autoSpaceDE w:val="0"/>
        <w:autoSpaceDN w:val="0"/>
        <w:adjustRightInd w:val="0"/>
        <w:ind w:right="51"/>
        <w:rPr>
          <w:rFonts w:cs="Arial"/>
          <w:color w:val="000000"/>
          <w:szCs w:val="24"/>
          <w:shd w:val="clear" w:color="auto" w:fill="FFFFFF" w:themeFill="background1"/>
        </w:rPr>
      </w:pPr>
    </w:p>
    <w:p w14:paraId="4AFDB9DB" w14:textId="77777777" w:rsidR="003353B8" w:rsidRDefault="003353B8" w:rsidP="000E1EBC">
      <w:pPr>
        <w:widowControl/>
        <w:autoSpaceDE w:val="0"/>
        <w:autoSpaceDN w:val="0"/>
        <w:adjustRightInd w:val="0"/>
        <w:ind w:right="51"/>
        <w:rPr>
          <w:rFonts w:cs="Arial"/>
          <w:color w:val="000000"/>
          <w:szCs w:val="24"/>
          <w:shd w:val="clear" w:color="auto" w:fill="FFFFFF" w:themeFill="background1"/>
        </w:rPr>
      </w:pPr>
    </w:p>
    <w:p w14:paraId="7F1C557A" w14:textId="77777777" w:rsidR="003353B8" w:rsidRDefault="003353B8" w:rsidP="000E1EBC">
      <w:pPr>
        <w:widowControl/>
        <w:autoSpaceDE w:val="0"/>
        <w:autoSpaceDN w:val="0"/>
        <w:adjustRightInd w:val="0"/>
        <w:ind w:right="51"/>
        <w:rPr>
          <w:rFonts w:cs="Arial"/>
          <w:color w:val="000000"/>
          <w:szCs w:val="24"/>
          <w:shd w:val="clear" w:color="auto" w:fill="FFFFFF" w:themeFill="background1"/>
        </w:rPr>
      </w:pPr>
    </w:p>
    <w:p w14:paraId="3D789EFE" w14:textId="77777777" w:rsidR="003353B8" w:rsidRPr="00D03EF4" w:rsidRDefault="003353B8" w:rsidP="000E1EBC">
      <w:pPr>
        <w:widowControl/>
        <w:autoSpaceDE w:val="0"/>
        <w:autoSpaceDN w:val="0"/>
        <w:adjustRightInd w:val="0"/>
        <w:ind w:right="51"/>
        <w:rPr>
          <w:rFonts w:cs="Arial"/>
          <w:color w:val="000000"/>
          <w:szCs w:val="24"/>
        </w:rPr>
      </w:pPr>
    </w:p>
    <w:p w14:paraId="7AC447C7" w14:textId="77777777" w:rsidR="000D7175" w:rsidRDefault="000D7175" w:rsidP="003353B8">
      <w:pPr>
        <w:widowControl/>
        <w:autoSpaceDE w:val="0"/>
        <w:autoSpaceDN w:val="0"/>
        <w:adjustRightInd w:val="0"/>
        <w:ind w:right="51"/>
        <w:rPr>
          <w:rFonts w:cs="Arial"/>
          <w:color w:val="000000"/>
          <w:szCs w:val="24"/>
        </w:rPr>
      </w:pPr>
    </w:p>
    <w:p w14:paraId="245B56F6" w14:textId="046047E8" w:rsidR="00660057" w:rsidRPr="003353B8" w:rsidRDefault="00660057" w:rsidP="003353B8">
      <w:pPr>
        <w:widowControl/>
        <w:jc w:val="center"/>
        <w:rPr>
          <w:rFonts w:cs="Arial"/>
          <w:color w:val="000000"/>
          <w:sz w:val="20"/>
        </w:rPr>
      </w:pPr>
      <w:r w:rsidRPr="003353B8">
        <w:rPr>
          <w:rFonts w:cs="Arial"/>
          <w:color w:val="000000"/>
          <w:sz w:val="20"/>
        </w:rPr>
        <w:t>Cuadro 3</w:t>
      </w:r>
      <w:r w:rsidR="002C2946" w:rsidRPr="003353B8">
        <w:rPr>
          <w:rFonts w:cs="Arial"/>
          <w:color w:val="000000"/>
          <w:sz w:val="20"/>
        </w:rPr>
        <w:t>0</w:t>
      </w:r>
    </w:p>
    <w:p w14:paraId="5F23E459" w14:textId="77777777" w:rsidR="00660057" w:rsidRPr="003353B8" w:rsidRDefault="00660057" w:rsidP="003353B8">
      <w:pPr>
        <w:widowControl/>
        <w:autoSpaceDE w:val="0"/>
        <w:autoSpaceDN w:val="0"/>
        <w:adjustRightInd w:val="0"/>
        <w:jc w:val="center"/>
        <w:rPr>
          <w:rFonts w:cs="Arial"/>
          <w:b/>
          <w:bCs/>
          <w:smallCaps/>
          <w:color w:val="000000"/>
          <w:sz w:val="22"/>
          <w:szCs w:val="22"/>
        </w:rPr>
      </w:pPr>
      <w:r w:rsidRPr="003353B8">
        <w:rPr>
          <w:rFonts w:cs="Arial"/>
          <w:b/>
          <w:bCs/>
          <w:smallCaps/>
          <w:color w:val="000000"/>
          <w:sz w:val="22"/>
          <w:szCs w:val="22"/>
        </w:rPr>
        <w:t>Hogares con personas de 5 a 17 años que enfrentaron problemas graves o muy graves en los últimos 3 años por forma de trabajo infantil</w:t>
      </w:r>
    </w:p>
    <w:p w14:paraId="7EFC0105" w14:textId="3A6AC259" w:rsidR="00660057" w:rsidRDefault="00660057" w:rsidP="003353B8">
      <w:pPr>
        <w:widowControl/>
        <w:autoSpaceDE w:val="0"/>
        <w:autoSpaceDN w:val="0"/>
        <w:adjustRightInd w:val="0"/>
        <w:jc w:val="center"/>
        <w:rPr>
          <w:rFonts w:cs="Arial"/>
          <w:color w:val="000000"/>
          <w:sz w:val="18"/>
          <w:szCs w:val="18"/>
        </w:rPr>
      </w:pPr>
      <w:r w:rsidRPr="00750114">
        <w:rPr>
          <w:rFonts w:cs="Arial"/>
          <w:color w:val="000000"/>
          <w:sz w:val="18"/>
          <w:szCs w:val="18"/>
        </w:rPr>
        <w:t>(porcentaje respecto a los hogares con personas de 5 a 17 años en cada categoría)</w:t>
      </w:r>
    </w:p>
    <w:tbl>
      <w:tblPr>
        <w:tblW w:w="10180" w:type="dxa"/>
        <w:tblCellMar>
          <w:left w:w="70" w:type="dxa"/>
          <w:right w:w="70" w:type="dxa"/>
        </w:tblCellMar>
        <w:tblLook w:val="04A0" w:firstRow="1" w:lastRow="0" w:firstColumn="1" w:lastColumn="0" w:noHBand="0" w:noVBand="1"/>
      </w:tblPr>
      <w:tblGrid>
        <w:gridCol w:w="220"/>
        <w:gridCol w:w="3182"/>
        <w:gridCol w:w="1458"/>
        <w:gridCol w:w="1360"/>
        <w:gridCol w:w="1360"/>
        <w:gridCol w:w="2600"/>
      </w:tblGrid>
      <w:tr w:rsidR="000479C9" w:rsidRPr="00021E69" w14:paraId="11D73F7F" w14:textId="77777777" w:rsidTr="000479C9">
        <w:trPr>
          <w:trHeight w:val="315"/>
        </w:trPr>
        <w:tc>
          <w:tcPr>
            <w:tcW w:w="3402" w:type="dxa"/>
            <w:gridSpan w:val="2"/>
            <w:vMerge w:val="restart"/>
            <w:tcBorders>
              <w:top w:val="nil"/>
              <w:left w:val="nil"/>
              <w:bottom w:val="nil"/>
              <w:right w:val="nil"/>
            </w:tcBorders>
            <w:shd w:val="clear" w:color="auto" w:fill="338B99"/>
            <w:vAlign w:val="center"/>
            <w:hideMark/>
          </w:tcPr>
          <w:p w14:paraId="44B4A0CB" w14:textId="77777777" w:rsidR="000479C9" w:rsidRPr="00021E69" w:rsidRDefault="000479C9" w:rsidP="00633AC1">
            <w:pPr>
              <w:widowControl/>
              <w:jc w:val="left"/>
              <w:rPr>
                <w:rFonts w:cs="Arial"/>
                <w:b/>
                <w:bCs/>
                <w:color w:val="FFFFFF"/>
                <w:sz w:val="20"/>
                <w:lang w:eastAsia="es-MX"/>
              </w:rPr>
            </w:pPr>
            <w:r w:rsidRPr="00021E69">
              <w:rPr>
                <w:rFonts w:cs="Arial"/>
                <w:b/>
                <w:bCs/>
                <w:color w:val="FFFFFF"/>
                <w:sz w:val="20"/>
                <w:lang w:eastAsia="es-MX"/>
              </w:rPr>
              <w:t>Hogares</w:t>
            </w:r>
          </w:p>
        </w:tc>
        <w:tc>
          <w:tcPr>
            <w:tcW w:w="6778" w:type="dxa"/>
            <w:gridSpan w:val="4"/>
            <w:tcBorders>
              <w:top w:val="nil"/>
              <w:left w:val="nil"/>
              <w:bottom w:val="single" w:sz="4" w:space="0" w:color="FFFFFF"/>
              <w:right w:val="nil"/>
            </w:tcBorders>
            <w:shd w:val="clear" w:color="auto" w:fill="338B99"/>
            <w:vAlign w:val="center"/>
            <w:hideMark/>
          </w:tcPr>
          <w:p w14:paraId="6089643C" w14:textId="77777777" w:rsidR="000479C9" w:rsidRPr="00021E69" w:rsidRDefault="000479C9" w:rsidP="00633AC1">
            <w:pPr>
              <w:widowControl/>
              <w:jc w:val="center"/>
              <w:rPr>
                <w:rFonts w:cs="Arial"/>
                <w:b/>
                <w:bCs/>
                <w:color w:val="FFFFFF"/>
                <w:sz w:val="20"/>
                <w:lang w:eastAsia="es-MX"/>
              </w:rPr>
            </w:pPr>
            <w:r w:rsidRPr="00021E69">
              <w:rPr>
                <w:rFonts w:cs="Arial"/>
                <w:b/>
                <w:bCs/>
                <w:color w:val="FFFFFF" w:themeColor="background1"/>
                <w:sz w:val="20"/>
                <w:lang w:eastAsia="es-MX"/>
              </w:rPr>
              <w:t>Hogares con:</w:t>
            </w:r>
          </w:p>
        </w:tc>
      </w:tr>
      <w:tr w:rsidR="000479C9" w:rsidRPr="00021E69" w14:paraId="3574A418" w14:textId="77777777" w:rsidTr="000479C9">
        <w:trPr>
          <w:trHeight w:val="870"/>
        </w:trPr>
        <w:tc>
          <w:tcPr>
            <w:tcW w:w="3402" w:type="dxa"/>
            <w:gridSpan w:val="2"/>
            <w:vMerge/>
            <w:tcBorders>
              <w:top w:val="nil"/>
              <w:left w:val="nil"/>
              <w:bottom w:val="nil"/>
              <w:right w:val="nil"/>
            </w:tcBorders>
            <w:shd w:val="clear" w:color="auto" w:fill="338B99"/>
            <w:vAlign w:val="center"/>
            <w:hideMark/>
          </w:tcPr>
          <w:p w14:paraId="09AB9B9E" w14:textId="77777777" w:rsidR="000479C9" w:rsidRPr="00021E69" w:rsidRDefault="000479C9" w:rsidP="00633AC1">
            <w:pPr>
              <w:widowControl/>
              <w:jc w:val="left"/>
              <w:rPr>
                <w:rFonts w:cs="Arial"/>
                <w:b/>
                <w:bCs/>
                <w:color w:val="FFFFFF"/>
                <w:sz w:val="20"/>
                <w:lang w:eastAsia="es-MX"/>
              </w:rPr>
            </w:pPr>
          </w:p>
        </w:tc>
        <w:tc>
          <w:tcPr>
            <w:tcW w:w="1458" w:type="dxa"/>
            <w:tcBorders>
              <w:top w:val="nil"/>
              <w:left w:val="nil"/>
              <w:bottom w:val="nil"/>
              <w:right w:val="nil"/>
            </w:tcBorders>
            <w:shd w:val="clear" w:color="auto" w:fill="338B99"/>
            <w:vAlign w:val="center"/>
            <w:hideMark/>
          </w:tcPr>
          <w:p w14:paraId="177DC3E2" w14:textId="77777777" w:rsidR="000479C9" w:rsidRPr="00021E69" w:rsidRDefault="000479C9" w:rsidP="00633AC1">
            <w:pPr>
              <w:widowControl/>
              <w:jc w:val="center"/>
              <w:rPr>
                <w:rFonts w:cs="Arial"/>
                <w:b/>
                <w:bCs/>
                <w:color w:val="FFFFFF"/>
                <w:sz w:val="20"/>
                <w:lang w:eastAsia="es-MX"/>
              </w:rPr>
            </w:pPr>
            <w:r w:rsidRPr="00021E69">
              <w:rPr>
                <w:rFonts w:cs="Arial"/>
                <w:b/>
                <w:bCs/>
                <w:color w:val="FFFFFF" w:themeColor="background1"/>
                <w:sz w:val="20"/>
                <w:lang w:eastAsia="es-MX"/>
              </w:rPr>
              <w:t>población de 5 a 17 años</w:t>
            </w:r>
          </w:p>
        </w:tc>
        <w:tc>
          <w:tcPr>
            <w:tcW w:w="1360" w:type="dxa"/>
            <w:tcBorders>
              <w:top w:val="nil"/>
              <w:left w:val="nil"/>
              <w:bottom w:val="nil"/>
              <w:right w:val="nil"/>
            </w:tcBorders>
            <w:shd w:val="clear" w:color="auto" w:fill="338B99"/>
            <w:vAlign w:val="center"/>
            <w:hideMark/>
          </w:tcPr>
          <w:p w14:paraId="4ED07384" w14:textId="77777777" w:rsidR="000479C9" w:rsidRPr="00021E69" w:rsidRDefault="000479C9" w:rsidP="00633AC1">
            <w:pPr>
              <w:widowControl/>
              <w:jc w:val="center"/>
              <w:rPr>
                <w:rFonts w:cs="Arial"/>
                <w:b/>
                <w:bCs/>
                <w:color w:val="FFFFFF"/>
                <w:sz w:val="20"/>
                <w:lang w:eastAsia="es-MX"/>
              </w:rPr>
            </w:pPr>
            <w:r w:rsidRPr="00021E69">
              <w:rPr>
                <w:rFonts w:cs="Arial"/>
                <w:b/>
                <w:bCs/>
                <w:color w:val="FFFFFF" w:themeColor="background1"/>
                <w:sz w:val="20"/>
                <w:lang w:eastAsia="es-MX"/>
              </w:rPr>
              <w:t>trabajo infantil</w:t>
            </w:r>
          </w:p>
        </w:tc>
        <w:tc>
          <w:tcPr>
            <w:tcW w:w="1360" w:type="dxa"/>
            <w:tcBorders>
              <w:top w:val="nil"/>
              <w:left w:val="nil"/>
              <w:bottom w:val="nil"/>
              <w:right w:val="nil"/>
            </w:tcBorders>
            <w:shd w:val="clear" w:color="auto" w:fill="338B99"/>
            <w:vAlign w:val="center"/>
            <w:hideMark/>
          </w:tcPr>
          <w:p w14:paraId="2DEC748F" w14:textId="77777777" w:rsidR="000479C9" w:rsidRPr="00021E69" w:rsidRDefault="000479C9" w:rsidP="00633AC1">
            <w:pPr>
              <w:widowControl/>
              <w:jc w:val="center"/>
              <w:rPr>
                <w:rFonts w:cs="Arial"/>
                <w:b/>
                <w:bCs/>
                <w:color w:val="FFFFFF"/>
                <w:sz w:val="20"/>
                <w:lang w:eastAsia="es-MX"/>
              </w:rPr>
            </w:pPr>
            <w:r w:rsidRPr="00021E69">
              <w:rPr>
                <w:rFonts w:cs="Arial"/>
                <w:b/>
                <w:bCs/>
                <w:color w:val="FFFFFF" w:themeColor="background1"/>
                <w:sz w:val="20"/>
                <w:lang w:eastAsia="es-MX"/>
              </w:rPr>
              <w:t>ocupación no permitida</w:t>
            </w:r>
          </w:p>
        </w:tc>
        <w:tc>
          <w:tcPr>
            <w:tcW w:w="2600" w:type="dxa"/>
            <w:tcBorders>
              <w:top w:val="nil"/>
              <w:left w:val="nil"/>
              <w:bottom w:val="nil"/>
              <w:right w:val="nil"/>
            </w:tcBorders>
            <w:shd w:val="clear" w:color="auto" w:fill="338B99"/>
            <w:vAlign w:val="center"/>
            <w:hideMark/>
          </w:tcPr>
          <w:p w14:paraId="6340511D" w14:textId="77777777" w:rsidR="000479C9" w:rsidRPr="00021E69" w:rsidRDefault="000479C9" w:rsidP="00633AC1">
            <w:pPr>
              <w:widowControl/>
              <w:jc w:val="center"/>
              <w:rPr>
                <w:rFonts w:cs="Arial"/>
                <w:b/>
                <w:bCs/>
                <w:color w:val="FFFFFF"/>
                <w:sz w:val="20"/>
                <w:lang w:eastAsia="es-MX"/>
              </w:rPr>
            </w:pPr>
            <w:r w:rsidRPr="00021E69">
              <w:rPr>
                <w:rFonts w:cs="Arial"/>
                <w:b/>
                <w:bCs/>
                <w:color w:val="FFFFFF" w:themeColor="background1"/>
                <w:sz w:val="20"/>
                <w:lang w:eastAsia="es-MX"/>
              </w:rPr>
              <w:t>quehaceres domésticos en condiciones no adecuadas</w:t>
            </w:r>
          </w:p>
        </w:tc>
      </w:tr>
      <w:tr w:rsidR="000479C9" w:rsidRPr="00021E69" w14:paraId="3CAFE26D" w14:textId="77777777" w:rsidTr="000479C9">
        <w:trPr>
          <w:trHeight w:val="300"/>
        </w:trPr>
        <w:tc>
          <w:tcPr>
            <w:tcW w:w="3402" w:type="dxa"/>
            <w:gridSpan w:val="2"/>
            <w:tcBorders>
              <w:top w:val="nil"/>
              <w:left w:val="nil"/>
              <w:bottom w:val="nil"/>
              <w:right w:val="nil"/>
            </w:tcBorders>
            <w:shd w:val="clear" w:color="auto" w:fill="99C5CC"/>
            <w:vAlign w:val="center"/>
            <w:hideMark/>
          </w:tcPr>
          <w:p w14:paraId="56C80F66" w14:textId="77777777" w:rsidR="000479C9" w:rsidRPr="00021E69" w:rsidRDefault="000479C9" w:rsidP="00633AC1">
            <w:pPr>
              <w:widowControl/>
              <w:jc w:val="left"/>
              <w:rPr>
                <w:rFonts w:cs="Arial"/>
                <w:b/>
                <w:bCs/>
                <w:color w:val="000000"/>
                <w:sz w:val="20"/>
                <w:lang w:eastAsia="es-MX"/>
              </w:rPr>
            </w:pPr>
            <w:r w:rsidRPr="00021E69">
              <w:rPr>
                <w:rFonts w:cs="Arial"/>
                <w:b/>
                <w:bCs/>
                <w:sz w:val="20"/>
                <w:lang w:eastAsia="es-MX"/>
              </w:rPr>
              <w:t>Hogares totales</w:t>
            </w:r>
          </w:p>
        </w:tc>
        <w:tc>
          <w:tcPr>
            <w:tcW w:w="1458" w:type="dxa"/>
            <w:tcBorders>
              <w:top w:val="nil"/>
              <w:left w:val="nil"/>
              <w:bottom w:val="nil"/>
              <w:right w:val="nil"/>
            </w:tcBorders>
            <w:shd w:val="clear" w:color="auto" w:fill="99C5CC"/>
            <w:vAlign w:val="center"/>
            <w:hideMark/>
          </w:tcPr>
          <w:p w14:paraId="54039E5C" w14:textId="77777777" w:rsidR="000479C9" w:rsidRPr="00021E69" w:rsidRDefault="000479C9" w:rsidP="00633AC1">
            <w:pPr>
              <w:widowControl/>
              <w:jc w:val="center"/>
              <w:rPr>
                <w:rFonts w:cs="Arial"/>
                <w:b/>
                <w:bCs/>
                <w:color w:val="000000"/>
                <w:sz w:val="20"/>
                <w:lang w:eastAsia="es-MX"/>
              </w:rPr>
            </w:pPr>
            <w:r>
              <w:rPr>
                <w:rFonts w:cs="Arial"/>
                <w:b/>
                <w:bCs/>
                <w:sz w:val="20"/>
                <w:lang w:eastAsia="es-MX"/>
              </w:rPr>
              <w:t>100.0</w:t>
            </w:r>
          </w:p>
        </w:tc>
        <w:tc>
          <w:tcPr>
            <w:tcW w:w="1360" w:type="dxa"/>
            <w:tcBorders>
              <w:top w:val="nil"/>
              <w:left w:val="nil"/>
              <w:bottom w:val="nil"/>
              <w:right w:val="nil"/>
            </w:tcBorders>
            <w:shd w:val="clear" w:color="auto" w:fill="99C5CC"/>
            <w:hideMark/>
          </w:tcPr>
          <w:p w14:paraId="29DF1540" w14:textId="77777777" w:rsidR="000479C9" w:rsidRPr="00021E69" w:rsidRDefault="000479C9" w:rsidP="00633AC1">
            <w:pPr>
              <w:widowControl/>
              <w:jc w:val="center"/>
              <w:rPr>
                <w:rFonts w:cs="Arial"/>
                <w:b/>
                <w:bCs/>
                <w:color w:val="000000"/>
                <w:sz w:val="20"/>
                <w:lang w:eastAsia="es-MX"/>
              </w:rPr>
            </w:pPr>
            <w:r w:rsidRPr="00345DC4">
              <w:rPr>
                <w:rFonts w:cs="Arial"/>
                <w:b/>
                <w:bCs/>
                <w:sz w:val="20"/>
                <w:lang w:eastAsia="es-MX"/>
              </w:rPr>
              <w:t>100.0</w:t>
            </w:r>
          </w:p>
        </w:tc>
        <w:tc>
          <w:tcPr>
            <w:tcW w:w="1360" w:type="dxa"/>
            <w:tcBorders>
              <w:top w:val="nil"/>
              <w:left w:val="nil"/>
              <w:bottom w:val="nil"/>
              <w:right w:val="nil"/>
            </w:tcBorders>
            <w:shd w:val="clear" w:color="auto" w:fill="99C5CC"/>
            <w:hideMark/>
          </w:tcPr>
          <w:p w14:paraId="6E3F0C51" w14:textId="77777777" w:rsidR="000479C9" w:rsidRPr="00021E69" w:rsidRDefault="000479C9" w:rsidP="00633AC1">
            <w:pPr>
              <w:widowControl/>
              <w:jc w:val="center"/>
              <w:rPr>
                <w:rFonts w:cs="Arial"/>
                <w:b/>
                <w:bCs/>
                <w:color w:val="000000"/>
                <w:sz w:val="20"/>
                <w:lang w:eastAsia="es-MX"/>
              </w:rPr>
            </w:pPr>
            <w:r w:rsidRPr="00345DC4">
              <w:rPr>
                <w:rFonts w:cs="Arial"/>
                <w:b/>
                <w:bCs/>
                <w:sz w:val="20"/>
                <w:lang w:eastAsia="es-MX"/>
              </w:rPr>
              <w:t>100.0</w:t>
            </w:r>
          </w:p>
        </w:tc>
        <w:tc>
          <w:tcPr>
            <w:tcW w:w="2600" w:type="dxa"/>
            <w:tcBorders>
              <w:top w:val="nil"/>
              <w:left w:val="nil"/>
              <w:bottom w:val="nil"/>
              <w:right w:val="nil"/>
            </w:tcBorders>
            <w:shd w:val="clear" w:color="auto" w:fill="99C5CC"/>
            <w:hideMark/>
          </w:tcPr>
          <w:p w14:paraId="03C877FD" w14:textId="77777777" w:rsidR="000479C9" w:rsidRPr="00021E69" w:rsidRDefault="000479C9" w:rsidP="00633AC1">
            <w:pPr>
              <w:widowControl/>
              <w:jc w:val="center"/>
              <w:rPr>
                <w:rFonts w:cs="Arial"/>
                <w:b/>
                <w:bCs/>
                <w:color w:val="000000"/>
                <w:sz w:val="20"/>
                <w:lang w:eastAsia="es-MX"/>
              </w:rPr>
            </w:pPr>
            <w:r w:rsidRPr="00345DC4">
              <w:rPr>
                <w:rFonts w:cs="Arial"/>
                <w:b/>
                <w:bCs/>
                <w:sz w:val="20"/>
                <w:lang w:eastAsia="es-MX"/>
              </w:rPr>
              <w:t>100.0</w:t>
            </w:r>
          </w:p>
        </w:tc>
      </w:tr>
      <w:tr w:rsidR="000479C9" w:rsidRPr="00021E69" w14:paraId="6ED7FE38" w14:textId="77777777" w:rsidTr="008879AA">
        <w:trPr>
          <w:trHeight w:val="510"/>
        </w:trPr>
        <w:tc>
          <w:tcPr>
            <w:tcW w:w="220" w:type="dxa"/>
            <w:tcBorders>
              <w:top w:val="nil"/>
              <w:left w:val="nil"/>
              <w:bottom w:val="nil"/>
              <w:right w:val="nil"/>
            </w:tcBorders>
            <w:shd w:val="clear" w:color="auto" w:fill="CDE2E7"/>
            <w:noWrap/>
            <w:vAlign w:val="bottom"/>
            <w:hideMark/>
          </w:tcPr>
          <w:p w14:paraId="428E4E4F" w14:textId="77777777" w:rsidR="000479C9" w:rsidRPr="00021E69" w:rsidRDefault="000479C9" w:rsidP="00633AC1">
            <w:pPr>
              <w:widowControl/>
              <w:jc w:val="left"/>
              <w:rPr>
                <w:rFonts w:ascii="Times New Roman" w:hAnsi="Times New Roman"/>
                <w:color w:val="000000"/>
                <w:sz w:val="20"/>
                <w:lang w:eastAsia="es-MX"/>
              </w:rPr>
            </w:pPr>
            <w:r w:rsidRPr="00021E69">
              <w:rPr>
                <w:rFonts w:ascii="Times New Roman" w:hAnsi="Times New Roman"/>
                <w:color w:val="000000"/>
                <w:sz w:val="20"/>
                <w:lang w:eastAsia="es-MX"/>
              </w:rPr>
              <w:t> </w:t>
            </w:r>
          </w:p>
        </w:tc>
        <w:tc>
          <w:tcPr>
            <w:tcW w:w="3182" w:type="dxa"/>
            <w:tcBorders>
              <w:top w:val="nil"/>
              <w:left w:val="nil"/>
              <w:bottom w:val="nil"/>
              <w:right w:val="nil"/>
            </w:tcBorders>
            <w:shd w:val="clear" w:color="auto" w:fill="CCE2E6"/>
            <w:vAlign w:val="center"/>
            <w:hideMark/>
          </w:tcPr>
          <w:p w14:paraId="685EF6F3" w14:textId="77777777" w:rsidR="000479C9" w:rsidRPr="00021E69" w:rsidRDefault="000479C9" w:rsidP="00633AC1">
            <w:pPr>
              <w:widowControl/>
              <w:ind w:left="138" w:hanging="141"/>
              <w:jc w:val="left"/>
              <w:rPr>
                <w:rFonts w:cs="Arial"/>
                <w:color w:val="000000"/>
                <w:sz w:val="20"/>
                <w:lang w:eastAsia="es-MX"/>
              </w:rPr>
            </w:pPr>
            <w:r w:rsidRPr="00021E69">
              <w:rPr>
                <w:rFonts w:cs="Arial"/>
                <w:sz w:val="20"/>
                <w:lang w:eastAsia="es-MX"/>
              </w:rPr>
              <w:t>Precios elevados de los productos alimenticios</w:t>
            </w:r>
          </w:p>
        </w:tc>
        <w:tc>
          <w:tcPr>
            <w:tcW w:w="1458" w:type="dxa"/>
            <w:tcBorders>
              <w:top w:val="nil"/>
              <w:left w:val="nil"/>
              <w:bottom w:val="nil"/>
              <w:right w:val="nil"/>
            </w:tcBorders>
            <w:shd w:val="clear" w:color="auto" w:fill="CCE2E6"/>
            <w:vAlign w:val="center"/>
            <w:hideMark/>
          </w:tcPr>
          <w:p w14:paraId="1E34C8B5" w14:textId="77777777" w:rsidR="000479C9" w:rsidRPr="00021E69" w:rsidRDefault="000479C9" w:rsidP="00633AC1">
            <w:pPr>
              <w:widowControl/>
              <w:jc w:val="center"/>
              <w:rPr>
                <w:rFonts w:cs="Arial"/>
                <w:color w:val="000000"/>
                <w:sz w:val="20"/>
                <w:lang w:eastAsia="es-MX"/>
              </w:rPr>
            </w:pPr>
            <w:r w:rsidRPr="00021E69">
              <w:rPr>
                <w:rFonts w:cs="Arial"/>
                <w:sz w:val="20"/>
                <w:lang w:eastAsia="es-MX"/>
              </w:rPr>
              <w:t>58.9</w:t>
            </w:r>
          </w:p>
        </w:tc>
        <w:tc>
          <w:tcPr>
            <w:tcW w:w="1360" w:type="dxa"/>
            <w:tcBorders>
              <w:top w:val="nil"/>
              <w:left w:val="nil"/>
              <w:bottom w:val="nil"/>
              <w:right w:val="nil"/>
            </w:tcBorders>
            <w:shd w:val="clear" w:color="auto" w:fill="CCE2E6"/>
            <w:vAlign w:val="center"/>
            <w:hideMark/>
          </w:tcPr>
          <w:p w14:paraId="6A0487F7" w14:textId="77777777" w:rsidR="000479C9" w:rsidRPr="00021E69" w:rsidRDefault="000479C9" w:rsidP="00633AC1">
            <w:pPr>
              <w:widowControl/>
              <w:jc w:val="center"/>
              <w:rPr>
                <w:rFonts w:cs="Arial"/>
                <w:color w:val="000000"/>
                <w:sz w:val="20"/>
                <w:lang w:eastAsia="es-MX"/>
              </w:rPr>
            </w:pPr>
            <w:r w:rsidRPr="00021E69">
              <w:rPr>
                <w:rFonts w:cs="Arial"/>
                <w:sz w:val="20"/>
                <w:lang w:eastAsia="es-MX"/>
              </w:rPr>
              <w:t>62.3</w:t>
            </w:r>
          </w:p>
        </w:tc>
        <w:tc>
          <w:tcPr>
            <w:tcW w:w="1360" w:type="dxa"/>
            <w:tcBorders>
              <w:top w:val="nil"/>
              <w:left w:val="nil"/>
              <w:bottom w:val="nil"/>
              <w:right w:val="nil"/>
            </w:tcBorders>
            <w:shd w:val="clear" w:color="auto" w:fill="CCE2E6"/>
            <w:vAlign w:val="center"/>
            <w:hideMark/>
          </w:tcPr>
          <w:p w14:paraId="4AE1021F" w14:textId="77777777" w:rsidR="000479C9" w:rsidRPr="00021E69" w:rsidRDefault="000479C9" w:rsidP="00633AC1">
            <w:pPr>
              <w:widowControl/>
              <w:jc w:val="center"/>
              <w:rPr>
                <w:rFonts w:cs="Arial"/>
                <w:color w:val="000000"/>
                <w:sz w:val="20"/>
                <w:lang w:eastAsia="es-MX"/>
              </w:rPr>
            </w:pPr>
            <w:r w:rsidRPr="00021E69">
              <w:rPr>
                <w:rFonts w:cs="Arial"/>
                <w:sz w:val="20"/>
                <w:lang w:eastAsia="es-MX"/>
              </w:rPr>
              <w:t>62.4</w:t>
            </w:r>
          </w:p>
        </w:tc>
        <w:tc>
          <w:tcPr>
            <w:tcW w:w="2600" w:type="dxa"/>
            <w:tcBorders>
              <w:top w:val="nil"/>
              <w:left w:val="nil"/>
              <w:bottom w:val="nil"/>
              <w:right w:val="nil"/>
            </w:tcBorders>
            <w:shd w:val="clear" w:color="auto" w:fill="CCE2E6"/>
            <w:vAlign w:val="center"/>
            <w:hideMark/>
          </w:tcPr>
          <w:p w14:paraId="351B2E9D" w14:textId="77777777" w:rsidR="000479C9" w:rsidRPr="00021E69" w:rsidRDefault="000479C9" w:rsidP="00633AC1">
            <w:pPr>
              <w:widowControl/>
              <w:jc w:val="center"/>
              <w:rPr>
                <w:rFonts w:cs="Arial"/>
                <w:color w:val="000000"/>
                <w:sz w:val="20"/>
                <w:lang w:eastAsia="es-MX"/>
              </w:rPr>
            </w:pPr>
            <w:r w:rsidRPr="00021E69">
              <w:rPr>
                <w:rFonts w:cs="Arial"/>
                <w:sz w:val="20"/>
                <w:lang w:eastAsia="es-MX"/>
              </w:rPr>
              <w:t>62.4</w:t>
            </w:r>
          </w:p>
        </w:tc>
      </w:tr>
      <w:tr w:rsidR="000479C9" w:rsidRPr="00021E69" w14:paraId="489B0C81" w14:textId="77777777" w:rsidTr="008879AA">
        <w:trPr>
          <w:trHeight w:val="510"/>
        </w:trPr>
        <w:tc>
          <w:tcPr>
            <w:tcW w:w="220" w:type="dxa"/>
            <w:tcBorders>
              <w:top w:val="nil"/>
              <w:left w:val="nil"/>
              <w:bottom w:val="nil"/>
              <w:right w:val="nil"/>
            </w:tcBorders>
            <w:shd w:val="clear" w:color="auto" w:fill="CDE2E7"/>
            <w:noWrap/>
            <w:vAlign w:val="bottom"/>
            <w:hideMark/>
          </w:tcPr>
          <w:p w14:paraId="6F40AB98" w14:textId="77777777" w:rsidR="000479C9" w:rsidRPr="00021E69" w:rsidRDefault="000479C9" w:rsidP="00633AC1">
            <w:pPr>
              <w:widowControl/>
              <w:jc w:val="left"/>
              <w:rPr>
                <w:rFonts w:ascii="Times New Roman" w:hAnsi="Times New Roman"/>
                <w:color w:val="000000"/>
                <w:sz w:val="20"/>
                <w:lang w:eastAsia="es-MX"/>
              </w:rPr>
            </w:pPr>
            <w:r w:rsidRPr="00021E69">
              <w:rPr>
                <w:rFonts w:ascii="Times New Roman" w:hAnsi="Times New Roman"/>
                <w:color w:val="000000"/>
                <w:sz w:val="20"/>
                <w:lang w:eastAsia="es-MX"/>
              </w:rPr>
              <w:t> </w:t>
            </w:r>
          </w:p>
        </w:tc>
        <w:tc>
          <w:tcPr>
            <w:tcW w:w="3182" w:type="dxa"/>
            <w:tcBorders>
              <w:top w:val="nil"/>
              <w:left w:val="nil"/>
              <w:bottom w:val="nil"/>
              <w:right w:val="nil"/>
            </w:tcBorders>
            <w:shd w:val="clear" w:color="auto" w:fill="CCE2E6"/>
            <w:vAlign w:val="center"/>
            <w:hideMark/>
          </w:tcPr>
          <w:p w14:paraId="1F03CCCC" w14:textId="77777777" w:rsidR="000479C9" w:rsidRPr="00021E69" w:rsidRDefault="000479C9" w:rsidP="00633AC1">
            <w:pPr>
              <w:widowControl/>
              <w:ind w:left="138" w:hanging="141"/>
              <w:jc w:val="left"/>
              <w:rPr>
                <w:rFonts w:cs="Arial"/>
                <w:color w:val="000000"/>
                <w:sz w:val="20"/>
                <w:lang w:eastAsia="es-MX"/>
              </w:rPr>
            </w:pPr>
            <w:r w:rsidRPr="00021E69">
              <w:rPr>
                <w:rFonts w:cs="Arial"/>
                <w:sz w:val="20"/>
                <w:lang w:eastAsia="es-MX"/>
              </w:rPr>
              <w:t>Dejar de recibir apoyos monetarios de otros hogares</w:t>
            </w:r>
          </w:p>
        </w:tc>
        <w:tc>
          <w:tcPr>
            <w:tcW w:w="1458" w:type="dxa"/>
            <w:tcBorders>
              <w:top w:val="nil"/>
              <w:left w:val="nil"/>
              <w:bottom w:val="nil"/>
              <w:right w:val="nil"/>
            </w:tcBorders>
            <w:shd w:val="clear" w:color="auto" w:fill="CCE2E6"/>
            <w:vAlign w:val="center"/>
            <w:hideMark/>
          </w:tcPr>
          <w:p w14:paraId="6FD47B35" w14:textId="77777777" w:rsidR="000479C9" w:rsidRPr="00021E69" w:rsidRDefault="000479C9" w:rsidP="00633AC1">
            <w:pPr>
              <w:widowControl/>
              <w:jc w:val="center"/>
              <w:rPr>
                <w:rFonts w:cs="Arial"/>
                <w:color w:val="000000"/>
                <w:sz w:val="20"/>
                <w:lang w:eastAsia="es-MX"/>
              </w:rPr>
            </w:pPr>
            <w:r w:rsidRPr="00021E69">
              <w:rPr>
                <w:rFonts w:cs="Arial"/>
                <w:sz w:val="20"/>
                <w:lang w:eastAsia="es-MX"/>
              </w:rPr>
              <w:t>3.0</w:t>
            </w:r>
          </w:p>
        </w:tc>
        <w:tc>
          <w:tcPr>
            <w:tcW w:w="1360" w:type="dxa"/>
            <w:tcBorders>
              <w:top w:val="nil"/>
              <w:left w:val="nil"/>
              <w:bottom w:val="nil"/>
              <w:right w:val="nil"/>
            </w:tcBorders>
            <w:shd w:val="clear" w:color="auto" w:fill="CCE2E6"/>
            <w:vAlign w:val="center"/>
            <w:hideMark/>
          </w:tcPr>
          <w:p w14:paraId="45879CEF" w14:textId="77777777" w:rsidR="000479C9" w:rsidRPr="00021E69" w:rsidRDefault="000479C9" w:rsidP="00633AC1">
            <w:pPr>
              <w:widowControl/>
              <w:jc w:val="center"/>
              <w:rPr>
                <w:rFonts w:cs="Arial"/>
                <w:color w:val="000000"/>
                <w:sz w:val="20"/>
                <w:lang w:eastAsia="es-MX"/>
              </w:rPr>
            </w:pPr>
            <w:r w:rsidRPr="00021E69">
              <w:rPr>
                <w:rFonts w:cs="Arial"/>
                <w:sz w:val="20"/>
                <w:lang w:eastAsia="es-MX"/>
              </w:rPr>
              <w:t>3.8</w:t>
            </w:r>
          </w:p>
        </w:tc>
        <w:tc>
          <w:tcPr>
            <w:tcW w:w="1360" w:type="dxa"/>
            <w:tcBorders>
              <w:top w:val="nil"/>
              <w:left w:val="nil"/>
              <w:bottom w:val="nil"/>
              <w:right w:val="nil"/>
            </w:tcBorders>
            <w:shd w:val="clear" w:color="auto" w:fill="CCE2E6"/>
            <w:vAlign w:val="center"/>
            <w:hideMark/>
          </w:tcPr>
          <w:p w14:paraId="7E9C6040" w14:textId="77777777" w:rsidR="000479C9" w:rsidRPr="00021E69" w:rsidRDefault="000479C9" w:rsidP="00633AC1">
            <w:pPr>
              <w:widowControl/>
              <w:jc w:val="center"/>
              <w:rPr>
                <w:rFonts w:cs="Arial"/>
                <w:color w:val="000000"/>
                <w:sz w:val="20"/>
                <w:lang w:eastAsia="es-MX"/>
              </w:rPr>
            </w:pPr>
            <w:r w:rsidRPr="00021E69">
              <w:rPr>
                <w:rFonts w:cs="Arial"/>
                <w:sz w:val="20"/>
                <w:lang w:eastAsia="es-MX"/>
              </w:rPr>
              <w:t>3.0</w:t>
            </w:r>
          </w:p>
        </w:tc>
        <w:tc>
          <w:tcPr>
            <w:tcW w:w="2600" w:type="dxa"/>
            <w:tcBorders>
              <w:top w:val="nil"/>
              <w:left w:val="nil"/>
              <w:bottom w:val="nil"/>
              <w:right w:val="nil"/>
            </w:tcBorders>
            <w:shd w:val="clear" w:color="auto" w:fill="CCE2E6"/>
            <w:vAlign w:val="center"/>
            <w:hideMark/>
          </w:tcPr>
          <w:p w14:paraId="502578E0" w14:textId="77777777" w:rsidR="000479C9" w:rsidRPr="00021E69" w:rsidRDefault="000479C9" w:rsidP="00633AC1">
            <w:pPr>
              <w:widowControl/>
              <w:jc w:val="center"/>
              <w:rPr>
                <w:rFonts w:cs="Arial"/>
                <w:color w:val="000000"/>
                <w:sz w:val="20"/>
                <w:lang w:eastAsia="es-MX"/>
              </w:rPr>
            </w:pPr>
            <w:r w:rsidRPr="00021E69">
              <w:rPr>
                <w:rFonts w:cs="Arial"/>
                <w:sz w:val="20"/>
                <w:lang w:eastAsia="es-MX"/>
              </w:rPr>
              <w:t>4.7</w:t>
            </w:r>
          </w:p>
        </w:tc>
      </w:tr>
      <w:tr w:rsidR="000479C9" w:rsidRPr="00021E69" w14:paraId="715E03C0" w14:textId="77777777" w:rsidTr="008879AA">
        <w:trPr>
          <w:trHeight w:val="510"/>
        </w:trPr>
        <w:tc>
          <w:tcPr>
            <w:tcW w:w="220" w:type="dxa"/>
            <w:tcBorders>
              <w:top w:val="nil"/>
              <w:left w:val="nil"/>
              <w:bottom w:val="nil"/>
              <w:right w:val="nil"/>
            </w:tcBorders>
            <w:shd w:val="clear" w:color="auto" w:fill="CDE2E7"/>
            <w:noWrap/>
            <w:vAlign w:val="bottom"/>
            <w:hideMark/>
          </w:tcPr>
          <w:p w14:paraId="7F3B969D" w14:textId="77777777" w:rsidR="000479C9" w:rsidRPr="00021E69" w:rsidRDefault="000479C9" w:rsidP="00633AC1">
            <w:pPr>
              <w:widowControl/>
              <w:jc w:val="left"/>
              <w:rPr>
                <w:rFonts w:ascii="Times New Roman" w:hAnsi="Times New Roman"/>
                <w:color w:val="000000"/>
                <w:sz w:val="20"/>
                <w:lang w:eastAsia="es-MX"/>
              </w:rPr>
            </w:pPr>
            <w:r w:rsidRPr="00021E69">
              <w:rPr>
                <w:rFonts w:ascii="Times New Roman" w:hAnsi="Times New Roman"/>
                <w:color w:val="000000"/>
                <w:sz w:val="20"/>
                <w:lang w:eastAsia="es-MX"/>
              </w:rPr>
              <w:t> </w:t>
            </w:r>
          </w:p>
        </w:tc>
        <w:tc>
          <w:tcPr>
            <w:tcW w:w="3182" w:type="dxa"/>
            <w:tcBorders>
              <w:top w:val="nil"/>
              <w:left w:val="nil"/>
              <w:bottom w:val="nil"/>
              <w:right w:val="nil"/>
            </w:tcBorders>
            <w:shd w:val="clear" w:color="auto" w:fill="CCE2E6"/>
            <w:vAlign w:val="center"/>
            <w:hideMark/>
          </w:tcPr>
          <w:p w14:paraId="2C0DF880" w14:textId="77777777" w:rsidR="000479C9" w:rsidRPr="00021E69" w:rsidRDefault="000479C9" w:rsidP="00633AC1">
            <w:pPr>
              <w:widowControl/>
              <w:ind w:left="138" w:hanging="141"/>
              <w:jc w:val="left"/>
              <w:rPr>
                <w:rFonts w:cs="Arial"/>
                <w:color w:val="000000"/>
                <w:sz w:val="20"/>
                <w:lang w:eastAsia="es-MX"/>
              </w:rPr>
            </w:pPr>
            <w:r w:rsidRPr="00021E69">
              <w:rPr>
                <w:rFonts w:cs="Arial"/>
                <w:sz w:val="20"/>
                <w:lang w:eastAsia="es-MX"/>
              </w:rPr>
              <w:t>Pérdidas de ingresos por negocios familiares</w:t>
            </w:r>
          </w:p>
        </w:tc>
        <w:tc>
          <w:tcPr>
            <w:tcW w:w="1458" w:type="dxa"/>
            <w:tcBorders>
              <w:top w:val="nil"/>
              <w:left w:val="nil"/>
              <w:bottom w:val="nil"/>
              <w:right w:val="nil"/>
            </w:tcBorders>
            <w:shd w:val="clear" w:color="auto" w:fill="CCE2E6"/>
            <w:vAlign w:val="center"/>
            <w:hideMark/>
          </w:tcPr>
          <w:p w14:paraId="2F031CE5" w14:textId="77777777" w:rsidR="000479C9" w:rsidRPr="00021E69" w:rsidRDefault="000479C9" w:rsidP="00633AC1">
            <w:pPr>
              <w:widowControl/>
              <w:jc w:val="center"/>
              <w:rPr>
                <w:rFonts w:cs="Arial"/>
                <w:color w:val="000000"/>
                <w:sz w:val="20"/>
                <w:lang w:eastAsia="es-MX"/>
              </w:rPr>
            </w:pPr>
            <w:r w:rsidRPr="00021E69">
              <w:rPr>
                <w:rFonts w:cs="Arial"/>
                <w:sz w:val="20"/>
                <w:lang w:eastAsia="es-MX"/>
              </w:rPr>
              <w:t>7.8</w:t>
            </w:r>
          </w:p>
        </w:tc>
        <w:tc>
          <w:tcPr>
            <w:tcW w:w="1360" w:type="dxa"/>
            <w:tcBorders>
              <w:top w:val="nil"/>
              <w:left w:val="nil"/>
              <w:bottom w:val="nil"/>
              <w:right w:val="nil"/>
            </w:tcBorders>
            <w:shd w:val="clear" w:color="auto" w:fill="CCE2E6"/>
            <w:vAlign w:val="center"/>
            <w:hideMark/>
          </w:tcPr>
          <w:p w14:paraId="2578413A" w14:textId="77777777" w:rsidR="000479C9" w:rsidRPr="00021E69" w:rsidRDefault="000479C9" w:rsidP="00633AC1">
            <w:pPr>
              <w:widowControl/>
              <w:jc w:val="center"/>
              <w:rPr>
                <w:rFonts w:cs="Arial"/>
                <w:color w:val="000000"/>
                <w:sz w:val="20"/>
                <w:lang w:eastAsia="es-MX"/>
              </w:rPr>
            </w:pPr>
            <w:r w:rsidRPr="00021E69">
              <w:rPr>
                <w:rFonts w:cs="Arial"/>
                <w:sz w:val="20"/>
                <w:lang w:eastAsia="es-MX"/>
              </w:rPr>
              <w:t>9.0</w:t>
            </w:r>
          </w:p>
        </w:tc>
        <w:tc>
          <w:tcPr>
            <w:tcW w:w="1360" w:type="dxa"/>
            <w:tcBorders>
              <w:top w:val="nil"/>
              <w:left w:val="nil"/>
              <w:bottom w:val="nil"/>
              <w:right w:val="nil"/>
            </w:tcBorders>
            <w:shd w:val="clear" w:color="auto" w:fill="CCE2E6"/>
            <w:vAlign w:val="center"/>
            <w:hideMark/>
          </w:tcPr>
          <w:p w14:paraId="116B2537" w14:textId="77777777" w:rsidR="000479C9" w:rsidRPr="00021E69" w:rsidRDefault="000479C9" w:rsidP="00633AC1">
            <w:pPr>
              <w:widowControl/>
              <w:jc w:val="center"/>
              <w:rPr>
                <w:rFonts w:cs="Arial"/>
                <w:color w:val="000000"/>
                <w:sz w:val="20"/>
                <w:lang w:eastAsia="es-MX"/>
              </w:rPr>
            </w:pPr>
            <w:r w:rsidRPr="00021E69">
              <w:rPr>
                <w:rFonts w:cs="Arial"/>
                <w:sz w:val="20"/>
                <w:lang w:eastAsia="es-MX"/>
              </w:rPr>
              <w:t>9.9</w:t>
            </w:r>
          </w:p>
        </w:tc>
        <w:tc>
          <w:tcPr>
            <w:tcW w:w="2600" w:type="dxa"/>
            <w:tcBorders>
              <w:top w:val="nil"/>
              <w:left w:val="nil"/>
              <w:bottom w:val="nil"/>
              <w:right w:val="nil"/>
            </w:tcBorders>
            <w:shd w:val="clear" w:color="auto" w:fill="CCE2E6"/>
            <w:vAlign w:val="center"/>
            <w:hideMark/>
          </w:tcPr>
          <w:p w14:paraId="567F6BF9" w14:textId="77777777" w:rsidR="000479C9" w:rsidRPr="00021E69" w:rsidRDefault="000479C9" w:rsidP="00633AC1">
            <w:pPr>
              <w:widowControl/>
              <w:jc w:val="center"/>
              <w:rPr>
                <w:rFonts w:cs="Arial"/>
                <w:color w:val="000000"/>
                <w:sz w:val="20"/>
                <w:lang w:eastAsia="es-MX"/>
              </w:rPr>
            </w:pPr>
            <w:r w:rsidRPr="00021E69">
              <w:rPr>
                <w:rFonts w:cs="Arial"/>
                <w:sz w:val="20"/>
                <w:lang w:eastAsia="es-MX"/>
              </w:rPr>
              <w:t>8.3</w:t>
            </w:r>
          </w:p>
        </w:tc>
      </w:tr>
      <w:tr w:rsidR="000479C9" w:rsidRPr="00021E69" w14:paraId="4AFD6855" w14:textId="77777777" w:rsidTr="008879AA">
        <w:trPr>
          <w:trHeight w:val="300"/>
        </w:trPr>
        <w:tc>
          <w:tcPr>
            <w:tcW w:w="220" w:type="dxa"/>
            <w:tcBorders>
              <w:top w:val="nil"/>
              <w:left w:val="nil"/>
              <w:bottom w:val="nil"/>
              <w:right w:val="nil"/>
            </w:tcBorders>
            <w:shd w:val="clear" w:color="auto" w:fill="CDE2E7"/>
            <w:noWrap/>
            <w:vAlign w:val="bottom"/>
            <w:hideMark/>
          </w:tcPr>
          <w:p w14:paraId="3EC2C3DA" w14:textId="77777777" w:rsidR="000479C9" w:rsidRPr="00021E69" w:rsidRDefault="000479C9" w:rsidP="00633AC1">
            <w:pPr>
              <w:widowControl/>
              <w:jc w:val="left"/>
              <w:rPr>
                <w:rFonts w:ascii="Times New Roman" w:hAnsi="Times New Roman"/>
                <w:color w:val="000000"/>
                <w:sz w:val="20"/>
                <w:lang w:eastAsia="es-MX"/>
              </w:rPr>
            </w:pPr>
            <w:r w:rsidRPr="00021E69">
              <w:rPr>
                <w:rFonts w:ascii="Times New Roman" w:hAnsi="Times New Roman"/>
                <w:color w:val="000000"/>
                <w:sz w:val="20"/>
                <w:lang w:eastAsia="es-MX"/>
              </w:rPr>
              <w:t> </w:t>
            </w:r>
          </w:p>
        </w:tc>
        <w:tc>
          <w:tcPr>
            <w:tcW w:w="3182" w:type="dxa"/>
            <w:tcBorders>
              <w:top w:val="nil"/>
              <w:left w:val="nil"/>
              <w:bottom w:val="nil"/>
              <w:right w:val="nil"/>
            </w:tcBorders>
            <w:shd w:val="clear" w:color="auto" w:fill="CCE2E6"/>
            <w:vAlign w:val="center"/>
            <w:hideMark/>
          </w:tcPr>
          <w:p w14:paraId="50E059A3" w14:textId="77777777" w:rsidR="000479C9" w:rsidRPr="00021E69" w:rsidRDefault="000479C9" w:rsidP="00633AC1">
            <w:pPr>
              <w:widowControl/>
              <w:ind w:left="138" w:hanging="141"/>
              <w:jc w:val="left"/>
              <w:rPr>
                <w:rFonts w:cs="Arial"/>
                <w:color w:val="000000"/>
                <w:sz w:val="20"/>
                <w:lang w:eastAsia="es-MX"/>
              </w:rPr>
            </w:pPr>
            <w:r w:rsidRPr="00021E69">
              <w:rPr>
                <w:rFonts w:cs="Arial"/>
                <w:sz w:val="20"/>
                <w:lang w:eastAsia="es-MX"/>
              </w:rPr>
              <w:t>Quiebra de un negocio familiar</w:t>
            </w:r>
          </w:p>
        </w:tc>
        <w:tc>
          <w:tcPr>
            <w:tcW w:w="1458" w:type="dxa"/>
            <w:tcBorders>
              <w:top w:val="nil"/>
              <w:left w:val="nil"/>
              <w:bottom w:val="nil"/>
              <w:right w:val="nil"/>
            </w:tcBorders>
            <w:shd w:val="clear" w:color="auto" w:fill="CCE2E6"/>
            <w:vAlign w:val="center"/>
            <w:hideMark/>
          </w:tcPr>
          <w:p w14:paraId="49DB9B14" w14:textId="77777777" w:rsidR="000479C9" w:rsidRPr="00021E69" w:rsidRDefault="000479C9" w:rsidP="00633AC1">
            <w:pPr>
              <w:widowControl/>
              <w:jc w:val="center"/>
              <w:rPr>
                <w:rFonts w:cs="Arial"/>
                <w:color w:val="000000"/>
                <w:sz w:val="20"/>
                <w:lang w:eastAsia="es-MX"/>
              </w:rPr>
            </w:pPr>
            <w:r w:rsidRPr="00021E69">
              <w:rPr>
                <w:rFonts w:cs="Arial"/>
                <w:sz w:val="20"/>
                <w:lang w:eastAsia="es-MX"/>
              </w:rPr>
              <w:t>3.9</w:t>
            </w:r>
          </w:p>
        </w:tc>
        <w:tc>
          <w:tcPr>
            <w:tcW w:w="1360" w:type="dxa"/>
            <w:tcBorders>
              <w:top w:val="nil"/>
              <w:left w:val="nil"/>
              <w:bottom w:val="nil"/>
              <w:right w:val="nil"/>
            </w:tcBorders>
            <w:shd w:val="clear" w:color="auto" w:fill="CCE2E6"/>
            <w:vAlign w:val="center"/>
            <w:hideMark/>
          </w:tcPr>
          <w:p w14:paraId="08D93871" w14:textId="77777777" w:rsidR="000479C9" w:rsidRPr="00021E69" w:rsidRDefault="000479C9" w:rsidP="00633AC1">
            <w:pPr>
              <w:widowControl/>
              <w:jc w:val="center"/>
              <w:rPr>
                <w:rFonts w:cs="Arial"/>
                <w:color w:val="000000"/>
                <w:sz w:val="20"/>
                <w:lang w:eastAsia="es-MX"/>
              </w:rPr>
            </w:pPr>
            <w:r w:rsidRPr="00021E69">
              <w:rPr>
                <w:rFonts w:cs="Arial"/>
                <w:sz w:val="20"/>
                <w:lang w:eastAsia="es-MX"/>
              </w:rPr>
              <w:t>4.8</w:t>
            </w:r>
          </w:p>
        </w:tc>
        <w:tc>
          <w:tcPr>
            <w:tcW w:w="1360" w:type="dxa"/>
            <w:tcBorders>
              <w:top w:val="nil"/>
              <w:left w:val="nil"/>
              <w:bottom w:val="nil"/>
              <w:right w:val="nil"/>
            </w:tcBorders>
            <w:shd w:val="clear" w:color="auto" w:fill="CCE2E6"/>
            <w:vAlign w:val="center"/>
            <w:hideMark/>
          </w:tcPr>
          <w:p w14:paraId="1057094A" w14:textId="77777777" w:rsidR="000479C9" w:rsidRPr="00021E69" w:rsidRDefault="000479C9" w:rsidP="00633AC1">
            <w:pPr>
              <w:widowControl/>
              <w:jc w:val="center"/>
              <w:rPr>
                <w:rFonts w:cs="Arial"/>
                <w:color w:val="000000"/>
                <w:sz w:val="20"/>
                <w:lang w:eastAsia="es-MX"/>
              </w:rPr>
            </w:pPr>
            <w:r w:rsidRPr="00021E69">
              <w:rPr>
                <w:rFonts w:cs="Arial"/>
                <w:sz w:val="20"/>
                <w:lang w:eastAsia="es-MX"/>
              </w:rPr>
              <w:t>4.4</w:t>
            </w:r>
          </w:p>
        </w:tc>
        <w:tc>
          <w:tcPr>
            <w:tcW w:w="2600" w:type="dxa"/>
            <w:tcBorders>
              <w:top w:val="nil"/>
              <w:left w:val="nil"/>
              <w:bottom w:val="nil"/>
              <w:right w:val="nil"/>
            </w:tcBorders>
            <w:shd w:val="clear" w:color="auto" w:fill="CCE2E6"/>
            <w:vAlign w:val="center"/>
            <w:hideMark/>
          </w:tcPr>
          <w:p w14:paraId="760C253C" w14:textId="77777777" w:rsidR="000479C9" w:rsidRPr="00021E69" w:rsidRDefault="000479C9" w:rsidP="00633AC1">
            <w:pPr>
              <w:widowControl/>
              <w:jc w:val="center"/>
              <w:rPr>
                <w:rFonts w:cs="Arial"/>
                <w:color w:val="000000"/>
                <w:sz w:val="20"/>
                <w:lang w:eastAsia="es-MX"/>
              </w:rPr>
            </w:pPr>
            <w:r w:rsidRPr="00021E69">
              <w:rPr>
                <w:rFonts w:cs="Arial"/>
                <w:sz w:val="20"/>
                <w:lang w:eastAsia="es-MX"/>
              </w:rPr>
              <w:t>5.3</w:t>
            </w:r>
          </w:p>
        </w:tc>
      </w:tr>
      <w:tr w:rsidR="000479C9" w:rsidRPr="00021E69" w14:paraId="7D802D13" w14:textId="77777777" w:rsidTr="008879AA">
        <w:trPr>
          <w:trHeight w:val="510"/>
        </w:trPr>
        <w:tc>
          <w:tcPr>
            <w:tcW w:w="220" w:type="dxa"/>
            <w:tcBorders>
              <w:top w:val="nil"/>
              <w:left w:val="nil"/>
              <w:bottom w:val="nil"/>
              <w:right w:val="nil"/>
            </w:tcBorders>
            <w:shd w:val="clear" w:color="auto" w:fill="CDE2E7"/>
            <w:noWrap/>
            <w:vAlign w:val="bottom"/>
            <w:hideMark/>
          </w:tcPr>
          <w:p w14:paraId="76985054" w14:textId="77777777" w:rsidR="000479C9" w:rsidRPr="00021E69" w:rsidRDefault="000479C9" w:rsidP="00633AC1">
            <w:pPr>
              <w:widowControl/>
              <w:jc w:val="left"/>
              <w:rPr>
                <w:rFonts w:ascii="Times New Roman" w:hAnsi="Times New Roman"/>
                <w:color w:val="000000"/>
                <w:sz w:val="20"/>
                <w:lang w:eastAsia="es-MX"/>
              </w:rPr>
            </w:pPr>
            <w:r w:rsidRPr="00021E69">
              <w:rPr>
                <w:rFonts w:ascii="Times New Roman" w:hAnsi="Times New Roman"/>
                <w:color w:val="000000"/>
                <w:sz w:val="20"/>
                <w:lang w:eastAsia="es-MX"/>
              </w:rPr>
              <w:t> </w:t>
            </w:r>
          </w:p>
        </w:tc>
        <w:tc>
          <w:tcPr>
            <w:tcW w:w="3182" w:type="dxa"/>
            <w:tcBorders>
              <w:top w:val="nil"/>
              <w:left w:val="nil"/>
              <w:bottom w:val="nil"/>
              <w:right w:val="nil"/>
            </w:tcBorders>
            <w:shd w:val="clear" w:color="auto" w:fill="CCE2E6"/>
            <w:vAlign w:val="center"/>
            <w:hideMark/>
          </w:tcPr>
          <w:p w14:paraId="4C4EA359" w14:textId="77777777" w:rsidR="000479C9" w:rsidRPr="00021E69" w:rsidRDefault="000479C9" w:rsidP="00633AC1">
            <w:pPr>
              <w:widowControl/>
              <w:ind w:left="138" w:hanging="141"/>
              <w:jc w:val="left"/>
              <w:rPr>
                <w:rFonts w:cs="Arial"/>
                <w:color w:val="000000"/>
                <w:sz w:val="20"/>
                <w:lang w:eastAsia="es-MX"/>
              </w:rPr>
            </w:pPr>
            <w:r w:rsidRPr="00021E69">
              <w:rPr>
                <w:rFonts w:cs="Arial"/>
                <w:sz w:val="20"/>
                <w:lang w:eastAsia="es-MX"/>
              </w:rPr>
              <w:t>Pérdidas de ingresos por un trabajo remunerado</w:t>
            </w:r>
          </w:p>
        </w:tc>
        <w:tc>
          <w:tcPr>
            <w:tcW w:w="1458" w:type="dxa"/>
            <w:tcBorders>
              <w:top w:val="nil"/>
              <w:left w:val="nil"/>
              <w:bottom w:val="nil"/>
              <w:right w:val="nil"/>
            </w:tcBorders>
            <w:shd w:val="clear" w:color="auto" w:fill="CCE2E6"/>
            <w:vAlign w:val="center"/>
            <w:hideMark/>
          </w:tcPr>
          <w:p w14:paraId="7FDD587B" w14:textId="77777777" w:rsidR="000479C9" w:rsidRPr="00021E69" w:rsidRDefault="000479C9" w:rsidP="00633AC1">
            <w:pPr>
              <w:widowControl/>
              <w:jc w:val="center"/>
              <w:rPr>
                <w:rFonts w:cs="Arial"/>
                <w:color w:val="000000"/>
                <w:sz w:val="20"/>
                <w:lang w:eastAsia="es-MX"/>
              </w:rPr>
            </w:pPr>
            <w:r w:rsidRPr="00021E69">
              <w:rPr>
                <w:rFonts w:cs="Arial"/>
                <w:sz w:val="20"/>
                <w:lang w:eastAsia="es-MX"/>
              </w:rPr>
              <w:t>13.0</w:t>
            </w:r>
          </w:p>
        </w:tc>
        <w:tc>
          <w:tcPr>
            <w:tcW w:w="1360" w:type="dxa"/>
            <w:tcBorders>
              <w:top w:val="nil"/>
              <w:left w:val="nil"/>
              <w:bottom w:val="nil"/>
              <w:right w:val="nil"/>
            </w:tcBorders>
            <w:shd w:val="clear" w:color="auto" w:fill="CCE2E6"/>
            <w:vAlign w:val="center"/>
            <w:hideMark/>
          </w:tcPr>
          <w:p w14:paraId="69986E00" w14:textId="77777777" w:rsidR="000479C9" w:rsidRPr="00021E69" w:rsidRDefault="000479C9" w:rsidP="00633AC1">
            <w:pPr>
              <w:widowControl/>
              <w:jc w:val="center"/>
              <w:rPr>
                <w:rFonts w:cs="Arial"/>
                <w:color w:val="000000"/>
                <w:sz w:val="20"/>
                <w:lang w:eastAsia="es-MX"/>
              </w:rPr>
            </w:pPr>
            <w:r w:rsidRPr="00021E69">
              <w:rPr>
                <w:rFonts w:cs="Arial"/>
                <w:sz w:val="20"/>
                <w:lang w:eastAsia="es-MX"/>
              </w:rPr>
              <w:t>13.9</w:t>
            </w:r>
          </w:p>
        </w:tc>
        <w:tc>
          <w:tcPr>
            <w:tcW w:w="1360" w:type="dxa"/>
            <w:tcBorders>
              <w:top w:val="nil"/>
              <w:left w:val="nil"/>
              <w:bottom w:val="nil"/>
              <w:right w:val="nil"/>
            </w:tcBorders>
            <w:shd w:val="clear" w:color="auto" w:fill="CCE2E6"/>
            <w:vAlign w:val="center"/>
            <w:hideMark/>
          </w:tcPr>
          <w:p w14:paraId="17C0F801" w14:textId="77777777" w:rsidR="000479C9" w:rsidRPr="00021E69" w:rsidRDefault="000479C9" w:rsidP="00633AC1">
            <w:pPr>
              <w:widowControl/>
              <w:jc w:val="center"/>
              <w:rPr>
                <w:rFonts w:cs="Arial"/>
                <w:color w:val="000000"/>
                <w:sz w:val="20"/>
                <w:lang w:eastAsia="es-MX"/>
              </w:rPr>
            </w:pPr>
            <w:r w:rsidRPr="00021E69">
              <w:rPr>
                <w:rFonts w:cs="Arial"/>
                <w:sz w:val="20"/>
                <w:lang w:eastAsia="es-MX"/>
              </w:rPr>
              <w:t>12.9</w:t>
            </w:r>
          </w:p>
        </w:tc>
        <w:tc>
          <w:tcPr>
            <w:tcW w:w="2600" w:type="dxa"/>
            <w:tcBorders>
              <w:top w:val="nil"/>
              <w:left w:val="nil"/>
              <w:bottom w:val="nil"/>
              <w:right w:val="nil"/>
            </w:tcBorders>
            <w:shd w:val="clear" w:color="auto" w:fill="CCE2E6"/>
            <w:vAlign w:val="center"/>
            <w:hideMark/>
          </w:tcPr>
          <w:p w14:paraId="60F6F775" w14:textId="77777777" w:rsidR="000479C9" w:rsidRPr="00021E69" w:rsidRDefault="000479C9" w:rsidP="00633AC1">
            <w:pPr>
              <w:widowControl/>
              <w:jc w:val="center"/>
              <w:rPr>
                <w:rFonts w:cs="Arial"/>
                <w:color w:val="000000"/>
                <w:sz w:val="20"/>
                <w:lang w:eastAsia="es-MX"/>
              </w:rPr>
            </w:pPr>
            <w:r w:rsidRPr="00021E69">
              <w:rPr>
                <w:rFonts w:cs="Arial"/>
                <w:sz w:val="20"/>
                <w:lang w:eastAsia="es-MX"/>
              </w:rPr>
              <w:t>14.8</w:t>
            </w:r>
          </w:p>
        </w:tc>
      </w:tr>
      <w:tr w:rsidR="000479C9" w:rsidRPr="00021E69" w14:paraId="055C977B" w14:textId="77777777" w:rsidTr="008879AA">
        <w:trPr>
          <w:trHeight w:val="510"/>
        </w:trPr>
        <w:tc>
          <w:tcPr>
            <w:tcW w:w="220" w:type="dxa"/>
            <w:tcBorders>
              <w:top w:val="nil"/>
              <w:left w:val="nil"/>
              <w:bottom w:val="nil"/>
              <w:right w:val="nil"/>
            </w:tcBorders>
            <w:shd w:val="clear" w:color="auto" w:fill="CDE2E7"/>
            <w:noWrap/>
            <w:vAlign w:val="bottom"/>
            <w:hideMark/>
          </w:tcPr>
          <w:p w14:paraId="394E2F7C" w14:textId="77777777" w:rsidR="000479C9" w:rsidRPr="00021E69" w:rsidRDefault="000479C9" w:rsidP="00633AC1">
            <w:pPr>
              <w:widowControl/>
              <w:jc w:val="left"/>
              <w:rPr>
                <w:rFonts w:ascii="Times New Roman" w:hAnsi="Times New Roman"/>
                <w:color w:val="000000"/>
                <w:sz w:val="20"/>
                <w:lang w:eastAsia="es-MX"/>
              </w:rPr>
            </w:pPr>
            <w:r w:rsidRPr="00021E69">
              <w:rPr>
                <w:rFonts w:ascii="Times New Roman" w:hAnsi="Times New Roman"/>
                <w:color w:val="000000"/>
                <w:sz w:val="20"/>
                <w:lang w:eastAsia="es-MX"/>
              </w:rPr>
              <w:t> </w:t>
            </w:r>
          </w:p>
        </w:tc>
        <w:tc>
          <w:tcPr>
            <w:tcW w:w="3182" w:type="dxa"/>
            <w:tcBorders>
              <w:top w:val="nil"/>
              <w:left w:val="nil"/>
              <w:bottom w:val="nil"/>
              <w:right w:val="nil"/>
            </w:tcBorders>
            <w:shd w:val="clear" w:color="auto" w:fill="CCE2E6"/>
            <w:vAlign w:val="center"/>
            <w:hideMark/>
          </w:tcPr>
          <w:p w14:paraId="07806C03" w14:textId="77777777" w:rsidR="000479C9" w:rsidRPr="00021E69" w:rsidRDefault="000479C9" w:rsidP="00633AC1">
            <w:pPr>
              <w:widowControl/>
              <w:ind w:left="138" w:hanging="141"/>
              <w:jc w:val="left"/>
              <w:rPr>
                <w:rFonts w:cs="Arial"/>
                <w:color w:val="000000"/>
                <w:sz w:val="20"/>
                <w:lang w:eastAsia="es-MX"/>
              </w:rPr>
            </w:pPr>
            <w:r w:rsidRPr="00021E69">
              <w:rPr>
                <w:rFonts w:cs="Arial"/>
                <w:sz w:val="20"/>
                <w:lang w:eastAsia="es-MX"/>
              </w:rPr>
              <w:t>Enfermedad grave o accidente de un miembro del hogar</w:t>
            </w:r>
          </w:p>
        </w:tc>
        <w:tc>
          <w:tcPr>
            <w:tcW w:w="1458" w:type="dxa"/>
            <w:tcBorders>
              <w:top w:val="nil"/>
              <w:left w:val="nil"/>
              <w:bottom w:val="nil"/>
              <w:right w:val="nil"/>
            </w:tcBorders>
            <w:shd w:val="clear" w:color="auto" w:fill="CCE2E6"/>
            <w:vAlign w:val="center"/>
            <w:hideMark/>
          </w:tcPr>
          <w:p w14:paraId="64BC58E6" w14:textId="77777777" w:rsidR="000479C9" w:rsidRPr="00021E69" w:rsidRDefault="000479C9" w:rsidP="00633AC1">
            <w:pPr>
              <w:widowControl/>
              <w:jc w:val="center"/>
              <w:rPr>
                <w:rFonts w:cs="Arial"/>
                <w:color w:val="000000"/>
                <w:sz w:val="20"/>
                <w:lang w:eastAsia="es-MX"/>
              </w:rPr>
            </w:pPr>
            <w:r w:rsidRPr="00021E69">
              <w:rPr>
                <w:rFonts w:cs="Arial"/>
                <w:sz w:val="20"/>
                <w:lang w:eastAsia="es-MX"/>
              </w:rPr>
              <w:t>14.8</w:t>
            </w:r>
          </w:p>
        </w:tc>
        <w:tc>
          <w:tcPr>
            <w:tcW w:w="1360" w:type="dxa"/>
            <w:tcBorders>
              <w:top w:val="nil"/>
              <w:left w:val="nil"/>
              <w:bottom w:val="nil"/>
              <w:right w:val="nil"/>
            </w:tcBorders>
            <w:shd w:val="clear" w:color="auto" w:fill="CCE2E6"/>
            <w:vAlign w:val="center"/>
            <w:hideMark/>
          </w:tcPr>
          <w:p w14:paraId="28AB5708" w14:textId="77777777" w:rsidR="000479C9" w:rsidRPr="00021E69" w:rsidRDefault="000479C9" w:rsidP="00633AC1">
            <w:pPr>
              <w:widowControl/>
              <w:jc w:val="center"/>
              <w:rPr>
                <w:rFonts w:cs="Arial"/>
                <w:color w:val="000000"/>
                <w:sz w:val="20"/>
                <w:lang w:eastAsia="es-MX"/>
              </w:rPr>
            </w:pPr>
            <w:r w:rsidRPr="00021E69">
              <w:rPr>
                <w:rFonts w:cs="Arial"/>
                <w:sz w:val="20"/>
                <w:lang w:eastAsia="es-MX"/>
              </w:rPr>
              <w:t>18.8</w:t>
            </w:r>
          </w:p>
        </w:tc>
        <w:tc>
          <w:tcPr>
            <w:tcW w:w="1360" w:type="dxa"/>
            <w:tcBorders>
              <w:top w:val="nil"/>
              <w:left w:val="nil"/>
              <w:bottom w:val="nil"/>
              <w:right w:val="nil"/>
            </w:tcBorders>
            <w:shd w:val="clear" w:color="auto" w:fill="CCE2E6"/>
            <w:vAlign w:val="center"/>
            <w:hideMark/>
          </w:tcPr>
          <w:p w14:paraId="5036A1D3" w14:textId="77777777" w:rsidR="000479C9" w:rsidRPr="00021E69" w:rsidRDefault="000479C9" w:rsidP="00633AC1">
            <w:pPr>
              <w:widowControl/>
              <w:jc w:val="center"/>
              <w:rPr>
                <w:rFonts w:cs="Arial"/>
                <w:color w:val="000000"/>
                <w:sz w:val="20"/>
                <w:lang w:eastAsia="es-MX"/>
              </w:rPr>
            </w:pPr>
            <w:r w:rsidRPr="00021E69">
              <w:rPr>
                <w:rFonts w:cs="Arial"/>
                <w:sz w:val="20"/>
                <w:lang w:eastAsia="es-MX"/>
              </w:rPr>
              <w:t>17.4</w:t>
            </w:r>
          </w:p>
        </w:tc>
        <w:tc>
          <w:tcPr>
            <w:tcW w:w="2600" w:type="dxa"/>
            <w:tcBorders>
              <w:top w:val="nil"/>
              <w:left w:val="nil"/>
              <w:bottom w:val="nil"/>
              <w:right w:val="nil"/>
            </w:tcBorders>
            <w:shd w:val="clear" w:color="auto" w:fill="CCE2E6"/>
            <w:vAlign w:val="center"/>
            <w:hideMark/>
          </w:tcPr>
          <w:p w14:paraId="5AEB0646" w14:textId="77777777" w:rsidR="000479C9" w:rsidRPr="00021E69" w:rsidRDefault="000479C9" w:rsidP="00633AC1">
            <w:pPr>
              <w:widowControl/>
              <w:jc w:val="center"/>
              <w:rPr>
                <w:rFonts w:cs="Arial"/>
                <w:color w:val="000000"/>
                <w:sz w:val="20"/>
                <w:lang w:eastAsia="es-MX"/>
              </w:rPr>
            </w:pPr>
            <w:r w:rsidRPr="00021E69">
              <w:rPr>
                <w:rFonts w:cs="Arial"/>
                <w:sz w:val="20"/>
                <w:lang w:eastAsia="es-MX"/>
              </w:rPr>
              <w:t>21.4</w:t>
            </w:r>
          </w:p>
        </w:tc>
      </w:tr>
      <w:tr w:rsidR="000479C9" w:rsidRPr="00021E69" w14:paraId="23955F2A" w14:textId="77777777" w:rsidTr="008879AA">
        <w:trPr>
          <w:trHeight w:val="510"/>
        </w:trPr>
        <w:tc>
          <w:tcPr>
            <w:tcW w:w="220" w:type="dxa"/>
            <w:tcBorders>
              <w:top w:val="nil"/>
              <w:left w:val="nil"/>
              <w:bottom w:val="nil"/>
              <w:right w:val="nil"/>
            </w:tcBorders>
            <w:shd w:val="clear" w:color="auto" w:fill="CDE2E7"/>
            <w:noWrap/>
            <w:vAlign w:val="bottom"/>
            <w:hideMark/>
          </w:tcPr>
          <w:p w14:paraId="4C2BFA50" w14:textId="77777777" w:rsidR="000479C9" w:rsidRPr="00021E69" w:rsidRDefault="000479C9" w:rsidP="00633AC1">
            <w:pPr>
              <w:widowControl/>
              <w:jc w:val="left"/>
              <w:rPr>
                <w:rFonts w:ascii="Times New Roman" w:hAnsi="Times New Roman"/>
                <w:color w:val="000000"/>
                <w:sz w:val="20"/>
                <w:lang w:eastAsia="es-MX"/>
              </w:rPr>
            </w:pPr>
            <w:r w:rsidRPr="00021E69">
              <w:rPr>
                <w:rFonts w:ascii="Times New Roman" w:hAnsi="Times New Roman"/>
                <w:color w:val="000000"/>
                <w:sz w:val="20"/>
                <w:lang w:eastAsia="es-MX"/>
              </w:rPr>
              <w:t> </w:t>
            </w:r>
          </w:p>
        </w:tc>
        <w:tc>
          <w:tcPr>
            <w:tcW w:w="3182" w:type="dxa"/>
            <w:tcBorders>
              <w:top w:val="nil"/>
              <w:left w:val="nil"/>
              <w:bottom w:val="nil"/>
              <w:right w:val="nil"/>
            </w:tcBorders>
            <w:shd w:val="clear" w:color="auto" w:fill="CCE2E6"/>
            <w:vAlign w:val="center"/>
            <w:hideMark/>
          </w:tcPr>
          <w:p w14:paraId="4E2EA47B" w14:textId="77777777" w:rsidR="000479C9" w:rsidRPr="00021E69" w:rsidRDefault="000479C9" w:rsidP="00633AC1">
            <w:pPr>
              <w:widowControl/>
              <w:ind w:left="138" w:hanging="141"/>
              <w:jc w:val="left"/>
              <w:rPr>
                <w:rFonts w:cs="Arial"/>
                <w:color w:val="000000"/>
                <w:sz w:val="20"/>
                <w:lang w:eastAsia="es-MX"/>
              </w:rPr>
            </w:pPr>
            <w:r w:rsidRPr="00021E69">
              <w:rPr>
                <w:rFonts w:cs="Arial"/>
                <w:sz w:val="20"/>
                <w:lang w:eastAsia="es-MX"/>
              </w:rPr>
              <w:t>Fallecimiento de algún miembro del hogar que aportaba ingresos</w:t>
            </w:r>
          </w:p>
        </w:tc>
        <w:tc>
          <w:tcPr>
            <w:tcW w:w="1458" w:type="dxa"/>
            <w:tcBorders>
              <w:top w:val="nil"/>
              <w:left w:val="nil"/>
              <w:bottom w:val="nil"/>
              <w:right w:val="nil"/>
            </w:tcBorders>
            <w:shd w:val="clear" w:color="auto" w:fill="CCE2E6"/>
            <w:vAlign w:val="center"/>
            <w:hideMark/>
          </w:tcPr>
          <w:p w14:paraId="6E68DF38" w14:textId="77777777" w:rsidR="000479C9" w:rsidRPr="00021E69" w:rsidRDefault="000479C9" w:rsidP="00633AC1">
            <w:pPr>
              <w:widowControl/>
              <w:jc w:val="center"/>
              <w:rPr>
                <w:rFonts w:cs="Arial"/>
                <w:color w:val="000000"/>
                <w:sz w:val="20"/>
                <w:lang w:eastAsia="es-MX"/>
              </w:rPr>
            </w:pPr>
            <w:r w:rsidRPr="00021E69">
              <w:rPr>
                <w:rFonts w:cs="Arial"/>
                <w:sz w:val="20"/>
                <w:lang w:eastAsia="es-MX"/>
              </w:rPr>
              <w:t>4.1</w:t>
            </w:r>
          </w:p>
        </w:tc>
        <w:tc>
          <w:tcPr>
            <w:tcW w:w="1360" w:type="dxa"/>
            <w:tcBorders>
              <w:top w:val="nil"/>
              <w:left w:val="nil"/>
              <w:bottom w:val="nil"/>
              <w:right w:val="nil"/>
            </w:tcBorders>
            <w:shd w:val="clear" w:color="auto" w:fill="CCE2E6"/>
            <w:vAlign w:val="center"/>
            <w:hideMark/>
          </w:tcPr>
          <w:p w14:paraId="48484DB2" w14:textId="77777777" w:rsidR="000479C9" w:rsidRPr="00021E69" w:rsidRDefault="000479C9" w:rsidP="00633AC1">
            <w:pPr>
              <w:widowControl/>
              <w:jc w:val="center"/>
              <w:rPr>
                <w:rFonts w:cs="Arial"/>
                <w:color w:val="000000"/>
                <w:sz w:val="20"/>
                <w:lang w:eastAsia="es-MX"/>
              </w:rPr>
            </w:pPr>
            <w:r w:rsidRPr="00021E69">
              <w:rPr>
                <w:rFonts w:cs="Arial"/>
                <w:sz w:val="20"/>
                <w:lang w:eastAsia="es-MX"/>
              </w:rPr>
              <w:t>5.7</w:t>
            </w:r>
          </w:p>
        </w:tc>
        <w:tc>
          <w:tcPr>
            <w:tcW w:w="1360" w:type="dxa"/>
            <w:tcBorders>
              <w:top w:val="nil"/>
              <w:left w:val="nil"/>
              <w:bottom w:val="nil"/>
              <w:right w:val="nil"/>
            </w:tcBorders>
            <w:shd w:val="clear" w:color="auto" w:fill="CCE2E6"/>
            <w:vAlign w:val="center"/>
            <w:hideMark/>
          </w:tcPr>
          <w:p w14:paraId="18D9844D" w14:textId="77777777" w:rsidR="000479C9" w:rsidRPr="00021E69" w:rsidRDefault="000479C9" w:rsidP="00633AC1">
            <w:pPr>
              <w:widowControl/>
              <w:jc w:val="center"/>
              <w:rPr>
                <w:rFonts w:cs="Arial"/>
                <w:color w:val="000000"/>
                <w:sz w:val="20"/>
                <w:lang w:eastAsia="es-MX"/>
              </w:rPr>
            </w:pPr>
            <w:r w:rsidRPr="00021E69">
              <w:rPr>
                <w:rFonts w:cs="Arial"/>
                <w:sz w:val="20"/>
                <w:lang w:eastAsia="es-MX"/>
              </w:rPr>
              <w:t>5.7</w:t>
            </w:r>
          </w:p>
        </w:tc>
        <w:tc>
          <w:tcPr>
            <w:tcW w:w="2600" w:type="dxa"/>
            <w:tcBorders>
              <w:top w:val="nil"/>
              <w:left w:val="nil"/>
              <w:bottom w:val="nil"/>
              <w:right w:val="nil"/>
            </w:tcBorders>
            <w:shd w:val="clear" w:color="auto" w:fill="CCE2E6"/>
            <w:vAlign w:val="center"/>
            <w:hideMark/>
          </w:tcPr>
          <w:p w14:paraId="6BB54142" w14:textId="77777777" w:rsidR="000479C9" w:rsidRPr="00021E69" w:rsidRDefault="000479C9" w:rsidP="00633AC1">
            <w:pPr>
              <w:widowControl/>
              <w:jc w:val="center"/>
              <w:rPr>
                <w:rFonts w:cs="Arial"/>
                <w:color w:val="000000"/>
                <w:sz w:val="20"/>
                <w:lang w:eastAsia="es-MX"/>
              </w:rPr>
            </w:pPr>
            <w:r w:rsidRPr="00021E69">
              <w:rPr>
                <w:rFonts w:cs="Arial"/>
                <w:sz w:val="20"/>
                <w:lang w:eastAsia="es-MX"/>
              </w:rPr>
              <w:t>6.3</w:t>
            </w:r>
          </w:p>
        </w:tc>
      </w:tr>
      <w:tr w:rsidR="000479C9" w:rsidRPr="00021E69" w14:paraId="3A590D3F" w14:textId="77777777" w:rsidTr="008879AA">
        <w:trPr>
          <w:trHeight w:val="510"/>
        </w:trPr>
        <w:tc>
          <w:tcPr>
            <w:tcW w:w="220" w:type="dxa"/>
            <w:tcBorders>
              <w:top w:val="nil"/>
              <w:left w:val="nil"/>
              <w:bottom w:val="nil"/>
              <w:right w:val="nil"/>
            </w:tcBorders>
            <w:shd w:val="clear" w:color="auto" w:fill="CDE2E7"/>
            <w:noWrap/>
            <w:vAlign w:val="bottom"/>
            <w:hideMark/>
          </w:tcPr>
          <w:p w14:paraId="34708E2C" w14:textId="77777777" w:rsidR="000479C9" w:rsidRPr="00021E69" w:rsidRDefault="000479C9" w:rsidP="00633AC1">
            <w:pPr>
              <w:widowControl/>
              <w:jc w:val="left"/>
              <w:rPr>
                <w:rFonts w:ascii="Times New Roman" w:hAnsi="Times New Roman"/>
                <w:color w:val="000000"/>
                <w:sz w:val="20"/>
                <w:lang w:eastAsia="es-MX"/>
              </w:rPr>
            </w:pPr>
            <w:r w:rsidRPr="00021E69">
              <w:rPr>
                <w:rFonts w:ascii="Times New Roman" w:hAnsi="Times New Roman"/>
                <w:color w:val="000000"/>
                <w:sz w:val="20"/>
                <w:lang w:eastAsia="es-MX"/>
              </w:rPr>
              <w:t> </w:t>
            </w:r>
          </w:p>
        </w:tc>
        <w:tc>
          <w:tcPr>
            <w:tcW w:w="3182" w:type="dxa"/>
            <w:tcBorders>
              <w:top w:val="nil"/>
              <w:left w:val="nil"/>
              <w:bottom w:val="nil"/>
              <w:right w:val="nil"/>
            </w:tcBorders>
            <w:shd w:val="clear" w:color="auto" w:fill="CCE2E6"/>
            <w:vAlign w:val="center"/>
            <w:hideMark/>
          </w:tcPr>
          <w:p w14:paraId="5D0B0580" w14:textId="77777777" w:rsidR="000479C9" w:rsidRPr="00021E69" w:rsidRDefault="000479C9" w:rsidP="00633AC1">
            <w:pPr>
              <w:widowControl/>
              <w:ind w:left="138" w:hanging="141"/>
              <w:jc w:val="left"/>
              <w:rPr>
                <w:rFonts w:cs="Arial"/>
                <w:color w:val="000000"/>
                <w:sz w:val="20"/>
                <w:lang w:eastAsia="es-MX"/>
              </w:rPr>
            </w:pPr>
            <w:r w:rsidRPr="00021E69">
              <w:rPr>
                <w:rFonts w:cs="Arial"/>
                <w:sz w:val="20"/>
                <w:lang w:eastAsia="es-MX"/>
              </w:rPr>
              <w:t>Fallecimiento de otro miembro del hogar</w:t>
            </w:r>
          </w:p>
        </w:tc>
        <w:tc>
          <w:tcPr>
            <w:tcW w:w="1458" w:type="dxa"/>
            <w:tcBorders>
              <w:top w:val="nil"/>
              <w:left w:val="nil"/>
              <w:bottom w:val="nil"/>
              <w:right w:val="nil"/>
            </w:tcBorders>
            <w:shd w:val="clear" w:color="auto" w:fill="CCE2E6"/>
            <w:vAlign w:val="center"/>
            <w:hideMark/>
          </w:tcPr>
          <w:p w14:paraId="0ADEDF56" w14:textId="77777777" w:rsidR="000479C9" w:rsidRPr="00021E69" w:rsidRDefault="000479C9" w:rsidP="00633AC1">
            <w:pPr>
              <w:widowControl/>
              <w:jc w:val="center"/>
              <w:rPr>
                <w:rFonts w:cs="Arial"/>
                <w:color w:val="000000"/>
                <w:sz w:val="20"/>
                <w:lang w:eastAsia="es-MX"/>
              </w:rPr>
            </w:pPr>
            <w:r w:rsidRPr="00021E69">
              <w:rPr>
                <w:rFonts w:cs="Arial"/>
                <w:sz w:val="20"/>
                <w:lang w:eastAsia="es-MX"/>
              </w:rPr>
              <w:t>4.1</w:t>
            </w:r>
          </w:p>
        </w:tc>
        <w:tc>
          <w:tcPr>
            <w:tcW w:w="1360" w:type="dxa"/>
            <w:tcBorders>
              <w:top w:val="nil"/>
              <w:left w:val="nil"/>
              <w:bottom w:val="nil"/>
              <w:right w:val="nil"/>
            </w:tcBorders>
            <w:shd w:val="clear" w:color="auto" w:fill="CCE2E6"/>
            <w:vAlign w:val="center"/>
            <w:hideMark/>
          </w:tcPr>
          <w:p w14:paraId="232AA5EF" w14:textId="77777777" w:rsidR="000479C9" w:rsidRPr="00021E69" w:rsidRDefault="000479C9" w:rsidP="00633AC1">
            <w:pPr>
              <w:widowControl/>
              <w:jc w:val="center"/>
              <w:rPr>
                <w:rFonts w:cs="Arial"/>
                <w:color w:val="000000"/>
                <w:sz w:val="20"/>
                <w:lang w:eastAsia="es-MX"/>
              </w:rPr>
            </w:pPr>
            <w:r w:rsidRPr="00021E69">
              <w:rPr>
                <w:rFonts w:cs="Arial"/>
                <w:sz w:val="20"/>
                <w:lang w:eastAsia="es-MX"/>
              </w:rPr>
              <w:t>5.0</w:t>
            </w:r>
          </w:p>
        </w:tc>
        <w:tc>
          <w:tcPr>
            <w:tcW w:w="1360" w:type="dxa"/>
            <w:tcBorders>
              <w:top w:val="nil"/>
              <w:left w:val="nil"/>
              <w:bottom w:val="nil"/>
              <w:right w:val="nil"/>
            </w:tcBorders>
            <w:shd w:val="clear" w:color="auto" w:fill="CCE2E6"/>
            <w:vAlign w:val="center"/>
            <w:hideMark/>
          </w:tcPr>
          <w:p w14:paraId="362C8470" w14:textId="77777777" w:rsidR="000479C9" w:rsidRPr="00021E69" w:rsidRDefault="000479C9" w:rsidP="00633AC1">
            <w:pPr>
              <w:widowControl/>
              <w:jc w:val="center"/>
              <w:rPr>
                <w:rFonts w:cs="Arial"/>
                <w:color w:val="000000"/>
                <w:sz w:val="20"/>
                <w:lang w:eastAsia="es-MX"/>
              </w:rPr>
            </w:pPr>
            <w:r w:rsidRPr="00021E69">
              <w:rPr>
                <w:rFonts w:cs="Arial"/>
                <w:sz w:val="20"/>
                <w:lang w:eastAsia="es-MX"/>
              </w:rPr>
              <w:t>4.4</w:t>
            </w:r>
          </w:p>
        </w:tc>
        <w:tc>
          <w:tcPr>
            <w:tcW w:w="2600" w:type="dxa"/>
            <w:tcBorders>
              <w:top w:val="nil"/>
              <w:left w:val="nil"/>
              <w:bottom w:val="nil"/>
              <w:right w:val="nil"/>
            </w:tcBorders>
            <w:shd w:val="clear" w:color="auto" w:fill="CCE2E6"/>
            <w:vAlign w:val="center"/>
            <w:hideMark/>
          </w:tcPr>
          <w:p w14:paraId="64E18285" w14:textId="77777777" w:rsidR="000479C9" w:rsidRPr="00021E69" w:rsidRDefault="000479C9" w:rsidP="00633AC1">
            <w:pPr>
              <w:widowControl/>
              <w:jc w:val="center"/>
              <w:rPr>
                <w:rFonts w:cs="Arial"/>
                <w:color w:val="000000"/>
                <w:sz w:val="20"/>
                <w:lang w:eastAsia="es-MX"/>
              </w:rPr>
            </w:pPr>
            <w:r w:rsidRPr="00021E69">
              <w:rPr>
                <w:rFonts w:cs="Arial"/>
                <w:sz w:val="20"/>
                <w:lang w:eastAsia="es-MX"/>
              </w:rPr>
              <w:t>5.8</w:t>
            </w:r>
          </w:p>
        </w:tc>
      </w:tr>
      <w:tr w:rsidR="000479C9" w:rsidRPr="00021E69" w14:paraId="1B303507" w14:textId="77777777" w:rsidTr="008879AA">
        <w:trPr>
          <w:trHeight w:val="300"/>
        </w:trPr>
        <w:tc>
          <w:tcPr>
            <w:tcW w:w="220" w:type="dxa"/>
            <w:tcBorders>
              <w:top w:val="nil"/>
              <w:left w:val="nil"/>
              <w:bottom w:val="nil"/>
              <w:right w:val="nil"/>
            </w:tcBorders>
            <w:shd w:val="clear" w:color="auto" w:fill="CDE2E7"/>
            <w:noWrap/>
            <w:vAlign w:val="bottom"/>
            <w:hideMark/>
          </w:tcPr>
          <w:p w14:paraId="055DF711" w14:textId="77777777" w:rsidR="000479C9" w:rsidRPr="00021E69" w:rsidRDefault="000479C9" w:rsidP="00633AC1">
            <w:pPr>
              <w:widowControl/>
              <w:jc w:val="left"/>
              <w:rPr>
                <w:rFonts w:ascii="Times New Roman" w:hAnsi="Times New Roman"/>
                <w:color w:val="000000"/>
                <w:sz w:val="20"/>
                <w:lang w:eastAsia="es-MX"/>
              </w:rPr>
            </w:pPr>
            <w:r w:rsidRPr="00021E69">
              <w:rPr>
                <w:rFonts w:ascii="Times New Roman" w:hAnsi="Times New Roman"/>
                <w:color w:val="000000"/>
                <w:sz w:val="20"/>
                <w:lang w:eastAsia="es-MX"/>
              </w:rPr>
              <w:t> </w:t>
            </w:r>
          </w:p>
        </w:tc>
        <w:tc>
          <w:tcPr>
            <w:tcW w:w="3182" w:type="dxa"/>
            <w:tcBorders>
              <w:top w:val="nil"/>
              <w:left w:val="nil"/>
              <w:bottom w:val="nil"/>
              <w:right w:val="nil"/>
            </w:tcBorders>
            <w:shd w:val="clear" w:color="auto" w:fill="CCE2E6"/>
            <w:vAlign w:val="center"/>
            <w:hideMark/>
          </w:tcPr>
          <w:p w14:paraId="00DBFE1A" w14:textId="77777777" w:rsidR="000479C9" w:rsidRPr="00021E69" w:rsidRDefault="000479C9" w:rsidP="00633AC1">
            <w:pPr>
              <w:widowControl/>
              <w:ind w:left="138" w:hanging="141"/>
              <w:jc w:val="left"/>
              <w:rPr>
                <w:rFonts w:cs="Arial"/>
                <w:color w:val="000000"/>
                <w:sz w:val="20"/>
                <w:lang w:eastAsia="es-MX"/>
              </w:rPr>
            </w:pPr>
            <w:r w:rsidRPr="00021E69">
              <w:rPr>
                <w:rFonts w:cs="Arial"/>
                <w:sz w:val="20"/>
                <w:lang w:eastAsia="es-MX"/>
              </w:rPr>
              <w:t>Divorcio o separación</w:t>
            </w:r>
          </w:p>
        </w:tc>
        <w:tc>
          <w:tcPr>
            <w:tcW w:w="1458" w:type="dxa"/>
            <w:tcBorders>
              <w:top w:val="nil"/>
              <w:left w:val="nil"/>
              <w:bottom w:val="nil"/>
              <w:right w:val="nil"/>
            </w:tcBorders>
            <w:shd w:val="clear" w:color="auto" w:fill="CCE2E6"/>
            <w:vAlign w:val="center"/>
            <w:hideMark/>
          </w:tcPr>
          <w:p w14:paraId="12AFE465" w14:textId="77777777" w:rsidR="000479C9" w:rsidRPr="00021E69" w:rsidRDefault="000479C9" w:rsidP="00633AC1">
            <w:pPr>
              <w:widowControl/>
              <w:jc w:val="center"/>
              <w:rPr>
                <w:rFonts w:cs="Arial"/>
                <w:color w:val="000000"/>
                <w:sz w:val="20"/>
                <w:lang w:eastAsia="es-MX"/>
              </w:rPr>
            </w:pPr>
            <w:r w:rsidRPr="00021E69">
              <w:rPr>
                <w:rFonts w:cs="Arial"/>
                <w:sz w:val="20"/>
                <w:lang w:eastAsia="es-MX"/>
              </w:rPr>
              <w:t>3.3</w:t>
            </w:r>
          </w:p>
        </w:tc>
        <w:tc>
          <w:tcPr>
            <w:tcW w:w="1360" w:type="dxa"/>
            <w:tcBorders>
              <w:top w:val="nil"/>
              <w:left w:val="nil"/>
              <w:bottom w:val="nil"/>
              <w:right w:val="nil"/>
            </w:tcBorders>
            <w:shd w:val="clear" w:color="auto" w:fill="CCE2E6"/>
            <w:vAlign w:val="center"/>
            <w:hideMark/>
          </w:tcPr>
          <w:p w14:paraId="00D9ABF9" w14:textId="77777777" w:rsidR="000479C9" w:rsidRPr="00021E69" w:rsidRDefault="000479C9" w:rsidP="00633AC1">
            <w:pPr>
              <w:widowControl/>
              <w:jc w:val="center"/>
              <w:rPr>
                <w:rFonts w:cs="Arial"/>
                <w:color w:val="000000"/>
                <w:sz w:val="20"/>
                <w:lang w:eastAsia="es-MX"/>
              </w:rPr>
            </w:pPr>
            <w:r w:rsidRPr="00021E69">
              <w:rPr>
                <w:rFonts w:cs="Arial"/>
                <w:sz w:val="20"/>
                <w:lang w:eastAsia="es-MX"/>
              </w:rPr>
              <w:t>3.9</w:t>
            </w:r>
          </w:p>
        </w:tc>
        <w:tc>
          <w:tcPr>
            <w:tcW w:w="1360" w:type="dxa"/>
            <w:tcBorders>
              <w:top w:val="nil"/>
              <w:left w:val="nil"/>
              <w:bottom w:val="nil"/>
              <w:right w:val="nil"/>
            </w:tcBorders>
            <w:shd w:val="clear" w:color="auto" w:fill="CCE2E6"/>
            <w:vAlign w:val="center"/>
            <w:hideMark/>
          </w:tcPr>
          <w:p w14:paraId="39A70DB1" w14:textId="77777777" w:rsidR="000479C9" w:rsidRPr="00021E69" w:rsidRDefault="000479C9" w:rsidP="00633AC1">
            <w:pPr>
              <w:widowControl/>
              <w:jc w:val="center"/>
              <w:rPr>
                <w:rFonts w:cs="Arial"/>
                <w:color w:val="000000"/>
                <w:sz w:val="20"/>
                <w:lang w:eastAsia="es-MX"/>
              </w:rPr>
            </w:pPr>
            <w:r w:rsidRPr="00021E69">
              <w:rPr>
                <w:rFonts w:cs="Arial"/>
                <w:sz w:val="20"/>
                <w:lang w:eastAsia="es-MX"/>
              </w:rPr>
              <w:t>3.5</w:t>
            </w:r>
          </w:p>
        </w:tc>
        <w:tc>
          <w:tcPr>
            <w:tcW w:w="2600" w:type="dxa"/>
            <w:tcBorders>
              <w:top w:val="nil"/>
              <w:left w:val="nil"/>
              <w:bottom w:val="nil"/>
              <w:right w:val="nil"/>
            </w:tcBorders>
            <w:shd w:val="clear" w:color="auto" w:fill="CCE2E6"/>
            <w:vAlign w:val="center"/>
            <w:hideMark/>
          </w:tcPr>
          <w:p w14:paraId="58C51129" w14:textId="77777777" w:rsidR="000479C9" w:rsidRPr="00021E69" w:rsidRDefault="000479C9" w:rsidP="00633AC1">
            <w:pPr>
              <w:widowControl/>
              <w:jc w:val="center"/>
              <w:rPr>
                <w:rFonts w:cs="Arial"/>
                <w:color w:val="000000"/>
                <w:sz w:val="20"/>
                <w:lang w:eastAsia="es-MX"/>
              </w:rPr>
            </w:pPr>
            <w:r w:rsidRPr="00021E69">
              <w:rPr>
                <w:rFonts w:cs="Arial"/>
                <w:sz w:val="20"/>
                <w:lang w:eastAsia="es-MX"/>
              </w:rPr>
              <w:t>4.3</w:t>
            </w:r>
          </w:p>
        </w:tc>
      </w:tr>
      <w:tr w:rsidR="000479C9" w:rsidRPr="00021E69" w14:paraId="3640F455" w14:textId="77777777" w:rsidTr="008879AA">
        <w:trPr>
          <w:trHeight w:val="300"/>
        </w:trPr>
        <w:tc>
          <w:tcPr>
            <w:tcW w:w="220" w:type="dxa"/>
            <w:tcBorders>
              <w:top w:val="nil"/>
              <w:left w:val="nil"/>
              <w:bottom w:val="single" w:sz="4" w:space="0" w:color="A555D5"/>
              <w:right w:val="nil"/>
            </w:tcBorders>
            <w:shd w:val="clear" w:color="auto" w:fill="CDE2E7"/>
            <w:vAlign w:val="center"/>
            <w:hideMark/>
          </w:tcPr>
          <w:p w14:paraId="236F0CEF" w14:textId="77777777" w:rsidR="000479C9" w:rsidRPr="00021E69" w:rsidRDefault="000479C9" w:rsidP="00633AC1">
            <w:pPr>
              <w:widowControl/>
              <w:jc w:val="left"/>
              <w:rPr>
                <w:rFonts w:ascii="Times New Roman" w:hAnsi="Times New Roman"/>
                <w:color w:val="000000"/>
                <w:sz w:val="20"/>
                <w:lang w:eastAsia="es-MX"/>
              </w:rPr>
            </w:pPr>
            <w:r w:rsidRPr="00021E69">
              <w:rPr>
                <w:rFonts w:ascii="Times New Roman" w:hAnsi="Times New Roman"/>
                <w:color w:val="000000"/>
                <w:sz w:val="20"/>
                <w:lang w:eastAsia="es-MX"/>
              </w:rPr>
              <w:t> </w:t>
            </w:r>
          </w:p>
        </w:tc>
        <w:tc>
          <w:tcPr>
            <w:tcW w:w="3182" w:type="dxa"/>
            <w:tcBorders>
              <w:top w:val="nil"/>
              <w:left w:val="nil"/>
              <w:bottom w:val="single" w:sz="4" w:space="0" w:color="A555D5"/>
              <w:right w:val="nil"/>
            </w:tcBorders>
            <w:shd w:val="clear" w:color="auto" w:fill="CCE2E6"/>
            <w:vAlign w:val="center"/>
            <w:hideMark/>
          </w:tcPr>
          <w:p w14:paraId="764FF9EC" w14:textId="77777777" w:rsidR="000479C9" w:rsidRPr="00021E69" w:rsidRDefault="000479C9" w:rsidP="00633AC1">
            <w:pPr>
              <w:widowControl/>
              <w:ind w:left="138" w:hanging="141"/>
              <w:jc w:val="left"/>
              <w:rPr>
                <w:rFonts w:cs="Arial"/>
                <w:color w:val="000000"/>
                <w:sz w:val="20"/>
                <w:lang w:eastAsia="es-MX"/>
              </w:rPr>
            </w:pPr>
            <w:r w:rsidRPr="00021E69">
              <w:rPr>
                <w:rFonts w:cs="Arial"/>
                <w:sz w:val="20"/>
                <w:lang w:eastAsia="es-MX"/>
              </w:rPr>
              <w:t>Inseguridad delictiva o violencia</w:t>
            </w:r>
          </w:p>
        </w:tc>
        <w:tc>
          <w:tcPr>
            <w:tcW w:w="1458" w:type="dxa"/>
            <w:tcBorders>
              <w:top w:val="nil"/>
              <w:left w:val="nil"/>
              <w:bottom w:val="single" w:sz="4" w:space="0" w:color="A555D5"/>
              <w:right w:val="nil"/>
            </w:tcBorders>
            <w:shd w:val="clear" w:color="auto" w:fill="CCE2E6"/>
            <w:vAlign w:val="center"/>
            <w:hideMark/>
          </w:tcPr>
          <w:p w14:paraId="7533CF6A" w14:textId="77777777" w:rsidR="000479C9" w:rsidRPr="00021E69" w:rsidRDefault="000479C9" w:rsidP="00633AC1">
            <w:pPr>
              <w:widowControl/>
              <w:jc w:val="center"/>
              <w:rPr>
                <w:rFonts w:cs="Arial"/>
                <w:color w:val="000000"/>
                <w:sz w:val="20"/>
                <w:lang w:eastAsia="es-MX"/>
              </w:rPr>
            </w:pPr>
            <w:r w:rsidRPr="00021E69">
              <w:rPr>
                <w:rFonts w:cs="Arial"/>
                <w:sz w:val="20"/>
                <w:lang w:eastAsia="es-MX"/>
              </w:rPr>
              <w:t>7.4</w:t>
            </w:r>
          </w:p>
        </w:tc>
        <w:tc>
          <w:tcPr>
            <w:tcW w:w="1360" w:type="dxa"/>
            <w:tcBorders>
              <w:top w:val="nil"/>
              <w:left w:val="nil"/>
              <w:bottom w:val="single" w:sz="4" w:space="0" w:color="A555D5"/>
              <w:right w:val="nil"/>
            </w:tcBorders>
            <w:shd w:val="clear" w:color="auto" w:fill="CCE2E6"/>
            <w:vAlign w:val="center"/>
            <w:hideMark/>
          </w:tcPr>
          <w:p w14:paraId="5FA8F8F0" w14:textId="77777777" w:rsidR="000479C9" w:rsidRPr="00021E69" w:rsidRDefault="000479C9" w:rsidP="00633AC1">
            <w:pPr>
              <w:widowControl/>
              <w:jc w:val="center"/>
              <w:rPr>
                <w:rFonts w:cs="Arial"/>
                <w:color w:val="000000"/>
                <w:sz w:val="20"/>
                <w:lang w:eastAsia="es-MX"/>
              </w:rPr>
            </w:pPr>
            <w:r w:rsidRPr="00021E69">
              <w:rPr>
                <w:rFonts w:cs="Arial"/>
                <w:sz w:val="20"/>
                <w:lang w:eastAsia="es-MX"/>
              </w:rPr>
              <w:t>7.6</w:t>
            </w:r>
          </w:p>
        </w:tc>
        <w:tc>
          <w:tcPr>
            <w:tcW w:w="1360" w:type="dxa"/>
            <w:tcBorders>
              <w:top w:val="nil"/>
              <w:left w:val="nil"/>
              <w:bottom w:val="single" w:sz="4" w:space="0" w:color="A555D5"/>
              <w:right w:val="nil"/>
            </w:tcBorders>
            <w:shd w:val="clear" w:color="auto" w:fill="CCE2E6"/>
            <w:vAlign w:val="center"/>
            <w:hideMark/>
          </w:tcPr>
          <w:p w14:paraId="7062EA86" w14:textId="77777777" w:rsidR="000479C9" w:rsidRPr="00021E69" w:rsidRDefault="000479C9" w:rsidP="00633AC1">
            <w:pPr>
              <w:widowControl/>
              <w:jc w:val="center"/>
              <w:rPr>
                <w:rFonts w:cs="Arial"/>
                <w:color w:val="000000"/>
                <w:sz w:val="20"/>
                <w:lang w:eastAsia="es-MX"/>
              </w:rPr>
            </w:pPr>
            <w:r w:rsidRPr="00021E69">
              <w:rPr>
                <w:rFonts w:cs="Arial"/>
                <w:sz w:val="20"/>
                <w:lang w:eastAsia="es-MX"/>
              </w:rPr>
              <w:t>6.3</w:t>
            </w:r>
          </w:p>
        </w:tc>
        <w:tc>
          <w:tcPr>
            <w:tcW w:w="2600" w:type="dxa"/>
            <w:tcBorders>
              <w:top w:val="nil"/>
              <w:left w:val="nil"/>
              <w:bottom w:val="single" w:sz="4" w:space="0" w:color="A555D5"/>
              <w:right w:val="nil"/>
            </w:tcBorders>
            <w:shd w:val="clear" w:color="auto" w:fill="CCE2E6"/>
            <w:vAlign w:val="center"/>
            <w:hideMark/>
          </w:tcPr>
          <w:p w14:paraId="1DCC00A1" w14:textId="77777777" w:rsidR="000479C9" w:rsidRPr="00021E69" w:rsidRDefault="000479C9" w:rsidP="00633AC1">
            <w:pPr>
              <w:widowControl/>
              <w:jc w:val="center"/>
              <w:rPr>
                <w:rFonts w:cs="Arial"/>
                <w:color w:val="000000"/>
                <w:sz w:val="20"/>
                <w:lang w:eastAsia="es-MX"/>
              </w:rPr>
            </w:pPr>
            <w:r w:rsidRPr="00021E69">
              <w:rPr>
                <w:rFonts w:cs="Arial"/>
                <w:sz w:val="20"/>
                <w:lang w:eastAsia="es-MX"/>
              </w:rPr>
              <w:t>8.8</w:t>
            </w:r>
          </w:p>
        </w:tc>
      </w:tr>
    </w:tbl>
    <w:p w14:paraId="259B29F0" w14:textId="7847A1A0" w:rsidR="00660057" w:rsidRDefault="00960C37" w:rsidP="00660057">
      <w:pPr>
        <w:widowControl/>
        <w:autoSpaceDE w:val="0"/>
        <w:autoSpaceDN w:val="0"/>
        <w:adjustRightInd w:val="0"/>
        <w:rPr>
          <w:rFonts w:cs="Arial"/>
          <w:color w:val="000000" w:themeColor="text1"/>
          <w:sz w:val="16"/>
          <w:szCs w:val="16"/>
        </w:rPr>
      </w:pPr>
      <w:r>
        <w:rPr>
          <w:rFonts w:cs="Arial"/>
          <w:color w:val="000000" w:themeColor="text1"/>
          <w:sz w:val="16"/>
          <w:szCs w:val="16"/>
        </w:rPr>
        <w:t xml:space="preserve">  </w:t>
      </w:r>
      <w:r w:rsidR="00660057">
        <w:rPr>
          <w:rFonts w:cs="Arial"/>
          <w:color w:val="000000" w:themeColor="text1"/>
          <w:sz w:val="16"/>
          <w:szCs w:val="16"/>
        </w:rPr>
        <w:t>Nota.</w:t>
      </w:r>
      <w:r>
        <w:rPr>
          <w:rFonts w:cs="Arial"/>
          <w:color w:val="000000" w:themeColor="text1"/>
          <w:sz w:val="16"/>
          <w:szCs w:val="16"/>
        </w:rPr>
        <w:t xml:space="preserve">    </w:t>
      </w:r>
      <w:r w:rsidR="00660057">
        <w:rPr>
          <w:rFonts w:cs="Arial"/>
          <w:color w:val="000000" w:themeColor="text1"/>
          <w:sz w:val="16"/>
          <w:szCs w:val="16"/>
        </w:rPr>
        <w:t xml:space="preserve"> Los parciales suman más del 100 % debido a que los hogares pueden enfrentar más de un problema.</w:t>
      </w:r>
    </w:p>
    <w:p w14:paraId="4CA4B461" w14:textId="0880DAA1" w:rsidR="00660057" w:rsidRPr="00560388" w:rsidRDefault="00960C37" w:rsidP="00660057">
      <w:pPr>
        <w:widowControl/>
        <w:autoSpaceDE w:val="0"/>
        <w:autoSpaceDN w:val="0"/>
        <w:adjustRightInd w:val="0"/>
        <w:rPr>
          <w:rFonts w:cs="Arial"/>
          <w:sz w:val="16"/>
          <w:szCs w:val="16"/>
        </w:rPr>
      </w:pPr>
      <w:r>
        <w:rPr>
          <w:rFonts w:cs="Arial"/>
          <w:color w:val="000000" w:themeColor="text1"/>
          <w:sz w:val="16"/>
          <w:szCs w:val="16"/>
        </w:rPr>
        <w:t xml:space="preserve">  </w:t>
      </w:r>
      <w:r w:rsidR="00660057" w:rsidRPr="00560388">
        <w:rPr>
          <w:rFonts w:cs="Arial"/>
          <w:color w:val="000000" w:themeColor="text1"/>
          <w:sz w:val="16"/>
          <w:szCs w:val="16"/>
        </w:rPr>
        <w:t>Fuente: INEGI, ENTI. 2022.</w:t>
      </w:r>
    </w:p>
    <w:p w14:paraId="4683C031" w14:textId="77777777" w:rsidR="00070EFC" w:rsidRDefault="00070EFC" w:rsidP="003A1E41">
      <w:pPr>
        <w:widowControl/>
        <w:autoSpaceDE w:val="0"/>
        <w:autoSpaceDN w:val="0"/>
        <w:adjustRightInd w:val="0"/>
        <w:rPr>
          <w:rFonts w:cs="Arial"/>
          <w:color w:val="000000"/>
          <w:szCs w:val="24"/>
        </w:rPr>
      </w:pPr>
    </w:p>
    <w:p w14:paraId="2095E95A" w14:textId="6E0D758D" w:rsidR="00A20FB3" w:rsidRPr="00A20FB3" w:rsidRDefault="00472936" w:rsidP="003353B8">
      <w:pPr>
        <w:widowControl/>
        <w:ind w:right="51"/>
        <w:rPr>
          <w:rFonts w:cs="Arial"/>
          <w:color w:val="000000"/>
          <w:szCs w:val="24"/>
        </w:rPr>
      </w:pPr>
      <w:r>
        <w:rPr>
          <w:rFonts w:cs="Arial"/>
          <w:color w:val="000000"/>
          <w:szCs w:val="24"/>
        </w:rPr>
        <w:t>De manera específica, l</w:t>
      </w:r>
      <w:r w:rsidR="00AB1CE6">
        <w:rPr>
          <w:rFonts w:cs="Arial"/>
          <w:color w:val="000000"/>
          <w:szCs w:val="24"/>
        </w:rPr>
        <w:t>a</w:t>
      </w:r>
      <w:r>
        <w:rPr>
          <w:rFonts w:cs="Arial"/>
          <w:color w:val="000000"/>
          <w:szCs w:val="24"/>
        </w:rPr>
        <w:t xml:space="preserve"> encuesta investigó </w:t>
      </w:r>
      <w:r w:rsidR="00D1560E">
        <w:rPr>
          <w:rFonts w:cs="Arial"/>
          <w:color w:val="000000"/>
          <w:szCs w:val="24"/>
        </w:rPr>
        <w:t xml:space="preserve">sobre </w:t>
      </w:r>
      <w:r>
        <w:rPr>
          <w:rFonts w:cs="Arial"/>
          <w:color w:val="000000"/>
          <w:szCs w:val="24"/>
        </w:rPr>
        <w:t xml:space="preserve">un </w:t>
      </w:r>
      <w:r w:rsidR="00D1560E">
        <w:rPr>
          <w:rFonts w:cs="Arial"/>
          <w:color w:val="000000"/>
          <w:szCs w:val="24"/>
        </w:rPr>
        <w:t xml:space="preserve">conjunto </w:t>
      </w:r>
      <w:r>
        <w:rPr>
          <w:rFonts w:cs="Arial"/>
          <w:color w:val="000000"/>
          <w:szCs w:val="24"/>
        </w:rPr>
        <w:t>de problemas</w:t>
      </w:r>
      <w:r w:rsidR="00D1560E">
        <w:rPr>
          <w:rFonts w:cs="Arial"/>
          <w:color w:val="000000"/>
          <w:szCs w:val="24"/>
        </w:rPr>
        <w:t xml:space="preserve"> (en los últimos </w:t>
      </w:r>
      <w:r w:rsidR="003A1E41">
        <w:rPr>
          <w:rFonts w:cs="Arial"/>
          <w:color w:val="000000"/>
          <w:szCs w:val="24"/>
        </w:rPr>
        <w:t>tres</w:t>
      </w:r>
      <w:r w:rsidR="00D1560E">
        <w:rPr>
          <w:rFonts w:cs="Arial"/>
          <w:color w:val="000000"/>
          <w:szCs w:val="24"/>
        </w:rPr>
        <w:t xml:space="preserve"> años)</w:t>
      </w:r>
      <w:r>
        <w:rPr>
          <w:rFonts w:cs="Arial"/>
          <w:color w:val="000000"/>
          <w:szCs w:val="24"/>
        </w:rPr>
        <w:t xml:space="preserve"> </w:t>
      </w:r>
      <w:r w:rsidR="00D1560E">
        <w:rPr>
          <w:rFonts w:cs="Arial"/>
          <w:color w:val="000000"/>
          <w:szCs w:val="24"/>
        </w:rPr>
        <w:t xml:space="preserve">que tuvieron </w:t>
      </w:r>
      <w:r>
        <w:rPr>
          <w:rFonts w:cs="Arial"/>
          <w:color w:val="000000"/>
          <w:szCs w:val="24"/>
        </w:rPr>
        <w:t>los hogares de</w:t>
      </w:r>
      <w:r w:rsidR="00AB1CE6">
        <w:rPr>
          <w:rFonts w:cs="Arial"/>
          <w:color w:val="000000"/>
          <w:szCs w:val="24"/>
        </w:rPr>
        <w:t xml:space="preserve"> </w:t>
      </w:r>
      <w:r>
        <w:rPr>
          <w:rFonts w:cs="Arial"/>
          <w:color w:val="000000"/>
          <w:szCs w:val="24"/>
        </w:rPr>
        <w:t xml:space="preserve">localidades </w:t>
      </w:r>
      <w:r w:rsidR="00AB1CE6">
        <w:rPr>
          <w:rFonts w:cs="Arial"/>
          <w:color w:val="000000"/>
          <w:szCs w:val="24"/>
        </w:rPr>
        <w:t xml:space="preserve">preponderantemente rurales y </w:t>
      </w:r>
      <w:r w:rsidR="005D1CE1">
        <w:rPr>
          <w:rFonts w:cs="Arial"/>
          <w:color w:val="000000"/>
          <w:szCs w:val="24"/>
        </w:rPr>
        <w:t>de baja</w:t>
      </w:r>
      <w:r w:rsidR="00AB1CE6">
        <w:rPr>
          <w:rFonts w:cs="Arial"/>
          <w:color w:val="000000"/>
          <w:szCs w:val="24"/>
        </w:rPr>
        <w:t xml:space="preserve"> urbaniza</w:t>
      </w:r>
      <w:r w:rsidR="005D1CE1">
        <w:rPr>
          <w:rFonts w:cs="Arial"/>
          <w:color w:val="000000"/>
          <w:szCs w:val="24"/>
        </w:rPr>
        <w:t>ción</w:t>
      </w:r>
      <w:r w:rsidR="00AB1CE6">
        <w:rPr>
          <w:rFonts w:cs="Arial"/>
          <w:color w:val="000000"/>
          <w:szCs w:val="24"/>
        </w:rPr>
        <w:t xml:space="preserve">. </w:t>
      </w:r>
      <w:r w:rsidR="000479C9">
        <w:rPr>
          <w:rFonts w:cs="Arial"/>
          <w:color w:val="000000"/>
          <w:szCs w:val="24"/>
        </w:rPr>
        <w:t>En las</w:t>
      </w:r>
      <w:r w:rsidR="006E2162">
        <w:rPr>
          <w:rFonts w:cs="Arial"/>
          <w:color w:val="000000"/>
          <w:szCs w:val="24"/>
        </w:rPr>
        <w:t xml:space="preserve"> en áreas menos urbanizadas</w:t>
      </w:r>
      <w:r w:rsidR="00D1560E">
        <w:rPr>
          <w:rFonts w:cs="Arial"/>
          <w:color w:val="000000"/>
          <w:szCs w:val="24"/>
        </w:rPr>
        <w:t>,</w:t>
      </w:r>
      <w:r w:rsidR="00AB1CE6">
        <w:rPr>
          <w:rFonts w:cs="Arial"/>
          <w:color w:val="000000"/>
          <w:szCs w:val="24"/>
        </w:rPr>
        <w:t xml:space="preserve"> </w:t>
      </w:r>
      <w:r w:rsidR="006E2162">
        <w:rPr>
          <w:rFonts w:cs="Arial"/>
          <w:color w:val="000000"/>
          <w:szCs w:val="24"/>
        </w:rPr>
        <w:t>es decir, localidades con menos de 100 mil habitantes</w:t>
      </w:r>
      <w:r w:rsidR="003A1E41">
        <w:rPr>
          <w:rFonts w:cs="Arial"/>
          <w:color w:val="000000"/>
          <w:szCs w:val="24"/>
        </w:rPr>
        <w:t>,</w:t>
      </w:r>
      <w:r w:rsidR="006E2162">
        <w:rPr>
          <w:rFonts w:cs="Arial"/>
          <w:color w:val="000000"/>
          <w:szCs w:val="24"/>
        </w:rPr>
        <w:t xml:space="preserve"> </w:t>
      </w:r>
      <w:r w:rsidR="00AB1CE6">
        <w:rPr>
          <w:rFonts w:cs="Arial"/>
          <w:color w:val="000000"/>
          <w:szCs w:val="24"/>
        </w:rPr>
        <w:t xml:space="preserve">los hogares con </w:t>
      </w:r>
      <w:r w:rsidR="00D92FDD">
        <w:rPr>
          <w:rFonts w:cs="Arial"/>
          <w:color w:val="000000"/>
          <w:szCs w:val="24"/>
        </w:rPr>
        <w:t>población de 5 a 17 años</w:t>
      </w:r>
      <w:r w:rsidR="00AB1CE6">
        <w:rPr>
          <w:rFonts w:cs="Arial"/>
          <w:color w:val="000000"/>
          <w:szCs w:val="24"/>
        </w:rPr>
        <w:t xml:space="preserve"> fueron 8.4 millones, </w:t>
      </w:r>
      <w:r w:rsidR="00A20FB3">
        <w:rPr>
          <w:rFonts w:cs="Arial"/>
          <w:color w:val="000000"/>
          <w:szCs w:val="24"/>
        </w:rPr>
        <w:t>cifra que represent</w:t>
      </w:r>
      <w:r w:rsidR="005D1CE1">
        <w:rPr>
          <w:rFonts w:cs="Arial"/>
          <w:color w:val="000000"/>
          <w:szCs w:val="24"/>
        </w:rPr>
        <w:t>ó</w:t>
      </w:r>
      <w:r w:rsidR="00A20FB3">
        <w:rPr>
          <w:rFonts w:cs="Arial"/>
          <w:color w:val="000000"/>
          <w:szCs w:val="24"/>
        </w:rPr>
        <w:t xml:space="preserve"> </w:t>
      </w:r>
      <w:r w:rsidR="00A20FB3" w:rsidRPr="00A20FB3">
        <w:rPr>
          <w:rFonts w:cs="Arial"/>
          <w:color w:val="000000"/>
          <w:szCs w:val="24"/>
        </w:rPr>
        <w:t>87.4</w:t>
      </w:r>
      <w:r w:rsidR="00A20FB3">
        <w:rPr>
          <w:rFonts w:cs="Arial"/>
          <w:color w:val="000000"/>
          <w:szCs w:val="24"/>
        </w:rPr>
        <w:t xml:space="preserve"> % de los hogares con </w:t>
      </w:r>
      <w:r w:rsidR="00D92FDD">
        <w:rPr>
          <w:rFonts w:cs="Arial"/>
          <w:color w:val="000000"/>
          <w:szCs w:val="24"/>
        </w:rPr>
        <w:t>población de 5 a 17 años</w:t>
      </w:r>
      <w:r w:rsidR="00A20FB3">
        <w:rPr>
          <w:rFonts w:cs="Arial"/>
          <w:color w:val="000000"/>
          <w:szCs w:val="24"/>
        </w:rPr>
        <w:t xml:space="preserve"> (9.6 millones)</w:t>
      </w:r>
      <w:r w:rsidR="006E2162">
        <w:rPr>
          <w:rFonts w:cs="Arial"/>
          <w:color w:val="000000"/>
          <w:szCs w:val="24"/>
        </w:rPr>
        <w:t>.</w:t>
      </w:r>
    </w:p>
    <w:p w14:paraId="2B3A5248" w14:textId="6AFBFA41" w:rsidR="00472936" w:rsidRDefault="00472936" w:rsidP="003353B8">
      <w:pPr>
        <w:widowControl/>
        <w:autoSpaceDE w:val="0"/>
        <w:autoSpaceDN w:val="0"/>
        <w:adjustRightInd w:val="0"/>
        <w:ind w:right="51"/>
        <w:rPr>
          <w:rFonts w:cs="Arial"/>
          <w:color w:val="000000"/>
          <w:szCs w:val="24"/>
        </w:rPr>
      </w:pPr>
    </w:p>
    <w:p w14:paraId="27381FEA" w14:textId="7DCE3052" w:rsidR="00C81EAB" w:rsidRDefault="00A20FB3" w:rsidP="003353B8">
      <w:pPr>
        <w:widowControl/>
        <w:autoSpaceDE w:val="0"/>
        <w:autoSpaceDN w:val="0"/>
        <w:adjustRightInd w:val="0"/>
        <w:ind w:right="51"/>
        <w:rPr>
          <w:rFonts w:cs="Arial"/>
          <w:color w:val="000000"/>
          <w:szCs w:val="24"/>
        </w:rPr>
      </w:pPr>
      <w:r w:rsidRPr="00D03EF4">
        <w:rPr>
          <w:rFonts w:cs="Arial"/>
          <w:color w:val="000000"/>
          <w:szCs w:val="24"/>
        </w:rPr>
        <w:t xml:space="preserve">Los precios elevados de los insumos agrícolas afectaron gravemente a 14.9 % de los hogares con </w:t>
      </w:r>
      <w:r w:rsidR="00D92FDD" w:rsidRPr="00D03EF4">
        <w:rPr>
          <w:rFonts w:cs="Arial"/>
          <w:color w:val="000000"/>
          <w:szCs w:val="24"/>
        </w:rPr>
        <w:t>población de 5 a 17 años</w:t>
      </w:r>
      <w:r w:rsidRPr="00D03EF4">
        <w:rPr>
          <w:rFonts w:cs="Arial"/>
          <w:color w:val="000000"/>
          <w:szCs w:val="24"/>
        </w:rPr>
        <w:t xml:space="preserve">, </w:t>
      </w:r>
      <w:r w:rsidR="006E2162" w:rsidRPr="00D03EF4">
        <w:rPr>
          <w:rFonts w:cs="Arial"/>
          <w:color w:val="000000"/>
          <w:szCs w:val="24"/>
        </w:rPr>
        <w:t xml:space="preserve">que en el caso de hogares con ocupación no permitida </w:t>
      </w:r>
      <w:r w:rsidRPr="00D03EF4">
        <w:rPr>
          <w:rFonts w:cs="Arial"/>
          <w:color w:val="000000"/>
          <w:szCs w:val="24"/>
        </w:rPr>
        <w:t xml:space="preserve">fue de 21.7 </w:t>
      </w:r>
      <w:r w:rsidR="003A1E41" w:rsidRPr="00D03EF4">
        <w:rPr>
          <w:rFonts w:cs="Arial"/>
          <w:color w:val="000000"/>
          <w:szCs w:val="24"/>
        </w:rPr>
        <w:t>por ciento</w:t>
      </w:r>
      <w:r w:rsidRPr="00D03EF4">
        <w:rPr>
          <w:rFonts w:cs="Arial"/>
          <w:color w:val="000000"/>
          <w:szCs w:val="24"/>
        </w:rPr>
        <w:t>.</w:t>
      </w:r>
      <w:r w:rsidR="00076EED" w:rsidRPr="00D03EF4">
        <w:rPr>
          <w:rFonts w:cs="Arial"/>
          <w:color w:val="000000"/>
          <w:szCs w:val="24"/>
        </w:rPr>
        <w:t xml:space="preserve"> </w:t>
      </w:r>
      <w:r w:rsidRPr="00D03EF4">
        <w:rPr>
          <w:rFonts w:cs="Arial"/>
          <w:color w:val="000000"/>
          <w:szCs w:val="24"/>
        </w:rPr>
        <w:t>La sequía o falta de lluvias impact</w:t>
      </w:r>
      <w:r w:rsidR="00F14741" w:rsidRPr="00D03EF4">
        <w:rPr>
          <w:rFonts w:cs="Arial"/>
          <w:color w:val="000000"/>
          <w:szCs w:val="24"/>
        </w:rPr>
        <w:t>ó</w:t>
      </w:r>
      <w:r w:rsidRPr="00D03EF4">
        <w:rPr>
          <w:rFonts w:cs="Arial"/>
          <w:color w:val="000000"/>
          <w:szCs w:val="24"/>
        </w:rPr>
        <w:t xml:space="preserve"> gravemente a 13.4 % de los hogares con </w:t>
      </w:r>
      <w:r w:rsidR="00D92FDD" w:rsidRPr="00D03EF4">
        <w:rPr>
          <w:rFonts w:cs="Arial"/>
          <w:color w:val="000000"/>
          <w:szCs w:val="24"/>
        </w:rPr>
        <w:t>población de 5 a 17 años</w:t>
      </w:r>
      <w:r w:rsidRPr="00D03EF4">
        <w:rPr>
          <w:rFonts w:cs="Arial"/>
          <w:color w:val="000000"/>
          <w:szCs w:val="24"/>
        </w:rPr>
        <w:t>, porcentaje que fue de 17.8 % en hogares con ocupación no permitida.</w:t>
      </w:r>
      <w:r w:rsidR="00076EED" w:rsidRPr="00D03EF4">
        <w:rPr>
          <w:rFonts w:cs="Arial"/>
          <w:color w:val="000000"/>
          <w:szCs w:val="24"/>
        </w:rPr>
        <w:t xml:space="preserve"> En cambio, l</w:t>
      </w:r>
      <w:r w:rsidRPr="00D03EF4">
        <w:rPr>
          <w:rFonts w:cs="Arial"/>
          <w:color w:val="000000"/>
          <w:szCs w:val="24"/>
        </w:rPr>
        <w:t>as inundaciones o exceso de lluvias tuv</w:t>
      </w:r>
      <w:r w:rsidR="00D11342" w:rsidRPr="00D03EF4">
        <w:rPr>
          <w:rFonts w:cs="Arial"/>
          <w:color w:val="000000"/>
          <w:szCs w:val="24"/>
        </w:rPr>
        <w:t>ieron un</w:t>
      </w:r>
      <w:r w:rsidRPr="00D03EF4">
        <w:rPr>
          <w:rFonts w:cs="Arial"/>
          <w:color w:val="000000"/>
          <w:szCs w:val="24"/>
        </w:rPr>
        <w:t xml:space="preserve"> </w:t>
      </w:r>
      <w:r w:rsidR="00B8262A" w:rsidRPr="00D03EF4">
        <w:rPr>
          <w:rFonts w:cs="Arial"/>
          <w:color w:val="000000"/>
          <w:szCs w:val="24"/>
        </w:rPr>
        <w:t>efecto</w:t>
      </w:r>
      <w:r w:rsidRPr="00D03EF4">
        <w:rPr>
          <w:rFonts w:cs="Arial"/>
          <w:color w:val="000000"/>
          <w:szCs w:val="24"/>
        </w:rPr>
        <w:t xml:space="preserve"> grave en </w:t>
      </w:r>
      <w:r w:rsidR="003353B8">
        <w:rPr>
          <w:rFonts w:cs="Arial"/>
          <w:color w:val="000000"/>
          <w:szCs w:val="24"/>
        </w:rPr>
        <w:br/>
      </w:r>
      <w:r w:rsidRPr="00D03EF4">
        <w:rPr>
          <w:rFonts w:cs="Arial"/>
          <w:color w:val="000000"/>
          <w:szCs w:val="24"/>
        </w:rPr>
        <w:t>11.9 % de los hogares con quehaceres domésticos en condiciones no adecuadas y la pérdida de cultivos por plagas afectó a 12.3 % de los hogares con ocupación no permitida</w:t>
      </w:r>
      <w:r w:rsidR="004E0174" w:rsidRPr="00D03EF4">
        <w:rPr>
          <w:rFonts w:cs="Arial"/>
          <w:color w:val="000000"/>
          <w:szCs w:val="24"/>
        </w:rPr>
        <w:t xml:space="preserve"> </w:t>
      </w:r>
      <w:r w:rsidR="003353B8">
        <w:rPr>
          <w:rFonts w:cs="Arial"/>
          <w:color w:val="000000"/>
          <w:szCs w:val="24"/>
        </w:rPr>
        <w:br/>
      </w:r>
      <w:r w:rsidR="004E0174" w:rsidRPr="00D03EF4">
        <w:rPr>
          <w:rFonts w:cs="Arial"/>
          <w:szCs w:val="24"/>
        </w:rPr>
        <w:t>(ver cuadro 3</w:t>
      </w:r>
      <w:r w:rsidR="004D4F9A" w:rsidRPr="00D03EF4">
        <w:rPr>
          <w:rFonts w:cs="Arial"/>
          <w:szCs w:val="24"/>
        </w:rPr>
        <w:t>1</w:t>
      </w:r>
      <w:r w:rsidR="004E0174" w:rsidRPr="00D03EF4">
        <w:rPr>
          <w:rFonts w:cs="Arial"/>
          <w:szCs w:val="24"/>
        </w:rPr>
        <w:t>)</w:t>
      </w:r>
      <w:r w:rsidR="00D11342" w:rsidRPr="00D03EF4">
        <w:rPr>
          <w:rFonts w:cs="Arial"/>
          <w:color w:val="000000"/>
          <w:szCs w:val="24"/>
        </w:rPr>
        <w:t>.</w:t>
      </w:r>
    </w:p>
    <w:p w14:paraId="0241B168" w14:textId="77777777" w:rsidR="003353B8" w:rsidRDefault="003353B8" w:rsidP="003353B8">
      <w:pPr>
        <w:widowControl/>
        <w:autoSpaceDE w:val="0"/>
        <w:autoSpaceDN w:val="0"/>
        <w:adjustRightInd w:val="0"/>
        <w:ind w:right="51"/>
        <w:rPr>
          <w:rFonts w:cs="Arial"/>
          <w:color w:val="000000"/>
          <w:szCs w:val="24"/>
        </w:rPr>
      </w:pPr>
    </w:p>
    <w:p w14:paraId="7BEFCE16" w14:textId="77777777" w:rsidR="003353B8" w:rsidRPr="00D03EF4" w:rsidRDefault="003353B8" w:rsidP="003353B8">
      <w:pPr>
        <w:widowControl/>
        <w:autoSpaceDE w:val="0"/>
        <w:autoSpaceDN w:val="0"/>
        <w:adjustRightInd w:val="0"/>
        <w:ind w:right="51"/>
        <w:rPr>
          <w:rFonts w:cs="Arial"/>
          <w:b/>
          <w:bCs/>
          <w:color w:val="000000"/>
          <w:szCs w:val="24"/>
        </w:rPr>
      </w:pPr>
    </w:p>
    <w:p w14:paraId="00DBBC51" w14:textId="5B3255D2" w:rsidR="00A442D6" w:rsidRDefault="00A442D6" w:rsidP="00114F00">
      <w:pPr>
        <w:widowControl/>
        <w:jc w:val="center"/>
        <w:rPr>
          <w:rFonts w:cs="Arial"/>
          <w:color w:val="000000"/>
          <w:szCs w:val="24"/>
        </w:rPr>
      </w:pPr>
    </w:p>
    <w:p w14:paraId="30B4DAFD" w14:textId="77777777" w:rsidR="003353B8" w:rsidRDefault="003353B8" w:rsidP="003353B8">
      <w:pPr>
        <w:widowControl/>
        <w:autoSpaceDE w:val="0"/>
        <w:autoSpaceDN w:val="0"/>
        <w:adjustRightInd w:val="0"/>
        <w:jc w:val="center"/>
        <w:rPr>
          <w:rFonts w:cs="Arial"/>
          <w:color w:val="000000"/>
          <w:sz w:val="20"/>
        </w:rPr>
      </w:pPr>
    </w:p>
    <w:p w14:paraId="7895B5D1" w14:textId="50AA4F66" w:rsidR="00660057" w:rsidRPr="003353B8" w:rsidRDefault="00660057" w:rsidP="003353B8">
      <w:pPr>
        <w:widowControl/>
        <w:autoSpaceDE w:val="0"/>
        <w:autoSpaceDN w:val="0"/>
        <w:adjustRightInd w:val="0"/>
        <w:jc w:val="center"/>
        <w:rPr>
          <w:rFonts w:cs="Arial"/>
          <w:color w:val="000000"/>
          <w:sz w:val="20"/>
        </w:rPr>
      </w:pPr>
      <w:r w:rsidRPr="003353B8">
        <w:rPr>
          <w:rFonts w:cs="Arial"/>
          <w:color w:val="000000"/>
          <w:sz w:val="20"/>
        </w:rPr>
        <w:t>Cuadro 3</w:t>
      </w:r>
      <w:r w:rsidR="002C2946" w:rsidRPr="003353B8">
        <w:rPr>
          <w:rFonts w:cs="Arial"/>
          <w:color w:val="000000"/>
          <w:sz w:val="20"/>
        </w:rPr>
        <w:t>1</w:t>
      </w:r>
    </w:p>
    <w:p w14:paraId="226D142E" w14:textId="77777777" w:rsidR="00660057" w:rsidRPr="003353B8" w:rsidRDefault="00660057" w:rsidP="003353B8">
      <w:pPr>
        <w:widowControl/>
        <w:autoSpaceDE w:val="0"/>
        <w:autoSpaceDN w:val="0"/>
        <w:adjustRightInd w:val="0"/>
        <w:jc w:val="center"/>
        <w:rPr>
          <w:rFonts w:cs="Arial"/>
          <w:b/>
          <w:bCs/>
          <w:smallCaps/>
          <w:color w:val="000000"/>
          <w:sz w:val="22"/>
          <w:szCs w:val="22"/>
        </w:rPr>
      </w:pPr>
      <w:r w:rsidRPr="003353B8">
        <w:rPr>
          <w:rFonts w:cs="Arial"/>
          <w:b/>
          <w:bCs/>
          <w:smallCaps/>
          <w:color w:val="000000"/>
          <w:sz w:val="22"/>
          <w:szCs w:val="22"/>
        </w:rPr>
        <w:t>Hogares en localidades rurales y menos urbanizadas que enfrentaron problemas graves o muy graves en los últimos 3 años por forma de trabajo infantil</w:t>
      </w:r>
    </w:p>
    <w:p w14:paraId="4DABE8ED" w14:textId="77777777" w:rsidR="00660057" w:rsidRPr="00750114" w:rsidRDefault="00660057" w:rsidP="003353B8">
      <w:pPr>
        <w:widowControl/>
        <w:autoSpaceDE w:val="0"/>
        <w:autoSpaceDN w:val="0"/>
        <w:adjustRightInd w:val="0"/>
        <w:jc w:val="center"/>
        <w:rPr>
          <w:rFonts w:cs="Arial"/>
          <w:color w:val="000000"/>
          <w:sz w:val="18"/>
          <w:szCs w:val="18"/>
        </w:rPr>
      </w:pPr>
      <w:r w:rsidRPr="00750114">
        <w:rPr>
          <w:rFonts w:cs="Arial"/>
          <w:color w:val="000000"/>
          <w:sz w:val="18"/>
          <w:szCs w:val="18"/>
        </w:rPr>
        <w:t>(porcentaje respecto a los hogares con personas de 5 a 17 años en cada categoría)</w:t>
      </w:r>
    </w:p>
    <w:tbl>
      <w:tblPr>
        <w:tblW w:w="9900" w:type="dxa"/>
        <w:tblCellMar>
          <w:left w:w="70" w:type="dxa"/>
          <w:right w:w="70" w:type="dxa"/>
        </w:tblCellMar>
        <w:tblLook w:val="04A0" w:firstRow="1" w:lastRow="0" w:firstColumn="1" w:lastColumn="0" w:noHBand="0" w:noVBand="1"/>
      </w:tblPr>
      <w:tblGrid>
        <w:gridCol w:w="220"/>
        <w:gridCol w:w="3000"/>
        <w:gridCol w:w="1360"/>
        <w:gridCol w:w="1360"/>
        <w:gridCol w:w="1360"/>
        <w:gridCol w:w="2600"/>
      </w:tblGrid>
      <w:tr w:rsidR="00660057" w:rsidRPr="00A66AAD" w14:paraId="0ACB4B03" w14:textId="77777777">
        <w:trPr>
          <w:trHeight w:val="315"/>
        </w:trPr>
        <w:tc>
          <w:tcPr>
            <w:tcW w:w="3220" w:type="dxa"/>
            <w:gridSpan w:val="2"/>
            <w:vMerge w:val="restart"/>
            <w:tcBorders>
              <w:top w:val="nil"/>
              <w:left w:val="nil"/>
              <w:bottom w:val="nil"/>
              <w:right w:val="nil"/>
            </w:tcBorders>
            <w:shd w:val="clear" w:color="auto" w:fill="338B99"/>
            <w:vAlign w:val="center"/>
            <w:hideMark/>
          </w:tcPr>
          <w:p w14:paraId="5713991F" w14:textId="77777777" w:rsidR="00660057" w:rsidRPr="00A66AAD" w:rsidRDefault="00660057">
            <w:pPr>
              <w:widowControl/>
              <w:jc w:val="left"/>
              <w:rPr>
                <w:rFonts w:cs="Arial"/>
                <w:b/>
                <w:bCs/>
                <w:color w:val="FFFFFF"/>
                <w:sz w:val="20"/>
                <w:lang w:eastAsia="es-MX"/>
              </w:rPr>
            </w:pPr>
            <w:r w:rsidRPr="00A66AAD">
              <w:rPr>
                <w:rFonts w:cs="Arial"/>
                <w:b/>
                <w:bCs/>
                <w:color w:val="FFFFFF"/>
                <w:sz w:val="20"/>
                <w:lang w:eastAsia="es-MX"/>
              </w:rPr>
              <w:t>Hogares</w:t>
            </w:r>
          </w:p>
        </w:tc>
        <w:tc>
          <w:tcPr>
            <w:tcW w:w="6680" w:type="dxa"/>
            <w:gridSpan w:val="4"/>
            <w:tcBorders>
              <w:top w:val="nil"/>
              <w:left w:val="nil"/>
              <w:bottom w:val="single" w:sz="4" w:space="0" w:color="FFFFFF"/>
              <w:right w:val="nil"/>
            </w:tcBorders>
            <w:shd w:val="clear" w:color="auto" w:fill="338B99"/>
            <w:vAlign w:val="center"/>
            <w:hideMark/>
          </w:tcPr>
          <w:p w14:paraId="25E62FFA" w14:textId="77777777" w:rsidR="00660057" w:rsidRPr="00A66AAD" w:rsidRDefault="00660057">
            <w:pPr>
              <w:widowControl/>
              <w:jc w:val="center"/>
              <w:rPr>
                <w:rFonts w:cs="Arial"/>
                <w:b/>
                <w:bCs/>
                <w:color w:val="FFFFFF"/>
                <w:sz w:val="20"/>
                <w:lang w:eastAsia="es-MX"/>
              </w:rPr>
            </w:pPr>
            <w:r w:rsidRPr="00A66AAD">
              <w:rPr>
                <w:rFonts w:cs="Arial"/>
                <w:b/>
                <w:bCs/>
                <w:color w:val="FFFFFF" w:themeColor="background1"/>
                <w:sz w:val="20"/>
                <w:lang w:eastAsia="es-MX"/>
              </w:rPr>
              <w:t>Hogares con:</w:t>
            </w:r>
          </w:p>
        </w:tc>
      </w:tr>
      <w:tr w:rsidR="00660057" w:rsidRPr="00A66AAD" w14:paraId="3FCB20EF" w14:textId="77777777">
        <w:trPr>
          <w:trHeight w:val="870"/>
        </w:trPr>
        <w:tc>
          <w:tcPr>
            <w:tcW w:w="3220" w:type="dxa"/>
            <w:gridSpan w:val="2"/>
            <w:vMerge/>
            <w:tcBorders>
              <w:top w:val="nil"/>
              <w:left w:val="nil"/>
              <w:bottom w:val="nil"/>
              <w:right w:val="nil"/>
            </w:tcBorders>
            <w:shd w:val="clear" w:color="auto" w:fill="338B99"/>
            <w:vAlign w:val="center"/>
            <w:hideMark/>
          </w:tcPr>
          <w:p w14:paraId="3409669E" w14:textId="77777777" w:rsidR="00660057" w:rsidRPr="00A66AAD" w:rsidRDefault="00660057">
            <w:pPr>
              <w:widowControl/>
              <w:jc w:val="left"/>
              <w:rPr>
                <w:rFonts w:cs="Arial"/>
                <w:b/>
                <w:bCs/>
                <w:color w:val="FFFFFF"/>
                <w:sz w:val="20"/>
                <w:lang w:eastAsia="es-MX"/>
              </w:rPr>
            </w:pPr>
          </w:p>
        </w:tc>
        <w:tc>
          <w:tcPr>
            <w:tcW w:w="1360" w:type="dxa"/>
            <w:tcBorders>
              <w:top w:val="nil"/>
              <w:left w:val="nil"/>
              <w:bottom w:val="nil"/>
              <w:right w:val="nil"/>
            </w:tcBorders>
            <w:shd w:val="clear" w:color="auto" w:fill="338B99"/>
            <w:vAlign w:val="center"/>
            <w:hideMark/>
          </w:tcPr>
          <w:p w14:paraId="67B27B89" w14:textId="77777777" w:rsidR="00660057" w:rsidRPr="00A66AAD" w:rsidRDefault="00660057">
            <w:pPr>
              <w:widowControl/>
              <w:jc w:val="center"/>
              <w:rPr>
                <w:rFonts w:cs="Arial"/>
                <w:b/>
                <w:bCs/>
                <w:color w:val="FFFFFF"/>
                <w:sz w:val="20"/>
                <w:lang w:eastAsia="es-MX"/>
              </w:rPr>
            </w:pPr>
            <w:r w:rsidRPr="00A66AAD">
              <w:rPr>
                <w:rFonts w:cs="Arial"/>
                <w:b/>
                <w:bCs/>
                <w:color w:val="FFFFFF" w:themeColor="background1"/>
                <w:sz w:val="20"/>
                <w:lang w:eastAsia="es-MX"/>
              </w:rPr>
              <w:t>población de 5 a 17 años</w:t>
            </w:r>
          </w:p>
        </w:tc>
        <w:tc>
          <w:tcPr>
            <w:tcW w:w="1360" w:type="dxa"/>
            <w:tcBorders>
              <w:top w:val="nil"/>
              <w:left w:val="nil"/>
              <w:bottom w:val="nil"/>
              <w:right w:val="nil"/>
            </w:tcBorders>
            <w:shd w:val="clear" w:color="auto" w:fill="338B99"/>
            <w:vAlign w:val="center"/>
            <w:hideMark/>
          </w:tcPr>
          <w:p w14:paraId="453A2331" w14:textId="77777777" w:rsidR="00660057" w:rsidRPr="00A66AAD" w:rsidRDefault="00660057">
            <w:pPr>
              <w:widowControl/>
              <w:jc w:val="center"/>
              <w:rPr>
                <w:rFonts w:cs="Arial"/>
                <w:b/>
                <w:bCs/>
                <w:color w:val="FFFFFF"/>
                <w:sz w:val="20"/>
                <w:lang w:eastAsia="es-MX"/>
              </w:rPr>
            </w:pPr>
            <w:r w:rsidRPr="00A66AAD">
              <w:rPr>
                <w:rFonts w:cs="Arial"/>
                <w:b/>
                <w:bCs/>
                <w:color w:val="FFFFFF" w:themeColor="background1"/>
                <w:sz w:val="20"/>
                <w:lang w:eastAsia="es-MX"/>
              </w:rPr>
              <w:t>trabajo infantil</w:t>
            </w:r>
          </w:p>
        </w:tc>
        <w:tc>
          <w:tcPr>
            <w:tcW w:w="1360" w:type="dxa"/>
            <w:tcBorders>
              <w:top w:val="nil"/>
              <w:left w:val="nil"/>
              <w:bottom w:val="nil"/>
              <w:right w:val="nil"/>
            </w:tcBorders>
            <w:shd w:val="clear" w:color="auto" w:fill="338B99"/>
            <w:vAlign w:val="center"/>
            <w:hideMark/>
          </w:tcPr>
          <w:p w14:paraId="6264E245" w14:textId="77777777" w:rsidR="00660057" w:rsidRPr="00A66AAD" w:rsidRDefault="00660057">
            <w:pPr>
              <w:widowControl/>
              <w:jc w:val="center"/>
              <w:rPr>
                <w:rFonts w:cs="Arial"/>
                <w:b/>
                <w:bCs/>
                <w:color w:val="FFFFFF"/>
                <w:sz w:val="20"/>
                <w:lang w:eastAsia="es-MX"/>
              </w:rPr>
            </w:pPr>
            <w:r w:rsidRPr="00A66AAD">
              <w:rPr>
                <w:rFonts w:cs="Arial"/>
                <w:b/>
                <w:bCs/>
                <w:color w:val="FFFFFF" w:themeColor="background1"/>
                <w:sz w:val="20"/>
                <w:lang w:eastAsia="es-MX"/>
              </w:rPr>
              <w:t>ocupación no permitida</w:t>
            </w:r>
          </w:p>
        </w:tc>
        <w:tc>
          <w:tcPr>
            <w:tcW w:w="2600" w:type="dxa"/>
            <w:tcBorders>
              <w:top w:val="nil"/>
              <w:left w:val="nil"/>
              <w:bottom w:val="nil"/>
              <w:right w:val="nil"/>
            </w:tcBorders>
            <w:shd w:val="clear" w:color="auto" w:fill="338B99"/>
            <w:vAlign w:val="center"/>
            <w:hideMark/>
          </w:tcPr>
          <w:p w14:paraId="5349583E" w14:textId="77777777" w:rsidR="00660057" w:rsidRPr="00A66AAD" w:rsidRDefault="00660057">
            <w:pPr>
              <w:widowControl/>
              <w:jc w:val="center"/>
              <w:rPr>
                <w:rFonts w:cs="Arial"/>
                <w:b/>
                <w:bCs/>
                <w:color w:val="FFFFFF"/>
                <w:sz w:val="20"/>
                <w:lang w:eastAsia="es-MX"/>
              </w:rPr>
            </w:pPr>
            <w:r w:rsidRPr="00A66AAD">
              <w:rPr>
                <w:rFonts w:cs="Arial"/>
                <w:b/>
                <w:bCs/>
                <w:color w:val="FFFFFF" w:themeColor="background1"/>
                <w:sz w:val="20"/>
                <w:lang w:eastAsia="es-MX"/>
              </w:rPr>
              <w:t>quehaceres domésticos en condiciones no adecuadas</w:t>
            </w:r>
          </w:p>
        </w:tc>
      </w:tr>
      <w:tr w:rsidR="00660057" w:rsidRPr="00A66AAD" w14:paraId="208FC73B" w14:textId="77777777">
        <w:trPr>
          <w:trHeight w:val="300"/>
        </w:trPr>
        <w:tc>
          <w:tcPr>
            <w:tcW w:w="3220" w:type="dxa"/>
            <w:gridSpan w:val="2"/>
            <w:tcBorders>
              <w:top w:val="nil"/>
              <w:left w:val="nil"/>
              <w:bottom w:val="nil"/>
              <w:right w:val="nil"/>
            </w:tcBorders>
            <w:shd w:val="clear" w:color="auto" w:fill="99C5CC"/>
            <w:vAlign w:val="center"/>
            <w:hideMark/>
          </w:tcPr>
          <w:p w14:paraId="6EBB4591" w14:textId="77777777" w:rsidR="00660057" w:rsidRPr="00A66AAD" w:rsidRDefault="00660057">
            <w:pPr>
              <w:widowControl/>
              <w:jc w:val="left"/>
              <w:rPr>
                <w:rFonts w:cs="Arial"/>
                <w:b/>
                <w:bCs/>
                <w:color w:val="000000"/>
                <w:sz w:val="20"/>
                <w:lang w:eastAsia="es-MX"/>
              </w:rPr>
            </w:pPr>
            <w:r w:rsidRPr="00A66AAD">
              <w:rPr>
                <w:rFonts w:cs="Arial"/>
                <w:b/>
                <w:bCs/>
                <w:sz w:val="20"/>
                <w:lang w:eastAsia="es-MX"/>
              </w:rPr>
              <w:t>Hogares</w:t>
            </w:r>
            <w:r>
              <w:rPr>
                <w:rFonts w:cs="Arial"/>
                <w:b/>
                <w:bCs/>
                <w:sz w:val="20"/>
                <w:lang w:eastAsia="es-MX"/>
              </w:rPr>
              <w:t xml:space="preserve"> </w:t>
            </w:r>
            <w:r w:rsidRPr="00021E69">
              <w:rPr>
                <w:rFonts w:cs="Arial"/>
                <w:b/>
                <w:bCs/>
                <w:sz w:val="20"/>
                <w:lang w:eastAsia="es-MX"/>
              </w:rPr>
              <w:t>totales</w:t>
            </w:r>
          </w:p>
        </w:tc>
        <w:tc>
          <w:tcPr>
            <w:tcW w:w="1360" w:type="dxa"/>
            <w:tcBorders>
              <w:top w:val="nil"/>
              <w:left w:val="nil"/>
              <w:bottom w:val="nil"/>
              <w:right w:val="nil"/>
            </w:tcBorders>
            <w:shd w:val="clear" w:color="auto" w:fill="99C5CC"/>
            <w:hideMark/>
          </w:tcPr>
          <w:p w14:paraId="2168B63A" w14:textId="77777777" w:rsidR="00660057" w:rsidRPr="00A66AAD" w:rsidRDefault="00660057">
            <w:pPr>
              <w:widowControl/>
              <w:jc w:val="center"/>
              <w:rPr>
                <w:rFonts w:cs="Arial"/>
                <w:b/>
                <w:bCs/>
                <w:color w:val="000000"/>
                <w:sz w:val="20"/>
                <w:lang w:eastAsia="es-MX"/>
              </w:rPr>
            </w:pPr>
            <w:r w:rsidRPr="002716A8">
              <w:rPr>
                <w:rFonts w:cs="Arial"/>
                <w:b/>
                <w:bCs/>
                <w:sz w:val="20"/>
                <w:lang w:eastAsia="es-MX"/>
              </w:rPr>
              <w:t>100.0</w:t>
            </w:r>
          </w:p>
        </w:tc>
        <w:tc>
          <w:tcPr>
            <w:tcW w:w="1360" w:type="dxa"/>
            <w:tcBorders>
              <w:top w:val="nil"/>
              <w:left w:val="nil"/>
              <w:bottom w:val="nil"/>
              <w:right w:val="nil"/>
            </w:tcBorders>
            <w:shd w:val="clear" w:color="auto" w:fill="99C5CC"/>
            <w:hideMark/>
          </w:tcPr>
          <w:p w14:paraId="49238DEF" w14:textId="77777777" w:rsidR="00660057" w:rsidRPr="00A66AAD" w:rsidRDefault="00660057">
            <w:pPr>
              <w:widowControl/>
              <w:jc w:val="center"/>
              <w:rPr>
                <w:rFonts w:cs="Arial"/>
                <w:b/>
                <w:bCs/>
                <w:color w:val="000000"/>
                <w:sz w:val="20"/>
                <w:lang w:eastAsia="es-MX"/>
              </w:rPr>
            </w:pPr>
            <w:r w:rsidRPr="002716A8">
              <w:rPr>
                <w:rFonts w:cs="Arial"/>
                <w:b/>
                <w:bCs/>
                <w:sz w:val="20"/>
                <w:lang w:eastAsia="es-MX"/>
              </w:rPr>
              <w:t>100.0</w:t>
            </w:r>
          </w:p>
        </w:tc>
        <w:tc>
          <w:tcPr>
            <w:tcW w:w="1360" w:type="dxa"/>
            <w:tcBorders>
              <w:top w:val="nil"/>
              <w:left w:val="nil"/>
              <w:bottom w:val="nil"/>
              <w:right w:val="nil"/>
            </w:tcBorders>
            <w:shd w:val="clear" w:color="auto" w:fill="99C5CC"/>
            <w:hideMark/>
          </w:tcPr>
          <w:p w14:paraId="7408F2DF" w14:textId="77777777" w:rsidR="00660057" w:rsidRPr="00A66AAD" w:rsidRDefault="00660057">
            <w:pPr>
              <w:widowControl/>
              <w:jc w:val="center"/>
              <w:rPr>
                <w:rFonts w:cs="Arial"/>
                <w:b/>
                <w:bCs/>
                <w:color w:val="000000"/>
                <w:sz w:val="20"/>
                <w:lang w:eastAsia="es-MX"/>
              </w:rPr>
            </w:pPr>
            <w:r w:rsidRPr="002716A8">
              <w:rPr>
                <w:rFonts w:cs="Arial"/>
                <w:b/>
                <w:bCs/>
                <w:sz w:val="20"/>
                <w:lang w:eastAsia="es-MX"/>
              </w:rPr>
              <w:t>100.0</w:t>
            </w:r>
          </w:p>
        </w:tc>
        <w:tc>
          <w:tcPr>
            <w:tcW w:w="2600" w:type="dxa"/>
            <w:tcBorders>
              <w:top w:val="nil"/>
              <w:left w:val="nil"/>
              <w:bottom w:val="nil"/>
              <w:right w:val="nil"/>
            </w:tcBorders>
            <w:shd w:val="clear" w:color="auto" w:fill="99C5CC"/>
            <w:hideMark/>
          </w:tcPr>
          <w:p w14:paraId="165A482E" w14:textId="77777777" w:rsidR="00660057" w:rsidRPr="00A66AAD" w:rsidRDefault="00660057">
            <w:pPr>
              <w:widowControl/>
              <w:jc w:val="center"/>
              <w:rPr>
                <w:rFonts w:cs="Arial"/>
                <w:b/>
                <w:bCs/>
                <w:color w:val="000000"/>
                <w:sz w:val="20"/>
                <w:lang w:eastAsia="es-MX"/>
              </w:rPr>
            </w:pPr>
            <w:r w:rsidRPr="002716A8">
              <w:rPr>
                <w:rFonts w:cs="Arial"/>
                <w:b/>
                <w:bCs/>
                <w:sz w:val="20"/>
                <w:lang w:eastAsia="es-MX"/>
              </w:rPr>
              <w:t>100.0</w:t>
            </w:r>
          </w:p>
        </w:tc>
      </w:tr>
      <w:tr w:rsidR="00660057" w:rsidRPr="00A66AAD" w14:paraId="39CB4031" w14:textId="77777777">
        <w:trPr>
          <w:trHeight w:val="300"/>
        </w:trPr>
        <w:tc>
          <w:tcPr>
            <w:tcW w:w="220" w:type="dxa"/>
            <w:tcBorders>
              <w:top w:val="nil"/>
              <w:left w:val="nil"/>
              <w:bottom w:val="nil"/>
              <w:right w:val="nil"/>
            </w:tcBorders>
            <w:shd w:val="clear" w:color="auto" w:fill="CCE2E6"/>
            <w:noWrap/>
            <w:vAlign w:val="bottom"/>
            <w:hideMark/>
          </w:tcPr>
          <w:p w14:paraId="46DAF6F4" w14:textId="77777777" w:rsidR="00660057" w:rsidRPr="00A66AAD" w:rsidRDefault="00660057">
            <w:pPr>
              <w:widowControl/>
              <w:jc w:val="left"/>
              <w:rPr>
                <w:rFonts w:ascii="Times New Roman" w:hAnsi="Times New Roman"/>
                <w:color w:val="000000"/>
                <w:sz w:val="20"/>
                <w:lang w:eastAsia="es-MX"/>
              </w:rPr>
            </w:pPr>
            <w:r w:rsidRPr="00A66AAD">
              <w:rPr>
                <w:rFonts w:ascii="Times New Roman" w:hAnsi="Times New Roman"/>
                <w:color w:val="000000"/>
                <w:sz w:val="20"/>
                <w:lang w:eastAsia="es-MX"/>
              </w:rPr>
              <w:t> </w:t>
            </w:r>
          </w:p>
        </w:tc>
        <w:tc>
          <w:tcPr>
            <w:tcW w:w="3000" w:type="dxa"/>
            <w:tcBorders>
              <w:top w:val="nil"/>
              <w:left w:val="nil"/>
              <w:bottom w:val="nil"/>
              <w:right w:val="nil"/>
            </w:tcBorders>
            <w:shd w:val="clear" w:color="auto" w:fill="CCE2E6"/>
            <w:vAlign w:val="center"/>
            <w:hideMark/>
          </w:tcPr>
          <w:p w14:paraId="5940C448" w14:textId="77777777" w:rsidR="00660057" w:rsidRPr="00A66AAD" w:rsidRDefault="00660057">
            <w:pPr>
              <w:widowControl/>
              <w:jc w:val="left"/>
              <w:rPr>
                <w:rFonts w:cs="Arial"/>
                <w:color w:val="000000"/>
                <w:sz w:val="20"/>
                <w:lang w:eastAsia="es-MX"/>
              </w:rPr>
            </w:pPr>
            <w:r w:rsidRPr="00A66AAD">
              <w:rPr>
                <w:rFonts w:cs="Arial"/>
                <w:sz w:val="20"/>
                <w:lang w:eastAsia="es-MX"/>
              </w:rPr>
              <w:t>Sequía o falta de lluvias</w:t>
            </w:r>
          </w:p>
        </w:tc>
        <w:tc>
          <w:tcPr>
            <w:tcW w:w="1360" w:type="dxa"/>
            <w:tcBorders>
              <w:top w:val="nil"/>
              <w:left w:val="nil"/>
              <w:bottom w:val="nil"/>
              <w:right w:val="nil"/>
            </w:tcBorders>
            <w:shd w:val="clear" w:color="auto" w:fill="CCE2E6"/>
            <w:vAlign w:val="center"/>
            <w:hideMark/>
          </w:tcPr>
          <w:p w14:paraId="24B6EF9A" w14:textId="77777777" w:rsidR="00660057" w:rsidRPr="00A66AAD" w:rsidRDefault="00660057">
            <w:pPr>
              <w:widowControl/>
              <w:jc w:val="center"/>
              <w:rPr>
                <w:rFonts w:cs="Arial"/>
                <w:color w:val="000000"/>
                <w:sz w:val="20"/>
                <w:lang w:eastAsia="es-MX"/>
              </w:rPr>
            </w:pPr>
            <w:r w:rsidRPr="00A66AAD">
              <w:rPr>
                <w:rFonts w:cs="Arial"/>
                <w:sz w:val="20"/>
                <w:lang w:eastAsia="es-MX"/>
              </w:rPr>
              <w:t>13.4</w:t>
            </w:r>
          </w:p>
        </w:tc>
        <w:tc>
          <w:tcPr>
            <w:tcW w:w="1360" w:type="dxa"/>
            <w:tcBorders>
              <w:top w:val="nil"/>
              <w:left w:val="nil"/>
              <w:bottom w:val="nil"/>
              <w:right w:val="nil"/>
            </w:tcBorders>
            <w:shd w:val="clear" w:color="auto" w:fill="CCE2E6"/>
            <w:vAlign w:val="center"/>
            <w:hideMark/>
          </w:tcPr>
          <w:p w14:paraId="19129A93" w14:textId="77777777" w:rsidR="00660057" w:rsidRPr="00A66AAD" w:rsidRDefault="00660057">
            <w:pPr>
              <w:widowControl/>
              <w:jc w:val="center"/>
              <w:rPr>
                <w:rFonts w:cs="Arial"/>
                <w:color w:val="000000"/>
                <w:sz w:val="20"/>
                <w:lang w:eastAsia="es-MX"/>
              </w:rPr>
            </w:pPr>
            <w:r w:rsidRPr="00A66AAD">
              <w:rPr>
                <w:rFonts w:cs="Arial"/>
                <w:sz w:val="20"/>
                <w:lang w:eastAsia="es-MX"/>
              </w:rPr>
              <w:t>16.3</w:t>
            </w:r>
          </w:p>
        </w:tc>
        <w:tc>
          <w:tcPr>
            <w:tcW w:w="1360" w:type="dxa"/>
            <w:tcBorders>
              <w:top w:val="nil"/>
              <w:left w:val="nil"/>
              <w:bottom w:val="nil"/>
              <w:right w:val="nil"/>
            </w:tcBorders>
            <w:shd w:val="clear" w:color="auto" w:fill="CCE2E6"/>
            <w:vAlign w:val="center"/>
            <w:hideMark/>
          </w:tcPr>
          <w:p w14:paraId="79C0B2A5" w14:textId="77777777" w:rsidR="00660057" w:rsidRPr="00A66AAD" w:rsidRDefault="00660057">
            <w:pPr>
              <w:widowControl/>
              <w:jc w:val="center"/>
              <w:rPr>
                <w:rFonts w:cs="Arial"/>
                <w:color w:val="000000"/>
                <w:sz w:val="20"/>
                <w:lang w:eastAsia="es-MX"/>
              </w:rPr>
            </w:pPr>
            <w:r w:rsidRPr="00A66AAD">
              <w:rPr>
                <w:rFonts w:cs="Arial"/>
                <w:sz w:val="20"/>
                <w:lang w:eastAsia="es-MX"/>
              </w:rPr>
              <w:t>17.8</w:t>
            </w:r>
          </w:p>
        </w:tc>
        <w:tc>
          <w:tcPr>
            <w:tcW w:w="2600" w:type="dxa"/>
            <w:tcBorders>
              <w:top w:val="nil"/>
              <w:left w:val="nil"/>
              <w:bottom w:val="nil"/>
              <w:right w:val="nil"/>
            </w:tcBorders>
            <w:shd w:val="clear" w:color="auto" w:fill="CCE2E6"/>
            <w:vAlign w:val="center"/>
            <w:hideMark/>
          </w:tcPr>
          <w:p w14:paraId="70925B73" w14:textId="77777777" w:rsidR="00660057" w:rsidRPr="00A66AAD" w:rsidRDefault="00660057">
            <w:pPr>
              <w:widowControl/>
              <w:jc w:val="center"/>
              <w:rPr>
                <w:rFonts w:cs="Arial"/>
                <w:color w:val="000000"/>
                <w:sz w:val="20"/>
                <w:lang w:eastAsia="es-MX"/>
              </w:rPr>
            </w:pPr>
            <w:r w:rsidRPr="00A66AAD">
              <w:rPr>
                <w:rFonts w:cs="Arial"/>
                <w:sz w:val="20"/>
                <w:lang w:eastAsia="es-MX"/>
              </w:rPr>
              <w:t>16.6</w:t>
            </w:r>
          </w:p>
        </w:tc>
      </w:tr>
      <w:tr w:rsidR="00660057" w:rsidRPr="00A66AAD" w14:paraId="46844439" w14:textId="77777777">
        <w:trPr>
          <w:trHeight w:val="300"/>
        </w:trPr>
        <w:tc>
          <w:tcPr>
            <w:tcW w:w="220" w:type="dxa"/>
            <w:tcBorders>
              <w:top w:val="nil"/>
              <w:left w:val="nil"/>
              <w:bottom w:val="nil"/>
              <w:right w:val="nil"/>
            </w:tcBorders>
            <w:shd w:val="clear" w:color="auto" w:fill="CCE2E6"/>
            <w:noWrap/>
            <w:vAlign w:val="bottom"/>
            <w:hideMark/>
          </w:tcPr>
          <w:p w14:paraId="456A638E" w14:textId="77777777" w:rsidR="00660057" w:rsidRPr="00A66AAD" w:rsidRDefault="00660057">
            <w:pPr>
              <w:widowControl/>
              <w:jc w:val="left"/>
              <w:rPr>
                <w:rFonts w:ascii="Times New Roman" w:hAnsi="Times New Roman"/>
                <w:color w:val="000000"/>
                <w:sz w:val="20"/>
                <w:lang w:eastAsia="es-MX"/>
              </w:rPr>
            </w:pPr>
            <w:r w:rsidRPr="00A66AAD">
              <w:rPr>
                <w:rFonts w:ascii="Times New Roman" w:hAnsi="Times New Roman"/>
                <w:color w:val="000000"/>
                <w:sz w:val="20"/>
                <w:lang w:eastAsia="es-MX"/>
              </w:rPr>
              <w:t> </w:t>
            </w:r>
          </w:p>
        </w:tc>
        <w:tc>
          <w:tcPr>
            <w:tcW w:w="3000" w:type="dxa"/>
            <w:tcBorders>
              <w:top w:val="nil"/>
              <w:left w:val="nil"/>
              <w:bottom w:val="nil"/>
              <w:right w:val="nil"/>
            </w:tcBorders>
            <w:shd w:val="clear" w:color="auto" w:fill="CCE2E6"/>
            <w:vAlign w:val="center"/>
            <w:hideMark/>
          </w:tcPr>
          <w:p w14:paraId="1D7A0A91" w14:textId="77777777" w:rsidR="00660057" w:rsidRPr="00A66AAD" w:rsidRDefault="00660057">
            <w:pPr>
              <w:widowControl/>
              <w:jc w:val="left"/>
              <w:rPr>
                <w:rFonts w:cs="Arial"/>
                <w:color w:val="000000"/>
                <w:sz w:val="20"/>
                <w:lang w:eastAsia="es-MX"/>
              </w:rPr>
            </w:pPr>
            <w:r w:rsidRPr="00A66AAD">
              <w:rPr>
                <w:rFonts w:cs="Arial"/>
                <w:sz w:val="20"/>
                <w:lang w:eastAsia="es-MX"/>
              </w:rPr>
              <w:t>Inundaciones o exceso de lluvias</w:t>
            </w:r>
          </w:p>
        </w:tc>
        <w:tc>
          <w:tcPr>
            <w:tcW w:w="1360" w:type="dxa"/>
            <w:tcBorders>
              <w:top w:val="nil"/>
              <w:left w:val="nil"/>
              <w:bottom w:val="nil"/>
              <w:right w:val="nil"/>
            </w:tcBorders>
            <w:shd w:val="clear" w:color="auto" w:fill="CCE2E6"/>
            <w:vAlign w:val="center"/>
            <w:hideMark/>
          </w:tcPr>
          <w:p w14:paraId="6DF41731" w14:textId="77777777" w:rsidR="00660057" w:rsidRPr="00A66AAD" w:rsidRDefault="00660057">
            <w:pPr>
              <w:widowControl/>
              <w:jc w:val="center"/>
              <w:rPr>
                <w:rFonts w:cs="Arial"/>
                <w:color w:val="000000"/>
                <w:sz w:val="20"/>
                <w:lang w:eastAsia="es-MX"/>
              </w:rPr>
            </w:pPr>
            <w:r w:rsidRPr="00A66AAD">
              <w:rPr>
                <w:rFonts w:cs="Arial"/>
                <w:sz w:val="20"/>
                <w:lang w:eastAsia="es-MX"/>
              </w:rPr>
              <w:t>8.4</w:t>
            </w:r>
          </w:p>
        </w:tc>
        <w:tc>
          <w:tcPr>
            <w:tcW w:w="1360" w:type="dxa"/>
            <w:tcBorders>
              <w:top w:val="nil"/>
              <w:left w:val="nil"/>
              <w:bottom w:val="nil"/>
              <w:right w:val="nil"/>
            </w:tcBorders>
            <w:shd w:val="clear" w:color="auto" w:fill="CCE2E6"/>
            <w:vAlign w:val="center"/>
            <w:hideMark/>
          </w:tcPr>
          <w:p w14:paraId="482AADAF" w14:textId="77777777" w:rsidR="00660057" w:rsidRPr="00A66AAD" w:rsidRDefault="00660057">
            <w:pPr>
              <w:widowControl/>
              <w:jc w:val="center"/>
              <w:rPr>
                <w:rFonts w:cs="Arial"/>
                <w:color w:val="000000"/>
                <w:sz w:val="20"/>
                <w:lang w:eastAsia="es-MX"/>
              </w:rPr>
            </w:pPr>
            <w:r w:rsidRPr="00A66AAD">
              <w:rPr>
                <w:rFonts w:cs="Arial"/>
                <w:sz w:val="20"/>
                <w:lang w:eastAsia="es-MX"/>
              </w:rPr>
              <w:t>10.4</w:t>
            </w:r>
          </w:p>
        </w:tc>
        <w:tc>
          <w:tcPr>
            <w:tcW w:w="1360" w:type="dxa"/>
            <w:tcBorders>
              <w:top w:val="nil"/>
              <w:left w:val="nil"/>
              <w:bottom w:val="nil"/>
              <w:right w:val="nil"/>
            </w:tcBorders>
            <w:shd w:val="clear" w:color="auto" w:fill="CCE2E6"/>
            <w:vAlign w:val="center"/>
            <w:hideMark/>
          </w:tcPr>
          <w:p w14:paraId="2855E838" w14:textId="77777777" w:rsidR="00660057" w:rsidRPr="00A66AAD" w:rsidRDefault="00660057">
            <w:pPr>
              <w:widowControl/>
              <w:jc w:val="center"/>
              <w:rPr>
                <w:rFonts w:cs="Arial"/>
                <w:color w:val="000000"/>
                <w:sz w:val="20"/>
                <w:lang w:eastAsia="es-MX"/>
              </w:rPr>
            </w:pPr>
            <w:r w:rsidRPr="00A66AAD">
              <w:rPr>
                <w:rFonts w:cs="Arial"/>
                <w:sz w:val="20"/>
                <w:lang w:eastAsia="es-MX"/>
              </w:rPr>
              <w:t>10.0</w:t>
            </w:r>
          </w:p>
        </w:tc>
        <w:tc>
          <w:tcPr>
            <w:tcW w:w="2600" w:type="dxa"/>
            <w:tcBorders>
              <w:top w:val="nil"/>
              <w:left w:val="nil"/>
              <w:bottom w:val="nil"/>
              <w:right w:val="nil"/>
            </w:tcBorders>
            <w:shd w:val="clear" w:color="auto" w:fill="CCE2E6"/>
            <w:vAlign w:val="center"/>
            <w:hideMark/>
          </w:tcPr>
          <w:p w14:paraId="02BA776D" w14:textId="77777777" w:rsidR="00660057" w:rsidRPr="00A66AAD" w:rsidRDefault="00660057">
            <w:pPr>
              <w:widowControl/>
              <w:jc w:val="center"/>
              <w:rPr>
                <w:rFonts w:cs="Arial"/>
                <w:color w:val="000000"/>
                <w:sz w:val="20"/>
                <w:lang w:eastAsia="es-MX"/>
              </w:rPr>
            </w:pPr>
            <w:r w:rsidRPr="00A66AAD">
              <w:rPr>
                <w:rFonts w:cs="Arial"/>
                <w:sz w:val="20"/>
                <w:lang w:eastAsia="es-MX"/>
              </w:rPr>
              <w:t>11.9</w:t>
            </w:r>
          </w:p>
        </w:tc>
      </w:tr>
      <w:tr w:rsidR="00660057" w:rsidRPr="00A66AAD" w14:paraId="710D3616" w14:textId="77777777">
        <w:trPr>
          <w:trHeight w:val="300"/>
        </w:trPr>
        <w:tc>
          <w:tcPr>
            <w:tcW w:w="220" w:type="dxa"/>
            <w:tcBorders>
              <w:top w:val="nil"/>
              <w:left w:val="nil"/>
              <w:bottom w:val="nil"/>
              <w:right w:val="nil"/>
            </w:tcBorders>
            <w:shd w:val="clear" w:color="auto" w:fill="CCE2E6"/>
            <w:noWrap/>
            <w:vAlign w:val="bottom"/>
            <w:hideMark/>
          </w:tcPr>
          <w:p w14:paraId="5B3A1E51" w14:textId="77777777" w:rsidR="00660057" w:rsidRPr="00A66AAD" w:rsidRDefault="00660057">
            <w:pPr>
              <w:widowControl/>
              <w:jc w:val="left"/>
              <w:rPr>
                <w:rFonts w:ascii="Times New Roman" w:hAnsi="Times New Roman"/>
                <w:color w:val="000000"/>
                <w:sz w:val="20"/>
                <w:lang w:eastAsia="es-MX"/>
              </w:rPr>
            </w:pPr>
            <w:r w:rsidRPr="00A66AAD">
              <w:rPr>
                <w:rFonts w:ascii="Times New Roman" w:hAnsi="Times New Roman"/>
                <w:color w:val="000000"/>
                <w:sz w:val="20"/>
                <w:lang w:eastAsia="es-MX"/>
              </w:rPr>
              <w:t> </w:t>
            </w:r>
          </w:p>
        </w:tc>
        <w:tc>
          <w:tcPr>
            <w:tcW w:w="3000" w:type="dxa"/>
            <w:tcBorders>
              <w:top w:val="nil"/>
              <w:left w:val="nil"/>
              <w:bottom w:val="nil"/>
              <w:right w:val="nil"/>
            </w:tcBorders>
            <w:shd w:val="clear" w:color="auto" w:fill="CCE2E6"/>
            <w:vAlign w:val="center"/>
            <w:hideMark/>
          </w:tcPr>
          <w:p w14:paraId="5FA9F193" w14:textId="77777777" w:rsidR="00660057" w:rsidRPr="00A66AAD" w:rsidRDefault="00660057">
            <w:pPr>
              <w:widowControl/>
              <w:jc w:val="left"/>
              <w:rPr>
                <w:rFonts w:cs="Arial"/>
                <w:color w:val="000000"/>
                <w:sz w:val="20"/>
                <w:lang w:eastAsia="es-MX"/>
              </w:rPr>
            </w:pPr>
            <w:r w:rsidRPr="00A66AAD">
              <w:rPr>
                <w:rFonts w:cs="Arial"/>
                <w:sz w:val="20"/>
                <w:lang w:eastAsia="es-MX"/>
              </w:rPr>
              <w:t>Pérdida de cultivos por plagas</w:t>
            </w:r>
          </w:p>
        </w:tc>
        <w:tc>
          <w:tcPr>
            <w:tcW w:w="1360" w:type="dxa"/>
            <w:tcBorders>
              <w:top w:val="nil"/>
              <w:left w:val="nil"/>
              <w:bottom w:val="nil"/>
              <w:right w:val="nil"/>
            </w:tcBorders>
            <w:shd w:val="clear" w:color="auto" w:fill="CCE2E6"/>
            <w:vAlign w:val="center"/>
            <w:hideMark/>
          </w:tcPr>
          <w:p w14:paraId="15A580AD" w14:textId="77777777" w:rsidR="00660057" w:rsidRPr="00A66AAD" w:rsidRDefault="00660057">
            <w:pPr>
              <w:widowControl/>
              <w:jc w:val="center"/>
              <w:rPr>
                <w:rFonts w:cs="Arial"/>
                <w:color w:val="000000"/>
                <w:sz w:val="20"/>
                <w:lang w:eastAsia="es-MX"/>
              </w:rPr>
            </w:pPr>
            <w:r w:rsidRPr="00A66AAD">
              <w:rPr>
                <w:rFonts w:cs="Arial"/>
                <w:sz w:val="20"/>
                <w:lang w:eastAsia="es-MX"/>
              </w:rPr>
              <w:t>7.4</w:t>
            </w:r>
          </w:p>
        </w:tc>
        <w:tc>
          <w:tcPr>
            <w:tcW w:w="1360" w:type="dxa"/>
            <w:tcBorders>
              <w:top w:val="nil"/>
              <w:left w:val="nil"/>
              <w:bottom w:val="nil"/>
              <w:right w:val="nil"/>
            </w:tcBorders>
            <w:shd w:val="clear" w:color="auto" w:fill="CCE2E6"/>
            <w:vAlign w:val="center"/>
            <w:hideMark/>
          </w:tcPr>
          <w:p w14:paraId="09463263" w14:textId="77777777" w:rsidR="00660057" w:rsidRPr="00A66AAD" w:rsidRDefault="00660057">
            <w:pPr>
              <w:widowControl/>
              <w:jc w:val="center"/>
              <w:rPr>
                <w:rFonts w:cs="Arial"/>
                <w:color w:val="000000"/>
                <w:sz w:val="20"/>
                <w:lang w:eastAsia="es-MX"/>
              </w:rPr>
            </w:pPr>
            <w:r w:rsidRPr="00A66AAD">
              <w:rPr>
                <w:rFonts w:cs="Arial"/>
                <w:sz w:val="20"/>
                <w:lang w:eastAsia="es-MX"/>
              </w:rPr>
              <w:t>11.0</w:t>
            </w:r>
          </w:p>
        </w:tc>
        <w:tc>
          <w:tcPr>
            <w:tcW w:w="1360" w:type="dxa"/>
            <w:tcBorders>
              <w:top w:val="nil"/>
              <w:left w:val="nil"/>
              <w:bottom w:val="nil"/>
              <w:right w:val="nil"/>
            </w:tcBorders>
            <w:shd w:val="clear" w:color="auto" w:fill="CCE2E6"/>
            <w:vAlign w:val="center"/>
            <w:hideMark/>
          </w:tcPr>
          <w:p w14:paraId="6507A2A8" w14:textId="77777777" w:rsidR="00660057" w:rsidRPr="00A66AAD" w:rsidRDefault="00660057">
            <w:pPr>
              <w:widowControl/>
              <w:jc w:val="center"/>
              <w:rPr>
                <w:rFonts w:cs="Arial"/>
                <w:color w:val="000000"/>
                <w:sz w:val="20"/>
                <w:lang w:eastAsia="es-MX"/>
              </w:rPr>
            </w:pPr>
            <w:r w:rsidRPr="00A66AAD">
              <w:rPr>
                <w:rFonts w:cs="Arial"/>
                <w:sz w:val="20"/>
                <w:lang w:eastAsia="es-MX"/>
              </w:rPr>
              <w:t>12.3</w:t>
            </w:r>
          </w:p>
        </w:tc>
        <w:tc>
          <w:tcPr>
            <w:tcW w:w="2600" w:type="dxa"/>
            <w:tcBorders>
              <w:top w:val="nil"/>
              <w:left w:val="nil"/>
              <w:bottom w:val="nil"/>
              <w:right w:val="nil"/>
            </w:tcBorders>
            <w:shd w:val="clear" w:color="auto" w:fill="CCE2E6"/>
            <w:vAlign w:val="center"/>
            <w:hideMark/>
          </w:tcPr>
          <w:p w14:paraId="70F7E4B0" w14:textId="77777777" w:rsidR="00660057" w:rsidRPr="00A66AAD" w:rsidRDefault="00660057">
            <w:pPr>
              <w:widowControl/>
              <w:jc w:val="center"/>
              <w:rPr>
                <w:rFonts w:cs="Arial"/>
                <w:color w:val="000000"/>
                <w:sz w:val="20"/>
                <w:lang w:eastAsia="es-MX"/>
              </w:rPr>
            </w:pPr>
            <w:r w:rsidRPr="00A66AAD">
              <w:rPr>
                <w:rFonts w:cs="Arial"/>
                <w:sz w:val="20"/>
                <w:lang w:eastAsia="es-MX"/>
              </w:rPr>
              <w:t>10.8</w:t>
            </w:r>
          </w:p>
        </w:tc>
      </w:tr>
      <w:tr w:rsidR="00660057" w:rsidRPr="00A66AAD" w14:paraId="6C2F236B" w14:textId="77777777">
        <w:trPr>
          <w:trHeight w:val="510"/>
        </w:trPr>
        <w:tc>
          <w:tcPr>
            <w:tcW w:w="220" w:type="dxa"/>
            <w:tcBorders>
              <w:top w:val="nil"/>
              <w:left w:val="nil"/>
              <w:bottom w:val="nil"/>
              <w:right w:val="nil"/>
            </w:tcBorders>
            <w:shd w:val="clear" w:color="auto" w:fill="CCE2E6"/>
            <w:noWrap/>
            <w:vAlign w:val="bottom"/>
            <w:hideMark/>
          </w:tcPr>
          <w:p w14:paraId="22E0D777" w14:textId="77777777" w:rsidR="00660057" w:rsidRPr="00A66AAD" w:rsidRDefault="00660057">
            <w:pPr>
              <w:widowControl/>
              <w:jc w:val="left"/>
              <w:rPr>
                <w:rFonts w:ascii="Times New Roman" w:hAnsi="Times New Roman"/>
                <w:color w:val="000000"/>
                <w:sz w:val="20"/>
                <w:lang w:eastAsia="es-MX"/>
              </w:rPr>
            </w:pPr>
            <w:r w:rsidRPr="00A66AAD">
              <w:rPr>
                <w:rFonts w:ascii="Times New Roman" w:hAnsi="Times New Roman"/>
                <w:color w:val="000000"/>
                <w:sz w:val="20"/>
                <w:lang w:eastAsia="es-MX"/>
              </w:rPr>
              <w:t> </w:t>
            </w:r>
          </w:p>
        </w:tc>
        <w:tc>
          <w:tcPr>
            <w:tcW w:w="3000" w:type="dxa"/>
            <w:tcBorders>
              <w:top w:val="nil"/>
              <w:left w:val="nil"/>
              <w:bottom w:val="nil"/>
              <w:right w:val="nil"/>
            </w:tcBorders>
            <w:shd w:val="clear" w:color="auto" w:fill="CCE2E6"/>
            <w:vAlign w:val="center"/>
            <w:hideMark/>
          </w:tcPr>
          <w:p w14:paraId="26B6B23F" w14:textId="77777777" w:rsidR="00660057" w:rsidRPr="00A66AAD" w:rsidRDefault="00660057">
            <w:pPr>
              <w:widowControl/>
              <w:jc w:val="left"/>
              <w:rPr>
                <w:rFonts w:cs="Arial"/>
                <w:color w:val="000000"/>
                <w:sz w:val="20"/>
                <w:lang w:eastAsia="es-MX"/>
              </w:rPr>
            </w:pPr>
            <w:r w:rsidRPr="00A66AAD">
              <w:rPr>
                <w:rFonts w:cs="Arial"/>
                <w:sz w:val="20"/>
                <w:lang w:eastAsia="es-MX"/>
              </w:rPr>
              <w:t>Pérdida de animales de corral por enfermedades</w:t>
            </w:r>
          </w:p>
        </w:tc>
        <w:tc>
          <w:tcPr>
            <w:tcW w:w="1360" w:type="dxa"/>
            <w:tcBorders>
              <w:top w:val="nil"/>
              <w:left w:val="nil"/>
              <w:bottom w:val="nil"/>
              <w:right w:val="nil"/>
            </w:tcBorders>
            <w:shd w:val="clear" w:color="auto" w:fill="CCE2E6"/>
            <w:vAlign w:val="center"/>
            <w:hideMark/>
          </w:tcPr>
          <w:p w14:paraId="49E0CF56" w14:textId="77777777" w:rsidR="00660057" w:rsidRPr="00A66AAD" w:rsidRDefault="00660057">
            <w:pPr>
              <w:widowControl/>
              <w:jc w:val="center"/>
              <w:rPr>
                <w:rFonts w:cs="Arial"/>
                <w:color w:val="000000"/>
                <w:sz w:val="20"/>
                <w:lang w:eastAsia="es-MX"/>
              </w:rPr>
            </w:pPr>
            <w:r w:rsidRPr="00A66AAD">
              <w:rPr>
                <w:rFonts w:cs="Arial"/>
                <w:sz w:val="20"/>
                <w:lang w:eastAsia="es-MX"/>
              </w:rPr>
              <w:t>6.2</w:t>
            </w:r>
          </w:p>
        </w:tc>
        <w:tc>
          <w:tcPr>
            <w:tcW w:w="1360" w:type="dxa"/>
            <w:tcBorders>
              <w:top w:val="nil"/>
              <w:left w:val="nil"/>
              <w:bottom w:val="nil"/>
              <w:right w:val="nil"/>
            </w:tcBorders>
            <w:shd w:val="clear" w:color="auto" w:fill="CCE2E6"/>
            <w:vAlign w:val="center"/>
            <w:hideMark/>
          </w:tcPr>
          <w:p w14:paraId="507EF5C6" w14:textId="77777777" w:rsidR="00660057" w:rsidRPr="00A66AAD" w:rsidRDefault="00660057">
            <w:pPr>
              <w:widowControl/>
              <w:jc w:val="center"/>
              <w:rPr>
                <w:rFonts w:cs="Arial"/>
                <w:color w:val="000000"/>
                <w:sz w:val="20"/>
                <w:lang w:eastAsia="es-MX"/>
              </w:rPr>
            </w:pPr>
            <w:r w:rsidRPr="00A66AAD">
              <w:rPr>
                <w:rFonts w:cs="Arial"/>
                <w:sz w:val="20"/>
                <w:lang w:eastAsia="es-MX"/>
              </w:rPr>
              <w:t>9.1</w:t>
            </w:r>
          </w:p>
        </w:tc>
        <w:tc>
          <w:tcPr>
            <w:tcW w:w="1360" w:type="dxa"/>
            <w:tcBorders>
              <w:top w:val="nil"/>
              <w:left w:val="nil"/>
              <w:bottom w:val="nil"/>
              <w:right w:val="nil"/>
            </w:tcBorders>
            <w:shd w:val="clear" w:color="auto" w:fill="CCE2E6"/>
            <w:vAlign w:val="center"/>
            <w:hideMark/>
          </w:tcPr>
          <w:p w14:paraId="31A79D79" w14:textId="77777777" w:rsidR="00660057" w:rsidRPr="00A66AAD" w:rsidRDefault="00660057">
            <w:pPr>
              <w:widowControl/>
              <w:jc w:val="center"/>
              <w:rPr>
                <w:rFonts w:cs="Arial"/>
                <w:color w:val="000000"/>
                <w:sz w:val="20"/>
                <w:lang w:eastAsia="es-MX"/>
              </w:rPr>
            </w:pPr>
            <w:r w:rsidRPr="00A66AAD">
              <w:rPr>
                <w:rFonts w:cs="Arial"/>
                <w:sz w:val="20"/>
                <w:lang w:eastAsia="es-MX"/>
              </w:rPr>
              <w:t>9.9</w:t>
            </w:r>
          </w:p>
        </w:tc>
        <w:tc>
          <w:tcPr>
            <w:tcW w:w="2600" w:type="dxa"/>
            <w:tcBorders>
              <w:top w:val="nil"/>
              <w:left w:val="nil"/>
              <w:bottom w:val="nil"/>
              <w:right w:val="nil"/>
            </w:tcBorders>
            <w:shd w:val="clear" w:color="auto" w:fill="CCE2E6"/>
            <w:vAlign w:val="center"/>
            <w:hideMark/>
          </w:tcPr>
          <w:p w14:paraId="0650FE0E" w14:textId="77777777" w:rsidR="00660057" w:rsidRPr="00A66AAD" w:rsidRDefault="00660057">
            <w:pPr>
              <w:widowControl/>
              <w:jc w:val="center"/>
              <w:rPr>
                <w:rFonts w:cs="Arial"/>
                <w:color w:val="000000"/>
                <w:sz w:val="20"/>
                <w:lang w:eastAsia="es-MX"/>
              </w:rPr>
            </w:pPr>
            <w:r w:rsidRPr="00A66AAD">
              <w:rPr>
                <w:rFonts w:cs="Arial"/>
                <w:sz w:val="20"/>
                <w:lang w:eastAsia="es-MX"/>
              </w:rPr>
              <w:t>9.3</w:t>
            </w:r>
          </w:p>
        </w:tc>
      </w:tr>
      <w:tr w:rsidR="00660057" w:rsidRPr="00A66AAD" w14:paraId="59B461D2" w14:textId="77777777">
        <w:trPr>
          <w:trHeight w:val="510"/>
        </w:trPr>
        <w:tc>
          <w:tcPr>
            <w:tcW w:w="220" w:type="dxa"/>
            <w:tcBorders>
              <w:top w:val="nil"/>
              <w:left w:val="nil"/>
              <w:right w:val="nil"/>
            </w:tcBorders>
            <w:shd w:val="clear" w:color="auto" w:fill="CCE2E6"/>
            <w:noWrap/>
            <w:vAlign w:val="bottom"/>
            <w:hideMark/>
          </w:tcPr>
          <w:p w14:paraId="676EB2E2" w14:textId="77777777" w:rsidR="00660057" w:rsidRPr="00A66AAD" w:rsidRDefault="00660057">
            <w:pPr>
              <w:widowControl/>
              <w:jc w:val="left"/>
              <w:rPr>
                <w:rFonts w:ascii="Times New Roman" w:hAnsi="Times New Roman"/>
                <w:color w:val="000000"/>
                <w:sz w:val="20"/>
                <w:lang w:eastAsia="es-MX"/>
              </w:rPr>
            </w:pPr>
            <w:r w:rsidRPr="00A66AAD">
              <w:rPr>
                <w:rFonts w:ascii="Times New Roman" w:hAnsi="Times New Roman"/>
                <w:color w:val="000000"/>
                <w:sz w:val="20"/>
                <w:lang w:eastAsia="es-MX"/>
              </w:rPr>
              <w:t> </w:t>
            </w:r>
          </w:p>
        </w:tc>
        <w:tc>
          <w:tcPr>
            <w:tcW w:w="3000" w:type="dxa"/>
            <w:tcBorders>
              <w:top w:val="nil"/>
              <w:left w:val="nil"/>
              <w:right w:val="nil"/>
            </w:tcBorders>
            <w:shd w:val="clear" w:color="auto" w:fill="CCE2E6"/>
            <w:vAlign w:val="center"/>
            <w:hideMark/>
          </w:tcPr>
          <w:p w14:paraId="1CD1816A" w14:textId="77777777" w:rsidR="00660057" w:rsidRPr="00A66AAD" w:rsidRDefault="00660057">
            <w:pPr>
              <w:widowControl/>
              <w:jc w:val="left"/>
              <w:rPr>
                <w:rFonts w:cs="Arial"/>
                <w:color w:val="000000"/>
                <w:sz w:val="20"/>
                <w:lang w:eastAsia="es-MX"/>
              </w:rPr>
            </w:pPr>
            <w:r w:rsidRPr="00A66AAD">
              <w:rPr>
                <w:rFonts w:cs="Arial"/>
                <w:sz w:val="20"/>
                <w:lang w:eastAsia="es-MX"/>
              </w:rPr>
              <w:t>Disminución de precios en los productos agrícolas</w:t>
            </w:r>
          </w:p>
        </w:tc>
        <w:tc>
          <w:tcPr>
            <w:tcW w:w="1360" w:type="dxa"/>
            <w:tcBorders>
              <w:top w:val="nil"/>
              <w:left w:val="nil"/>
              <w:right w:val="nil"/>
            </w:tcBorders>
            <w:shd w:val="clear" w:color="auto" w:fill="CCE2E6"/>
            <w:vAlign w:val="center"/>
            <w:hideMark/>
          </w:tcPr>
          <w:p w14:paraId="2C5E75E8" w14:textId="77777777" w:rsidR="00660057" w:rsidRPr="00A66AAD" w:rsidRDefault="00660057">
            <w:pPr>
              <w:widowControl/>
              <w:jc w:val="center"/>
              <w:rPr>
                <w:rFonts w:cs="Arial"/>
                <w:color w:val="000000"/>
                <w:sz w:val="20"/>
                <w:lang w:eastAsia="es-MX"/>
              </w:rPr>
            </w:pPr>
            <w:r w:rsidRPr="00A66AAD">
              <w:rPr>
                <w:rFonts w:cs="Arial"/>
                <w:sz w:val="20"/>
                <w:lang w:eastAsia="es-MX"/>
              </w:rPr>
              <w:t>5.9</w:t>
            </w:r>
          </w:p>
        </w:tc>
        <w:tc>
          <w:tcPr>
            <w:tcW w:w="1360" w:type="dxa"/>
            <w:tcBorders>
              <w:top w:val="nil"/>
              <w:left w:val="nil"/>
              <w:right w:val="nil"/>
            </w:tcBorders>
            <w:shd w:val="clear" w:color="auto" w:fill="CCE2E6"/>
            <w:vAlign w:val="center"/>
            <w:hideMark/>
          </w:tcPr>
          <w:p w14:paraId="3EDE1A2D" w14:textId="77777777" w:rsidR="00660057" w:rsidRPr="00A66AAD" w:rsidRDefault="00660057">
            <w:pPr>
              <w:widowControl/>
              <w:jc w:val="center"/>
              <w:rPr>
                <w:rFonts w:cs="Arial"/>
                <w:color w:val="000000"/>
                <w:sz w:val="20"/>
                <w:lang w:eastAsia="es-MX"/>
              </w:rPr>
            </w:pPr>
            <w:r w:rsidRPr="00A66AAD">
              <w:rPr>
                <w:rFonts w:cs="Arial"/>
                <w:sz w:val="20"/>
                <w:lang w:eastAsia="es-MX"/>
              </w:rPr>
              <w:t>9.0</w:t>
            </w:r>
          </w:p>
        </w:tc>
        <w:tc>
          <w:tcPr>
            <w:tcW w:w="1360" w:type="dxa"/>
            <w:tcBorders>
              <w:top w:val="nil"/>
              <w:left w:val="nil"/>
              <w:right w:val="nil"/>
            </w:tcBorders>
            <w:shd w:val="clear" w:color="auto" w:fill="CCE2E6"/>
            <w:vAlign w:val="center"/>
            <w:hideMark/>
          </w:tcPr>
          <w:p w14:paraId="699F0278" w14:textId="77777777" w:rsidR="00660057" w:rsidRPr="00A66AAD" w:rsidRDefault="00660057">
            <w:pPr>
              <w:widowControl/>
              <w:jc w:val="center"/>
              <w:rPr>
                <w:rFonts w:cs="Arial"/>
                <w:color w:val="000000"/>
                <w:sz w:val="20"/>
                <w:lang w:eastAsia="es-MX"/>
              </w:rPr>
            </w:pPr>
            <w:r w:rsidRPr="00A66AAD">
              <w:rPr>
                <w:rFonts w:cs="Arial"/>
                <w:sz w:val="20"/>
                <w:lang w:eastAsia="es-MX"/>
              </w:rPr>
              <w:t>10.0</w:t>
            </w:r>
          </w:p>
        </w:tc>
        <w:tc>
          <w:tcPr>
            <w:tcW w:w="2600" w:type="dxa"/>
            <w:tcBorders>
              <w:top w:val="nil"/>
              <w:left w:val="nil"/>
              <w:right w:val="nil"/>
            </w:tcBorders>
            <w:shd w:val="clear" w:color="auto" w:fill="CCE2E6"/>
            <w:vAlign w:val="center"/>
            <w:hideMark/>
          </w:tcPr>
          <w:p w14:paraId="142E926F" w14:textId="77777777" w:rsidR="00660057" w:rsidRPr="00A66AAD" w:rsidRDefault="00660057">
            <w:pPr>
              <w:widowControl/>
              <w:jc w:val="center"/>
              <w:rPr>
                <w:rFonts w:cs="Arial"/>
                <w:color w:val="000000"/>
                <w:sz w:val="20"/>
                <w:lang w:eastAsia="es-MX"/>
              </w:rPr>
            </w:pPr>
            <w:r w:rsidRPr="00A66AAD">
              <w:rPr>
                <w:rFonts w:cs="Arial"/>
                <w:sz w:val="20"/>
                <w:lang w:eastAsia="es-MX"/>
              </w:rPr>
              <w:t>8.3</w:t>
            </w:r>
          </w:p>
        </w:tc>
      </w:tr>
      <w:tr w:rsidR="00660057" w:rsidRPr="00A66AAD" w14:paraId="62005CED" w14:textId="77777777">
        <w:trPr>
          <w:trHeight w:val="510"/>
        </w:trPr>
        <w:tc>
          <w:tcPr>
            <w:tcW w:w="220" w:type="dxa"/>
            <w:tcBorders>
              <w:top w:val="nil"/>
              <w:left w:val="nil"/>
              <w:right w:val="nil"/>
            </w:tcBorders>
            <w:shd w:val="clear" w:color="auto" w:fill="CCE2E6"/>
            <w:vAlign w:val="center"/>
            <w:hideMark/>
          </w:tcPr>
          <w:p w14:paraId="7819A9A6" w14:textId="77777777" w:rsidR="00660057" w:rsidRPr="00A66AAD" w:rsidRDefault="00660057">
            <w:pPr>
              <w:widowControl/>
              <w:jc w:val="left"/>
              <w:rPr>
                <w:rFonts w:ascii="Times New Roman" w:hAnsi="Times New Roman"/>
                <w:color w:val="000000"/>
                <w:sz w:val="20"/>
                <w:lang w:eastAsia="es-MX"/>
              </w:rPr>
            </w:pPr>
            <w:r w:rsidRPr="00A66AAD">
              <w:rPr>
                <w:rFonts w:ascii="Times New Roman" w:hAnsi="Times New Roman"/>
                <w:color w:val="000000"/>
                <w:sz w:val="20"/>
                <w:lang w:eastAsia="es-MX"/>
              </w:rPr>
              <w:t> </w:t>
            </w:r>
          </w:p>
        </w:tc>
        <w:tc>
          <w:tcPr>
            <w:tcW w:w="3000" w:type="dxa"/>
            <w:tcBorders>
              <w:top w:val="nil"/>
              <w:left w:val="nil"/>
              <w:right w:val="nil"/>
            </w:tcBorders>
            <w:shd w:val="clear" w:color="auto" w:fill="CCE2E6"/>
            <w:vAlign w:val="center"/>
            <w:hideMark/>
          </w:tcPr>
          <w:p w14:paraId="0B8E48E2" w14:textId="77777777" w:rsidR="00660057" w:rsidRPr="00A66AAD" w:rsidRDefault="00660057">
            <w:pPr>
              <w:widowControl/>
              <w:jc w:val="left"/>
              <w:rPr>
                <w:rFonts w:cs="Arial"/>
                <w:color w:val="000000"/>
                <w:sz w:val="20"/>
                <w:lang w:eastAsia="es-MX"/>
              </w:rPr>
            </w:pPr>
            <w:r w:rsidRPr="00A66AAD">
              <w:rPr>
                <w:rFonts w:cs="Arial"/>
                <w:sz w:val="20"/>
                <w:lang w:eastAsia="es-MX"/>
              </w:rPr>
              <w:t>Precios elevados de los insumos agrícolas</w:t>
            </w:r>
          </w:p>
        </w:tc>
        <w:tc>
          <w:tcPr>
            <w:tcW w:w="1360" w:type="dxa"/>
            <w:tcBorders>
              <w:top w:val="nil"/>
              <w:left w:val="nil"/>
              <w:right w:val="nil"/>
            </w:tcBorders>
            <w:shd w:val="clear" w:color="auto" w:fill="CCE2E6"/>
            <w:vAlign w:val="center"/>
            <w:hideMark/>
          </w:tcPr>
          <w:p w14:paraId="6C8EB814" w14:textId="77777777" w:rsidR="00660057" w:rsidRPr="00A66AAD" w:rsidRDefault="00660057">
            <w:pPr>
              <w:widowControl/>
              <w:jc w:val="center"/>
              <w:rPr>
                <w:rFonts w:cs="Arial"/>
                <w:color w:val="000000"/>
                <w:sz w:val="20"/>
                <w:lang w:eastAsia="es-MX"/>
              </w:rPr>
            </w:pPr>
            <w:r w:rsidRPr="00A66AAD">
              <w:rPr>
                <w:rFonts w:cs="Arial"/>
                <w:sz w:val="20"/>
                <w:lang w:eastAsia="es-MX"/>
              </w:rPr>
              <w:t>14.9</w:t>
            </w:r>
          </w:p>
        </w:tc>
        <w:tc>
          <w:tcPr>
            <w:tcW w:w="1360" w:type="dxa"/>
            <w:tcBorders>
              <w:top w:val="nil"/>
              <w:left w:val="nil"/>
              <w:right w:val="nil"/>
            </w:tcBorders>
            <w:shd w:val="clear" w:color="auto" w:fill="CCE2E6"/>
            <w:vAlign w:val="center"/>
            <w:hideMark/>
          </w:tcPr>
          <w:p w14:paraId="3A38B706" w14:textId="77777777" w:rsidR="00660057" w:rsidRPr="00A66AAD" w:rsidRDefault="00660057">
            <w:pPr>
              <w:widowControl/>
              <w:jc w:val="center"/>
              <w:rPr>
                <w:rFonts w:cs="Arial"/>
                <w:color w:val="000000"/>
                <w:sz w:val="20"/>
                <w:lang w:eastAsia="es-MX"/>
              </w:rPr>
            </w:pPr>
            <w:r w:rsidRPr="00A66AAD">
              <w:rPr>
                <w:rFonts w:cs="Arial"/>
                <w:sz w:val="20"/>
                <w:lang w:eastAsia="es-MX"/>
              </w:rPr>
              <w:t>19.8</w:t>
            </w:r>
          </w:p>
        </w:tc>
        <w:tc>
          <w:tcPr>
            <w:tcW w:w="1360" w:type="dxa"/>
            <w:tcBorders>
              <w:top w:val="nil"/>
              <w:left w:val="nil"/>
              <w:right w:val="nil"/>
            </w:tcBorders>
            <w:shd w:val="clear" w:color="auto" w:fill="CCE2E6"/>
            <w:vAlign w:val="center"/>
            <w:hideMark/>
          </w:tcPr>
          <w:p w14:paraId="2CD2406A" w14:textId="77777777" w:rsidR="00660057" w:rsidRPr="00A66AAD" w:rsidRDefault="00660057">
            <w:pPr>
              <w:widowControl/>
              <w:jc w:val="center"/>
              <w:rPr>
                <w:rFonts w:cs="Arial"/>
                <w:color w:val="000000"/>
                <w:sz w:val="20"/>
                <w:lang w:eastAsia="es-MX"/>
              </w:rPr>
            </w:pPr>
            <w:r w:rsidRPr="00A66AAD">
              <w:rPr>
                <w:rFonts w:cs="Arial"/>
                <w:sz w:val="20"/>
                <w:lang w:eastAsia="es-MX"/>
              </w:rPr>
              <w:t>21.7</w:t>
            </w:r>
          </w:p>
        </w:tc>
        <w:tc>
          <w:tcPr>
            <w:tcW w:w="2600" w:type="dxa"/>
            <w:tcBorders>
              <w:top w:val="nil"/>
              <w:left w:val="nil"/>
              <w:right w:val="nil"/>
            </w:tcBorders>
            <w:shd w:val="clear" w:color="auto" w:fill="CCE2E6"/>
            <w:vAlign w:val="center"/>
            <w:hideMark/>
          </w:tcPr>
          <w:p w14:paraId="18FDF72E" w14:textId="77777777" w:rsidR="00660057" w:rsidRPr="00A66AAD" w:rsidRDefault="00660057">
            <w:pPr>
              <w:widowControl/>
              <w:jc w:val="center"/>
              <w:rPr>
                <w:rFonts w:cs="Arial"/>
                <w:color w:val="000000"/>
                <w:sz w:val="20"/>
                <w:lang w:eastAsia="es-MX"/>
              </w:rPr>
            </w:pPr>
            <w:r w:rsidRPr="00A66AAD">
              <w:rPr>
                <w:rFonts w:cs="Arial"/>
                <w:sz w:val="20"/>
                <w:lang w:eastAsia="es-MX"/>
              </w:rPr>
              <w:t>19.5</w:t>
            </w:r>
          </w:p>
        </w:tc>
      </w:tr>
    </w:tbl>
    <w:p w14:paraId="42F9D94C" w14:textId="42B36BC6" w:rsidR="00660057" w:rsidRDefault="00834808" w:rsidP="00660057">
      <w:pPr>
        <w:widowControl/>
        <w:autoSpaceDE w:val="0"/>
        <w:autoSpaceDN w:val="0"/>
        <w:adjustRightInd w:val="0"/>
        <w:rPr>
          <w:rFonts w:cs="Arial"/>
          <w:color w:val="000000" w:themeColor="text1"/>
          <w:sz w:val="16"/>
          <w:szCs w:val="16"/>
        </w:rPr>
      </w:pPr>
      <w:r>
        <w:rPr>
          <w:rFonts w:cs="Arial"/>
          <w:color w:val="000000" w:themeColor="text1"/>
          <w:sz w:val="16"/>
          <w:szCs w:val="16"/>
        </w:rPr>
        <w:t xml:space="preserve">  </w:t>
      </w:r>
      <w:r w:rsidR="00660057">
        <w:rPr>
          <w:rFonts w:cs="Arial"/>
          <w:color w:val="000000" w:themeColor="text1"/>
          <w:sz w:val="16"/>
          <w:szCs w:val="16"/>
        </w:rPr>
        <w:t xml:space="preserve">Nota. </w:t>
      </w:r>
      <w:r>
        <w:rPr>
          <w:rFonts w:cs="Arial"/>
          <w:color w:val="000000" w:themeColor="text1"/>
          <w:sz w:val="16"/>
          <w:szCs w:val="16"/>
        </w:rPr>
        <w:t xml:space="preserve">    </w:t>
      </w:r>
      <w:r w:rsidR="00660057">
        <w:rPr>
          <w:rFonts w:cs="Arial"/>
          <w:color w:val="000000" w:themeColor="text1"/>
          <w:sz w:val="16"/>
          <w:szCs w:val="16"/>
        </w:rPr>
        <w:t>Los parciales suman más del 100 % debido a que los hogares pueden enfrentar más de un problema.</w:t>
      </w:r>
    </w:p>
    <w:p w14:paraId="0612135A" w14:textId="15B7DFEF" w:rsidR="00660057" w:rsidRPr="00560388" w:rsidRDefault="00834808" w:rsidP="00660057">
      <w:pPr>
        <w:widowControl/>
        <w:autoSpaceDE w:val="0"/>
        <w:autoSpaceDN w:val="0"/>
        <w:adjustRightInd w:val="0"/>
        <w:rPr>
          <w:rFonts w:cs="Arial"/>
          <w:sz w:val="16"/>
          <w:szCs w:val="16"/>
        </w:rPr>
      </w:pPr>
      <w:r>
        <w:rPr>
          <w:rFonts w:cs="Arial"/>
          <w:color w:val="000000" w:themeColor="text1"/>
          <w:sz w:val="16"/>
          <w:szCs w:val="16"/>
        </w:rPr>
        <w:t xml:space="preserve">  </w:t>
      </w:r>
      <w:r w:rsidR="00660057" w:rsidRPr="00560388">
        <w:rPr>
          <w:rFonts w:cs="Arial"/>
          <w:color w:val="000000" w:themeColor="text1"/>
          <w:sz w:val="16"/>
          <w:szCs w:val="16"/>
        </w:rPr>
        <w:t>Fuente: INEGI, ENTI. 2022.</w:t>
      </w:r>
    </w:p>
    <w:p w14:paraId="3C5F280C" w14:textId="0D4BCB92" w:rsidR="00C81EAB" w:rsidRPr="00114F00" w:rsidRDefault="00C81EAB">
      <w:pPr>
        <w:widowControl/>
        <w:autoSpaceDE w:val="0"/>
        <w:autoSpaceDN w:val="0"/>
        <w:adjustRightInd w:val="0"/>
        <w:rPr>
          <w:rFonts w:cs="Arial"/>
          <w:sz w:val="16"/>
          <w:szCs w:val="16"/>
        </w:rPr>
      </w:pPr>
    </w:p>
    <w:p w14:paraId="4D79AEC2" w14:textId="77777777" w:rsidR="009F250B" w:rsidRDefault="009F250B" w:rsidP="00114F00">
      <w:pPr>
        <w:widowControl/>
        <w:autoSpaceDE w:val="0"/>
        <w:autoSpaceDN w:val="0"/>
        <w:adjustRightInd w:val="0"/>
        <w:rPr>
          <w:rFonts w:cs="Arial"/>
          <w:color w:val="000000"/>
          <w:szCs w:val="24"/>
        </w:rPr>
      </w:pPr>
    </w:p>
    <w:p w14:paraId="1C056A50" w14:textId="74BEC455" w:rsidR="00A62662" w:rsidRPr="0037646C" w:rsidRDefault="00A62662" w:rsidP="003353B8">
      <w:pPr>
        <w:widowControl/>
        <w:autoSpaceDE w:val="0"/>
        <w:autoSpaceDN w:val="0"/>
        <w:adjustRightInd w:val="0"/>
        <w:ind w:right="51"/>
        <w:rPr>
          <w:rFonts w:cs="Arial"/>
          <w:color w:val="000000"/>
          <w:szCs w:val="24"/>
        </w:rPr>
      </w:pPr>
      <w:r>
        <w:rPr>
          <w:rFonts w:cs="Arial"/>
          <w:color w:val="000000"/>
          <w:szCs w:val="24"/>
        </w:rPr>
        <w:t>En el periodo de 2009 a 2022</w:t>
      </w:r>
      <w:r w:rsidR="0085690E">
        <w:rPr>
          <w:rFonts w:cs="Arial"/>
          <w:color w:val="000000"/>
          <w:szCs w:val="24"/>
        </w:rPr>
        <w:t>,</w:t>
      </w:r>
      <w:r w:rsidRPr="0037646C">
        <w:rPr>
          <w:rFonts w:cs="Arial"/>
          <w:color w:val="000000"/>
          <w:szCs w:val="24"/>
        </w:rPr>
        <w:t xml:space="preserve"> la tasa de hogares con ocupación infantil no permitida registró una disminución de 14.5 a 10.6 </w:t>
      </w:r>
      <w:r w:rsidR="003A1E41">
        <w:rPr>
          <w:rFonts w:cs="Arial"/>
          <w:color w:val="000000"/>
          <w:szCs w:val="24"/>
        </w:rPr>
        <w:t>por ciento</w:t>
      </w:r>
      <w:r w:rsidRPr="0037646C">
        <w:rPr>
          <w:rFonts w:cs="Arial"/>
          <w:color w:val="000000"/>
          <w:szCs w:val="24"/>
        </w:rPr>
        <w:t>.</w:t>
      </w:r>
      <w:r w:rsidR="00076EED">
        <w:rPr>
          <w:rFonts w:cs="Arial"/>
          <w:color w:val="000000"/>
          <w:szCs w:val="24"/>
        </w:rPr>
        <w:t xml:space="preserve"> Con respecto a 2019</w:t>
      </w:r>
      <w:r w:rsidR="00E878AE">
        <w:rPr>
          <w:rFonts w:cs="Arial"/>
          <w:color w:val="000000"/>
          <w:szCs w:val="24"/>
        </w:rPr>
        <w:t>, e</w:t>
      </w:r>
      <w:r w:rsidR="003A1E41">
        <w:rPr>
          <w:rFonts w:cs="Arial"/>
          <w:color w:val="000000"/>
          <w:szCs w:val="24"/>
        </w:rPr>
        <w:t xml:space="preserve">n </w:t>
      </w:r>
      <w:r w:rsidR="00E878AE">
        <w:rPr>
          <w:rFonts w:cs="Arial"/>
          <w:color w:val="000000"/>
          <w:szCs w:val="24"/>
        </w:rPr>
        <w:t xml:space="preserve">2022 </w:t>
      </w:r>
      <w:r w:rsidR="003A1E41">
        <w:rPr>
          <w:rFonts w:cs="Arial"/>
          <w:color w:val="000000"/>
          <w:szCs w:val="24"/>
        </w:rPr>
        <w:t>hubo</w:t>
      </w:r>
      <w:r w:rsidR="00E878AE">
        <w:rPr>
          <w:rFonts w:cs="Arial"/>
          <w:color w:val="000000"/>
          <w:szCs w:val="24"/>
        </w:rPr>
        <w:t xml:space="preserve"> </w:t>
      </w:r>
      <w:r w:rsidR="006E2162">
        <w:rPr>
          <w:rFonts w:cs="Arial"/>
          <w:color w:val="000000"/>
          <w:szCs w:val="24"/>
        </w:rPr>
        <w:t>un incremento</w:t>
      </w:r>
      <w:r w:rsidR="00076EED">
        <w:rPr>
          <w:rFonts w:cs="Arial"/>
          <w:color w:val="000000"/>
          <w:szCs w:val="24"/>
        </w:rPr>
        <w:t xml:space="preserve"> de una décima</w:t>
      </w:r>
      <w:r w:rsidR="004E0174">
        <w:rPr>
          <w:rFonts w:cs="Arial"/>
          <w:color w:val="000000"/>
          <w:szCs w:val="24"/>
        </w:rPr>
        <w:t xml:space="preserve">, al pasar de 10.5 a 10.6 por ciento </w:t>
      </w:r>
      <w:r w:rsidR="004E0174">
        <w:rPr>
          <w:rFonts w:cs="Arial"/>
          <w:szCs w:val="24"/>
        </w:rPr>
        <w:t>(ver gráfica 15)</w:t>
      </w:r>
      <w:r w:rsidR="00E878AE">
        <w:rPr>
          <w:rFonts w:cs="Arial"/>
          <w:color w:val="000000"/>
          <w:szCs w:val="24"/>
        </w:rPr>
        <w:t>.</w:t>
      </w:r>
    </w:p>
    <w:p w14:paraId="0E72CE0B" w14:textId="67C2A129" w:rsidR="00C50BCB" w:rsidRDefault="00114F00" w:rsidP="003353B8">
      <w:pPr>
        <w:widowControl/>
        <w:ind w:right="51"/>
        <w:jc w:val="left"/>
        <w:rPr>
          <w:rFonts w:cs="Arial"/>
          <w:noProof/>
          <w:szCs w:val="24"/>
        </w:rPr>
      </w:pPr>
      <w:r>
        <w:rPr>
          <w:rFonts w:cs="Arial"/>
          <w:noProof/>
          <w:szCs w:val="24"/>
        </w:rPr>
        <w:t xml:space="preserve">      </w:t>
      </w:r>
    </w:p>
    <w:p w14:paraId="2720B1BF" w14:textId="77777777" w:rsidR="00EE7E37" w:rsidRPr="003353B8" w:rsidRDefault="009135F6" w:rsidP="003353B8">
      <w:pPr>
        <w:widowControl/>
        <w:autoSpaceDE w:val="0"/>
        <w:autoSpaceDN w:val="0"/>
        <w:adjustRightInd w:val="0"/>
        <w:ind w:left="142" w:right="900"/>
        <w:jc w:val="center"/>
        <w:rPr>
          <w:rFonts w:cs="Arial"/>
          <w:noProof/>
          <w:sz w:val="20"/>
        </w:rPr>
      </w:pPr>
      <w:r w:rsidRPr="003353B8">
        <w:rPr>
          <w:rFonts w:cs="Arial"/>
          <w:noProof/>
          <w:sz w:val="20"/>
        </w:rPr>
        <w:t xml:space="preserve">    </w:t>
      </w:r>
      <w:r w:rsidR="00EE7E37" w:rsidRPr="003353B8">
        <w:rPr>
          <w:rFonts w:cs="Arial"/>
          <w:noProof/>
          <w:sz w:val="20"/>
        </w:rPr>
        <w:t>Gráfica 15</w:t>
      </w:r>
    </w:p>
    <w:p w14:paraId="2C4FBE0F" w14:textId="77777777" w:rsidR="00EE7E37" w:rsidRPr="003353B8" w:rsidRDefault="00EE7E37" w:rsidP="003353B8">
      <w:pPr>
        <w:widowControl/>
        <w:autoSpaceDE w:val="0"/>
        <w:autoSpaceDN w:val="0"/>
        <w:adjustRightInd w:val="0"/>
        <w:ind w:right="51"/>
        <w:jc w:val="center"/>
        <w:rPr>
          <w:rFonts w:cs="Arial"/>
          <w:b/>
          <w:bCs/>
          <w:smallCaps/>
          <w:noProof/>
          <w:sz w:val="22"/>
          <w:szCs w:val="22"/>
        </w:rPr>
      </w:pPr>
      <w:r w:rsidRPr="003353B8">
        <w:rPr>
          <w:rFonts w:cs="Arial"/>
          <w:b/>
          <w:bCs/>
          <w:smallCaps/>
          <w:noProof/>
          <w:sz w:val="22"/>
          <w:szCs w:val="22"/>
        </w:rPr>
        <w:t>Tasa de hogares con ocupación infantil no permitida según jefatura del hogar, 2009-2022</w:t>
      </w:r>
    </w:p>
    <w:p w14:paraId="0A3B1ED8" w14:textId="77777777" w:rsidR="00EE7E37" w:rsidRPr="0003346F" w:rsidRDefault="00EE7E37" w:rsidP="003353B8">
      <w:pPr>
        <w:widowControl/>
        <w:autoSpaceDE w:val="0"/>
        <w:autoSpaceDN w:val="0"/>
        <w:adjustRightInd w:val="0"/>
        <w:ind w:left="709" w:right="900" w:hanging="709"/>
        <w:jc w:val="center"/>
        <w:rPr>
          <w:rFonts w:cs="Arial"/>
          <w:noProof/>
          <w:sz w:val="18"/>
          <w:szCs w:val="18"/>
        </w:rPr>
      </w:pPr>
      <w:r w:rsidRPr="0003346F">
        <w:rPr>
          <w:rFonts w:cs="Arial"/>
          <w:noProof/>
          <w:sz w:val="18"/>
          <w:szCs w:val="18"/>
        </w:rPr>
        <w:t>(</w:t>
      </w:r>
      <w:r>
        <w:rPr>
          <w:rFonts w:cs="Arial"/>
          <w:noProof/>
          <w:sz w:val="18"/>
          <w:szCs w:val="18"/>
        </w:rPr>
        <w:t>p</w:t>
      </w:r>
      <w:r w:rsidRPr="0003346F">
        <w:rPr>
          <w:rFonts w:cs="Arial"/>
          <w:noProof/>
          <w:sz w:val="18"/>
          <w:szCs w:val="18"/>
        </w:rPr>
        <w:t>orcentaje respecto a los hogares con población de 5 a 17 años)</w:t>
      </w:r>
    </w:p>
    <w:p w14:paraId="191AEC55" w14:textId="77777777" w:rsidR="00EE7E37" w:rsidRPr="00601F69" w:rsidRDefault="00EE7E37" w:rsidP="00EE7E37">
      <w:pPr>
        <w:widowControl/>
        <w:jc w:val="center"/>
        <w:rPr>
          <w:rFonts w:ascii="Times New Roman" w:hAnsi="Times New Roman"/>
          <w:szCs w:val="24"/>
          <w:lang w:eastAsia="es-MX"/>
        </w:rPr>
      </w:pPr>
      <w:r>
        <w:rPr>
          <w:noProof/>
        </w:rPr>
        <w:drawing>
          <wp:inline distT="0" distB="0" distL="0" distR="0" wp14:anchorId="1CF8B314" wp14:editId="0BFAB58D">
            <wp:extent cx="6333490" cy="2935605"/>
            <wp:effectExtent l="0" t="0" r="0" b="0"/>
            <wp:docPr id="1337283112" name="Gráfico 1">
              <a:extLst xmlns:a="http://schemas.openxmlformats.org/drawingml/2006/main">
                <a:ext uri="{FF2B5EF4-FFF2-40B4-BE49-F238E27FC236}">
                  <a16:creationId xmlns:a16="http://schemas.microsoft.com/office/drawing/2014/main" id="{AF506159-FFE9-4CB2-AB10-60111B5571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38E944A2" w14:textId="77777777" w:rsidR="00EE7E37" w:rsidRDefault="00EE7E37" w:rsidP="00EE7E37">
      <w:pPr>
        <w:widowControl/>
        <w:autoSpaceDE w:val="0"/>
        <w:autoSpaceDN w:val="0"/>
        <w:adjustRightInd w:val="0"/>
        <w:spacing w:line="276" w:lineRule="auto"/>
        <w:jc w:val="left"/>
        <w:rPr>
          <w:rFonts w:cs="Arial"/>
          <w:color w:val="000000" w:themeColor="text1"/>
          <w:sz w:val="16"/>
          <w:szCs w:val="16"/>
        </w:rPr>
      </w:pPr>
      <w:r w:rsidRPr="00CD6FE9">
        <w:rPr>
          <w:rFonts w:cs="Arial"/>
          <w:color w:val="000000" w:themeColor="text1"/>
          <w:sz w:val="16"/>
          <w:szCs w:val="16"/>
        </w:rPr>
        <w:lastRenderedPageBreak/>
        <w:t>Fuente:</w:t>
      </w:r>
      <w:r w:rsidRPr="00CD6FE9">
        <w:rPr>
          <w:rFonts w:cs="Arial"/>
          <w:color w:val="000000" w:themeColor="text1"/>
          <w:sz w:val="16"/>
          <w:szCs w:val="16"/>
        </w:rPr>
        <w:tab/>
        <w:t>INEGI,</w:t>
      </w:r>
      <w:r>
        <w:rPr>
          <w:rFonts w:cs="Arial"/>
          <w:color w:val="000000" w:themeColor="text1"/>
          <w:sz w:val="16"/>
          <w:szCs w:val="16"/>
        </w:rPr>
        <w:t xml:space="preserve"> MTI. 2009 a 2017. </w:t>
      </w:r>
      <w:r w:rsidRPr="00CD6FE9">
        <w:rPr>
          <w:rFonts w:cs="Arial"/>
          <w:color w:val="000000" w:themeColor="text1"/>
          <w:sz w:val="16"/>
          <w:szCs w:val="16"/>
        </w:rPr>
        <w:t>ENTI</w:t>
      </w:r>
      <w:r>
        <w:rPr>
          <w:rFonts w:cs="Arial"/>
          <w:color w:val="000000" w:themeColor="text1"/>
          <w:sz w:val="16"/>
          <w:szCs w:val="16"/>
        </w:rPr>
        <w:t>.</w:t>
      </w:r>
      <w:r w:rsidRPr="00CD6FE9">
        <w:rPr>
          <w:rFonts w:cs="Arial"/>
          <w:color w:val="000000" w:themeColor="text1"/>
          <w:sz w:val="16"/>
          <w:szCs w:val="16"/>
        </w:rPr>
        <w:t xml:space="preserve"> 2019 y 2022.</w:t>
      </w:r>
    </w:p>
    <w:p w14:paraId="67FAC6D4" w14:textId="77777777" w:rsidR="00EE7E37" w:rsidRPr="00C50BCB" w:rsidRDefault="00EE7E37" w:rsidP="00EE7E37">
      <w:pPr>
        <w:widowControl/>
        <w:autoSpaceDE w:val="0"/>
        <w:autoSpaceDN w:val="0"/>
        <w:adjustRightInd w:val="0"/>
        <w:rPr>
          <w:rFonts w:cs="Arial"/>
          <w:color w:val="000000"/>
          <w:szCs w:val="24"/>
        </w:rPr>
      </w:pPr>
    </w:p>
    <w:p w14:paraId="22A34954" w14:textId="71821870" w:rsidR="00791592" w:rsidRPr="00114F00" w:rsidRDefault="00F53141" w:rsidP="00DA1FFF">
      <w:pPr>
        <w:pStyle w:val="Prrafodelista"/>
        <w:widowControl/>
        <w:numPr>
          <w:ilvl w:val="0"/>
          <w:numId w:val="9"/>
        </w:numPr>
        <w:autoSpaceDE w:val="0"/>
        <w:autoSpaceDN w:val="0"/>
        <w:adjustRightInd w:val="0"/>
        <w:ind w:left="142" w:hanging="284"/>
        <w:jc w:val="center"/>
        <w:rPr>
          <w:rFonts w:ascii="Arial Negrita" w:hAnsi="Arial Negrita" w:cs="Arial"/>
          <w:b/>
          <w:bCs/>
          <w:smallCaps/>
          <w:color w:val="000000"/>
          <w:szCs w:val="24"/>
        </w:rPr>
      </w:pPr>
      <w:r>
        <w:rPr>
          <w:rFonts w:ascii="Arial Negrita" w:hAnsi="Arial Negrita" w:cs="Arial"/>
          <w:b/>
          <w:bCs/>
          <w:smallCaps/>
          <w:color w:val="000000"/>
          <w:szCs w:val="24"/>
        </w:rPr>
        <w:t>V</w:t>
      </w:r>
      <w:r w:rsidRPr="00F53141">
        <w:rPr>
          <w:rFonts w:ascii="Arial Negrita" w:hAnsi="Arial Negrita" w:cs="Arial"/>
          <w:b/>
          <w:bCs/>
          <w:smallCaps/>
          <w:color w:val="000000"/>
          <w:szCs w:val="24"/>
        </w:rPr>
        <w:t>iviendas</w:t>
      </w:r>
    </w:p>
    <w:p w14:paraId="6D40EC5C" w14:textId="77777777" w:rsidR="00791592" w:rsidRDefault="00791592" w:rsidP="0085690E">
      <w:pPr>
        <w:widowControl/>
        <w:autoSpaceDE w:val="0"/>
        <w:autoSpaceDN w:val="0"/>
        <w:adjustRightInd w:val="0"/>
        <w:rPr>
          <w:rFonts w:cs="Arial"/>
          <w:color w:val="000000"/>
          <w:szCs w:val="24"/>
        </w:rPr>
      </w:pPr>
    </w:p>
    <w:p w14:paraId="6A77CF94" w14:textId="78B325FF" w:rsidR="00945779" w:rsidRDefault="00D11342" w:rsidP="003353B8">
      <w:pPr>
        <w:widowControl/>
        <w:autoSpaceDE w:val="0"/>
        <w:autoSpaceDN w:val="0"/>
        <w:adjustRightInd w:val="0"/>
        <w:ind w:right="51"/>
        <w:rPr>
          <w:rFonts w:cs="Arial"/>
          <w:color w:val="000000"/>
          <w:szCs w:val="24"/>
        </w:rPr>
      </w:pPr>
      <w:r>
        <w:rPr>
          <w:rFonts w:cs="Arial"/>
          <w:color w:val="000000"/>
          <w:szCs w:val="24"/>
        </w:rPr>
        <w:t xml:space="preserve">Las características de las viviendas con </w:t>
      </w:r>
      <w:r w:rsidR="00D92FDD">
        <w:rPr>
          <w:rFonts w:cs="Arial"/>
          <w:color w:val="000000"/>
          <w:szCs w:val="24"/>
        </w:rPr>
        <w:t>población de 5 a 17 años</w:t>
      </w:r>
      <w:r>
        <w:rPr>
          <w:rFonts w:cs="Arial"/>
          <w:color w:val="000000"/>
          <w:szCs w:val="24"/>
        </w:rPr>
        <w:t xml:space="preserve"> fueron captadas por primera vez en </w:t>
      </w:r>
      <w:r w:rsidR="0060446D">
        <w:rPr>
          <w:rFonts w:cs="Arial"/>
          <w:color w:val="000000"/>
          <w:szCs w:val="24"/>
        </w:rPr>
        <w:t xml:space="preserve">la ENTI 2022 </w:t>
      </w:r>
      <w:r>
        <w:rPr>
          <w:rFonts w:cs="Arial"/>
          <w:color w:val="000000"/>
          <w:szCs w:val="24"/>
        </w:rPr>
        <w:t xml:space="preserve">y los principales resultados fueron: 16.9 millones de viviendas con población de 5 a 17 años, </w:t>
      </w:r>
      <w:r w:rsidR="00945779">
        <w:rPr>
          <w:rFonts w:cs="Arial"/>
          <w:color w:val="000000"/>
          <w:szCs w:val="24"/>
        </w:rPr>
        <w:t xml:space="preserve">de los cuales, 3.1 millones (18.2 %) fueron viviendas con trabajo infantil, 1.8 millones (10.6 %) viviendas con ocupación no permitida y 1.7 millones (9.9 %) viviendas con </w:t>
      </w:r>
      <w:r w:rsidR="00D92FDD">
        <w:rPr>
          <w:rFonts w:cs="Arial"/>
          <w:color w:val="000000"/>
          <w:szCs w:val="24"/>
        </w:rPr>
        <w:t>población de 5 a 17 años</w:t>
      </w:r>
      <w:r w:rsidR="00945779">
        <w:rPr>
          <w:rFonts w:cs="Arial"/>
          <w:color w:val="000000"/>
          <w:szCs w:val="24"/>
        </w:rPr>
        <w:t xml:space="preserve"> en quehaceres domésticos en condiciones no adecuadas.</w:t>
      </w:r>
      <w:r w:rsidR="00114F00">
        <w:rPr>
          <w:rFonts w:cs="Arial"/>
          <w:color w:val="000000"/>
          <w:szCs w:val="24"/>
        </w:rPr>
        <w:t xml:space="preserve"> </w:t>
      </w:r>
      <w:r w:rsidR="00B8262A">
        <w:rPr>
          <w:rFonts w:cs="Arial"/>
          <w:color w:val="000000"/>
          <w:szCs w:val="24"/>
        </w:rPr>
        <w:t>L</w:t>
      </w:r>
      <w:r w:rsidR="00945779">
        <w:rPr>
          <w:rFonts w:cs="Arial"/>
          <w:color w:val="000000"/>
          <w:szCs w:val="24"/>
        </w:rPr>
        <w:t>os ocupantes de las viviendas</w:t>
      </w:r>
      <w:r w:rsidR="00B8262A">
        <w:rPr>
          <w:rFonts w:cs="Arial"/>
          <w:color w:val="000000"/>
          <w:szCs w:val="24"/>
        </w:rPr>
        <w:t xml:space="preserve"> con </w:t>
      </w:r>
      <w:r w:rsidR="00D92FDD">
        <w:rPr>
          <w:rFonts w:cs="Arial"/>
          <w:color w:val="000000"/>
          <w:szCs w:val="24"/>
        </w:rPr>
        <w:t>población de 5 a 17 años</w:t>
      </w:r>
      <w:r w:rsidR="00945779">
        <w:rPr>
          <w:rFonts w:cs="Arial"/>
          <w:color w:val="000000"/>
          <w:szCs w:val="24"/>
        </w:rPr>
        <w:t xml:space="preserve"> fueron 78.1 millones de personas, de los cuales, 15.3 millones (19.6 %) residieron en viviendas con trabajo infantil; asimismo, en viviendas con ocupación no permitida </w:t>
      </w:r>
      <w:r w:rsidR="000C64BD">
        <w:rPr>
          <w:rFonts w:cs="Arial"/>
          <w:color w:val="000000"/>
          <w:szCs w:val="24"/>
        </w:rPr>
        <w:t>vivían</w:t>
      </w:r>
      <w:r w:rsidR="00945779">
        <w:rPr>
          <w:rFonts w:cs="Arial"/>
          <w:color w:val="000000"/>
          <w:szCs w:val="24"/>
        </w:rPr>
        <w:t xml:space="preserve"> 9.1 millones (11.7 %) y en viviendas con quehaceres domésticos en condiciones no adecuadas, 8.3 millones (10.6 %)</w:t>
      </w:r>
      <w:r w:rsidR="004E0174">
        <w:rPr>
          <w:rFonts w:cs="Arial"/>
          <w:color w:val="000000"/>
          <w:szCs w:val="24"/>
        </w:rPr>
        <w:t xml:space="preserve"> </w:t>
      </w:r>
      <w:r w:rsidR="00731301">
        <w:rPr>
          <w:rFonts w:cs="Arial"/>
          <w:color w:val="000000"/>
          <w:szCs w:val="24"/>
        </w:rPr>
        <w:t xml:space="preserve">de personas </w:t>
      </w:r>
      <w:r w:rsidR="004E0174">
        <w:rPr>
          <w:rFonts w:cs="Arial"/>
          <w:szCs w:val="24"/>
        </w:rPr>
        <w:t>(ver cuadro 3</w:t>
      </w:r>
      <w:r w:rsidR="004D4F9A">
        <w:rPr>
          <w:rFonts w:cs="Arial"/>
          <w:szCs w:val="24"/>
        </w:rPr>
        <w:t>2</w:t>
      </w:r>
      <w:r w:rsidR="004E0174">
        <w:rPr>
          <w:rFonts w:cs="Arial"/>
          <w:szCs w:val="24"/>
        </w:rPr>
        <w:t>)</w:t>
      </w:r>
      <w:r w:rsidR="00945779">
        <w:rPr>
          <w:rFonts w:cs="Arial"/>
          <w:color w:val="000000"/>
          <w:szCs w:val="24"/>
        </w:rPr>
        <w:t>.</w:t>
      </w:r>
    </w:p>
    <w:p w14:paraId="14B18794" w14:textId="77777777" w:rsidR="003353B8" w:rsidRDefault="003353B8" w:rsidP="003353B8">
      <w:pPr>
        <w:widowControl/>
        <w:autoSpaceDE w:val="0"/>
        <w:autoSpaceDN w:val="0"/>
        <w:adjustRightInd w:val="0"/>
        <w:jc w:val="center"/>
        <w:rPr>
          <w:rFonts w:cs="Arial"/>
          <w:color w:val="000000"/>
          <w:szCs w:val="24"/>
        </w:rPr>
      </w:pPr>
    </w:p>
    <w:p w14:paraId="75C6E6EC" w14:textId="5F3F266A" w:rsidR="00660057" w:rsidRPr="003353B8" w:rsidRDefault="00660057" w:rsidP="003353B8">
      <w:pPr>
        <w:widowControl/>
        <w:autoSpaceDE w:val="0"/>
        <w:autoSpaceDN w:val="0"/>
        <w:adjustRightInd w:val="0"/>
        <w:jc w:val="center"/>
        <w:rPr>
          <w:rFonts w:cs="Arial"/>
          <w:color w:val="000000"/>
          <w:sz w:val="20"/>
        </w:rPr>
      </w:pPr>
      <w:r w:rsidRPr="003353B8">
        <w:rPr>
          <w:rFonts w:cs="Arial"/>
          <w:color w:val="000000"/>
          <w:sz w:val="20"/>
        </w:rPr>
        <w:t>Cuadro 3</w:t>
      </w:r>
      <w:r w:rsidR="002C2946" w:rsidRPr="003353B8">
        <w:rPr>
          <w:rFonts w:cs="Arial"/>
          <w:color w:val="000000"/>
          <w:sz w:val="20"/>
        </w:rPr>
        <w:t>2</w:t>
      </w:r>
    </w:p>
    <w:p w14:paraId="6A95E75D" w14:textId="77777777" w:rsidR="00660057" w:rsidRPr="003353B8" w:rsidRDefault="00660057" w:rsidP="003353B8">
      <w:pPr>
        <w:widowControl/>
        <w:autoSpaceDE w:val="0"/>
        <w:autoSpaceDN w:val="0"/>
        <w:adjustRightInd w:val="0"/>
        <w:jc w:val="center"/>
        <w:rPr>
          <w:rFonts w:cs="Arial"/>
          <w:b/>
          <w:bCs/>
          <w:smallCaps/>
          <w:color w:val="000000"/>
          <w:sz w:val="22"/>
          <w:szCs w:val="22"/>
        </w:rPr>
      </w:pPr>
      <w:r w:rsidRPr="003353B8">
        <w:rPr>
          <w:rFonts w:cs="Arial"/>
          <w:b/>
          <w:bCs/>
          <w:smallCaps/>
          <w:color w:val="000000"/>
          <w:sz w:val="22"/>
          <w:szCs w:val="22"/>
        </w:rPr>
        <w:t>Viviendas con población de 5 a 17 años y ocupantes por forma de trabajo infantil</w:t>
      </w:r>
    </w:p>
    <w:tbl>
      <w:tblPr>
        <w:tblW w:w="9940" w:type="dxa"/>
        <w:tblCellMar>
          <w:left w:w="70" w:type="dxa"/>
          <w:right w:w="70" w:type="dxa"/>
        </w:tblCellMar>
        <w:tblLook w:val="04A0" w:firstRow="1" w:lastRow="0" w:firstColumn="1" w:lastColumn="0" w:noHBand="0" w:noVBand="1"/>
      </w:tblPr>
      <w:tblGrid>
        <w:gridCol w:w="220"/>
        <w:gridCol w:w="3280"/>
        <w:gridCol w:w="1320"/>
        <w:gridCol w:w="1320"/>
        <w:gridCol w:w="1320"/>
        <w:gridCol w:w="2480"/>
      </w:tblGrid>
      <w:tr w:rsidR="00660057" w:rsidRPr="00843D1A" w14:paraId="11A1F040" w14:textId="77777777">
        <w:trPr>
          <w:trHeight w:val="315"/>
        </w:trPr>
        <w:tc>
          <w:tcPr>
            <w:tcW w:w="3500" w:type="dxa"/>
            <w:gridSpan w:val="2"/>
            <w:vMerge w:val="restart"/>
            <w:tcBorders>
              <w:top w:val="nil"/>
              <w:left w:val="nil"/>
              <w:bottom w:val="nil"/>
              <w:right w:val="nil"/>
            </w:tcBorders>
            <w:shd w:val="clear" w:color="auto" w:fill="338B99"/>
            <w:vAlign w:val="center"/>
            <w:hideMark/>
          </w:tcPr>
          <w:p w14:paraId="20D4B7C3" w14:textId="77777777" w:rsidR="00660057" w:rsidRPr="00843D1A" w:rsidRDefault="00660057" w:rsidP="00562DA7">
            <w:pPr>
              <w:widowControl/>
              <w:jc w:val="left"/>
              <w:rPr>
                <w:rFonts w:cs="Arial"/>
                <w:b/>
                <w:color w:val="FFFFFF"/>
                <w:sz w:val="20"/>
                <w:lang w:eastAsia="es-MX"/>
              </w:rPr>
            </w:pPr>
            <w:r w:rsidRPr="00843D1A">
              <w:rPr>
                <w:rFonts w:cs="Arial"/>
                <w:b/>
                <w:color w:val="FFFFFF"/>
                <w:sz w:val="20"/>
                <w:lang w:eastAsia="es-MX"/>
              </w:rPr>
              <w:t>Características de las viviendas</w:t>
            </w:r>
          </w:p>
        </w:tc>
        <w:tc>
          <w:tcPr>
            <w:tcW w:w="6440" w:type="dxa"/>
            <w:gridSpan w:val="4"/>
            <w:tcBorders>
              <w:top w:val="nil"/>
              <w:left w:val="nil"/>
              <w:bottom w:val="single" w:sz="4" w:space="0" w:color="FFFFFF"/>
              <w:right w:val="nil"/>
            </w:tcBorders>
            <w:shd w:val="clear" w:color="auto" w:fill="338B99"/>
            <w:vAlign w:val="center"/>
            <w:hideMark/>
          </w:tcPr>
          <w:p w14:paraId="1B9A830B" w14:textId="77777777" w:rsidR="00660057" w:rsidRPr="00843D1A" w:rsidRDefault="00660057" w:rsidP="00562DA7">
            <w:pPr>
              <w:widowControl/>
              <w:jc w:val="center"/>
              <w:rPr>
                <w:rFonts w:cs="Arial"/>
                <w:b/>
                <w:color w:val="FFFFFF"/>
                <w:sz w:val="20"/>
                <w:lang w:eastAsia="es-MX"/>
              </w:rPr>
            </w:pPr>
            <w:r w:rsidRPr="00843D1A">
              <w:rPr>
                <w:rFonts w:cs="Arial"/>
                <w:b/>
                <w:color w:val="FFFFFF" w:themeColor="background1"/>
                <w:sz w:val="20"/>
                <w:lang w:eastAsia="es-MX"/>
              </w:rPr>
              <w:t>Viviendas con:</w:t>
            </w:r>
          </w:p>
        </w:tc>
      </w:tr>
      <w:tr w:rsidR="00660057" w:rsidRPr="00843D1A" w14:paraId="61A49399" w14:textId="77777777">
        <w:trPr>
          <w:trHeight w:val="870"/>
        </w:trPr>
        <w:tc>
          <w:tcPr>
            <w:tcW w:w="3500" w:type="dxa"/>
            <w:gridSpan w:val="2"/>
            <w:vMerge/>
            <w:tcBorders>
              <w:top w:val="nil"/>
              <w:left w:val="nil"/>
              <w:bottom w:val="nil"/>
              <w:right w:val="nil"/>
            </w:tcBorders>
            <w:shd w:val="clear" w:color="auto" w:fill="338B99"/>
            <w:vAlign w:val="center"/>
            <w:hideMark/>
          </w:tcPr>
          <w:p w14:paraId="0C8A8405" w14:textId="77777777" w:rsidR="00660057" w:rsidRPr="00843D1A" w:rsidRDefault="00660057" w:rsidP="00562DA7">
            <w:pPr>
              <w:widowControl/>
              <w:jc w:val="left"/>
              <w:rPr>
                <w:rFonts w:cs="Arial"/>
                <w:b/>
                <w:color w:val="FFFFFF"/>
                <w:sz w:val="20"/>
                <w:lang w:eastAsia="es-MX"/>
              </w:rPr>
            </w:pPr>
          </w:p>
        </w:tc>
        <w:tc>
          <w:tcPr>
            <w:tcW w:w="1320" w:type="dxa"/>
            <w:tcBorders>
              <w:top w:val="nil"/>
              <w:left w:val="nil"/>
              <w:bottom w:val="nil"/>
              <w:right w:val="nil"/>
            </w:tcBorders>
            <w:shd w:val="clear" w:color="auto" w:fill="338B99"/>
            <w:vAlign w:val="center"/>
            <w:hideMark/>
          </w:tcPr>
          <w:p w14:paraId="38F77335" w14:textId="77777777" w:rsidR="00660057" w:rsidRPr="00843D1A" w:rsidRDefault="00660057" w:rsidP="00562DA7">
            <w:pPr>
              <w:widowControl/>
              <w:jc w:val="center"/>
              <w:rPr>
                <w:rFonts w:cs="Arial"/>
                <w:b/>
                <w:color w:val="FFFFFF"/>
                <w:sz w:val="20"/>
                <w:lang w:eastAsia="es-MX"/>
              </w:rPr>
            </w:pPr>
            <w:r w:rsidRPr="00843D1A">
              <w:rPr>
                <w:rFonts w:cs="Arial"/>
                <w:b/>
                <w:color w:val="FFFFFF" w:themeColor="background1"/>
                <w:sz w:val="20"/>
                <w:lang w:eastAsia="es-MX"/>
              </w:rPr>
              <w:t>población de 5 a 17 años</w:t>
            </w:r>
          </w:p>
        </w:tc>
        <w:tc>
          <w:tcPr>
            <w:tcW w:w="1320" w:type="dxa"/>
            <w:tcBorders>
              <w:top w:val="nil"/>
              <w:left w:val="nil"/>
              <w:bottom w:val="nil"/>
              <w:right w:val="nil"/>
            </w:tcBorders>
            <w:shd w:val="clear" w:color="auto" w:fill="338B99"/>
            <w:vAlign w:val="center"/>
            <w:hideMark/>
          </w:tcPr>
          <w:p w14:paraId="080B855C" w14:textId="77777777" w:rsidR="00660057" w:rsidRPr="00843D1A" w:rsidRDefault="00660057" w:rsidP="00562DA7">
            <w:pPr>
              <w:widowControl/>
              <w:jc w:val="center"/>
              <w:rPr>
                <w:rFonts w:cs="Arial"/>
                <w:b/>
                <w:color w:val="FFFFFF"/>
                <w:sz w:val="20"/>
                <w:lang w:eastAsia="es-MX"/>
              </w:rPr>
            </w:pPr>
            <w:r w:rsidRPr="00843D1A">
              <w:rPr>
                <w:rFonts w:cs="Arial"/>
                <w:b/>
                <w:color w:val="FFFFFF" w:themeColor="background1"/>
                <w:sz w:val="20"/>
                <w:lang w:eastAsia="es-MX"/>
              </w:rPr>
              <w:t>trabajo infantil</w:t>
            </w:r>
          </w:p>
        </w:tc>
        <w:tc>
          <w:tcPr>
            <w:tcW w:w="1320" w:type="dxa"/>
            <w:tcBorders>
              <w:top w:val="nil"/>
              <w:left w:val="nil"/>
              <w:bottom w:val="nil"/>
              <w:right w:val="nil"/>
            </w:tcBorders>
            <w:shd w:val="clear" w:color="auto" w:fill="338B99"/>
            <w:vAlign w:val="center"/>
            <w:hideMark/>
          </w:tcPr>
          <w:p w14:paraId="3D07CA60" w14:textId="77777777" w:rsidR="00660057" w:rsidRPr="00843D1A" w:rsidRDefault="00660057" w:rsidP="00562DA7">
            <w:pPr>
              <w:widowControl/>
              <w:jc w:val="center"/>
              <w:rPr>
                <w:rFonts w:cs="Arial"/>
                <w:b/>
                <w:color w:val="FFFFFF"/>
                <w:sz w:val="20"/>
                <w:lang w:eastAsia="es-MX"/>
              </w:rPr>
            </w:pPr>
            <w:r w:rsidRPr="00843D1A">
              <w:rPr>
                <w:rFonts w:cs="Arial"/>
                <w:b/>
                <w:color w:val="FFFFFF" w:themeColor="background1"/>
                <w:sz w:val="20"/>
                <w:lang w:eastAsia="es-MX"/>
              </w:rPr>
              <w:t>ocupación no permitida</w:t>
            </w:r>
          </w:p>
        </w:tc>
        <w:tc>
          <w:tcPr>
            <w:tcW w:w="2480" w:type="dxa"/>
            <w:tcBorders>
              <w:top w:val="nil"/>
              <w:left w:val="nil"/>
              <w:bottom w:val="nil"/>
              <w:right w:val="nil"/>
            </w:tcBorders>
            <w:shd w:val="clear" w:color="auto" w:fill="338B99"/>
            <w:vAlign w:val="center"/>
            <w:hideMark/>
          </w:tcPr>
          <w:p w14:paraId="6EEBA84D" w14:textId="77777777" w:rsidR="00660057" w:rsidRPr="00843D1A" w:rsidRDefault="00660057" w:rsidP="00562DA7">
            <w:pPr>
              <w:widowControl/>
              <w:jc w:val="center"/>
              <w:rPr>
                <w:rFonts w:cs="Arial"/>
                <w:b/>
                <w:color w:val="FFFFFF"/>
                <w:sz w:val="20"/>
                <w:lang w:eastAsia="es-MX"/>
              </w:rPr>
            </w:pPr>
            <w:r w:rsidRPr="00843D1A">
              <w:rPr>
                <w:rFonts w:cs="Arial"/>
                <w:b/>
                <w:color w:val="FFFFFF" w:themeColor="background1"/>
                <w:sz w:val="20"/>
                <w:lang w:eastAsia="es-MX"/>
              </w:rPr>
              <w:t>quehaceres domésticos en condiciones no adecuadas</w:t>
            </w:r>
          </w:p>
        </w:tc>
      </w:tr>
      <w:tr w:rsidR="00660057" w:rsidRPr="00843D1A" w14:paraId="2AD2BAD3" w14:textId="77777777">
        <w:trPr>
          <w:trHeight w:val="300"/>
        </w:trPr>
        <w:tc>
          <w:tcPr>
            <w:tcW w:w="3500" w:type="dxa"/>
            <w:gridSpan w:val="2"/>
            <w:tcBorders>
              <w:top w:val="nil"/>
              <w:left w:val="nil"/>
              <w:bottom w:val="nil"/>
              <w:right w:val="nil"/>
            </w:tcBorders>
            <w:shd w:val="clear" w:color="auto" w:fill="99C5CC"/>
            <w:vAlign w:val="center"/>
            <w:hideMark/>
          </w:tcPr>
          <w:p w14:paraId="01BF37B7" w14:textId="77777777" w:rsidR="00660057" w:rsidRPr="00843D1A" w:rsidRDefault="00660057" w:rsidP="00562DA7">
            <w:pPr>
              <w:widowControl/>
              <w:jc w:val="left"/>
              <w:rPr>
                <w:rFonts w:cs="Arial"/>
                <w:b/>
                <w:color w:val="000000"/>
                <w:sz w:val="20"/>
                <w:lang w:eastAsia="es-MX"/>
              </w:rPr>
            </w:pPr>
            <w:r w:rsidRPr="00843D1A">
              <w:rPr>
                <w:rFonts w:cs="Arial"/>
                <w:b/>
                <w:sz w:val="20"/>
                <w:lang w:eastAsia="es-MX"/>
              </w:rPr>
              <w:t>Viviendas totales (millones)</w:t>
            </w:r>
          </w:p>
        </w:tc>
        <w:tc>
          <w:tcPr>
            <w:tcW w:w="1320" w:type="dxa"/>
            <w:tcBorders>
              <w:top w:val="nil"/>
              <w:left w:val="nil"/>
              <w:bottom w:val="nil"/>
              <w:right w:val="nil"/>
            </w:tcBorders>
            <w:shd w:val="clear" w:color="auto" w:fill="99C5CC"/>
            <w:vAlign w:val="center"/>
            <w:hideMark/>
          </w:tcPr>
          <w:p w14:paraId="1FC926DF" w14:textId="77777777" w:rsidR="00660057" w:rsidRPr="00843D1A" w:rsidRDefault="00660057" w:rsidP="00562DA7">
            <w:pPr>
              <w:widowControl/>
              <w:jc w:val="center"/>
              <w:rPr>
                <w:rFonts w:cs="Arial"/>
                <w:b/>
                <w:color w:val="000000"/>
                <w:sz w:val="20"/>
                <w:lang w:eastAsia="es-MX"/>
              </w:rPr>
            </w:pPr>
            <w:r w:rsidRPr="00843D1A">
              <w:rPr>
                <w:rFonts w:cs="Arial"/>
                <w:b/>
                <w:sz w:val="20"/>
                <w:lang w:eastAsia="es-MX"/>
              </w:rPr>
              <w:t>16.9</w:t>
            </w:r>
          </w:p>
        </w:tc>
        <w:tc>
          <w:tcPr>
            <w:tcW w:w="1320" w:type="dxa"/>
            <w:tcBorders>
              <w:top w:val="nil"/>
              <w:left w:val="nil"/>
              <w:bottom w:val="nil"/>
              <w:right w:val="nil"/>
            </w:tcBorders>
            <w:shd w:val="clear" w:color="auto" w:fill="99C5CC"/>
            <w:vAlign w:val="center"/>
            <w:hideMark/>
          </w:tcPr>
          <w:p w14:paraId="02E5061F" w14:textId="77777777" w:rsidR="00660057" w:rsidRPr="00843D1A" w:rsidRDefault="00660057" w:rsidP="00562DA7">
            <w:pPr>
              <w:widowControl/>
              <w:jc w:val="center"/>
              <w:rPr>
                <w:rFonts w:cs="Arial"/>
                <w:b/>
                <w:color w:val="000000"/>
                <w:sz w:val="20"/>
                <w:lang w:eastAsia="es-MX"/>
              </w:rPr>
            </w:pPr>
            <w:r w:rsidRPr="00843D1A">
              <w:rPr>
                <w:rFonts w:cs="Arial"/>
                <w:b/>
                <w:sz w:val="20"/>
                <w:lang w:eastAsia="es-MX"/>
              </w:rPr>
              <w:t>3.1</w:t>
            </w:r>
          </w:p>
        </w:tc>
        <w:tc>
          <w:tcPr>
            <w:tcW w:w="1320" w:type="dxa"/>
            <w:tcBorders>
              <w:top w:val="nil"/>
              <w:left w:val="nil"/>
              <w:bottom w:val="nil"/>
              <w:right w:val="nil"/>
            </w:tcBorders>
            <w:shd w:val="clear" w:color="auto" w:fill="99C5CC"/>
            <w:vAlign w:val="center"/>
            <w:hideMark/>
          </w:tcPr>
          <w:p w14:paraId="272873DB" w14:textId="77777777" w:rsidR="00660057" w:rsidRPr="00843D1A" w:rsidRDefault="00660057" w:rsidP="00562DA7">
            <w:pPr>
              <w:widowControl/>
              <w:jc w:val="center"/>
              <w:rPr>
                <w:rFonts w:cs="Arial"/>
                <w:b/>
                <w:color w:val="000000"/>
                <w:sz w:val="20"/>
                <w:lang w:eastAsia="es-MX"/>
              </w:rPr>
            </w:pPr>
            <w:r w:rsidRPr="00843D1A">
              <w:rPr>
                <w:rFonts w:cs="Arial"/>
                <w:b/>
                <w:sz w:val="20"/>
                <w:lang w:eastAsia="es-MX"/>
              </w:rPr>
              <w:t>1.8</w:t>
            </w:r>
          </w:p>
        </w:tc>
        <w:tc>
          <w:tcPr>
            <w:tcW w:w="2480" w:type="dxa"/>
            <w:tcBorders>
              <w:top w:val="nil"/>
              <w:left w:val="nil"/>
              <w:bottom w:val="nil"/>
              <w:right w:val="nil"/>
            </w:tcBorders>
            <w:shd w:val="clear" w:color="auto" w:fill="99C5CC"/>
            <w:vAlign w:val="center"/>
            <w:hideMark/>
          </w:tcPr>
          <w:p w14:paraId="55F172EC" w14:textId="77777777" w:rsidR="00660057" w:rsidRPr="00843D1A" w:rsidRDefault="00660057" w:rsidP="00562DA7">
            <w:pPr>
              <w:widowControl/>
              <w:jc w:val="center"/>
              <w:rPr>
                <w:rFonts w:cs="Arial"/>
                <w:b/>
                <w:color w:val="000000"/>
                <w:sz w:val="20"/>
                <w:lang w:eastAsia="es-MX"/>
              </w:rPr>
            </w:pPr>
            <w:r w:rsidRPr="00843D1A">
              <w:rPr>
                <w:rFonts w:cs="Arial"/>
                <w:b/>
                <w:sz w:val="20"/>
                <w:lang w:eastAsia="es-MX"/>
              </w:rPr>
              <w:t>1.7</w:t>
            </w:r>
          </w:p>
        </w:tc>
      </w:tr>
      <w:tr w:rsidR="00660057" w:rsidRPr="00843D1A" w14:paraId="0E781D4B" w14:textId="77777777">
        <w:trPr>
          <w:trHeight w:val="765"/>
        </w:trPr>
        <w:tc>
          <w:tcPr>
            <w:tcW w:w="220" w:type="dxa"/>
            <w:tcBorders>
              <w:top w:val="nil"/>
              <w:left w:val="nil"/>
              <w:bottom w:val="nil"/>
              <w:right w:val="nil"/>
            </w:tcBorders>
            <w:shd w:val="clear" w:color="auto" w:fill="CCE2E6"/>
            <w:noWrap/>
            <w:vAlign w:val="bottom"/>
            <w:hideMark/>
          </w:tcPr>
          <w:p w14:paraId="71560A7D" w14:textId="77777777" w:rsidR="00660057" w:rsidRPr="00843D1A" w:rsidRDefault="00660057" w:rsidP="00562DA7">
            <w:pPr>
              <w:widowControl/>
              <w:jc w:val="left"/>
              <w:rPr>
                <w:rFonts w:ascii="Times New Roman" w:hAnsi="Times New Roman"/>
                <w:color w:val="000000"/>
                <w:sz w:val="20"/>
                <w:lang w:eastAsia="es-MX"/>
              </w:rPr>
            </w:pPr>
            <w:r w:rsidRPr="00843D1A">
              <w:rPr>
                <w:rFonts w:ascii="Times New Roman" w:hAnsi="Times New Roman"/>
                <w:color w:val="000000"/>
                <w:sz w:val="20"/>
                <w:lang w:eastAsia="es-MX"/>
              </w:rPr>
              <w:t> </w:t>
            </w:r>
          </w:p>
        </w:tc>
        <w:tc>
          <w:tcPr>
            <w:tcW w:w="3280" w:type="dxa"/>
            <w:tcBorders>
              <w:top w:val="nil"/>
              <w:left w:val="nil"/>
              <w:bottom w:val="nil"/>
              <w:right w:val="nil"/>
            </w:tcBorders>
            <w:shd w:val="clear" w:color="auto" w:fill="CCE2E6"/>
            <w:vAlign w:val="center"/>
            <w:hideMark/>
          </w:tcPr>
          <w:p w14:paraId="0CDD5573" w14:textId="77777777" w:rsidR="00660057" w:rsidRPr="00843D1A" w:rsidRDefault="00660057" w:rsidP="00562DA7">
            <w:pPr>
              <w:widowControl/>
              <w:jc w:val="left"/>
              <w:rPr>
                <w:rFonts w:cs="Arial"/>
                <w:color w:val="000000"/>
                <w:sz w:val="20"/>
                <w:lang w:eastAsia="es-MX"/>
              </w:rPr>
            </w:pPr>
            <w:r w:rsidRPr="00843D1A">
              <w:rPr>
                <w:rFonts w:cs="Arial"/>
                <w:sz w:val="20"/>
                <w:lang w:eastAsia="es-MX"/>
              </w:rPr>
              <w:t>Porcentaje respecto a las viviendas con población de 5 a 17 años</w:t>
            </w:r>
          </w:p>
        </w:tc>
        <w:tc>
          <w:tcPr>
            <w:tcW w:w="1320" w:type="dxa"/>
            <w:tcBorders>
              <w:top w:val="nil"/>
              <w:left w:val="nil"/>
              <w:bottom w:val="nil"/>
              <w:right w:val="nil"/>
            </w:tcBorders>
            <w:shd w:val="clear" w:color="auto" w:fill="CCE2E6"/>
            <w:vAlign w:val="center"/>
            <w:hideMark/>
          </w:tcPr>
          <w:p w14:paraId="2223CFF5" w14:textId="77777777" w:rsidR="00660057" w:rsidRPr="00843D1A" w:rsidRDefault="00660057" w:rsidP="00562DA7">
            <w:pPr>
              <w:widowControl/>
              <w:jc w:val="center"/>
              <w:rPr>
                <w:rFonts w:cs="Arial"/>
                <w:color w:val="000000"/>
                <w:sz w:val="20"/>
                <w:lang w:eastAsia="es-MX"/>
              </w:rPr>
            </w:pPr>
            <w:r w:rsidRPr="00843D1A">
              <w:rPr>
                <w:rFonts w:cs="Arial"/>
                <w:color w:val="000000"/>
                <w:sz w:val="20"/>
                <w:lang w:eastAsia="es-MX"/>
              </w:rPr>
              <w:t> </w:t>
            </w:r>
          </w:p>
        </w:tc>
        <w:tc>
          <w:tcPr>
            <w:tcW w:w="1320" w:type="dxa"/>
            <w:tcBorders>
              <w:top w:val="nil"/>
              <w:left w:val="nil"/>
              <w:bottom w:val="nil"/>
              <w:right w:val="nil"/>
            </w:tcBorders>
            <w:shd w:val="clear" w:color="auto" w:fill="CCE2E6"/>
            <w:vAlign w:val="center"/>
            <w:hideMark/>
          </w:tcPr>
          <w:p w14:paraId="52ED9FCD" w14:textId="77777777" w:rsidR="00660057" w:rsidRPr="00843D1A" w:rsidRDefault="00660057" w:rsidP="00562DA7">
            <w:pPr>
              <w:widowControl/>
              <w:jc w:val="center"/>
              <w:rPr>
                <w:rFonts w:cs="Arial"/>
                <w:color w:val="000000"/>
                <w:sz w:val="20"/>
                <w:lang w:eastAsia="es-MX"/>
              </w:rPr>
            </w:pPr>
            <w:r w:rsidRPr="00843D1A">
              <w:rPr>
                <w:rFonts w:cs="Arial"/>
                <w:sz w:val="20"/>
                <w:lang w:eastAsia="es-MX"/>
              </w:rPr>
              <w:t>18.1</w:t>
            </w:r>
          </w:p>
        </w:tc>
        <w:tc>
          <w:tcPr>
            <w:tcW w:w="1320" w:type="dxa"/>
            <w:tcBorders>
              <w:top w:val="nil"/>
              <w:left w:val="nil"/>
              <w:bottom w:val="nil"/>
              <w:right w:val="nil"/>
            </w:tcBorders>
            <w:shd w:val="clear" w:color="auto" w:fill="CCE2E6"/>
            <w:vAlign w:val="center"/>
            <w:hideMark/>
          </w:tcPr>
          <w:p w14:paraId="0118655A" w14:textId="77777777" w:rsidR="00660057" w:rsidRPr="00843D1A" w:rsidRDefault="00660057" w:rsidP="00562DA7">
            <w:pPr>
              <w:widowControl/>
              <w:jc w:val="center"/>
              <w:rPr>
                <w:rFonts w:cs="Arial"/>
                <w:color w:val="000000"/>
                <w:sz w:val="20"/>
                <w:lang w:eastAsia="es-MX"/>
              </w:rPr>
            </w:pPr>
            <w:r w:rsidRPr="00843D1A">
              <w:rPr>
                <w:rFonts w:cs="Arial"/>
                <w:sz w:val="20"/>
                <w:lang w:eastAsia="es-MX"/>
              </w:rPr>
              <w:t>10.6</w:t>
            </w:r>
          </w:p>
        </w:tc>
        <w:tc>
          <w:tcPr>
            <w:tcW w:w="2480" w:type="dxa"/>
            <w:tcBorders>
              <w:top w:val="nil"/>
              <w:left w:val="nil"/>
              <w:bottom w:val="nil"/>
              <w:right w:val="nil"/>
            </w:tcBorders>
            <w:shd w:val="clear" w:color="auto" w:fill="CCE2E6"/>
            <w:vAlign w:val="center"/>
            <w:hideMark/>
          </w:tcPr>
          <w:p w14:paraId="1FF4D410" w14:textId="77777777" w:rsidR="00660057" w:rsidRPr="00843D1A" w:rsidRDefault="00660057" w:rsidP="00562DA7">
            <w:pPr>
              <w:widowControl/>
              <w:jc w:val="center"/>
              <w:rPr>
                <w:rFonts w:cs="Arial"/>
                <w:color w:val="000000"/>
                <w:sz w:val="20"/>
                <w:lang w:eastAsia="es-MX"/>
              </w:rPr>
            </w:pPr>
            <w:r w:rsidRPr="00843D1A">
              <w:rPr>
                <w:rFonts w:cs="Arial"/>
                <w:sz w:val="20"/>
                <w:lang w:eastAsia="es-MX"/>
              </w:rPr>
              <w:t>9.9</w:t>
            </w:r>
          </w:p>
        </w:tc>
      </w:tr>
      <w:tr w:rsidR="00660057" w:rsidRPr="00843D1A" w14:paraId="461D2293" w14:textId="77777777">
        <w:trPr>
          <w:trHeight w:val="480"/>
        </w:trPr>
        <w:tc>
          <w:tcPr>
            <w:tcW w:w="3500" w:type="dxa"/>
            <w:gridSpan w:val="2"/>
            <w:tcBorders>
              <w:top w:val="nil"/>
              <w:left w:val="nil"/>
              <w:right w:val="nil"/>
            </w:tcBorders>
            <w:shd w:val="clear" w:color="auto" w:fill="99C5CC"/>
            <w:vAlign w:val="center"/>
            <w:hideMark/>
          </w:tcPr>
          <w:p w14:paraId="31087D0F" w14:textId="77777777" w:rsidR="00660057" w:rsidRPr="00843D1A" w:rsidRDefault="00660057" w:rsidP="00562DA7">
            <w:pPr>
              <w:widowControl/>
              <w:jc w:val="left"/>
              <w:rPr>
                <w:rFonts w:cs="Arial"/>
                <w:b/>
                <w:color w:val="000000"/>
                <w:sz w:val="20"/>
                <w:lang w:eastAsia="es-MX"/>
              </w:rPr>
            </w:pPr>
            <w:r w:rsidRPr="00843D1A">
              <w:rPr>
                <w:rFonts w:cs="Arial"/>
                <w:b/>
                <w:sz w:val="20"/>
                <w:lang w:eastAsia="es-MX"/>
              </w:rPr>
              <w:t>Ocupantes (millones de personas)</w:t>
            </w:r>
          </w:p>
        </w:tc>
        <w:tc>
          <w:tcPr>
            <w:tcW w:w="1320" w:type="dxa"/>
            <w:tcBorders>
              <w:top w:val="nil"/>
              <w:left w:val="nil"/>
              <w:right w:val="nil"/>
            </w:tcBorders>
            <w:shd w:val="clear" w:color="auto" w:fill="99C5CC"/>
            <w:vAlign w:val="center"/>
            <w:hideMark/>
          </w:tcPr>
          <w:p w14:paraId="2DB26A20" w14:textId="77777777" w:rsidR="00660057" w:rsidRPr="00843D1A" w:rsidRDefault="00660057" w:rsidP="00562DA7">
            <w:pPr>
              <w:widowControl/>
              <w:jc w:val="center"/>
              <w:rPr>
                <w:rFonts w:cs="Arial"/>
                <w:b/>
                <w:color w:val="000000"/>
                <w:sz w:val="20"/>
                <w:lang w:eastAsia="es-MX"/>
              </w:rPr>
            </w:pPr>
            <w:r w:rsidRPr="00843D1A">
              <w:rPr>
                <w:rFonts w:cs="Arial"/>
                <w:b/>
                <w:sz w:val="20"/>
                <w:lang w:eastAsia="es-MX"/>
              </w:rPr>
              <w:t>78.1</w:t>
            </w:r>
          </w:p>
        </w:tc>
        <w:tc>
          <w:tcPr>
            <w:tcW w:w="1320" w:type="dxa"/>
            <w:tcBorders>
              <w:top w:val="nil"/>
              <w:left w:val="nil"/>
              <w:right w:val="nil"/>
            </w:tcBorders>
            <w:shd w:val="clear" w:color="auto" w:fill="99C5CC"/>
            <w:vAlign w:val="center"/>
            <w:hideMark/>
          </w:tcPr>
          <w:p w14:paraId="309E1C43" w14:textId="77777777" w:rsidR="00660057" w:rsidRPr="00843D1A" w:rsidRDefault="00660057" w:rsidP="00562DA7">
            <w:pPr>
              <w:widowControl/>
              <w:jc w:val="center"/>
              <w:rPr>
                <w:rFonts w:cs="Arial"/>
                <w:b/>
                <w:color w:val="000000"/>
                <w:sz w:val="20"/>
                <w:lang w:eastAsia="es-MX"/>
              </w:rPr>
            </w:pPr>
            <w:r w:rsidRPr="00843D1A">
              <w:rPr>
                <w:rFonts w:cs="Arial"/>
                <w:b/>
                <w:sz w:val="20"/>
                <w:lang w:eastAsia="es-MX"/>
              </w:rPr>
              <w:t>15.3</w:t>
            </w:r>
          </w:p>
        </w:tc>
        <w:tc>
          <w:tcPr>
            <w:tcW w:w="1320" w:type="dxa"/>
            <w:tcBorders>
              <w:top w:val="nil"/>
              <w:left w:val="nil"/>
              <w:right w:val="nil"/>
            </w:tcBorders>
            <w:shd w:val="clear" w:color="auto" w:fill="99C5CC"/>
            <w:vAlign w:val="center"/>
            <w:hideMark/>
          </w:tcPr>
          <w:p w14:paraId="3CAF153D" w14:textId="77777777" w:rsidR="00660057" w:rsidRPr="00843D1A" w:rsidRDefault="00660057" w:rsidP="00562DA7">
            <w:pPr>
              <w:widowControl/>
              <w:jc w:val="center"/>
              <w:rPr>
                <w:rFonts w:cs="Arial"/>
                <w:b/>
                <w:color w:val="000000"/>
                <w:sz w:val="20"/>
                <w:lang w:eastAsia="es-MX"/>
              </w:rPr>
            </w:pPr>
            <w:r w:rsidRPr="00843D1A">
              <w:rPr>
                <w:rFonts w:cs="Arial"/>
                <w:b/>
                <w:sz w:val="20"/>
                <w:lang w:eastAsia="es-MX"/>
              </w:rPr>
              <w:t>9.1</w:t>
            </w:r>
          </w:p>
        </w:tc>
        <w:tc>
          <w:tcPr>
            <w:tcW w:w="2480" w:type="dxa"/>
            <w:tcBorders>
              <w:top w:val="nil"/>
              <w:left w:val="nil"/>
              <w:right w:val="nil"/>
            </w:tcBorders>
            <w:shd w:val="clear" w:color="auto" w:fill="99C5CC"/>
            <w:vAlign w:val="center"/>
            <w:hideMark/>
          </w:tcPr>
          <w:p w14:paraId="23CE8DA8" w14:textId="77777777" w:rsidR="00660057" w:rsidRPr="00843D1A" w:rsidRDefault="00660057" w:rsidP="00562DA7">
            <w:pPr>
              <w:widowControl/>
              <w:jc w:val="center"/>
              <w:rPr>
                <w:rFonts w:cs="Arial"/>
                <w:b/>
                <w:color w:val="000000"/>
                <w:sz w:val="20"/>
                <w:lang w:eastAsia="es-MX"/>
              </w:rPr>
            </w:pPr>
            <w:r w:rsidRPr="00843D1A">
              <w:rPr>
                <w:rFonts w:cs="Arial"/>
                <w:b/>
                <w:sz w:val="20"/>
                <w:lang w:eastAsia="es-MX"/>
              </w:rPr>
              <w:t>8.3</w:t>
            </w:r>
          </w:p>
        </w:tc>
      </w:tr>
      <w:tr w:rsidR="00660057" w:rsidRPr="00843D1A" w14:paraId="229B1EC4" w14:textId="77777777">
        <w:trPr>
          <w:trHeight w:val="765"/>
        </w:trPr>
        <w:tc>
          <w:tcPr>
            <w:tcW w:w="220" w:type="dxa"/>
            <w:tcBorders>
              <w:top w:val="nil"/>
              <w:left w:val="nil"/>
              <w:right w:val="nil"/>
            </w:tcBorders>
            <w:shd w:val="clear" w:color="auto" w:fill="CCE2E6"/>
            <w:vAlign w:val="center"/>
            <w:hideMark/>
          </w:tcPr>
          <w:p w14:paraId="66C4323F" w14:textId="77777777" w:rsidR="00660057" w:rsidRPr="00843D1A" w:rsidRDefault="00660057" w:rsidP="00562DA7">
            <w:pPr>
              <w:widowControl/>
              <w:jc w:val="left"/>
              <w:rPr>
                <w:rFonts w:ascii="Times New Roman" w:hAnsi="Times New Roman"/>
                <w:color w:val="000000"/>
                <w:sz w:val="20"/>
                <w:lang w:eastAsia="es-MX"/>
              </w:rPr>
            </w:pPr>
            <w:r w:rsidRPr="00843D1A">
              <w:rPr>
                <w:rFonts w:ascii="Times New Roman" w:hAnsi="Times New Roman"/>
                <w:color w:val="000000"/>
                <w:sz w:val="20"/>
                <w:lang w:eastAsia="es-MX"/>
              </w:rPr>
              <w:t> </w:t>
            </w:r>
          </w:p>
        </w:tc>
        <w:tc>
          <w:tcPr>
            <w:tcW w:w="3280" w:type="dxa"/>
            <w:tcBorders>
              <w:top w:val="nil"/>
              <w:left w:val="nil"/>
              <w:right w:val="nil"/>
            </w:tcBorders>
            <w:shd w:val="clear" w:color="auto" w:fill="CCE2E6"/>
            <w:vAlign w:val="center"/>
            <w:hideMark/>
          </w:tcPr>
          <w:p w14:paraId="0FC89AB8" w14:textId="77777777" w:rsidR="00660057" w:rsidRPr="00843D1A" w:rsidRDefault="00660057" w:rsidP="00562DA7">
            <w:pPr>
              <w:widowControl/>
              <w:jc w:val="left"/>
              <w:rPr>
                <w:rFonts w:cs="Arial"/>
                <w:color w:val="000000"/>
                <w:sz w:val="20"/>
                <w:lang w:eastAsia="es-MX"/>
              </w:rPr>
            </w:pPr>
            <w:r w:rsidRPr="00843D1A">
              <w:rPr>
                <w:rFonts w:cs="Arial"/>
                <w:sz w:val="20"/>
                <w:lang w:eastAsia="es-MX"/>
              </w:rPr>
              <w:t>Porcentaje respecto a los ocupantes en viviendas con población de 5 a 17 años</w:t>
            </w:r>
          </w:p>
        </w:tc>
        <w:tc>
          <w:tcPr>
            <w:tcW w:w="1320" w:type="dxa"/>
            <w:tcBorders>
              <w:top w:val="nil"/>
              <w:left w:val="nil"/>
              <w:right w:val="nil"/>
            </w:tcBorders>
            <w:shd w:val="clear" w:color="auto" w:fill="CCE2E6"/>
            <w:vAlign w:val="center"/>
            <w:hideMark/>
          </w:tcPr>
          <w:p w14:paraId="1DE433AD" w14:textId="77777777" w:rsidR="00660057" w:rsidRPr="00843D1A" w:rsidRDefault="00660057" w:rsidP="00562DA7">
            <w:pPr>
              <w:widowControl/>
              <w:jc w:val="center"/>
              <w:rPr>
                <w:rFonts w:cs="Arial"/>
                <w:color w:val="000000"/>
                <w:sz w:val="20"/>
                <w:lang w:eastAsia="es-MX"/>
              </w:rPr>
            </w:pPr>
            <w:r w:rsidRPr="00843D1A">
              <w:rPr>
                <w:rFonts w:cs="Arial"/>
                <w:color w:val="000000"/>
                <w:sz w:val="20"/>
                <w:lang w:eastAsia="es-MX"/>
              </w:rPr>
              <w:t> </w:t>
            </w:r>
          </w:p>
        </w:tc>
        <w:tc>
          <w:tcPr>
            <w:tcW w:w="1320" w:type="dxa"/>
            <w:tcBorders>
              <w:top w:val="nil"/>
              <w:left w:val="nil"/>
              <w:right w:val="nil"/>
            </w:tcBorders>
            <w:shd w:val="clear" w:color="auto" w:fill="CCE2E6"/>
            <w:vAlign w:val="center"/>
            <w:hideMark/>
          </w:tcPr>
          <w:p w14:paraId="569F3B7A" w14:textId="77777777" w:rsidR="00660057" w:rsidRPr="00843D1A" w:rsidRDefault="00660057" w:rsidP="00562DA7">
            <w:pPr>
              <w:widowControl/>
              <w:jc w:val="center"/>
              <w:rPr>
                <w:rFonts w:cs="Arial"/>
                <w:color w:val="000000"/>
                <w:sz w:val="20"/>
                <w:lang w:eastAsia="es-MX"/>
              </w:rPr>
            </w:pPr>
            <w:r w:rsidRPr="00843D1A">
              <w:rPr>
                <w:rFonts w:cs="Arial"/>
                <w:sz w:val="20"/>
                <w:lang w:eastAsia="es-MX"/>
              </w:rPr>
              <w:t>19.6</w:t>
            </w:r>
          </w:p>
        </w:tc>
        <w:tc>
          <w:tcPr>
            <w:tcW w:w="1320" w:type="dxa"/>
            <w:tcBorders>
              <w:top w:val="nil"/>
              <w:left w:val="nil"/>
              <w:right w:val="nil"/>
            </w:tcBorders>
            <w:shd w:val="clear" w:color="auto" w:fill="CCE2E6"/>
            <w:vAlign w:val="center"/>
            <w:hideMark/>
          </w:tcPr>
          <w:p w14:paraId="35B9AA09" w14:textId="77777777" w:rsidR="00660057" w:rsidRPr="00843D1A" w:rsidRDefault="00660057" w:rsidP="00562DA7">
            <w:pPr>
              <w:widowControl/>
              <w:jc w:val="center"/>
              <w:rPr>
                <w:rFonts w:cs="Arial"/>
                <w:color w:val="000000"/>
                <w:sz w:val="20"/>
                <w:lang w:eastAsia="es-MX"/>
              </w:rPr>
            </w:pPr>
            <w:r w:rsidRPr="00843D1A">
              <w:rPr>
                <w:rFonts w:cs="Arial"/>
                <w:sz w:val="20"/>
                <w:lang w:eastAsia="es-MX"/>
              </w:rPr>
              <w:t>11.7</w:t>
            </w:r>
          </w:p>
        </w:tc>
        <w:tc>
          <w:tcPr>
            <w:tcW w:w="2480" w:type="dxa"/>
            <w:tcBorders>
              <w:top w:val="nil"/>
              <w:left w:val="nil"/>
              <w:right w:val="nil"/>
            </w:tcBorders>
            <w:shd w:val="clear" w:color="auto" w:fill="CCE2E6"/>
            <w:vAlign w:val="center"/>
            <w:hideMark/>
          </w:tcPr>
          <w:p w14:paraId="2EBCF8A2" w14:textId="77777777" w:rsidR="00660057" w:rsidRPr="00843D1A" w:rsidRDefault="00660057" w:rsidP="00562DA7">
            <w:pPr>
              <w:widowControl/>
              <w:jc w:val="center"/>
              <w:rPr>
                <w:rFonts w:cs="Arial"/>
                <w:color w:val="000000"/>
                <w:sz w:val="20"/>
                <w:lang w:eastAsia="es-MX"/>
              </w:rPr>
            </w:pPr>
            <w:r w:rsidRPr="00843D1A">
              <w:rPr>
                <w:rFonts w:cs="Arial"/>
                <w:sz w:val="20"/>
                <w:lang w:eastAsia="es-MX"/>
              </w:rPr>
              <w:t>10.6</w:t>
            </w:r>
          </w:p>
        </w:tc>
      </w:tr>
    </w:tbl>
    <w:p w14:paraId="23125E3C" w14:textId="1953809C" w:rsidR="00660057" w:rsidRPr="00560388" w:rsidRDefault="00DB651F" w:rsidP="00660057">
      <w:pPr>
        <w:widowControl/>
        <w:autoSpaceDE w:val="0"/>
        <w:autoSpaceDN w:val="0"/>
        <w:adjustRightInd w:val="0"/>
        <w:rPr>
          <w:rFonts w:cs="Arial"/>
          <w:sz w:val="16"/>
          <w:szCs w:val="16"/>
        </w:rPr>
      </w:pPr>
      <w:r>
        <w:rPr>
          <w:rFonts w:cs="Arial"/>
          <w:color w:val="000000" w:themeColor="text1"/>
          <w:sz w:val="16"/>
          <w:szCs w:val="16"/>
        </w:rPr>
        <w:t xml:space="preserve">  </w:t>
      </w:r>
      <w:r w:rsidR="00660057" w:rsidRPr="00560388">
        <w:rPr>
          <w:rFonts w:cs="Arial"/>
          <w:color w:val="000000" w:themeColor="text1"/>
          <w:sz w:val="16"/>
          <w:szCs w:val="16"/>
        </w:rPr>
        <w:t>Fuente: INEGI, ENTI. 2022.</w:t>
      </w:r>
    </w:p>
    <w:p w14:paraId="054AC936" w14:textId="77777777" w:rsidR="008D0F50" w:rsidRPr="00A63430" w:rsidRDefault="008D0F50" w:rsidP="008D0F50">
      <w:pPr>
        <w:widowControl/>
        <w:autoSpaceDE w:val="0"/>
        <w:autoSpaceDN w:val="0"/>
        <w:adjustRightInd w:val="0"/>
        <w:rPr>
          <w:rFonts w:cs="Arial"/>
          <w:szCs w:val="24"/>
        </w:rPr>
      </w:pPr>
    </w:p>
    <w:p w14:paraId="06E1F224" w14:textId="10CBEB68" w:rsidR="00CE35F5" w:rsidRPr="00A63430" w:rsidRDefault="00945779" w:rsidP="003353B8">
      <w:pPr>
        <w:widowControl/>
        <w:autoSpaceDE w:val="0"/>
        <w:autoSpaceDN w:val="0"/>
        <w:adjustRightInd w:val="0"/>
        <w:ind w:right="51"/>
        <w:rPr>
          <w:rFonts w:cs="Arial"/>
          <w:color w:val="000000"/>
          <w:szCs w:val="24"/>
        </w:rPr>
      </w:pPr>
      <w:r w:rsidRPr="00A63430">
        <w:rPr>
          <w:rFonts w:cs="Arial"/>
          <w:color w:val="000000"/>
          <w:szCs w:val="24"/>
        </w:rPr>
        <w:t xml:space="preserve">Algunos indicadores de las características y servicios disponibles en las viviendas con </w:t>
      </w:r>
      <w:r w:rsidR="00D92FDD" w:rsidRPr="00A63430">
        <w:rPr>
          <w:rFonts w:cs="Arial"/>
          <w:color w:val="000000"/>
          <w:szCs w:val="24"/>
        </w:rPr>
        <w:t>población de 5 a 17 años</w:t>
      </w:r>
      <w:r w:rsidRPr="00A63430">
        <w:rPr>
          <w:rFonts w:cs="Arial"/>
          <w:color w:val="000000"/>
          <w:szCs w:val="24"/>
        </w:rPr>
        <w:t xml:space="preserve"> mostraron</w:t>
      </w:r>
      <w:r w:rsidR="00616377" w:rsidRPr="00A63430">
        <w:rPr>
          <w:rFonts w:cs="Arial"/>
          <w:color w:val="000000"/>
          <w:szCs w:val="24"/>
        </w:rPr>
        <w:t>,</w:t>
      </w:r>
      <w:r w:rsidRPr="00A63430">
        <w:rPr>
          <w:rFonts w:cs="Arial"/>
          <w:color w:val="000000"/>
          <w:szCs w:val="24"/>
        </w:rPr>
        <w:t xml:space="preserve"> en general</w:t>
      </w:r>
      <w:r w:rsidR="00616377" w:rsidRPr="00A63430">
        <w:rPr>
          <w:rFonts w:cs="Arial"/>
          <w:color w:val="000000"/>
          <w:szCs w:val="24"/>
        </w:rPr>
        <w:t>,</w:t>
      </w:r>
      <w:r w:rsidRPr="00A63430">
        <w:rPr>
          <w:rFonts w:cs="Arial"/>
          <w:color w:val="000000"/>
          <w:szCs w:val="24"/>
        </w:rPr>
        <w:t xml:space="preserve"> que las condiciones de las viviendas con trabajo infantil son ligeramente meno</w:t>
      </w:r>
      <w:r w:rsidR="00B8262A" w:rsidRPr="00A63430">
        <w:rPr>
          <w:rFonts w:cs="Arial"/>
          <w:color w:val="000000"/>
          <w:szCs w:val="24"/>
        </w:rPr>
        <w:t>s favorables</w:t>
      </w:r>
      <w:r w:rsidRPr="00A63430">
        <w:rPr>
          <w:rFonts w:cs="Arial"/>
          <w:color w:val="000000"/>
          <w:szCs w:val="24"/>
        </w:rPr>
        <w:t>.</w:t>
      </w:r>
      <w:r w:rsidR="000B7996" w:rsidRPr="00A63430">
        <w:rPr>
          <w:rFonts w:cs="Arial"/>
          <w:color w:val="000000"/>
          <w:szCs w:val="24"/>
        </w:rPr>
        <w:t xml:space="preserve"> </w:t>
      </w:r>
    </w:p>
    <w:p w14:paraId="24B0F968" w14:textId="77777777" w:rsidR="00CE35F5" w:rsidRPr="00A63430" w:rsidRDefault="00CE35F5" w:rsidP="003353B8">
      <w:pPr>
        <w:widowControl/>
        <w:autoSpaceDE w:val="0"/>
        <w:autoSpaceDN w:val="0"/>
        <w:adjustRightInd w:val="0"/>
        <w:ind w:right="51"/>
        <w:rPr>
          <w:rFonts w:cs="Arial"/>
          <w:color w:val="000000"/>
          <w:szCs w:val="24"/>
        </w:rPr>
      </w:pPr>
    </w:p>
    <w:p w14:paraId="780B89A5" w14:textId="3C5EAEA4" w:rsidR="00CE5A0C" w:rsidRPr="00A63430" w:rsidRDefault="00B8262A" w:rsidP="003353B8">
      <w:pPr>
        <w:widowControl/>
        <w:autoSpaceDE w:val="0"/>
        <w:autoSpaceDN w:val="0"/>
        <w:adjustRightInd w:val="0"/>
        <w:ind w:right="51"/>
        <w:rPr>
          <w:rFonts w:cs="Arial"/>
          <w:color w:val="000000"/>
          <w:szCs w:val="24"/>
        </w:rPr>
      </w:pPr>
      <w:r w:rsidRPr="00A63430">
        <w:rPr>
          <w:rFonts w:cs="Arial"/>
          <w:color w:val="000000"/>
          <w:szCs w:val="24"/>
        </w:rPr>
        <w:t xml:space="preserve">En </w:t>
      </w:r>
      <w:r w:rsidR="00945779" w:rsidRPr="00A63430">
        <w:rPr>
          <w:rFonts w:cs="Arial"/>
          <w:color w:val="000000"/>
          <w:szCs w:val="24"/>
        </w:rPr>
        <w:t xml:space="preserve">94.8 % de las viviendas con </w:t>
      </w:r>
      <w:r w:rsidR="00D92FDD" w:rsidRPr="00A63430">
        <w:rPr>
          <w:rFonts w:cs="Arial"/>
          <w:color w:val="000000"/>
          <w:szCs w:val="24"/>
        </w:rPr>
        <w:t>población de 5 a 17 años</w:t>
      </w:r>
      <w:r w:rsidR="00945779" w:rsidRPr="00A63430">
        <w:rPr>
          <w:rFonts w:cs="Arial"/>
          <w:color w:val="000000"/>
          <w:szCs w:val="24"/>
        </w:rPr>
        <w:t xml:space="preserve"> </w:t>
      </w:r>
      <w:r w:rsidR="0085690E" w:rsidRPr="00A63430">
        <w:rPr>
          <w:rFonts w:cs="Arial"/>
          <w:color w:val="000000"/>
          <w:szCs w:val="24"/>
        </w:rPr>
        <w:t xml:space="preserve">tenía </w:t>
      </w:r>
      <w:r w:rsidR="00945779" w:rsidRPr="00A63430">
        <w:rPr>
          <w:rFonts w:cs="Arial"/>
          <w:color w:val="000000"/>
          <w:szCs w:val="24"/>
        </w:rPr>
        <w:t xml:space="preserve">piso de cemento, madera, mosaico </w:t>
      </w:r>
      <w:r w:rsidR="00E063EF" w:rsidRPr="00A63430">
        <w:rPr>
          <w:rFonts w:cs="Arial"/>
          <w:color w:val="000000"/>
          <w:szCs w:val="24"/>
        </w:rPr>
        <w:t xml:space="preserve">u </w:t>
      </w:r>
      <w:r w:rsidR="00945779" w:rsidRPr="00A63430">
        <w:rPr>
          <w:rFonts w:cs="Arial"/>
          <w:color w:val="000000"/>
          <w:szCs w:val="24"/>
        </w:rPr>
        <w:t>otro recubrimiento, porcentaje menor en viviendas con trabajo infantil, particularmente en viviendas con ocupación no permitida</w:t>
      </w:r>
      <w:r w:rsidR="0085690E" w:rsidRPr="00A63430">
        <w:rPr>
          <w:rFonts w:cs="Arial"/>
          <w:color w:val="000000"/>
          <w:szCs w:val="24"/>
        </w:rPr>
        <w:t>,</w:t>
      </w:r>
      <w:r w:rsidR="00945779" w:rsidRPr="00A63430">
        <w:rPr>
          <w:rFonts w:cs="Arial"/>
          <w:color w:val="000000"/>
          <w:szCs w:val="24"/>
        </w:rPr>
        <w:t xml:space="preserve"> con 92 por</w:t>
      </w:r>
      <w:r w:rsidR="00E063EF" w:rsidRPr="00A63430">
        <w:rPr>
          <w:rFonts w:cs="Arial"/>
          <w:color w:val="000000"/>
          <w:szCs w:val="24"/>
        </w:rPr>
        <w:t xml:space="preserve"> </w:t>
      </w:r>
      <w:r w:rsidR="00945779" w:rsidRPr="00A63430">
        <w:rPr>
          <w:rFonts w:cs="Arial"/>
          <w:color w:val="000000"/>
          <w:szCs w:val="24"/>
        </w:rPr>
        <w:t>ciento.</w:t>
      </w:r>
      <w:r w:rsidR="000B7996" w:rsidRPr="00A63430">
        <w:rPr>
          <w:rFonts w:cs="Arial"/>
          <w:color w:val="000000"/>
          <w:szCs w:val="24"/>
        </w:rPr>
        <w:t xml:space="preserve"> </w:t>
      </w:r>
      <w:r w:rsidR="00CC3A8C" w:rsidRPr="00A63430">
        <w:rPr>
          <w:rFonts w:cs="Arial"/>
          <w:color w:val="000000"/>
          <w:szCs w:val="24"/>
        </w:rPr>
        <w:t xml:space="preserve">La disponibilidad de luz eléctrica en las viviendas con </w:t>
      </w:r>
      <w:r w:rsidR="00D92FDD" w:rsidRPr="00A63430">
        <w:rPr>
          <w:rFonts w:cs="Arial"/>
          <w:color w:val="000000"/>
          <w:szCs w:val="24"/>
        </w:rPr>
        <w:t>población de 5 a 17 años</w:t>
      </w:r>
      <w:r w:rsidR="00CC3A8C" w:rsidRPr="00A63430">
        <w:rPr>
          <w:rFonts w:cs="Arial"/>
          <w:color w:val="000000"/>
          <w:szCs w:val="24"/>
        </w:rPr>
        <w:t xml:space="preserve"> y trabajo infantil </w:t>
      </w:r>
      <w:r w:rsidR="0085690E" w:rsidRPr="00A63430">
        <w:rPr>
          <w:rFonts w:cs="Arial"/>
          <w:color w:val="000000"/>
          <w:szCs w:val="24"/>
        </w:rPr>
        <w:t xml:space="preserve">fue </w:t>
      </w:r>
      <w:r w:rsidR="00CC3A8C" w:rsidRPr="00A63430">
        <w:rPr>
          <w:rFonts w:cs="Arial"/>
          <w:color w:val="000000"/>
          <w:szCs w:val="24"/>
        </w:rPr>
        <w:t xml:space="preserve">prácticamente </w:t>
      </w:r>
      <w:r w:rsidR="00D4044E" w:rsidRPr="00A63430">
        <w:rPr>
          <w:rFonts w:cs="Arial"/>
          <w:color w:val="000000"/>
          <w:szCs w:val="24"/>
        </w:rPr>
        <w:t>total</w:t>
      </w:r>
      <w:r w:rsidR="00CC3A8C" w:rsidRPr="00A63430">
        <w:rPr>
          <w:rFonts w:cs="Arial"/>
          <w:color w:val="000000"/>
          <w:szCs w:val="24"/>
        </w:rPr>
        <w:t xml:space="preserve">, por lo que </w:t>
      </w:r>
      <w:r w:rsidR="00CD6489" w:rsidRPr="00A63430">
        <w:rPr>
          <w:rFonts w:cs="Arial"/>
          <w:color w:val="000000"/>
          <w:szCs w:val="24"/>
        </w:rPr>
        <w:t xml:space="preserve">las diferencias </w:t>
      </w:r>
      <w:r w:rsidR="00CC3A8C" w:rsidRPr="00A63430">
        <w:rPr>
          <w:rFonts w:cs="Arial"/>
          <w:color w:val="000000"/>
          <w:szCs w:val="24"/>
        </w:rPr>
        <w:t>son mínimas.</w:t>
      </w:r>
      <w:r w:rsidR="000B7996" w:rsidRPr="00A63430">
        <w:rPr>
          <w:rFonts w:cs="Arial"/>
          <w:color w:val="000000"/>
          <w:szCs w:val="24"/>
        </w:rPr>
        <w:t xml:space="preserve"> </w:t>
      </w:r>
    </w:p>
    <w:p w14:paraId="79757C8A" w14:textId="77777777" w:rsidR="00CE5A0C" w:rsidRPr="00A63430" w:rsidRDefault="00CE5A0C" w:rsidP="003353B8">
      <w:pPr>
        <w:widowControl/>
        <w:autoSpaceDE w:val="0"/>
        <w:autoSpaceDN w:val="0"/>
        <w:adjustRightInd w:val="0"/>
        <w:ind w:right="51"/>
        <w:rPr>
          <w:rFonts w:cs="Arial"/>
          <w:color w:val="000000"/>
          <w:szCs w:val="24"/>
        </w:rPr>
      </w:pPr>
    </w:p>
    <w:p w14:paraId="615764DA" w14:textId="77777777" w:rsidR="003353B8" w:rsidRDefault="002274E7" w:rsidP="003353B8">
      <w:pPr>
        <w:widowControl/>
        <w:autoSpaceDE w:val="0"/>
        <w:autoSpaceDN w:val="0"/>
        <w:adjustRightInd w:val="0"/>
        <w:ind w:right="51"/>
        <w:rPr>
          <w:rFonts w:cs="Arial"/>
          <w:color w:val="000000"/>
          <w:szCs w:val="24"/>
        </w:rPr>
      </w:pPr>
      <w:r w:rsidRPr="00A63430">
        <w:rPr>
          <w:rFonts w:cs="Arial"/>
          <w:color w:val="000000"/>
          <w:szCs w:val="24"/>
        </w:rPr>
        <w:t>La</w:t>
      </w:r>
      <w:r w:rsidR="00E2424D" w:rsidRPr="00A63430">
        <w:rPr>
          <w:rFonts w:cs="Arial"/>
          <w:color w:val="000000"/>
          <w:szCs w:val="24"/>
        </w:rPr>
        <w:t xml:space="preserve"> «disponibilidad de agua entubada»</w:t>
      </w:r>
      <w:r w:rsidR="000B7996" w:rsidRPr="00A63430">
        <w:rPr>
          <w:rFonts w:cs="Arial"/>
          <w:color w:val="000000"/>
          <w:szCs w:val="24"/>
        </w:rPr>
        <w:t xml:space="preserve"> </w:t>
      </w:r>
      <w:r w:rsidR="00CC3A8C" w:rsidRPr="00A63430">
        <w:rPr>
          <w:rFonts w:cs="Arial"/>
          <w:color w:val="000000"/>
          <w:szCs w:val="24"/>
        </w:rPr>
        <w:t xml:space="preserve">fue de 97.1 % en las viviendas con </w:t>
      </w:r>
      <w:r w:rsidR="00D92FDD" w:rsidRPr="00A63430">
        <w:rPr>
          <w:rFonts w:cs="Arial"/>
          <w:color w:val="000000"/>
          <w:szCs w:val="24"/>
        </w:rPr>
        <w:t>población de 5 a 17 años</w:t>
      </w:r>
      <w:r w:rsidR="00CC3A8C" w:rsidRPr="00A63430">
        <w:rPr>
          <w:rFonts w:cs="Arial"/>
          <w:color w:val="000000"/>
          <w:szCs w:val="24"/>
        </w:rPr>
        <w:t>, mientras que en las viviendas con trabajo infantil fue de 94.8 por ciento.</w:t>
      </w:r>
      <w:r w:rsidR="000B7996" w:rsidRPr="00A63430">
        <w:rPr>
          <w:rFonts w:cs="Arial"/>
          <w:color w:val="000000"/>
          <w:szCs w:val="24"/>
        </w:rPr>
        <w:t xml:space="preserve"> En el caso de </w:t>
      </w:r>
      <w:r w:rsidR="00E2424D" w:rsidRPr="00A63430">
        <w:rPr>
          <w:rFonts w:cs="Arial"/>
          <w:color w:val="000000"/>
          <w:szCs w:val="24"/>
        </w:rPr>
        <w:t>«disponibilidad de sanitario»</w:t>
      </w:r>
      <w:r w:rsidR="00CC3A8C" w:rsidRPr="00A63430">
        <w:rPr>
          <w:rFonts w:cs="Arial"/>
          <w:color w:val="000000"/>
          <w:szCs w:val="24"/>
        </w:rPr>
        <w:t xml:space="preserve"> en viviendas con </w:t>
      </w:r>
      <w:r w:rsidR="00D92FDD" w:rsidRPr="00A63430">
        <w:rPr>
          <w:rFonts w:cs="Arial"/>
          <w:color w:val="000000"/>
          <w:szCs w:val="24"/>
        </w:rPr>
        <w:t>población de 5 a 17 años</w:t>
      </w:r>
      <w:r w:rsidR="00CC3A8C" w:rsidRPr="00A63430">
        <w:rPr>
          <w:rFonts w:cs="Arial"/>
          <w:color w:val="000000"/>
          <w:szCs w:val="24"/>
        </w:rPr>
        <w:t xml:space="preserve"> fue de 98.8 %, en tanto que en viviendas con ocupación no permitida fue de 97.</w:t>
      </w:r>
      <w:r w:rsidR="00B8262A" w:rsidRPr="00A63430">
        <w:rPr>
          <w:rFonts w:cs="Arial"/>
          <w:color w:val="000000"/>
          <w:szCs w:val="24"/>
        </w:rPr>
        <w:t>1</w:t>
      </w:r>
      <w:r w:rsidR="00CC3A8C" w:rsidRPr="00A63430">
        <w:rPr>
          <w:rFonts w:cs="Arial"/>
          <w:color w:val="000000"/>
          <w:szCs w:val="24"/>
        </w:rPr>
        <w:t xml:space="preserve"> por ciento.</w:t>
      </w:r>
      <w:r w:rsidR="000B7996" w:rsidRPr="00A63430">
        <w:rPr>
          <w:rFonts w:cs="Arial"/>
          <w:color w:val="000000"/>
          <w:szCs w:val="24"/>
        </w:rPr>
        <w:t xml:space="preserve"> </w:t>
      </w:r>
      <w:r w:rsidR="00CC3A8C" w:rsidRPr="00A63430">
        <w:rPr>
          <w:rFonts w:cs="Arial"/>
          <w:color w:val="000000"/>
          <w:szCs w:val="24"/>
        </w:rPr>
        <w:t>E</w:t>
      </w:r>
      <w:r w:rsidR="00642AC6" w:rsidRPr="00A63430">
        <w:rPr>
          <w:rFonts w:cs="Arial"/>
          <w:color w:val="000000"/>
          <w:szCs w:val="24"/>
        </w:rPr>
        <w:t>n</w:t>
      </w:r>
      <w:r w:rsidR="00CC3A8C" w:rsidRPr="00A63430">
        <w:rPr>
          <w:rFonts w:cs="Arial"/>
          <w:color w:val="000000"/>
          <w:szCs w:val="24"/>
        </w:rPr>
        <w:t xml:space="preserve"> 97.3 % de las viviendas con </w:t>
      </w:r>
      <w:r w:rsidR="00D92FDD" w:rsidRPr="00A63430">
        <w:rPr>
          <w:rFonts w:cs="Arial"/>
          <w:color w:val="000000"/>
          <w:szCs w:val="24"/>
        </w:rPr>
        <w:t>población de 5 a 17 años</w:t>
      </w:r>
      <w:r w:rsidR="00E2424D" w:rsidRPr="00A63430">
        <w:rPr>
          <w:rFonts w:cs="Arial"/>
          <w:color w:val="000000"/>
          <w:szCs w:val="24"/>
        </w:rPr>
        <w:t xml:space="preserve"> dispusieron de drenaje</w:t>
      </w:r>
      <w:r w:rsidR="00CC3A8C" w:rsidRPr="00A63430">
        <w:rPr>
          <w:rFonts w:cs="Arial"/>
          <w:color w:val="000000"/>
          <w:szCs w:val="24"/>
        </w:rPr>
        <w:t xml:space="preserve"> contra 93.9 % de las viviendas </w:t>
      </w:r>
      <w:r w:rsidR="00CC3A8C" w:rsidRPr="00A63430">
        <w:rPr>
          <w:rFonts w:cs="Arial"/>
          <w:color w:val="000000"/>
          <w:szCs w:val="24"/>
        </w:rPr>
        <w:lastRenderedPageBreak/>
        <w:t>con ocupación no permitida.</w:t>
      </w:r>
      <w:r w:rsidR="000B7996" w:rsidRPr="00A63430">
        <w:rPr>
          <w:rFonts w:cs="Arial"/>
          <w:color w:val="000000"/>
          <w:szCs w:val="24"/>
        </w:rPr>
        <w:t xml:space="preserve"> Por último</w:t>
      </w:r>
      <w:r w:rsidR="00736E8F" w:rsidRPr="00A63430">
        <w:rPr>
          <w:rFonts w:cs="Arial"/>
          <w:color w:val="000000"/>
          <w:szCs w:val="24"/>
        </w:rPr>
        <w:t>,</w:t>
      </w:r>
      <w:r w:rsidR="000B7996" w:rsidRPr="00A63430">
        <w:rPr>
          <w:rFonts w:cs="Arial"/>
          <w:color w:val="000000"/>
          <w:szCs w:val="24"/>
        </w:rPr>
        <w:t xml:space="preserve"> l</w:t>
      </w:r>
      <w:r w:rsidR="00CC3A8C" w:rsidRPr="00A63430">
        <w:rPr>
          <w:rFonts w:cs="Arial"/>
          <w:color w:val="000000"/>
          <w:szCs w:val="24"/>
        </w:rPr>
        <w:t>a disponibilidad de</w:t>
      </w:r>
      <w:r w:rsidR="00E2424D" w:rsidRPr="00A63430">
        <w:rPr>
          <w:rFonts w:cs="Arial"/>
          <w:color w:val="000000"/>
          <w:szCs w:val="24"/>
        </w:rPr>
        <w:t xml:space="preserve"> equipamiento para almacenar agua fue d</w:t>
      </w:r>
      <w:r w:rsidR="00CC3A8C" w:rsidRPr="00A63430">
        <w:rPr>
          <w:rFonts w:cs="Arial"/>
          <w:color w:val="000000"/>
          <w:szCs w:val="24"/>
        </w:rPr>
        <w:t xml:space="preserve">e 74.8 % en las viviendas con </w:t>
      </w:r>
      <w:r w:rsidR="00D92FDD" w:rsidRPr="00A63430">
        <w:rPr>
          <w:rFonts w:cs="Arial"/>
          <w:color w:val="000000"/>
          <w:szCs w:val="24"/>
        </w:rPr>
        <w:t>población de 5 a 17 años</w:t>
      </w:r>
      <w:r w:rsidR="00E2424D" w:rsidRPr="00A63430">
        <w:rPr>
          <w:rFonts w:cs="Arial"/>
          <w:color w:val="000000"/>
          <w:szCs w:val="24"/>
        </w:rPr>
        <w:t xml:space="preserve">. </w:t>
      </w:r>
    </w:p>
    <w:p w14:paraId="40C500DB" w14:textId="6D1F3594" w:rsidR="00CC3A8C" w:rsidRPr="00A63430" w:rsidRDefault="00E2424D" w:rsidP="003353B8">
      <w:pPr>
        <w:widowControl/>
        <w:autoSpaceDE w:val="0"/>
        <w:autoSpaceDN w:val="0"/>
        <w:adjustRightInd w:val="0"/>
        <w:ind w:right="51"/>
        <w:rPr>
          <w:rFonts w:cs="Arial"/>
          <w:color w:val="000000"/>
          <w:szCs w:val="24"/>
        </w:rPr>
      </w:pPr>
      <w:r w:rsidRPr="00A63430">
        <w:rPr>
          <w:rFonts w:cs="Arial"/>
          <w:color w:val="000000"/>
          <w:szCs w:val="24"/>
        </w:rPr>
        <w:t xml:space="preserve">En las </w:t>
      </w:r>
      <w:r w:rsidR="00C00442" w:rsidRPr="00A63430">
        <w:rPr>
          <w:rFonts w:cs="Arial"/>
          <w:color w:val="000000"/>
          <w:szCs w:val="24"/>
        </w:rPr>
        <w:t>viviendas con ocupación no permitida</w:t>
      </w:r>
      <w:r w:rsidR="00CC3A8C" w:rsidRPr="00A63430">
        <w:rPr>
          <w:rFonts w:cs="Arial"/>
          <w:color w:val="000000"/>
          <w:szCs w:val="24"/>
        </w:rPr>
        <w:t xml:space="preserve">, </w:t>
      </w:r>
      <w:r w:rsidR="00C00442" w:rsidRPr="00A63430">
        <w:rPr>
          <w:rFonts w:cs="Arial"/>
          <w:color w:val="000000"/>
          <w:szCs w:val="24"/>
        </w:rPr>
        <w:t xml:space="preserve">ese </w:t>
      </w:r>
      <w:r w:rsidR="00CC3A8C" w:rsidRPr="00A63430">
        <w:rPr>
          <w:rFonts w:cs="Arial"/>
          <w:color w:val="000000"/>
          <w:szCs w:val="24"/>
        </w:rPr>
        <w:t xml:space="preserve">porcentaje </w:t>
      </w:r>
      <w:r w:rsidR="00C00442" w:rsidRPr="00A63430">
        <w:rPr>
          <w:rFonts w:cs="Arial"/>
          <w:color w:val="000000"/>
          <w:szCs w:val="24"/>
        </w:rPr>
        <w:t xml:space="preserve">fue de </w:t>
      </w:r>
      <w:r w:rsidR="00CC3A8C" w:rsidRPr="00A63430">
        <w:rPr>
          <w:rFonts w:cs="Arial"/>
          <w:color w:val="000000"/>
          <w:szCs w:val="24"/>
        </w:rPr>
        <w:t>70.9 por ciento</w:t>
      </w:r>
      <w:r w:rsidR="004E0174" w:rsidRPr="00A63430">
        <w:rPr>
          <w:rFonts w:cs="Arial"/>
          <w:color w:val="000000"/>
          <w:szCs w:val="24"/>
        </w:rPr>
        <w:t>, para mayor detalle ver el cuadro 3</w:t>
      </w:r>
      <w:r w:rsidR="004D4F9A" w:rsidRPr="00A63430">
        <w:rPr>
          <w:rFonts w:cs="Arial"/>
          <w:color w:val="000000"/>
          <w:szCs w:val="24"/>
        </w:rPr>
        <w:t>3</w:t>
      </w:r>
      <w:r w:rsidR="004E0174" w:rsidRPr="00A63430">
        <w:rPr>
          <w:rFonts w:cs="Arial"/>
          <w:color w:val="000000"/>
          <w:szCs w:val="24"/>
        </w:rPr>
        <w:t>.</w:t>
      </w:r>
    </w:p>
    <w:p w14:paraId="7D584DDD" w14:textId="77777777" w:rsidR="003353B8" w:rsidRDefault="003353B8" w:rsidP="003353B8">
      <w:pPr>
        <w:widowControl/>
        <w:autoSpaceDE w:val="0"/>
        <w:autoSpaceDN w:val="0"/>
        <w:adjustRightInd w:val="0"/>
        <w:rPr>
          <w:rFonts w:cs="Arial"/>
          <w:color w:val="000000"/>
          <w:szCs w:val="24"/>
        </w:rPr>
      </w:pPr>
    </w:p>
    <w:p w14:paraId="34C2D064" w14:textId="3FB02580" w:rsidR="00660057" w:rsidRPr="003353B8" w:rsidRDefault="003353B8" w:rsidP="003353B8">
      <w:pPr>
        <w:widowControl/>
        <w:autoSpaceDE w:val="0"/>
        <w:autoSpaceDN w:val="0"/>
        <w:adjustRightInd w:val="0"/>
        <w:jc w:val="center"/>
        <w:rPr>
          <w:rFonts w:cs="Arial"/>
          <w:color w:val="000000"/>
          <w:sz w:val="20"/>
        </w:rPr>
      </w:pPr>
      <w:r w:rsidRPr="003353B8">
        <w:rPr>
          <w:rFonts w:cs="Arial"/>
          <w:color w:val="000000"/>
          <w:sz w:val="20"/>
        </w:rPr>
        <w:t>C</w:t>
      </w:r>
      <w:r w:rsidR="00660057" w:rsidRPr="003353B8">
        <w:rPr>
          <w:rFonts w:cs="Arial"/>
          <w:color w:val="000000"/>
          <w:sz w:val="20"/>
        </w:rPr>
        <w:t>uadro 3</w:t>
      </w:r>
      <w:r w:rsidR="002C2946" w:rsidRPr="003353B8">
        <w:rPr>
          <w:rFonts w:cs="Arial"/>
          <w:color w:val="000000"/>
          <w:sz w:val="20"/>
        </w:rPr>
        <w:t>3</w:t>
      </w:r>
    </w:p>
    <w:p w14:paraId="30C16412" w14:textId="77777777" w:rsidR="00660057" w:rsidRPr="003353B8" w:rsidRDefault="00660057" w:rsidP="003353B8">
      <w:pPr>
        <w:widowControl/>
        <w:autoSpaceDE w:val="0"/>
        <w:autoSpaceDN w:val="0"/>
        <w:adjustRightInd w:val="0"/>
        <w:jc w:val="center"/>
        <w:rPr>
          <w:rFonts w:cs="Arial"/>
          <w:b/>
          <w:bCs/>
          <w:smallCaps/>
          <w:color w:val="000000"/>
          <w:sz w:val="22"/>
          <w:szCs w:val="22"/>
        </w:rPr>
      </w:pPr>
      <w:r w:rsidRPr="003353B8">
        <w:rPr>
          <w:rFonts w:cs="Arial"/>
          <w:b/>
          <w:bCs/>
          <w:smallCaps/>
          <w:color w:val="000000"/>
          <w:sz w:val="22"/>
          <w:szCs w:val="22"/>
        </w:rPr>
        <w:t>Indicadores de características y servicios en las viviendas con población de 5 a 17 años por forma de trabajo infantil</w:t>
      </w:r>
    </w:p>
    <w:p w14:paraId="0628D4EB" w14:textId="77777777" w:rsidR="00660057" w:rsidRPr="00750114" w:rsidRDefault="00660057" w:rsidP="003353B8">
      <w:pPr>
        <w:widowControl/>
        <w:autoSpaceDE w:val="0"/>
        <w:autoSpaceDN w:val="0"/>
        <w:adjustRightInd w:val="0"/>
        <w:jc w:val="center"/>
        <w:rPr>
          <w:rFonts w:cs="Arial"/>
          <w:color w:val="000000"/>
          <w:sz w:val="18"/>
          <w:szCs w:val="18"/>
        </w:rPr>
      </w:pPr>
      <w:r w:rsidRPr="00750114">
        <w:rPr>
          <w:rFonts w:cs="Arial"/>
          <w:color w:val="000000"/>
          <w:sz w:val="18"/>
          <w:szCs w:val="18"/>
        </w:rPr>
        <w:t>(porcentaje respecto a l</w:t>
      </w:r>
      <w:r>
        <w:rPr>
          <w:rFonts w:cs="Arial"/>
          <w:color w:val="000000"/>
          <w:sz w:val="18"/>
          <w:szCs w:val="18"/>
        </w:rPr>
        <w:t>a</w:t>
      </w:r>
      <w:r w:rsidRPr="00750114">
        <w:rPr>
          <w:rFonts w:cs="Arial"/>
          <w:color w:val="000000"/>
          <w:sz w:val="18"/>
          <w:szCs w:val="18"/>
        </w:rPr>
        <w:t xml:space="preserve">s </w:t>
      </w:r>
      <w:r>
        <w:rPr>
          <w:rFonts w:cs="Arial"/>
          <w:color w:val="000000"/>
          <w:sz w:val="18"/>
          <w:szCs w:val="18"/>
        </w:rPr>
        <w:t>viviendas</w:t>
      </w:r>
      <w:r w:rsidRPr="00750114">
        <w:rPr>
          <w:rFonts w:cs="Arial"/>
          <w:color w:val="000000"/>
          <w:sz w:val="18"/>
          <w:szCs w:val="18"/>
        </w:rPr>
        <w:t xml:space="preserve"> con personas de 5 a 17 años en cada categoría)</w:t>
      </w:r>
    </w:p>
    <w:tbl>
      <w:tblPr>
        <w:tblW w:w="9940" w:type="dxa"/>
        <w:tblCellMar>
          <w:left w:w="70" w:type="dxa"/>
          <w:right w:w="70" w:type="dxa"/>
        </w:tblCellMar>
        <w:tblLook w:val="04A0" w:firstRow="1" w:lastRow="0" w:firstColumn="1" w:lastColumn="0" w:noHBand="0" w:noVBand="1"/>
      </w:tblPr>
      <w:tblGrid>
        <w:gridCol w:w="220"/>
        <w:gridCol w:w="3280"/>
        <w:gridCol w:w="1320"/>
        <w:gridCol w:w="1320"/>
        <w:gridCol w:w="1320"/>
        <w:gridCol w:w="2480"/>
      </w:tblGrid>
      <w:tr w:rsidR="00660057" w:rsidRPr="002A6381" w14:paraId="521A986D" w14:textId="77777777">
        <w:trPr>
          <w:trHeight w:val="315"/>
        </w:trPr>
        <w:tc>
          <w:tcPr>
            <w:tcW w:w="3500" w:type="dxa"/>
            <w:gridSpan w:val="2"/>
            <w:vMerge w:val="restart"/>
            <w:tcBorders>
              <w:top w:val="nil"/>
              <w:left w:val="nil"/>
              <w:bottom w:val="nil"/>
              <w:right w:val="nil"/>
            </w:tcBorders>
            <w:shd w:val="clear" w:color="auto" w:fill="338B99"/>
            <w:vAlign w:val="center"/>
            <w:hideMark/>
          </w:tcPr>
          <w:p w14:paraId="302169E7" w14:textId="77777777" w:rsidR="00660057" w:rsidRPr="002A6381" w:rsidRDefault="00660057" w:rsidP="00562DA7">
            <w:pPr>
              <w:widowControl/>
              <w:jc w:val="left"/>
              <w:rPr>
                <w:rFonts w:cs="Arial"/>
                <w:b/>
                <w:color w:val="FFFFFF"/>
                <w:sz w:val="20"/>
                <w:lang w:eastAsia="es-MX"/>
              </w:rPr>
            </w:pPr>
            <w:r w:rsidRPr="002A6381">
              <w:rPr>
                <w:rFonts w:cs="Arial"/>
                <w:b/>
                <w:color w:val="FFFFFF"/>
                <w:sz w:val="20"/>
                <w:lang w:eastAsia="es-MX"/>
              </w:rPr>
              <w:t>Características de las viviendas</w:t>
            </w:r>
          </w:p>
        </w:tc>
        <w:tc>
          <w:tcPr>
            <w:tcW w:w="6440" w:type="dxa"/>
            <w:gridSpan w:val="4"/>
            <w:tcBorders>
              <w:top w:val="nil"/>
              <w:left w:val="nil"/>
              <w:bottom w:val="single" w:sz="4" w:space="0" w:color="FFFFFF"/>
              <w:right w:val="nil"/>
            </w:tcBorders>
            <w:shd w:val="clear" w:color="auto" w:fill="338B99"/>
            <w:vAlign w:val="center"/>
            <w:hideMark/>
          </w:tcPr>
          <w:p w14:paraId="0CE897F7" w14:textId="77777777" w:rsidR="00660057" w:rsidRPr="002A6381" w:rsidRDefault="00660057" w:rsidP="00562DA7">
            <w:pPr>
              <w:widowControl/>
              <w:jc w:val="center"/>
              <w:rPr>
                <w:rFonts w:cs="Arial"/>
                <w:b/>
                <w:color w:val="FFFFFF"/>
                <w:sz w:val="20"/>
                <w:lang w:eastAsia="es-MX"/>
              </w:rPr>
            </w:pPr>
            <w:r w:rsidRPr="002A6381">
              <w:rPr>
                <w:rFonts w:cs="Arial"/>
                <w:b/>
                <w:color w:val="FFFFFF" w:themeColor="background1"/>
                <w:sz w:val="20"/>
                <w:lang w:eastAsia="es-MX"/>
              </w:rPr>
              <w:t>Viviendas con:</w:t>
            </w:r>
          </w:p>
        </w:tc>
      </w:tr>
      <w:tr w:rsidR="00660057" w:rsidRPr="002A6381" w14:paraId="6079AC3D" w14:textId="77777777">
        <w:trPr>
          <w:trHeight w:val="870"/>
        </w:trPr>
        <w:tc>
          <w:tcPr>
            <w:tcW w:w="3500" w:type="dxa"/>
            <w:gridSpan w:val="2"/>
            <w:vMerge/>
            <w:tcBorders>
              <w:top w:val="nil"/>
              <w:left w:val="nil"/>
              <w:bottom w:val="nil"/>
              <w:right w:val="nil"/>
            </w:tcBorders>
            <w:shd w:val="clear" w:color="auto" w:fill="338B99"/>
            <w:vAlign w:val="center"/>
            <w:hideMark/>
          </w:tcPr>
          <w:p w14:paraId="61566231" w14:textId="77777777" w:rsidR="00660057" w:rsidRPr="002A6381" w:rsidRDefault="00660057" w:rsidP="00562DA7">
            <w:pPr>
              <w:widowControl/>
              <w:jc w:val="left"/>
              <w:rPr>
                <w:rFonts w:cs="Arial"/>
                <w:b/>
                <w:color w:val="FFFFFF"/>
                <w:sz w:val="20"/>
                <w:lang w:eastAsia="es-MX"/>
              </w:rPr>
            </w:pPr>
          </w:p>
        </w:tc>
        <w:tc>
          <w:tcPr>
            <w:tcW w:w="1320" w:type="dxa"/>
            <w:tcBorders>
              <w:top w:val="nil"/>
              <w:left w:val="nil"/>
              <w:bottom w:val="nil"/>
              <w:right w:val="nil"/>
            </w:tcBorders>
            <w:shd w:val="clear" w:color="auto" w:fill="338B99"/>
            <w:vAlign w:val="center"/>
            <w:hideMark/>
          </w:tcPr>
          <w:p w14:paraId="4A01CE69" w14:textId="77777777" w:rsidR="00660057" w:rsidRPr="002A6381" w:rsidRDefault="00660057" w:rsidP="00562DA7">
            <w:pPr>
              <w:widowControl/>
              <w:jc w:val="center"/>
              <w:rPr>
                <w:rFonts w:cs="Arial"/>
                <w:b/>
                <w:color w:val="FFFFFF"/>
                <w:sz w:val="20"/>
                <w:lang w:eastAsia="es-MX"/>
              </w:rPr>
            </w:pPr>
            <w:r w:rsidRPr="002A6381">
              <w:rPr>
                <w:rFonts w:cs="Arial"/>
                <w:b/>
                <w:color w:val="FFFFFF" w:themeColor="background1"/>
                <w:sz w:val="20"/>
                <w:lang w:eastAsia="es-MX"/>
              </w:rPr>
              <w:t>población de 5 a 17 años</w:t>
            </w:r>
          </w:p>
        </w:tc>
        <w:tc>
          <w:tcPr>
            <w:tcW w:w="1320" w:type="dxa"/>
            <w:tcBorders>
              <w:top w:val="nil"/>
              <w:left w:val="nil"/>
              <w:bottom w:val="nil"/>
              <w:right w:val="nil"/>
            </w:tcBorders>
            <w:shd w:val="clear" w:color="auto" w:fill="338B99"/>
            <w:vAlign w:val="center"/>
            <w:hideMark/>
          </w:tcPr>
          <w:p w14:paraId="42587F77" w14:textId="77777777" w:rsidR="00660057" w:rsidRPr="002A6381" w:rsidRDefault="00660057" w:rsidP="00562DA7">
            <w:pPr>
              <w:widowControl/>
              <w:jc w:val="center"/>
              <w:rPr>
                <w:rFonts w:cs="Arial"/>
                <w:b/>
                <w:color w:val="FFFFFF"/>
                <w:sz w:val="20"/>
                <w:lang w:eastAsia="es-MX"/>
              </w:rPr>
            </w:pPr>
            <w:r w:rsidRPr="002A6381">
              <w:rPr>
                <w:rFonts w:cs="Arial"/>
                <w:b/>
                <w:color w:val="FFFFFF" w:themeColor="background1"/>
                <w:sz w:val="20"/>
                <w:lang w:eastAsia="es-MX"/>
              </w:rPr>
              <w:t>trabajo infantil</w:t>
            </w:r>
          </w:p>
        </w:tc>
        <w:tc>
          <w:tcPr>
            <w:tcW w:w="1320" w:type="dxa"/>
            <w:tcBorders>
              <w:top w:val="nil"/>
              <w:left w:val="nil"/>
              <w:bottom w:val="nil"/>
              <w:right w:val="nil"/>
            </w:tcBorders>
            <w:shd w:val="clear" w:color="auto" w:fill="338B99"/>
            <w:vAlign w:val="center"/>
            <w:hideMark/>
          </w:tcPr>
          <w:p w14:paraId="581ED298" w14:textId="77777777" w:rsidR="00660057" w:rsidRPr="002A6381" w:rsidRDefault="00660057" w:rsidP="00562DA7">
            <w:pPr>
              <w:widowControl/>
              <w:jc w:val="center"/>
              <w:rPr>
                <w:rFonts w:cs="Arial"/>
                <w:b/>
                <w:color w:val="FFFFFF"/>
                <w:sz w:val="20"/>
                <w:lang w:eastAsia="es-MX"/>
              </w:rPr>
            </w:pPr>
            <w:r w:rsidRPr="002A6381">
              <w:rPr>
                <w:rFonts w:cs="Arial"/>
                <w:b/>
                <w:color w:val="FFFFFF" w:themeColor="background1"/>
                <w:sz w:val="20"/>
                <w:lang w:eastAsia="es-MX"/>
              </w:rPr>
              <w:t>ocupación no permitida</w:t>
            </w:r>
          </w:p>
        </w:tc>
        <w:tc>
          <w:tcPr>
            <w:tcW w:w="2480" w:type="dxa"/>
            <w:tcBorders>
              <w:top w:val="nil"/>
              <w:left w:val="nil"/>
              <w:bottom w:val="nil"/>
              <w:right w:val="nil"/>
            </w:tcBorders>
            <w:shd w:val="clear" w:color="auto" w:fill="338B99"/>
            <w:vAlign w:val="center"/>
            <w:hideMark/>
          </w:tcPr>
          <w:p w14:paraId="3181ED4F" w14:textId="77777777" w:rsidR="00660057" w:rsidRPr="002A6381" w:rsidRDefault="00660057" w:rsidP="00562DA7">
            <w:pPr>
              <w:widowControl/>
              <w:jc w:val="center"/>
              <w:rPr>
                <w:rFonts w:cs="Arial"/>
                <w:b/>
                <w:color w:val="FFFFFF"/>
                <w:sz w:val="20"/>
                <w:lang w:eastAsia="es-MX"/>
              </w:rPr>
            </w:pPr>
            <w:r w:rsidRPr="002A6381">
              <w:rPr>
                <w:rFonts w:cs="Arial"/>
                <w:b/>
                <w:color w:val="FFFFFF" w:themeColor="background1"/>
                <w:sz w:val="20"/>
                <w:lang w:eastAsia="es-MX"/>
              </w:rPr>
              <w:t>quehaceres domésticos en condiciones no adecuadas</w:t>
            </w:r>
          </w:p>
        </w:tc>
      </w:tr>
      <w:tr w:rsidR="00660057" w:rsidRPr="002A6381" w14:paraId="132E2ECC" w14:textId="77777777">
        <w:trPr>
          <w:trHeight w:val="510"/>
        </w:trPr>
        <w:tc>
          <w:tcPr>
            <w:tcW w:w="220" w:type="dxa"/>
            <w:tcBorders>
              <w:top w:val="nil"/>
              <w:left w:val="nil"/>
              <w:bottom w:val="nil"/>
              <w:right w:val="nil"/>
            </w:tcBorders>
            <w:shd w:val="clear" w:color="auto" w:fill="CCE2E6"/>
            <w:noWrap/>
            <w:vAlign w:val="bottom"/>
            <w:hideMark/>
          </w:tcPr>
          <w:p w14:paraId="36D1975F" w14:textId="77777777" w:rsidR="00660057" w:rsidRPr="002A6381" w:rsidRDefault="00660057" w:rsidP="00562DA7">
            <w:pPr>
              <w:widowControl/>
              <w:jc w:val="left"/>
              <w:rPr>
                <w:rFonts w:ascii="Times New Roman" w:hAnsi="Times New Roman"/>
                <w:color w:val="000000"/>
                <w:sz w:val="20"/>
                <w:lang w:eastAsia="es-MX"/>
              </w:rPr>
            </w:pPr>
            <w:r w:rsidRPr="002A6381">
              <w:rPr>
                <w:rFonts w:ascii="Times New Roman" w:hAnsi="Times New Roman"/>
                <w:color w:val="000000"/>
                <w:sz w:val="20"/>
                <w:lang w:eastAsia="es-MX"/>
              </w:rPr>
              <w:t> </w:t>
            </w:r>
          </w:p>
        </w:tc>
        <w:tc>
          <w:tcPr>
            <w:tcW w:w="3280" w:type="dxa"/>
            <w:tcBorders>
              <w:top w:val="nil"/>
              <w:left w:val="nil"/>
              <w:bottom w:val="nil"/>
              <w:right w:val="nil"/>
            </w:tcBorders>
            <w:shd w:val="clear" w:color="auto" w:fill="CCE2E6"/>
            <w:vAlign w:val="center"/>
            <w:hideMark/>
          </w:tcPr>
          <w:p w14:paraId="21A8F0FA" w14:textId="77777777" w:rsidR="00660057" w:rsidRPr="002A6381" w:rsidRDefault="00660057" w:rsidP="00562DA7">
            <w:pPr>
              <w:widowControl/>
              <w:jc w:val="left"/>
              <w:rPr>
                <w:rFonts w:cs="Arial"/>
                <w:color w:val="000000"/>
                <w:sz w:val="20"/>
                <w:lang w:eastAsia="es-MX"/>
              </w:rPr>
            </w:pPr>
            <w:r w:rsidRPr="002A6381">
              <w:rPr>
                <w:rFonts w:cs="Arial"/>
                <w:sz w:val="20"/>
                <w:lang w:eastAsia="es-MX"/>
              </w:rPr>
              <w:t>Piso de cemento, madera, mosaico u otro recubrimiento</w:t>
            </w:r>
          </w:p>
        </w:tc>
        <w:tc>
          <w:tcPr>
            <w:tcW w:w="1320" w:type="dxa"/>
            <w:tcBorders>
              <w:top w:val="nil"/>
              <w:left w:val="nil"/>
              <w:bottom w:val="nil"/>
              <w:right w:val="nil"/>
            </w:tcBorders>
            <w:shd w:val="clear" w:color="auto" w:fill="CCE2E6"/>
            <w:vAlign w:val="center"/>
            <w:hideMark/>
          </w:tcPr>
          <w:p w14:paraId="69317C03" w14:textId="77777777" w:rsidR="00660057" w:rsidRPr="002A6381" w:rsidRDefault="00660057" w:rsidP="00562DA7">
            <w:pPr>
              <w:widowControl/>
              <w:jc w:val="center"/>
              <w:rPr>
                <w:rFonts w:cs="Arial"/>
                <w:color w:val="000000"/>
                <w:sz w:val="20"/>
                <w:lang w:eastAsia="es-MX"/>
              </w:rPr>
            </w:pPr>
            <w:r w:rsidRPr="002A6381">
              <w:rPr>
                <w:rFonts w:cs="Arial"/>
                <w:sz w:val="20"/>
                <w:lang w:eastAsia="es-MX"/>
              </w:rPr>
              <w:t>94.8</w:t>
            </w:r>
          </w:p>
        </w:tc>
        <w:tc>
          <w:tcPr>
            <w:tcW w:w="1320" w:type="dxa"/>
            <w:tcBorders>
              <w:top w:val="nil"/>
              <w:left w:val="nil"/>
              <w:bottom w:val="nil"/>
              <w:right w:val="nil"/>
            </w:tcBorders>
            <w:shd w:val="clear" w:color="auto" w:fill="CCE2E6"/>
            <w:vAlign w:val="center"/>
            <w:hideMark/>
          </w:tcPr>
          <w:p w14:paraId="2A6F6D16" w14:textId="77777777" w:rsidR="00660057" w:rsidRPr="002A6381" w:rsidRDefault="00660057" w:rsidP="00562DA7">
            <w:pPr>
              <w:widowControl/>
              <w:jc w:val="center"/>
              <w:rPr>
                <w:rFonts w:cs="Arial"/>
                <w:color w:val="000000"/>
                <w:sz w:val="20"/>
                <w:lang w:eastAsia="es-MX"/>
              </w:rPr>
            </w:pPr>
            <w:r w:rsidRPr="002A6381">
              <w:rPr>
                <w:rFonts w:cs="Arial"/>
                <w:sz w:val="20"/>
                <w:lang w:eastAsia="es-MX"/>
              </w:rPr>
              <w:t>92.9</w:t>
            </w:r>
          </w:p>
        </w:tc>
        <w:tc>
          <w:tcPr>
            <w:tcW w:w="1320" w:type="dxa"/>
            <w:tcBorders>
              <w:top w:val="nil"/>
              <w:left w:val="nil"/>
              <w:bottom w:val="nil"/>
              <w:right w:val="nil"/>
            </w:tcBorders>
            <w:shd w:val="clear" w:color="auto" w:fill="CCE2E6"/>
            <w:vAlign w:val="center"/>
            <w:hideMark/>
          </w:tcPr>
          <w:p w14:paraId="0FB8B159" w14:textId="77777777" w:rsidR="00660057" w:rsidRPr="002A6381" w:rsidRDefault="00660057" w:rsidP="00562DA7">
            <w:pPr>
              <w:widowControl/>
              <w:jc w:val="center"/>
              <w:rPr>
                <w:rFonts w:cs="Arial"/>
                <w:color w:val="000000"/>
                <w:sz w:val="20"/>
                <w:lang w:eastAsia="es-MX"/>
              </w:rPr>
            </w:pPr>
            <w:r w:rsidRPr="002A6381">
              <w:rPr>
                <w:rFonts w:cs="Arial"/>
                <w:sz w:val="20"/>
                <w:lang w:eastAsia="es-MX"/>
              </w:rPr>
              <w:t>92.0</w:t>
            </w:r>
          </w:p>
        </w:tc>
        <w:tc>
          <w:tcPr>
            <w:tcW w:w="2480" w:type="dxa"/>
            <w:tcBorders>
              <w:top w:val="nil"/>
              <w:left w:val="nil"/>
              <w:bottom w:val="nil"/>
              <w:right w:val="nil"/>
            </w:tcBorders>
            <w:shd w:val="clear" w:color="auto" w:fill="CCE2E6"/>
            <w:vAlign w:val="center"/>
            <w:hideMark/>
          </w:tcPr>
          <w:p w14:paraId="3B785A54" w14:textId="77777777" w:rsidR="00660057" w:rsidRPr="002A6381" w:rsidRDefault="00660057" w:rsidP="00562DA7">
            <w:pPr>
              <w:widowControl/>
              <w:jc w:val="center"/>
              <w:rPr>
                <w:rFonts w:cs="Arial"/>
                <w:color w:val="000000"/>
                <w:sz w:val="20"/>
                <w:lang w:eastAsia="es-MX"/>
              </w:rPr>
            </w:pPr>
            <w:r w:rsidRPr="002A6381">
              <w:rPr>
                <w:rFonts w:cs="Arial"/>
                <w:sz w:val="20"/>
                <w:lang w:eastAsia="es-MX"/>
              </w:rPr>
              <w:t>93.1</w:t>
            </w:r>
          </w:p>
        </w:tc>
      </w:tr>
      <w:tr w:rsidR="00660057" w:rsidRPr="002A6381" w14:paraId="792AE041" w14:textId="77777777">
        <w:trPr>
          <w:trHeight w:val="300"/>
        </w:trPr>
        <w:tc>
          <w:tcPr>
            <w:tcW w:w="220" w:type="dxa"/>
            <w:tcBorders>
              <w:top w:val="nil"/>
              <w:left w:val="nil"/>
              <w:bottom w:val="nil"/>
              <w:right w:val="nil"/>
            </w:tcBorders>
            <w:shd w:val="clear" w:color="auto" w:fill="CCE2E6"/>
            <w:noWrap/>
            <w:vAlign w:val="bottom"/>
            <w:hideMark/>
          </w:tcPr>
          <w:p w14:paraId="6DC5F943" w14:textId="77777777" w:rsidR="00660057" w:rsidRPr="002A6381" w:rsidRDefault="00660057" w:rsidP="00562DA7">
            <w:pPr>
              <w:widowControl/>
              <w:jc w:val="left"/>
              <w:rPr>
                <w:rFonts w:ascii="Times New Roman" w:hAnsi="Times New Roman"/>
                <w:color w:val="000000"/>
                <w:sz w:val="20"/>
                <w:lang w:eastAsia="es-MX"/>
              </w:rPr>
            </w:pPr>
            <w:r w:rsidRPr="002A6381">
              <w:rPr>
                <w:rFonts w:ascii="Times New Roman" w:hAnsi="Times New Roman"/>
                <w:color w:val="000000"/>
                <w:sz w:val="20"/>
                <w:lang w:eastAsia="es-MX"/>
              </w:rPr>
              <w:t> </w:t>
            </w:r>
          </w:p>
        </w:tc>
        <w:tc>
          <w:tcPr>
            <w:tcW w:w="3280" w:type="dxa"/>
            <w:tcBorders>
              <w:top w:val="nil"/>
              <w:left w:val="nil"/>
              <w:bottom w:val="nil"/>
              <w:right w:val="nil"/>
            </w:tcBorders>
            <w:shd w:val="clear" w:color="auto" w:fill="CCE2E6"/>
            <w:vAlign w:val="center"/>
            <w:hideMark/>
          </w:tcPr>
          <w:p w14:paraId="5EF85F2C" w14:textId="77777777" w:rsidR="00660057" w:rsidRPr="002A6381" w:rsidRDefault="00660057" w:rsidP="00562DA7">
            <w:pPr>
              <w:widowControl/>
              <w:jc w:val="left"/>
              <w:rPr>
                <w:rFonts w:cs="Arial"/>
                <w:color w:val="000000"/>
                <w:sz w:val="20"/>
                <w:lang w:eastAsia="es-MX"/>
              </w:rPr>
            </w:pPr>
            <w:r w:rsidRPr="002A6381">
              <w:rPr>
                <w:rFonts w:cs="Arial"/>
                <w:sz w:val="20"/>
                <w:lang w:eastAsia="es-MX"/>
              </w:rPr>
              <w:t>Dispone de luz eléctrica</w:t>
            </w:r>
          </w:p>
        </w:tc>
        <w:tc>
          <w:tcPr>
            <w:tcW w:w="1320" w:type="dxa"/>
            <w:tcBorders>
              <w:top w:val="nil"/>
              <w:left w:val="nil"/>
              <w:bottom w:val="nil"/>
              <w:right w:val="nil"/>
            </w:tcBorders>
            <w:shd w:val="clear" w:color="auto" w:fill="CCE2E6"/>
            <w:vAlign w:val="center"/>
            <w:hideMark/>
          </w:tcPr>
          <w:p w14:paraId="7968011C" w14:textId="77777777" w:rsidR="00660057" w:rsidRPr="002A6381" w:rsidRDefault="00660057" w:rsidP="00562DA7">
            <w:pPr>
              <w:widowControl/>
              <w:jc w:val="center"/>
              <w:rPr>
                <w:rFonts w:cs="Arial"/>
                <w:color w:val="000000"/>
                <w:sz w:val="20"/>
                <w:lang w:eastAsia="es-MX"/>
              </w:rPr>
            </w:pPr>
            <w:r w:rsidRPr="002A6381">
              <w:rPr>
                <w:rFonts w:cs="Arial"/>
                <w:sz w:val="20"/>
                <w:lang w:eastAsia="es-MX"/>
              </w:rPr>
              <w:t>99.6</w:t>
            </w:r>
          </w:p>
        </w:tc>
        <w:tc>
          <w:tcPr>
            <w:tcW w:w="1320" w:type="dxa"/>
            <w:tcBorders>
              <w:top w:val="nil"/>
              <w:left w:val="nil"/>
              <w:bottom w:val="nil"/>
              <w:right w:val="nil"/>
            </w:tcBorders>
            <w:shd w:val="clear" w:color="auto" w:fill="CCE2E6"/>
            <w:vAlign w:val="center"/>
            <w:hideMark/>
          </w:tcPr>
          <w:p w14:paraId="25FF7F1E" w14:textId="77777777" w:rsidR="00660057" w:rsidRPr="002A6381" w:rsidRDefault="00660057" w:rsidP="00562DA7">
            <w:pPr>
              <w:widowControl/>
              <w:jc w:val="center"/>
              <w:rPr>
                <w:rFonts w:cs="Arial"/>
                <w:color w:val="000000"/>
                <w:sz w:val="20"/>
                <w:lang w:eastAsia="es-MX"/>
              </w:rPr>
            </w:pPr>
            <w:r w:rsidRPr="002A6381">
              <w:rPr>
                <w:rFonts w:cs="Arial"/>
                <w:sz w:val="20"/>
                <w:lang w:eastAsia="es-MX"/>
              </w:rPr>
              <w:t>99.2</w:t>
            </w:r>
          </w:p>
        </w:tc>
        <w:tc>
          <w:tcPr>
            <w:tcW w:w="1320" w:type="dxa"/>
            <w:tcBorders>
              <w:top w:val="nil"/>
              <w:left w:val="nil"/>
              <w:bottom w:val="nil"/>
              <w:right w:val="nil"/>
            </w:tcBorders>
            <w:shd w:val="clear" w:color="auto" w:fill="CCE2E6"/>
            <w:vAlign w:val="center"/>
            <w:hideMark/>
          </w:tcPr>
          <w:p w14:paraId="55BC63C2" w14:textId="77777777" w:rsidR="00660057" w:rsidRPr="002A6381" w:rsidRDefault="00660057" w:rsidP="00562DA7">
            <w:pPr>
              <w:widowControl/>
              <w:jc w:val="center"/>
              <w:rPr>
                <w:rFonts w:cs="Arial"/>
                <w:color w:val="000000"/>
                <w:sz w:val="20"/>
                <w:lang w:eastAsia="es-MX"/>
              </w:rPr>
            </w:pPr>
            <w:r w:rsidRPr="002A6381">
              <w:rPr>
                <w:rFonts w:cs="Arial"/>
                <w:sz w:val="20"/>
                <w:lang w:eastAsia="es-MX"/>
              </w:rPr>
              <w:t>99.1</w:t>
            </w:r>
          </w:p>
        </w:tc>
        <w:tc>
          <w:tcPr>
            <w:tcW w:w="2480" w:type="dxa"/>
            <w:tcBorders>
              <w:top w:val="nil"/>
              <w:left w:val="nil"/>
              <w:bottom w:val="nil"/>
              <w:right w:val="nil"/>
            </w:tcBorders>
            <w:shd w:val="clear" w:color="auto" w:fill="CCE2E6"/>
            <w:vAlign w:val="center"/>
            <w:hideMark/>
          </w:tcPr>
          <w:p w14:paraId="374BFCB8" w14:textId="77777777" w:rsidR="00660057" w:rsidRPr="002A6381" w:rsidRDefault="00660057" w:rsidP="00562DA7">
            <w:pPr>
              <w:widowControl/>
              <w:jc w:val="center"/>
              <w:rPr>
                <w:rFonts w:cs="Arial"/>
                <w:color w:val="000000"/>
                <w:sz w:val="20"/>
                <w:lang w:eastAsia="es-MX"/>
              </w:rPr>
            </w:pPr>
            <w:r w:rsidRPr="002A6381">
              <w:rPr>
                <w:rFonts w:cs="Arial"/>
                <w:sz w:val="20"/>
                <w:lang w:eastAsia="es-MX"/>
              </w:rPr>
              <w:t>99.2</w:t>
            </w:r>
          </w:p>
        </w:tc>
      </w:tr>
      <w:tr w:rsidR="00660057" w:rsidRPr="002A6381" w14:paraId="5C5F3732" w14:textId="77777777">
        <w:trPr>
          <w:trHeight w:val="300"/>
        </w:trPr>
        <w:tc>
          <w:tcPr>
            <w:tcW w:w="220" w:type="dxa"/>
            <w:tcBorders>
              <w:top w:val="nil"/>
              <w:left w:val="nil"/>
              <w:bottom w:val="nil"/>
              <w:right w:val="nil"/>
            </w:tcBorders>
            <w:shd w:val="clear" w:color="auto" w:fill="CCE2E6"/>
            <w:noWrap/>
            <w:vAlign w:val="bottom"/>
            <w:hideMark/>
          </w:tcPr>
          <w:p w14:paraId="7CEA0D67" w14:textId="77777777" w:rsidR="00660057" w:rsidRPr="002A6381" w:rsidRDefault="00660057" w:rsidP="00562DA7">
            <w:pPr>
              <w:widowControl/>
              <w:jc w:val="left"/>
              <w:rPr>
                <w:rFonts w:ascii="Times New Roman" w:hAnsi="Times New Roman"/>
                <w:color w:val="000000"/>
                <w:sz w:val="20"/>
                <w:lang w:eastAsia="es-MX"/>
              </w:rPr>
            </w:pPr>
            <w:r w:rsidRPr="002A6381">
              <w:rPr>
                <w:rFonts w:ascii="Times New Roman" w:hAnsi="Times New Roman"/>
                <w:color w:val="000000"/>
                <w:sz w:val="20"/>
                <w:lang w:eastAsia="es-MX"/>
              </w:rPr>
              <w:t> </w:t>
            </w:r>
          </w:p>
        </w:tc>
        <w:tc>
          <w:tcPr>
            <w:tcW w:w="3280" w:type="dxa"/>
            <w:tcBorders>
              <w:top w:val="nil"/>
              <w:left w:val="nil"/>
              <w:bottom w:val="nil"/>
              <w:right w:val="nil"/>
            </w:tcBorders>
            <w:shd w:val="clear" w:color="auto" w:fill="CCE2E6"/>
            <w:vAlign w:val="center"/>
            <w:hideMark/>
          </w:tcPr>
          <w:p w14:paraId="3A1128EC" w14:textId="77777777" w:rsidR="00660057" w:rsidRPr="002A6381" w:rsidRDefault="00660057" w:rsidP="00562DA7">
            <w:pPr>
              <w:widowControl/>
              <w:jc w:val="left"/>
              <w:rPr>
                <w:rFonts w:cs="Arial"/>
                <w:color w:val="000000"/>
                <w:sz w:val="20"/>
                <w:lang w:eastAsia="es-MX"/>
              </w:rPr>
            </w:pPr>
            <w:r w:rsidRPr="002A6381">
              <w:rPr>
                <w:rFonts w:cs="Arial"/>
                <w:sz w:val="20"/>
                <w:lang w:eastAsia="es-MX"/>
              </w:rPr>
              <w:t>Dispone de agua entubada</w:t>
            </w:r>
          </w:p>
        </w:tc>
        <w:tc>
          <w:tcPr>
            <w:tcW w:w="1320" w:type="dxa"/>
            <w:tcBorders>
              <w:top w:val="nil"/>
              <w:left w:val="nil"/>
              <w:bottom w:val="nil"/>
              <w:right w:val="nil"/>
            </w:tcBorders>
            <w:shd w:val="clear" w:color="auto" w:fill="CCE2E6"/>
            <w:vAlign w:val="center"/>
            <w:hideMark/>
          </w:tcPr>
          <w:p w14:paraId="3F5BACFE" w14:textId="77777777" w:rsidR="00660057" w:rsidRPr="002A6381" w:rsidRDefault="00660057" w:rsidP="00562DA7">
            <w:pPr>
              <w:widowControl/>
              <w:jc w:val="center"/>
              <w:rPr>
                <w:rFonts w:cs="Arial"/>
                <w:color w:val="000000"/>
                <w:sz w:val="20"/>
                <w:lang w:eastAsia="es-MX"/>
              </w:rPr>
            </w:pPr>
            <w:r w:rsidRPr="002A6381">
              <w:rPr>
                <w:rFonts w:cs="Arial"/>
                <w:sz w:val="20"/>
                <w:lang w:eastAsia="es-MX"/>
              </w:rPr>
              <w:t>97.1</w:t>
            </w:r>
          </w:p>
        </w:tc>
        <w:tc>
          <w:tcPr>
            <w:tcW w:w="1320" w:type="dxa"/>
            <w:tcBorders>
              <w:top w:val="nil"/>
              <w:left w:val="nil"/>
              <w:bottom w:val="nil"/>
              <w:right w:val="nil"/>
            </w:tcBorders>
            <w:shd w:val="clear" w:color="auto" w:fill="CCE2E6"/>
            <w:vAlign w:val="center"/>
            <w:hideMark/>
          </w:tcPr>
          <w:p w14:paraId="3B085C26" w14:textId="77777777" w:rsidR="00660057" w:rsidRPr="002A6381" w:rsidRDefault="00660057" w:rsidP="00562DA7">
            <w:pPr>
              <w:widowControl/>
              <w:jc w:val="center"/>
              <w:rPr>
                <w:rFonts w:cs="Arial"/>
                <w:color w:val="000000"/>
                <w:sz w:val="20"/>
                <w:lang w:eastAsia="es-MX"/>
              </w:rPr>
            </w:pPr>
            <w:r w:rsidRPr="002A6381">
              <w:rPr>
                <w:rFonts w:cs="Arial"/>
                <w:sz w:val="20"/>
                <w:lang w:eastAsia="es-MX"/>
              </w:rPr>
              <w:t>94.8</w:t>
            </w:r>
          </w:p>
        </w:tc>
        <w:tc>
          <w:tcPr>
            <w:tcW w:w="1320" w:type="dxa"/>
            <w:tcBorders>
              <w:top w:val="nil"/>
              <w:left w:val="nil"/>
              <w:bottom w:val="nil"/>
              <w:right w:val="nil"/>
            </w:tcBorders>
            <w:shd w:val="clear" w:color="auto" w:fill="CCE2E6"/>
            <w:vAlign w:val="center"/>
            <w:hideMark/>
          </w:tcPr>
          <w:p w14:paraId="4AC3E968" w14:textId="77777777" w:rsidR="00660057" w:rsidRPr="002A6381" w:rsidRDefault="00660057" w:rsidP="00562DA7">
            <w:pPr>
              <w:widowControl/>
              <w:jc w:val="center"/>
              <w:rPr>
                <w:rFonts w:cs="Arial"/>
                <w:color w:val="000000"/>
                <w:sz w:val="20"/>
                <w:lang w:eastAsia="es-MX"/>
              </w:rPr>
            </w:pPr>
            <w:r w:rsidRPr="002A6381">
              <w:rPr>
                <w:rFonts w:cs="Arial"/>
                <w:sz w:val="20"/>
                <w:lang w:eastAsia="es-MX"/>
              </w:rPr>
              <w:t>94.3</w:t>
            </w:r>
          </w:p>
        </w:tc>
        <w:tc>
          <w:tcPr>
            <w:tcW w:w="2480" w:type="dxa"/>
            <w:tcBorders>
              <w:top w:val="nil"/>
              <w:left w:val="nil"/>
              <w:bottom w:val="nil"/>
              <w:right w:val="nil"/>
            </w:tcBorders>
            <w:shd w:val="clear" w:color="auto" w:fill="CCE2E6"/>
            <w:vAlign w:val="center"/>
            <w:hideMark/>
          </w:tcPr>
          <w:p w14:paraId="58DE1F2F" w14:textId="77777777" w:rsidR="00660057" w:rsidRPr="002A6381" w:rsidRDefault="00660057" w:rsidP="00562DA7">
            <w:pPr>
              <w:widowControl/>
              <w:jc w:val="center"/>
              <w:rPr>
                <w:rFonts w:cs="Arial"/>
                <w:color w:val="000000"/>
                <w:sz w:val="20"/>
                <w:lang w:eastAsia="es-MX"/>
              </w:rPr>
            </w:pPr>
            <w:r w:rsidRPr="002A6381">
              <w:rPr>
                <w:rFonts w:cs="Arial"/>
                <w:sz w:val="20"/>
                <w:lang w:eastAsia="es-MX"/>
              </w:rPr>
              <w:t>95.0</w:t>
            </w:r>
          </w:p>
        </w:tc>
      </w:tr>
      <w:tr w:rsidR="00660057" w:rsidRPr="002A6381" w14:paraId="78D6BFBF" w14:textId="77777777">
        <w:trPr>
          <w:trHeight w:val="300"/>
        </w:trPr>
        <w:tc>
          <w:tcPr>
            <w:tcW w:w="220" w:type="dxa"/>
            <w:tcBorders>
              <w:top w:val="nil"/>
              <w:left w:val="nil"/>
              <w:bottom w:val="nil"/>
              <w:right w:val="nil"/>
            </w:tcBorders>
            <w:shd w:val="clear" w:color="auto" w:fill="CCE2E6"/>
            <w:noWrap/>
            <w:vAlign w:val="bottom"/>
            <w:hideMark/>
          </w:tcPr>
          <w:p w14:paraId="4BD5734C" w14:textId="77777777" w:rsidR="00660057" w:rsidRPr="002A6381" w:rsidRDefault="00660057" w:rsidP="00562DA7">
            <w:pPr>
              <w:widowControl/>
              <w:jc w:val="left"/>
              <w:rPr>
                <w:rFonts w:ascii="Times New Roman" w:hAnsi="Times New Roman"/>
                <w:color w:val="000000"/>
                <w:sz w:val="20"/>
                <w:lang w:eastAsia="es-MX"/>
              </w:rPr>
            </w:pPr>
            <w:r w:rsidRPr="002A6381">
              <w:rPr>
                <w:rFonts w:ascii="Times New Roman" w:hAnsi="Times New Roman"/>
                <w:color w:val="000000"/>
                <w:sz w:val="20"/>
                <w:lang w:eastAsia="es-MX"/>
              </w:rPr>
              <w:t> </w:t>
            </w:r>
          </w:p>
        </w:tc>
        <w:tc>
          <w:tcPr>
            <w:tcW w:w="3280" w:type="dxa"/>
            <w:tcBorders>
              <w:top w:val="nil"/>
              <w:left w:val="nil"/>
              <w:bottom w:val="nil"/>
              <w:right w:val="nil"/>
            </w:tcBorders>
            <w:shd w:val="clear" w:color="auto" w:fill="CCE2E6"/>
            <w:vAlign w:val="center"/>
            <w:hideMark/>
          </w:tcPr>
          <w:p w14:paraId="56B5074B" w14:textId="77777777" w:rsidR="00660057" w:rsidRPr="002A6381" w:rsidRDefault="00660057" w:rsidP="00562DA7">
            <w:pPr>
              <w:widowControl/>
              <w:jc w:val="left"/>
              <w:rPr>
                <w:rFonts w:cs="Arial"/>
                <w:color w:val="000000"/>
                <w:sz w:val="20"/>
                <w:lang w:eastAsia="es-MX"/>
              </w:rPr>
            </w:pPr>
            <w:r w:rsidRPr="002A6381">
              <w:rPr>
                <w:rFonts w:cs="Arial"/>
                <w:sz w:val="20"/>
                <w:lang w:eastAsia="es-MX"/>
              </w:rPr>
              <w:t>Dispone de sanitario</w:t>
            </w:r>
          </w:p>
        </w:tc>
        <w:tc>
          <w:tcPr>
            <w:tcW w:w="1320" w:type="dxa"/>
            <w:tcBorders>
              <w:top w:val="nil"/>
              <w:left w:val="nil"/>
              <w:bottom w:val="nil"/>
              <w:right w:val="nil"/>
            </w:tcBorders>
            <w:shd w:val="clear" w:color="auto" w:fill="CCE2E6"/>
            <w:vAlign w:val="center"/>
            <w:hideMark/>
          </w:tcPr>
          <w:p w14:paraId="79E5BC88" w14:textId="77777777" w:rsidR="00660057" w:rsidRPr="002A6381" w:rsidRDefault="00660057" w:rsidP="00562DA7">
            <w:pPr>
              <w:widowControl/>
              <w:jc w:val="center"/>
              <w:rPr>
                <w:rFonts w:cs="Arial"/>
                <w:color w:val="000000"/>
                <w:sz w:val="20"/>
                <w:lang w:eastAsia="es-MX"/>
              </w:rPr>
            </w:pPr>
            <w:r w:rsidRPr="002A6381">
              <w:rPr>
                <w:rFonts w:cs="Arial"/>
                <w:sz w:val="20"/>
                <w:lang w:eastAsia="es-MX"/>
              </w:rPr>
              <w:t>98.8</w:t>
            </w:r>
          </w:p>
        </w:tc>
        <w:tc>
          <w:tcPr>
            <w:tcW w:w="1320" w:type="dxa"/>
            <w:tcBorders>
              <w:top w:val="nil"/>
              <w:left w:val="nil"/>
              <w:bottom w:val="nil"/>
              <w:right w:val="nil"/>
            </w:tcBorders>
            <w:shd w:val="clear" w:color="auto" w:fill="CCE2E6"/>
            <w:vAlign w:val="center"/>
            <w:hideMark/>
          </w:tcPr>
          <w:p w14:paraId="7D7EAA02" w14:textId="77777777" w:rsidR="00660057" w:rsidRPr="002A6381" w:rsidRDefault="00660057" w:rsidP="00562DA7">
            <w:pPr>
              <w:widowControl/>
              <w:jc w:val="center"/>
              <w:rPr>
                <w:rFonts w:cs="Arial"/>
                <w:color w:val="000000"/>
                <w:sz w:val="20"/>
                <w:lang w:eastAsia="es-MX"/>
              </w:rPr>
            </w:pPr>
            <w:r w:rsidRPr="002A6381">
              <w:rPr>
                <w:rFonts w:cs="Arial"/>
                <w:sz w:val="20"/>
                <w:lang w:eastAsia="es-MX"/>
              </w:rPr>
              <w:t>97.5</w:t>
            </w:r>
          </w:p>
        </w:tc>
        <w:tc>
          <w:tcPr>
            <w:tcW w:w="1320" w:type="dxa"/>
            <w:tcBorders>
              <w:top w:val="nil"/>
              <w:left w:val="nil"/>
              <w:bottom w:val="nil"/>
              <w:right w:val="nil"/>
            </w:tcBorders>
            <w:shd w:val="clear" w:color="auto" w:fill="CCE2E6"/>
            <w:vAlign w:val="center"/>
            <w:hideMark/>
          </w:tcPr>
          <w:p w14:paraId="7F4D119F" w14:textId="77777777" w:rsidR="00660057" w:rsidRPr="002A6381" w:rsidRDefault="00660057" w:rsidP="00562DA7">
            <w:pPr>
              <w:widowControl/>
              <w:jc w:val="center"/>
              <w:rPr>
                <w:rFonts w:cs="Arial"/>
                <w:color w:val="000000"/>
                <w:sz w:val="20"/>
                <w:lang w:eastAsia="es-MX"/>
              </w:rPr>
            </w:pPr>
            <w:r w:rsidRPr="002A6381">
              <w:rPr>
                <w:rFonts w:cs="Arial"/>
                <w:sz w:val="20"/>
                <w:lang w:eastAsia="es-MX"/>
              </w:rPr>
              <w:t>97.1</w:t>
            </w:r>
          </w:p>
        </w:tc>
        <w:tc>
          <w:tcPr>
            <w:tcW w:w="2480" w:type="dxa"/>
            <w:tcBorders>
              <w:top w:val="nil"/>
              <w:left w:val="nil"/>
              <w:bottom w:val="nil"/>
              <w:right w:val="nil"/>
            </w:tcBorders>
            <w:shd w:val="clear" w:color="auto" w:fill="CCE2E6"/>
            <w:vAlign w:val="center"/>
            <w:hideMark/>
          </w:tcPr>
          <w:p w14:paraId="4AAA0D8D" w14:textId="77777777" w:rsidR="00660057" w:rsidRPr="002A6381" w:rsidRDefault="00660057" w:rsidP="00562DA7">
            <w:pPr>
              <w:widowControl/>
              <w:jc w:val="center"/>
              <w:rPr>
                <w:rFonts w:cs="Arial"/>
                <w:color w:val="000000"/>
                <w:sz w:val="20"/>
                <w:lang w:eastAsia="es-MX"/>
              </w:rPr>
            </w:pPr>
            <w:r w:rsidRPr="002A6381">
              <w:rPr>
                <w:rFonts w:cs="Arial"/>
                <w:sz w:val="20"/>
                <w:lang w:eastAsia="es-MX"/>
              </w:rPr>
              <w:t>97.7</w:t>
            </w:r>
          </w:p>
        </w:tc>
      </w:tr>
      <w:tr w:rsidR="00660057" w:rsidRPr="002A6381" w14:paraId="6B77C889" w14:textId="77777777">
        <w:trPr>
          <w:trHeight w:val="300"/>
        </w:trPr>
        <w:tc>
          <w:tcPr>
            <w:tcW w:w="220" w:type="dxa"/>
            <w:tcBorders>
              <w:top w:val="nil"/>
              <w:left w:val="nil"/>
              <w:right w:val="nil"/>
            </w:tcBorders>
            <w:shd w:val="clear" w:color="auto" w:fill="CCE2E6"/>
            <w:noWrap/>
            <w:vAlign w:val="bottom"/>
            <w:hideMark/>
          </w:tcPr>
          <w:p w14:paraId="6187074F" w14:textId="77777777" w:rsidR="00660057" w:rsidRPr="002A6381" w:rsidRDefault="00660057" w:rsidP="00562DA7">
            <w:pPr>
              <w:widowControl/>
              <w:jc w:val="left"/>
              <w:rPr>
                <w:rFonts w:ascii="Times New Roman" w:hAnsi="Times New Roman"/>
                <w:color w:val="000000"/>
                <w:sz w:val="20"/>
                <w:lang w:eastAsia="es-MX"/>
              </w:rPr>
            </w:pPr>
            <w:r w:rsidRPr="002A6381">
              <w:rPr>
                <w:rFonts w:ascii="Times New Roman" w:hAnsi="Times New Roman" w:cs="Arial"/>
                <w:color w:val="000000"/>
                <w:sz w:val="20"/>
                <w:lang w:eastAsia="es-MX"/>
              </w:rPr>
              <w:t> </w:t>
            </w:r>
          </w:p>
        </w:tc>
        <w:tc>
          <w:tcPr>
            <w:tcW w:w="3280" w:type="dxa"/>
            <w:tcBorders>
              <w:top w:val="nil"/>
              <w:left w:val="nil"/>
              <w:right w:val="nil"/>
            </w:tcBorders>
            <w:shd w:val="clear" w:color="auto" w:fill="CCE2E6"/>
            <w:vAlign w:val="center"/>
            <w:hideMark/>
          </w:tcPr>
          <w:p w14:paraId="14304488" w14:textId="77777777" w:rsidR="00660057" w:rsidRPr="002A6381" w:rsidRDefault="00660057" w:rsidP="00562DA7">
            <w:pPr>
              <w:widowControl/>
              <w:jc w:val="left"/>
              <w:rPr>
                <w:rFonts w:cs="Arial"/>
                <w:color w:val="000000"/>
                <w:sz w:val="20"/>
                <w:lang w:eastAsia="es-MX"/>
              </w:rPr>
            </w:pPr>
            <w:r w:rsidRPr="002A6381">
              <w:rPr>
                <w:rFonts w:cs="Arial"/>
                <w:sz w:val="20"/>
                <w:lang w:eastAsia="es-MX"/>
              </w:rPr>
              <w:t>Dispone de drenaje</w:t>
            </w:r>
          </w:p>
        </w:tc>
        <w:tc>
          <w:tcPr>
            <w:tcW w:w="1320" w:type="dxa"/>
            <w:tcBorders>
              <w:top w:val="nil"/>
              <w:left w:val="nil"/>
              <w:right w:val="nil"/>
            </w:tcBorders>
            <w:shd w:val="clear" w:color="auto" w:fill="CCE2E6"/>
            <w:vAlign w:val="center"/>
            <w:hideMark/>
          </w:tcPr>
          <w:p w14:paraId="1AC1DF4A" w14:textId="77777777" w:rsidR="00660057" w:rsidRPr="002A6381" w:rsidRDefault="00660057" w:rsidP="00562DA7">
            <w:pPr>
              <w:widowControl/>
              <w:jc w:val="center"/>
              <w:rPr>
                <w:rFonts w:cs="Arial"/>
                <w:color w:val="000000"/>
                <w:sz w:val="20"/>
                <w:lang w:eastAsia="es-MX"/>
              </w:rPr>
            </w:pPr>
            <w:r w:rsidRPr="002A6381">
              <w:rPr>
                <w:rFonts w:cs="Arial"/>
                <w:sz w:val="20"/>
                <w:lang w:eastAsia="es-MX"/>
              </w:rPr>
              <w:t>97.3</w:t>
            </w:r>
          </w:p>
        </w:tc>
        <w:tc>
          <w:tcPr>
            <w:tcW w:w="1320" w:type="dxa"/>
            <w:tcBorders>
              <w:top w:val="nil"/>
              <w:left w:val="nil"/>
              <w:right w:val="nil"/>
            </w:tcBorders>
            <w:shd w:val="clear" w:color="auto" w:fill="CCE2E6"/>
            <w:vAlign w:val="center"/>
            <w:hideMark/>
          </w:tcPr>
          <w:p w14:paraId="1A9FD11C" w14:textId="77777777" w:rsidR="00660057" w:rsidRPr="002A6381" w:rsidRDefault="00660057" w:rsidP="00562DA7">
            <w:pPr>
              <w:widowControl/>
              <w:jc w:val="center"/>
              <w:rPr>
                <w:rFonts w:cs="Arial"/>
                <w:color w:val="000000"/>
                <w:sz w:val="20"/>
                <w:lang w:eastAsia="es-MX"/>
              </w:rPr>
            </w:pPr>
            <w:r w:rsidRPr="002A6381">
              <w:rPr>
                <w:rFonts w:cs="Arial"/>
                <w:sz w:val="20"/>
                <w:lang w:eastAsia="es-MX"/>
              </w:rPr>
              <w:t>95.0</w:t>
            </w:r>
          </w:p>
        </w:tc>
        <w:tc>
          <w:tcPr>
            <w:tcW w:w="1320" w:type="dxa"/>
            <w:tcBorders>
              <w:top w:val="nil"/>
              <w:left w:val="nil"/>
              <w:right w:val="nil"/>
            </w:tcBorders>
            <w:shd w:val="clear" w:color="auto" w:fill="CCE2E6"/>
            <w:vAlign w:val="center"/>
            <w:hideMark/>
          </w:tcPr>
          <w:p w14:paraId="0025CDA2" w14:textId="77777777" w:rsidR="00660057" w:rsidRPr="002A6381" w:rsidRDefault="00660057" w:rsidP="00562DA7">
            <w:pPr>
              <w:widowControl/>
              <w:jc w:val="center"/>
              <w:rPr>
                <w:rFonts w:cs="Arial"/>
                <w:color w:val="000000"/>
                <w:sz w:val="20"/>
                <w:lang w:eastAsia="es-MX"/>
              </w:rPr>
            </w:pPr>
            <w:r w:rsidRPr="002A6381">
              <w:rPr>
                <w:rFonts w:cs="Arial"/>
                <w:sz w:val="20"/>
                <w:lang w:eastAsia="es-MX"/>
              </w:rPr>
              <w:t>93.9</w:t>
            </w:r>
          </w:p>
        </w:tc>
        <w:tc>
          <w:tcPr>
            <w:tcW w:w="2480" w:type="dxa"/>
            <w:tcBorders>
              <w:top w:val="nil"/>
              <w:left w:val="nil"/>
              <w:right w:val="nil"/>
            </w:tcBorders>
            <w:shd w:val="clear" w:color="auto" w:fill="CCE2E6"/>
            <w:vAlign w:val="center"/>
            <w:hideMark/>
          </w:tcPr>
          <w:p w14:paraId="454E64A4" w14:textId="77777777" w:rsidR="00660057" w:rsidRPr="002A6381" w:rsidRDefault="00660057" w:rsidP="00562DA7">
            <w:pPr>
              <w:widowControl/>
              <w:jc w:val="center"/>
              <w:rPr>
                <w:rFonts w:cs="Arial"/>
                <w:color w:val="000000"/>
                <w:sz w:val="20"/>
                <w:lang w:eastAsia="es-MX"/>
              </w:rPr>
            </w:pPr>
            <w:r w:rsidRPr="002A6381">
              <w:rPr>
                <w:rFonts w:cs="Arial"/>
                <w:sz w:val="20"/>
                <w:lang w:eastAsia="es-MX"/>
              </w:rPr>
              <w:t>95.5</w:t>
            </w:r>
          </w:p>
        </w:tc>
      </w:tr>
      <w:tr w:rsidR="00660057" w:rsidRPr="002A6381" w14:paraId="74A7C402" w14:textId="77777777">
        <w:trPr>
          <w:trHeight w:val="510"/>
        </w:trPr>
        <w:tc>
          <w:tcPr>
            <w:tcW w:w="220" w:type="dxa"/>
            <w:tcBorders>
              <w:top w:val="nil"/>
              <w:left w:val="nil"/>
              <w:right w:val="nil"/>
            </w:tcBorders>
            <w:shd w:val="clear" w:color="auto" w:fill="CCE2E6"/>
            <w:vAlign w:val="center"/>
            <w:hideMark/>
          </w:tcPr>
          <w:p w14:paraId="6D5519A4" w14:textId="77777777" w:rsidR="00660057" w:rsidRPr="002A6381" w:rsidRDefault="00660057" w:rsidP="00562DA7">
            <w:pPr>
              <w:widowControl/>
              <w:jc w:val="left"/>
              <w:rPr>
                <w:rFonts w:ascii="Times New Roman" w:hAnsi="Times New Roman"/>
                <w:color w:val="000000"/>
                <w:sz w:val="20"/>
                <w:lang w:eastAsia="es-MX"/>
              </w:rPr>
            </w:pPr>
            <w:r w:rsidRPr="002A6381">
              <w:rPr>
                <w:rFonts w:ascii="Times New Roman" w:hAnsi="Times New Roman"/>
                <w:color w:val="000000"/>
                <w:sz w:val="20"/>
                <w:lang w:eastAsia="es-MX"/>
              </w:rPr>
              <w:t> </w:t>
            </w:r>
          </w:p>
        </w:tc>
        <w:tc>
          <w:tcPr>
            <w:tcW w:w="3280" w:type="dxa"/>
            <w:tcBorders>
              <w:top w:val="nil"/>
              <w:left w:val="nil"/>
              <w:right w:val="nil"/>
            </w:tcBorders>
            <w:shd w:val="clear" w:color="auto" w:fill="CCE2E6"/>
            <w:vAlign w:val="center"/>
            <w:hideMark/>
          </w:tcPr>
          <w:p w14:paraId="74C59BBD" w14:textId="77777777" w:rsidR="00660057" w:rsidRPr="002A6381" w:rsidRDefault="00660057" w:rsidP="00562DA7">
            <w:pPr>
              <w:widowControl/>
              <w:jc w:val="left"/>
              <w:rPr>
                <w:rFonts w:cs="Arial"/>
                <w:color w:val="000000"/>
                <w:sz w:val="20"/>
                <w:lang w:eastAsia="es-MX"/>
              </w:rPr>
            </w:pPr>
            <w:r w:rsidRPr="002A6381">
              <w:rPr>
                <w:rFonts w:cs="Arial"/>
                <w:sz w:val="20"/>
                <w:lang w:eastAsia="es-MX"/>
              </w:rPr>
              <w:t>Dispone de equipamiento para almacenar agua</w:t>
            </w:r>
          </w:p>
        </w:tc>
        <w:tc>
          <w:tcPr>
            <w:tcW w:w="1320" w:type="dxa"/>
            <w:tcBorders>
              <w:top w:val="nil"/>
              <w:left w:val="nil"/>
              <w:right w:val="nil"/>
            </w:tcBorders>
            <w:shd w:val="clear" w:color="auto" w:fill="CCE2E6"/>
            <w:vAlign w:val="center"/>
            <w:hideMark/>
          </w:tcPr>
          <w:p w14:paraId="5BF4A8E8" w14:textId="77777777" w:rsidR="00660057" w:rsidRPr="002A6381" w:rsidRDefault="00660057" w:rsidP="00562DA7">
            <w:pPr>
              <w:widowControl/>
              <w:jc w:val="center"/>
              <w:rPr>
                <w:rFonts w:cs="Arial"/>
                <w:color w:val="000000"/>
                <w:sz w:val="20"/>
                <w:lang w:eastAsia="es-MX"/>
              </w:rPr>
            </w:pPr>
            <w:r w:rsidRPr="002A6381">
              <w:rPr>
                <w:rFonts w:cs="Arial"/>
                <w:sz w:val="20"/>
                <w:lang w:eastAsia="es-MX"/>
              </w:rPr>
              <w:t>74.8</w:t>
            </w:r>
          </w:p>
        </w:tc>
        <w:tc>
          <w:tcPr>
            <w:tcW w:w="1320" w:type="dxa"/>
            <w:tcBorders>
              <w:top w:val="nil"/>
              <w:left w:val="nil"/>
              <w:right w:val="nil"/>
            </w:tcBorders>
            <w:shd w:val="clear" w:color="auto" w:fill="CCE2E6"/>
            <w:vAlign w:val="center"/>
            <w:hideMark/>
          </w:tcPr>
          <w:p w14:paraId="5400A0E0" w14:textId="77777777" w:rsidR="00660057" w:rsidRPr="002A6381" w:rsidRDefault="00660057" w:rsidP="00562DA7">
            <w:pPr>
              <w:widowControl/>
              <w:jc w:val="center"/>
              <w:rPr>
                <w:rFonts w:cs="Arial"/>
                <w:color w:val="000000"/>
                <w:sz w:val="20"/>
                <w:lang w:eastAsia="es-MX"/>
              </w:rPr>
            </w:pPr>
            <w:r w:rsidRPr="002A6381">
              <w:rPr>
                <w:rFonts w:cs="Arial"/>
                <w:sz w:val="20"/>
                <w:lang w:eastAsia="es-MX"/>
              </w:rPr>
              <w:t>71.6</w:t>
            </w:r>
          </w:p>
        </w:tc>
        <w:tc>
          <w:tcPr>
            <w:tcW w:w="1320" w:type="dxa"/>
            <w:tcBorders>
              <w:top w:val="nil"/>
              <w:left w:val="nil"/>
              <w:right w:val="nil"/>
            </w:tcBorders>
            <w:shd w:val="clear" w:color="auto" w:fill="CCE2E6"/>
            <w:vAlign w:val="center"/>
            <w:hideMark/>
          </w:tcPr>
          <w:p w14:paraId="37288DFD" w14:textId="77777777" w:rsidR="00660057" w:rsidRPr="002A6381" w:rsidRDefault="00660057" w:rsidP="00562DA7">
            <w:pPr>
              <w:widowControl/>
              <w:jc w:val="center"/>
              <w:rPr>
                <w:rFonts w:cs="Arial"/>
                <w:color w:val="000000"/>
                <w:sz w:val="20"/>
                <w:lang w:eastAsia="es-MX"/>
              </w:rPr>
            </w:pPr>
            <w:r w:rsidRPr="002A6381">
              <w:rPr>
                <w:rFonts w:cs="Arial"/>
                <w:sz w:val="20"/>
                <w:lang w:eastAsia="es-MX"/>
              </w:rPr>
              <w:t>70.9</w:t>
            </w:r>
          </w:p>
        </w:tc>
        <w:tc>
          <w:tcPr>
            <w:tcW w:w="2480" w:type="dxa"/>
            <w:tcBorders>
              <w:top w:val="nil"/>
              <w:left w:val="nil"/>
              <w:right w:val="nil"/>
            </w:tcBorders>
            <w:shd w:val="clear" w:color="auto" w:fill="CCE2E6"/>
            <w:vAlign w:val="center"/>
            <w:hideMark/>
          </w:tcPr>
          <w:p w14:paraId="29DBE9DE" w14:textId="77777777" w:rsidR="00660057" w:rsidRPr="002A6381" w:rsidRDefault="00660057" w:rsidP="00562DA7">
            <w:pPr>
              <w:widowControl/>
              <w:jc w:val="center"/>
              <w:rPr>
                <w:rFonts w:cs="Arial"/>
                <w:color w:val="000000"/>
                <w:sz w:val="20"/>
                <w:lang w:eastAsia="es-MX"/>
              </w:rPr>
            </w:pPr>
            <w:r w:rsidRPr="002A6381">
              <w:rPr>
                <w:rFonts w:cs="Arial"/>
                <w:sz w:val="20"/>
                <w:lang w:eastAsia="es-MX"/>
              </w:rPr>
              <w:t>71.9</w:t>
            </w:r>
          </w:p>
        </w:tc>
      </w:tr>
    </w:tbl>
    <w:p w14:paraId="356CA08F" w14:textId="5B74591F" w:rsidR="0034045F" w:rsidRDefault="00DB651F" w:rsidP="005711A7">
      <w:pPr>
        <w:widowControl/>
        <w:autoSpaceDE w:val="0"/>
        <w:autoSpaceDN w:val="0"/>
        <w:adjustRightInd w:val="0"/>
        <w:rPr>
          <w:rFonts w:cs="Arial"/>
          <w:color w:val="000000" w:themeColor="text1"/>
          <w:sz w:val="16"/>
          <w:szCs w:val="16"/>
        </w:rPr>
      </w:pPr>
      <w:r>
        <w:rPr>
          <w:rFonts w:cs="Arial"/>
          <w:color w:val="000000" w:themeColor="text1"/>
          <w:sz w:val="16"/>
          <w:szCs w:val="16"/>
        </w:rPr>
        <w:t xml:space="preserve">  </w:t>
      </w:r>
      <w:r w:rsidR="00660057" w:rsidRPr="00560388">
        <w:rPr>
          <w:rFonts w:cs="Arial"/>
          <w:color w:val="000000" w:themeColor="text1"/>
          <w:sz w:val="16"/>
          <w:szCs w:val="16"/>
        </w:rPr>
        <w:t>Fuente: INEGI, ENTI. 2022.</w:t>
      </w:r>
    </w:p>
    <w:p w14:paraId="0F453C92" w14:textId="77777777" w:rsidR="0034045F" w:rsidRPr="0034045F" w:rsidRDefault="0034045F" w:rsidP="005711A7">
      <w:pPr>
        <w:widowControl/>
        <w:autoSpaceDE w:val="0"/>
        <w:autoSpaceDN w:val="0"/>
        <w:adjustRightInd w:val="0"/>
        <w:rPr>
          <w:rFonts w:cs="Arial"/>
          <w:color w:val="000000" w:themeColor="text1"/>
          <w:szCs w:val="24"/>
        </w:rPr>
      </w:pPr>
    </w:p>
    <w:p w14:paraId="5F0659E4" w14:textId="2358586E" w:rsidR="00CC3A8C" w:rsidRPr="00A93978" w:rsidRDefault="00E063EF" w:rsidP="003353B8">
      <w:pPr>
        <w:widowControl/>
        <w:autoSpaceDE w:val="0"/>
        <w:autoSpaceDN w:val="0"/>
        <w:adjustRightInd w:val="0"/>
        <w:ind w:right="51"/>
        <w:rPr>
          <w:rFonts w:cs="Arial"/>
          <w:color w:val="000000"/>
          <w:szCs w:val="24"/>
        </w:rPr>
      </w:pPr>
      <w:r w:rsidRPr="00A93978">
        <w:rPr>
          <w:rFonts w:cs="Arial"/>
          <w:color w:val="000000"/>
          <w:szCs w:val="24"/>
        </w:rPr>
        <w:t>L</w:t>
      </w:r>
      <w:r w:rsidR="00CC3A8C" w:rsidRPr="00A93978">
        <w:rPr>
          <w:rFonts w:cs="Arial"/>
          <w:color w:val="000000"/>
          <w:szCs w:val="24"/>
        </w:rPr>
        <w:t xml:space="preserve">a encuesta </w:t>
      </w:r>
      <w:r w:rsidRPr="00A93978">
        <w:rPr>
          <w:rFonts w:cs="Arial"/>
          <w:color w:val="000000"/>
          <w:szCs w:val="24"/>
        </w:rPr>
        <w:t xml:space="preserve">también </w:t>
      </w:r>
      <w:r w:rsidR="00CC3A8C" w:rsidRPr="00A93978">
        <w:rPr>
          <w:rFonts w:cs="Arial"/>
          <w:color w:val="000000"/>
          <w:szCs w:val="24"/>
        </w:rPr>
        <w:t>investig</w:t>
      </w:r>
      <w:r w:rsidR="00D62C49" w:rsidRPr="00A93978">
        <w:rPr>
          <w:rFonts w:cs="Arial"/>
          <w:color w:val="000000"/>
          <w:szCs w:val="24"/>
        </w:rPr>
        <w:t>ó</w:t>
      </w:r>
      <w:r w:rsidR="00CC3A8C" w:rsidRPr="00A93978">
        <w:rPr>
          <w:rFonts w:cs="Arial"/>
          <w:color w:val="000000"/>
          <w:szCs w:val="24"/>
        </w:rPr>
        <w:t xml:space="preserve"> la disponibilidad de algunos bienes y tecnología</w:t>
      </w:r>
      <w:r w:rsidR="00D62C49" w:rsidRPr="00A93978">
        <w:rPr>
          <w:rFonts w:cs="Arial"/>
          <w:color w:val="000000"/>
          <w:szCs w:val="24"/>
        </w:rPr>
        <w:t>s</w:t>
      </w:r>
      <w:r w:rsidR="00CC3A8C" w:rsidRPr="00A93978">
        <w:rPr>
          <w:rFonts w:cs="Arial"/>
          <w:color w:val="000000"/>
          <w:szCs w:val="24"/>
        </w:rPr>
        <w:t xml:space="preserve"> de la información y la comunicación.</w:t>
      </w:r>
      <w:r w:rsidR="002173FA" w:rsidRPr="00A93978">
        <w:rPr>
          <w:rFonts w:cs="Arial"/>
          <w:color w:val="000000"/>
          <w:szCs w:val="24"/>
        </w:rPr>
        <w:t xml:space="preserve"> En conjunto, </w:t>
      </w:r>
      <w:r w:rsidR="00026B17" w:rsidRPr="00A93978">
        <w:rPr>
          <w:rFonts w:cs="Arial"/>
          <w:color w:val="000000"/>
          <w:szCs w:val="24"/>
        </w:rPr>
        <w:t xml:space="preserve">reportó que las viviendas con </w:t>
      </w:r>
      <w:r w:rsidR="00D92FDD" w:rsidRPr="00A93978">
        <w:rPr>
          <w:rFonts w:cs="Arial"/>
          <w:color w:val="000000"/>
          <w:szCs w:val="24"/>
        </w:rPr>
        <w:t>población de 5 a 17 años</w:t>
      </w:r>
      <w:r w:rsidR="00026B17" w:rsidRPr="00A93978">
        <w:rPr>
          <w:rFonts w:cs="Arial"/>
          <w:color w:val="000000"/>
          <w:szCs w:val="24"/>
        </w:rPr>
        <w:t xml:space="preserve"> tuvieron una mayor disponibilidad de bienes y acceso a la tecnología de la información y la comunicación que las viviendas con trabajo infantil</w:t>
      </w:r>
      <w:r w:rsidR="00E2424D" w:rsidRPr="00A93978">
        <w:rPr>
          <w:rFonts w:cs="Arial"/>
          <w:color w:val="000000"/>
          <w:szCs w:val="24"/>
        </w:rPr>
        <w:t>. E</w:t>
      </w:r>
      <w:r w:rsidR="00026B17" w:rsidRPr="00A93978">
        <w:rPr>
          <w:rFonts w:cs="Arial"/>
          <w:color w:val="000000"/>
          <w:szCs w:val="24"/>
        </w:rPr>
        <w:t>n general, los porcentajes más bajos fueron en las viviendas con ocupación no permitida.</w:t>
      </w:r>
    </w:p>
    <w:p w14:paraId="26277A55" w14:textId="77777777" w:rsidR="00026B17" w:rsidRPr="00A93978" w:rsidRDefault="00026B17" w:rsidP="003353B8">
      <w:pPr>
        <w:widowControl/>
        <w:autoSpaceDE w:val="0"/>
        <w:autoSpaceDN w:val="0"/>
        <w:adjustRightInd w:val="0"/>
        <w:ind w:right="51"/>
        <w:rPr>
          <w:rFonts w:cs="Arial"/>
          <w:color w:val="000000"/>
          <w:szCs w:val="24"/>
        </w:rPr>
      </w:pPr>
    </w:p>
    <w:p w14:paraId="49A18FAE" w14:textId="28F1F2AD" w:rsidR="00026B17" w:rsidRPr="00A93978" w:rsidRDefault="00026B17" w:rsidP="003353B8">
      <w:pPr>
        <w:widowControl/>
        <w:autoSpaceDE w:val="0"/>
        <w:autoSpaceDN w:val="0"/>
        <w:adjustRightInd w:val="0"/>
        <w:ind w:right="51"/>
        <w:rPr>
          <w:rFonts w:cs="Arial"/>
          <w:color w:val="000000"/>
          <w:szCs w:val="24"/>
        </w:rPr>
      </w:pPr>
      <w:r w:rsidRPr="00A93978">
        <w:rPr>
          <w:rFonts w:cs="Arial"/>
          <w:color w:val="000000"/>
          <w:szCs w:val="24"/>
        </w:rPr>
        <w:t>La disponibilidad de lavadora fue de 78</w:t>
      </w:r>
      <w:r w:rsidR="007A2779" w:rsidRPr="00A93978">
        <w:rPr>
          <w:rFonts w:cs="Arial"/>
          <w:color w:val="000000"/>
          <w:szCs w:val="24"/>
        </w:rPr>
        <w:t>.0</w:t>
      </w:r>
      <w:r w:rsidRPr="00A93978">
        <w:rPr>
          <w:rFonts w:cs="Arial"/>
          <w:color w:val="000000"/>
          <w:szCs w:val="24"/>
        </w:rPr>
        <w:t xml:space="preserve"> % en las viviendas con trabajo infantil</w:t>
      </w:r>
      <w:r w:rsidR="0028395D" w:rsidRPr="00A93978">
        <w:rPr>
          <w:rFonts w:cs="Arial"/>
          <w:color w:val="000000"/>
          <w:szCs w:val="24"/>
        </w:rPr>
        <w:t>,</w:t>
      </w:r>
      <w:r w:rsidRPr="00A93978">
        <w:rPr>
          <w:rFonts w:cs="Arial"/>
          <w:color w:val="000000"/>
          <w:szCs w:val="24"/>
        </w:rPr>
        <w:t xml:space="preserve"> contra 66 % en las viviendas con ocupación no permitida</w:t>
      </w:r>
      <w:r w:rsidR="0028395D" w:rsidRPr="00A93978">
        <w:rPr>
          <w:rFonts w:cs="Arial"/>
          <w:color w:val="000000"/>
          <w:szCs w:val="24"/>
        </w:rPr>
        <w:t>. E</w:t>
      </w:r>
      <w:r w:rsidRPr="00A93978">
        <w:rPr>
          <w:rFonts w:cs="Arial"/>
          <w:color w:val="000000"/>
          <w:szCs w:val="24"/>
        </w:rPr>
        <w:t>n la disponibilidad de</w:t>
      </w:r>
      <w:r w:rsidR="0028395D" w:rsidRPr="00A93978">
        <w:rPr>
          <w:rFonts w:cs="Arial"/>
          <w:color w:val="000000"/>
          <w:szCs w:val="24"/>
        </w:rPr>
        <w:t xml:space="preserve"> horno de microondas</w:t>
      </w:r>
      <w:r w:rsidR="007A2779" w:rsidRPr="00A93978">
        <w:rPr>
          <w:rFonts w:cs="Arial"/>
          <w:color w:val="000000"/>
          <w:szCs w:val="24"/>
        </w:rPr>
        <w:t>,</w:t>
      </w:r>
      <w:r w:rsidRPr="00A93978">
        <w:rPr>
          <w:rFonts w:cs="Arial"/>
          <w:color w:val="000000"/>
          <w:szCs w:val="24"/>
        </w:rPr>
        <w:t xml:space="preserve"> los porcentajes fueron de 46.3 y 28.3 %; en disponibilidad de automóvil o camioneta, 48.1 y </w:t>
      </w:r>
      <w:r w:rsidR="007A2779" w:rsidRPr="00A93978">
        <w:rPr>
          <w:rFonts w:cs="Arial"/>
          <w:color w:val="000000"/>
          <w:szCs w:val="24"/>
        </w:rPr>
        <w:br/>
      </w:r>
      <w:r w:rsidRPr="00A93978">
        <w:rPr>
          <w:rFonts w:cs="Arial"/>
          <w:color w:val="000000"/>
          <w:szCs w:val="24"/>
        </w:rPr>
        <w:t xml:space="preserve">36.7 %, en </w:t>
      </w:r>
      <w:r w:rsidR="006A4BC4" w:rsidRPr="00A93978">
        <w:rPr>
          <w:rFonts w:cs="Arial"/>
          <w:color w:val="000000"/>
          <w:szCs w:val="24"/>
        </w:rPr>
        <w:t>computadora, laptop o tablet,</w:t>
      </w:r>
      <w:r w:rsidRPr="00A93978">
        <w:rPr>
          <w:rFonts w:cs="Arial"/>
          <w:color w:val="000000"/>
          <w:szCs w:val="24"/>
        </w:rPr>
        <w:t xml:space="preserve"> 44.1 % frente a 25.7 %</w:t>
      </w:r>
      <w:r w:rsidR="007A2779" w:rsidRPr="00A93978">
        <w:rPr>
          <w:rFonts w:cs="Arial"/>
          <w:color w:val="000000"/>
          <w:szCs w:val="24"/>
        </w:rPr>
        <w:t xml:space="preserve"> y</w:t>
      </w:r>
      <w:r w:rsidRPr="00A93978">
        <w:rPr>
          <w:rFonts w:cs="Arial"/>
          <w:color w:val="000000"/>
          <w:szCs w:val="24"/>
        </w:rPr>
        <w:t xml:space="preserve"> </w:t>
      </w:r>
      <w:r w:rsidR="009F7ACA" w:rsidRPr="00A93978">
        <w:rPr>
          <w:rFonts w:cs="Arial"/>
          <w:color w:val="000000"/>
          <w:szCs w:val="24"/>
        </w:rPr>
        <w:t>en</w:t>
      </w:r>
      <w:r w:rsidR="006A4BC4" w:rsidRPr="00A93978">
        <w:rPr>
          <w:rFonts w:cs="Arial"/>
          <w:color w:val="000000"/>
          <w:szCs w:val="24"/>
        </w:rPr>
        <w:t xml:space="preserve"> internet,</w:t>
      </w:r>
      <w:r w:rsidR="009F7ACA" w:rsidRPr="00A93978">
        <w:rPr>
          <w:rFonts w:cs="Arial"/>
          <w:color w:val="000000"/>
          <w:szCs w:val="24"/>
        </w:rPr>
        <w:t xml:space="preserve"> 70.4 y</w:t>
      </w:r>
      <w:r w:rsidR="003353B8">
        <w:rPr>
          <w:rFonts w:cs="Arial"/>
          <w:color w:val="000000"/>
          <w:szCs w:val="24"/>
        </w:rPr>
        <w:t xml:space="preserve"> </w:t>
      </w:r>
      <w:r w:rsidR="009F7ACA" w:rsidRPr="00A93978">
        <w:rPr>
          <w:rFonts w:cs="Arial"/>
          <w:color w:val="000000"/>
          <w:szCs w:val="24"/>
        </w:rPr>
        <w:t>53.2 %, respectivamente.</w:t>
      </w:r>
    </w:p>
    <w:p w14:paraId="444CE058" w14:textId="77777777" w:rsidR="009F7ACA" w:rsidRPr="00A93978" w:rsidRDefault="009F7ACA" w:rsidP="003353B8">
      <w:pPr>
        <w:widowControl/>
        <w:autoSpaceDE w:val="0"/>
        <w:autoSpaceDN w:val="0"/>
        <w:adjustRightInd w:val="0"/>
        <w:ind w:right="51"/>
        <w:rPr>
          <w:rFonts w:cs="Arial"/>
          <w:color w:val="000000"/>
          <w:szCs w:val="24"/>
        </w:rPr>
      </w:pPr>
    </w:p>
    <w:p w14:paraId="54A4457F" w14:textId="3C46033D" w:rsidR="009F7ACA" w:rsidRPr="00A93978" w:rsidRDefault="009F7ACA" w:rsidP="003353B8">
      <w:pPr>
        <w:widowControl/>
        <w:autoSpaceDE w:val="0"/>
        <w:autoSpaceDN w:val="0"/>
        <w:adjustRightInd w:val="0"/>
        <w:ind w:right="51"/>
        <w:rPr>
          <w:rFonts w:cs="Arial"/>
          <w:color w:val="000000"/>
          <w:szCs w:val="24"/>
        </w:rPr>
      </w:pPr>
      <w:r w:rsidRPr="00A93978">
        <w:rPr>
          <w:rFonts w:cs="Arial"/>
          <w:color w:val="000000"/>
          <w:szCs w:val="24"/>
        </w:rPr>
        <w:t xml:space="preserve">En </w:t>
      </w:r>
      <w:r w:rsidR="007A2779" w:rsidRPr="00A93978">
        <w:rPr>
          <w:rFonts w:cs="Arial"/>
          <w:color w:val="000000"/>
          <w:szCs w:val="24"/>
        </w:rPr>
        <w:t xml:space="preserve">cuanto a </w:t>
      </w:r>
      <w:r w:rsidRPr="00A93978">
        <w:rPr>
          <w:rFonts w:cs="Arial"/>
          <w:color w:val="000000"/>
          <w:szCs w:val="24"/>
        </w:rPr>
        <w:t>disponibilidad de</w:t>
      </w:r>
      <w:r w:rsidR="006A4BC4" w:rsidRPr="00A93978">
        <w:rPr>
          <w:rFonts w:cs="Arial"/>
          <w:color w:val="000000"/>
          <w:szCs w:val="24"/>
        </w:rPr>
        <w:t xml:space="preserve"> motocicleta, motoneta o bicicleta</w:t>
      </w:r>
      <w:r w:rsidR="007A2779" w:rsidRPr="00A93978">
        <w:rPr>
          <w:rFonts w:cs="Arial"/>
          <w:color w:val="000000"/>
          <w:szCs w:val="24"/>
        </w:rPr>
        <w:t>,</w:t>
      </w:r>
      <w:r w:rsidRPr="00A93978">
        <w:rPr>
          <w:rFonts w:cs="Arial"/>
          <w:color w:val="000000"/>
          <w:szCs w:val="24"/>
        </w:rPr>
        <w:t xml:space="preserve"> el comportamiento fue contrario</w:t>
      </w:r>
      <w:r w:rsidR="007A2779" w:rsidRPr="00A93978">
        <w:rPr>
          <w:rFonts w:cs="Arial"/>
          <w:color w:val="000000"/>
          <w:szCs w:val="24"/>
        </w:rPr>
        <w:t>. L</w:t>
      </w:r>
      <w:r w:rsidRPr="00A93978">
        <w:rPr>
          <w:rFonts w:cs="Arial"/>
          <w:color w:val="000000"/>
          <w:szCs w:val="24"/>
        </w:rPr>
        <w:t xml:space="preserve">as viviendas con </w:t>
      </w:r>
      <w:r w:rsidR="00D92FDD" w:rsidRPr="00A93978">
        <w:rPr>
          <w:rFonts w:cs="Arial"/>
          <w:color w:val="000000"/>
          <w:szCs w:val="24"/>
        </w:rPr>
        <w:t>población de 5 a 17 años</w:t>
      </w:r>
      <w:r w:rsidRPr="00A93978">
        <w:rPr>
          <w:rFonts w:cs="Arial"/>
          <w:color w:val="000000"/>
          <w:szCs w:val="24"/>
        </w:rPr>
        <w:t xml:space="preserve"> reportaron menores porcentajes</w:t>
      </w:r>
      <w:r w:rsidR="007A2779" w:rsidRPr="00A93978">
        <w:rPr>
          <w:rFonts w:cs="Arial"/>
          <w:color w:val="000000"/>
          <w:szCs w:val="24"/>
        </w:rPr>
        <w:t>:</w:t>
      </w:r>
      <w:r w:rsidRPr="00A93978">
        <w:rPr>
          <w:rFonts w:cs="Arial"/>
          <w:color w:val="000000"/>
          <w:szCs w:val="24"/>
        </w:rPr>
        <w:t xml:space="preserve"> </w:t>
      </w:r>
      <w:r w:rsidR="003353B8">
        <w:rPr>
          <w:rFonts w:cs="Arial"/>
          <w:color w:val="000000"/>
          <w:szCs w:val="24"/>
        </w:rPr>
        <w:br/>
      </w:r>
      <w:r w:rsidRPr="00A93978">
        <w:rPr>
          <w:rFonts w:cs="Arial"/>
          <w:color w:val="000000"/>
          <w:szCs w:val="24"/>
        </w:rPr>
        <w:t>18.5 y 26.8 % contra 24.4 y 32.7 %, respectivamente</w:t>
      </w:r>
      <w:r w:rsidR="00A35973" w:rsidRPr="00A93978">
        <w:rPr>
          <w:rFonts w:cs="Arial"/>
          <w:color w:val="000000"/>
          <w:szCs w:val="24"/>
        </w:rPr>
        <w:t xml:space="preserve">. Lo anterior porque </w:t>
      </w:r>
      <w:r w:rsidRPr="00A93978">
        <w:rPr>
          <w:rFonts w:cs="Arial"/>
          <w:color w:val="000000"/>
          <w:szCs w:val="24"/>
        </w:rPr>
        <w:t xml:space="preserve">las viviendas con </w:t>
      </w:r>
      <w:r w:rsidR="00D92FDD" w:rsidRPr="00A93978">
        <w:rPr>
          <w:rFonts w:cs="Arial"/>
          <w:color w:val="000000"/>
          <w:szCs w:val="24"/>
        </w:rPr>
        <w:t>población de 5 a 17 años</w:t>
      </w:r>
      <w:r w:rsidRPr="00A93978">
        <w:rPr>
          <w:rFonts w:cs="Arial"/>
          <w:color w:val="000000"/>
          <w:szCs w:val="24"/>
        </w:rPr>
        <w:t xml:space="preserve"> </w:t>
      </w:r>
      <w:r w:rsidR="00061E61" w:rsidRPr="00A93978">
        <w:rPr>
          <w:rFonts w:cs="Arial"/>
          <w:color w:val="000000"/>
          <w:szCs w:val="24"/>
        </w:rPr>
        <w:t>tuvieron</w:t>
      </w:r>
      <w:r w:rsidRPr="00A93978">
        <w:rPr>
          <w:rFonts w:cs="Arial"/>
          <w:color w:val="000000"/>
          <w:szCs w:val="24"/>
        </w:rPr>
        <w:t xml:space="preserve"> mayor disponibilidad de </w:t>
      </w:r>
      <w:r w:rsidR="003F4B16" w:rsidRPr="00A93978">
        <w:rPr>
          <w:rFonts w:cs="Arial"/>
          <w:color w:val="000000"/>
          <w:szCs w:val="24"/>
        </w:rPr>
        <w:t>automóvil o camioneta</w:t>
      </w:r>
      <w:r w:rsidR="004E0174" w:rsidRPr="00A93978">
        <w:rPr>
          <w:rFonts w:cs="Arial"/>
          <w:color w:val="000000"/>
          <w:szCs w:val="24"/>
        </w:rPr>
        <w:t xml:space="preserve"> </w:t>
      </w:r>
      <w:r w:rsidR="004E0174" w:rsidRPr="00A93978">
        <w:rPr>
          <w:rFonts w:cs="Arial"/>
          <w:szCs w:val="24"/>
        </w:rPr>
        <w:t>(ver cuadro 3</w:t>
      </w:r>
      <w:r w:rsidR="004D4F9A" w:rsidRPr="00A93978">
        <w:rPr>
          <w:rFonts w:cs="Arial"/>
          <w:szCs w:val="24"/>
        </w:rPr>
        <w:t>4</w:t>
      </w:r>
      <w:r w:rsidR="004E0174" w:rsidRPr="00A93978">
        <w:rPr>
          <w:rFonts w:cs="Arial"/>
          <w:szCs w:val="24"/>
        </w:rPr>
        <w:t>)</w:t>
      </w:r>
      <w:r w:rsidRPr="00A93978">
        <w:rPr>
          <w:rFonts w:cs="Arial"/>
          <w:color w:val="000000"/>
          <w:szCs w:val="24"/>
        </w:rPr>
        <w:t>.</w:t>
      </w:r>
    </w:p>
    <w:p w14:paraId="06BBE52D" w14:textId="0B01DCDC" w:rsidR="0034045F" w:rsidRDefault="0034045F" w:rsidP="003353B8">
      <w:pPr>
        <w:widowControl/>
        <w:autoSpaceDE w:val="0"/>
        <w:autoSpaceDN w:val="0"/>
        <w:adjustRightInd w:val="0"/>
        <w:ind w:right="51"/>
        <w:rPr>
          <w:rFonts w:cs="Arial"/>
          <w:color w:val="000000"/>
          <w:szCs w:val="24"/>
        </w:rPr>
      </w:pPr>
      <w:r>
        <w:rPr>
          <w:rFonts w:cs="Arial"/>
          <w:color w:val="000000"/>
          <w:szCs w:val="24"/>
        </w:rPr>
        <w:br w:type="page"/>
      </w:r>
    </w:p>
    <w:p w14:paraId="547791B0" w14:textId="5F87CDEF" w:rsidR="00660057" w:rsidRPr="003353B8" w:rsidRDefault="00660057" w:rsidP="003353B8">
      <w:pPr>
        <w:widowControl/>
        <w:jc w:val="center"/>
        <w:rPr>
          <w:rFonts w:cs="Arial"/>
          <w:color w:val="000000"/>
          <w:sz w:val="20"/>
        </w:rPr>
      </w:pPr>
      <w:r w:rsidRPr="003353B8">
        <w:rPr>
          <w:rFonts w:cs="Arial"/>
          <w:color w:val="000000"/>
          <w:sz w:val="20"/>
        </w:rPr>
        <w:lastRenderedPageBreak/>
        <w:t>Cuadro 3</w:t>
      </w:r>
      <w:r w:rsidR="002C2946" w:rsidRPr="003353B8">
        <w:rPr>
          <w:rFonts w:cs="Arial"/>
          <w:color w:val="000000"/>
          <w:sz w:val="20"/>
        </w:rPr>
        <w:t>4</w:t>
      </w:r>
    </w:p>
    <w:p w14:paraId="0A1CEA60" w14:textId="77777777" w:rsidR="00660057" w:rsidRPr="003353B8" w:rsidRDefault="00660057" w:rsidP="003353B8">
      <w:pPr>
        <w:widowControl/>
        <w:autoSpaceDE w:val="0"/>
        <w:autoSpaceDN w:val="0"/>
        <w:adjustRightInd w:val="0"/>
        <w:jc w:val="center"/>
        <w:rPr>
          <w:rFonts w:cs="Arial"/>
          <w:b/>
          <w:bCs/>
          <w:smallCaps/>
          <w:color w:val="000000"/>
          <w:sz w:val="22"/>
          <w:szCs w:val="22"/>
        </w:rPr>
      </w:pPr>
      <w:r w:rsidRPr="003353B8">
        <w:rPr>
          <w:rFonts w:cs="Arial"/>
          <w:b/>
          <w:bCs/>
          <w:smallCaps/>
          <w:color w:val="000000"/>
          <w:sz w:val="22"/>
          <w:szCs w:val="22"/>
        </w:rPr>
        <w:t>Viviendas con personas de 5 a 17 años que disponen de bienes y tecnologías de la información y la comunicación por forma de trabajo</w:t>
      </w:r>
    </w:p>
    <w:p w14:paraId="12582BC3" w14:textId="77777777" w:rsidR="00660057" w:rsidRPr="00750114" w:rsidRDefault="00660057" w:rsidP="003353B8">
      <w:pPr>
        <w:widowControl/>
        <w:autoSpaceDE w:val="0"/>
        <w:autoSpaceDN w:val="0"/>
        <w:adjustRightInd w:val="0"/>
        <w:jc w:val="center"/>
        <w:rPr>
          <w:rFonts w:cs="Arial"/>
          <w:color w:val="000000"/>
          <w:sz w:val="18"/>
          <w:szCs w:val="18"/>
        </w:rPr>
      </w:pPr>
      <w:r w:rsidRPr="00750114">
        <w:rPr>
          <w:rFonts w:cs="Arial"/>
          <w:color w:val="000000"/>
          <w:sz w:val="18"/>
          <w:szCs w:val="18"/>
        </w:rPr>
        <w:t>(porcentaje respecto a l</w:t>
      </w:r>
      <w:r>
        <w:rPr>
          <w:rFonts w:cs="Arial"/>
          <w:color w:val="000000"/>
          <w:sz w:val="18"/>
          <w:szCs w:val="18"/>
        </w:rPr>
        <w:t>a</w:t>
      </w:r>
      <w:r w:rsidRPr="00750114">
        <w:rPr>
          <w:rFonts w:cs="Arial"/>
          <w:color w:val="000000"/>
          <w:sz w:val="18"/>
          <w:szCs w:val="18"/>
        </w:rPr>
        <w:t xml:space="preserve">s </w:t>
      </w:r>
      <w:r>
        <w:rPr>
          <w:rFonts w:cs="Arial"/>
          <w:color w:val="000000"/>
          <w:sz w:val="18"/>
          <w:szCs w:val="18"/>
        </w:rPr>
        <w:t>viviendas</w:t>
      </w:r>
      <w:r w:rsidRPr="00750114">
        <w:rPr>
          <w:rFonts w:cs="Arial"/>
          <w:color w:val="000000"/>
          <w:sz w:val="18"/>
          <w:szCs w:val="18"/>
        </w:rPr>
        <w:t xml:space="preserve"> con personas de 5 a 17 años en cada categoría)</w:t>
      </w:r>
    </w:p>
    <w:tbl>
      <w:tblPr>
        <w:tblW w:w="9940" w:type="dxa"/>
        <w:tblCellMar>
          <w:left w:w="70" w:type="dxa"/>
          <w:right w:w="70" w:type="dxa"/>
        </w:tblCellMar>
        <w:tblLook w:val="04A0" w:firstRow="1" w:lastRow="0" w:firstColumn="1" w:lastColumn="0" w:noHBand="0" w:noVBand="1"/>
      </w:tblPr>
      <w:tblGrid>
        <w:gridCol w:w="220"/>
        <w:gridCol w:w="3280"/>
        <w:gridCol w:w="1320"/>
        <w:gridCol w:w="1320"/>
        <w:gridCol w:w="1320"/>
        <w:gridCol w:w="2480"/>
      </w:tblGrid>
      <w:tr w:rsidR="00660057" w:rsidRPr="00D4691A" w14:paraId="254F29E0" w14:textId="77777777">
        <w:trPr>
          <w:trHeight w:val="315"/>
        </w:trPr>
        <w:tc>
          <w:tcPr>
            <w:tcW w:w="3500" w:type="dxa"/>
            <w:gridSpan w:val="2"/>
            <w:vMerge w:val="restart"/>
            <w:tcBorders>
              <w:top w:val="nil"/>
              <w:left w:val="nil"/>
              <w:bottom w:val="nil"/>
              <w:right w:val="nil"/>
            </w:tcBorders>
            <w:shd w:val="clear" w:color="auto" w:fill="338B99"/>
            <w:vAlign w:val="center"/>
            <w:hideMark/>
          </w:tcPr>
          <w:p w14:paraId="5B9384DF" w14:textId="77777777" w:rsidR="00660057" w:rsidRPr="00D4691A" w:rsidRDefault="00660057" w:rsidP="00562DA7">
            <w:pPr>
              <w:widowControl/>
              <w:jc w:val="left"/>
              <w:rPr>
                <w:rFonts w:cs="Arial"/>
                <w:b/>
                <w:color w:val="FFFFFF"/>
                <w:sz w:val="20"/>
                <w:lang w:eastAsia="es-MX"/>
              </w:rPr>
            </w:pPr>
            <w:r w:rsidRPr="00D4691A">
              <w:rPr>
                <w:rFonts w:cs="Arial"/>
                <w:b/>
                <w:color w:val="FFFFFF"/>
                <w:sz w:val="20"/>
                <w:lang w:eastAsia="es-MX"/>
              </w:rPr>
              <w:t>Bienes y tecnologías de la información y de la comunicación</w:t>
            </w:r>
          </w:p>
        </w:tc>
        <w:tc>
          <w:tcPr>
            <w:tcW w:w="6440" w:type="dxa"/>
            <w:gridSpan w:val="4"/>
            <w:tcBorders>
              <w:top w:val="nil"/>
              <w:left w:val="nil"/>
              <w:bottom w:val="single" w:sz="4" w:space="0" w:color="FFFFFF"/>
              <w:right w:val="nil"/>
            </w:tcBorders>
            <w:shd w:val="clear" w:color="auto" w:fill="338B99"/>
            <w:vAlign w:val="center"/>
            <w:hideMark/>
          </w:tcPr>
          <w:p w14:paraId="455D3F38" w14:textId="77777777" w:rsidR="00660057" w:rsidRPr="00D4691A" w:rsidRDefault="00660057" w:rsidP="00562DA7">
            <w:pPr>
              <w:widowControl/>
              <w:jc w:val="center"/>
              <w:rPr>
                <w:rFonts w:cs="Arial"/>
                <w:b/>
                <w:color w:val="FFFFFF"/>
                <w:sz w:val="20"/>
                <w:lang w:eastAsia="es-MX"/>
              </w:rPr>
            </w:pPr>
            <w:r w:rsidRPr="00D4691A">
              <w:rPr>
                <w:rFonts w:cs="Arial"/>
                <w:b/>
                <w:color w:val="FFFFFF" w:themeColor="background1"/>
                <w:sz w:val="20"/>
                <w:lang w:eastAsia="es-MX"/>
              </w:rPr>
              <w:t>Viviendas con:</w:t>
            </w:r>
          </w:p>
        </w:tc>
      </w:tr>
      <w:tr w:rsidR="00660057" w:rsidRPr="00D4691A" w14:paraId="125867A0" w14:textId="77777777">
        <w:trPr>
          <w:trHeight w:val="870"/>
        </w:trPr>
        <w:tc>
          <w:tcPr>
            <w:tcW w:w="3500" w:type="dxa"/>
            <w:gridSpan w:val="2"/>
            <w:vMerge/>
            <w:tcBorders>
              <w:top w:val="nil"/>
              <w:left w:val="nil"/>
              <w:bottom w:val="nil"/>
              <w:right w:val="nil"/>
            </w:tcBorders>
            <w:shd w:val="clear" w:color="auto" w:fill="338B99"/>
            <w:vAlign w:val="center"/>
            <w:hideMark/>
          </w:tcPr>
          <w:p w14:paraId="69064ABE" w14:textId="77777777" w:rsidR="00660057" w:rsidRPr="00D4691A" w:rsidRDefault="00660057" w:rsidP="00562DA7">
            <w:pPr>
              <w:widowControl/>
              <w:jc w:val="left"/>
              <w:rPr>
                <w:rFonts w:cs="Arial"/>
                <w:b/>
                <w:color w:val="FFFFFF"/>
                <w:sz w:val="20"/>
                <w:lang w:eastAsia="es-MX"/>
              </w:rPr>
            </w:pPr>
          </w:p>
        </w:tc>
        <w:tc>
          <w:tcPr>
            <w:tcW w:w="1320" w:type="dxa"/>
            <w:tcBorders>
              <w:top w:val="nil"/>
              <w:left w:val="nil"/>
              <w:bottom w:val="nil"/>
              <w:right w:val="nil"/>
            </w:tcBorders>
            <w:shd w:val="clear" w:color="auto" w:fill="338B99"/>
            <w:vAlign w:val="center"/>
            <w:hideMark/>
          </w:tcPr>
          <w:p w14:paraId="316E4918" w14:textId="77777777" w:rsidR="00660057" w:rsidRPr="00D4691A" w:rsidRDefault="00660057" w:rsidP="00562DA7">
            <w:pPr>
              <w:widowControl/>
              <w:jc w:val="center"/>
              <w:rPr>
                <w:rFonts w:cs="Arial"/>
                <w:b/>
                <w:color w:val="FFFFFF"/>
                <w:sz w:val="20"/>
                <w:lang w:eastAsia="es-MX"/>
              </w:rPr>
            </w:pPr>
            <w:r w:rsidRPr="00D4691A">
              <w:rPr>
                <w:rFonts w:cs="Arial"/>
                <w:b/>
                <w:color w:val="FFFFFF" w:themeColor="background1"/>
                <w:sz w:val="20"/>
                <w:lang w:eastAsia="es-MX"/>
              </w:rPr>
              <w:t>población de 5 a 17 años</w:t>
            </w:r>
          </w:p>
        </w:tc>
        <w:tc>
          <w:tcPr>
            <w:tcW w:w="1320" w:type="dxa"/>
            <w:tcBorders>
              <w:top w:val="nil"/>
              <w:left w:val="nil"/>
              <w:bottom w:val="nil"/>
              <w:right w:val="nil"/>
            </w:tcBorders>
            <w:shd w:val="clear" w:color="auto" w:fill="338B99"/>
            <w:vAlign w:val="center"/>
            <w:hideMark/>
          </w:tcPr>
          <w:p w14:paraId="6EF6F109" w14:textId="77777777" w:rsidR="00660057" w:rsidRPr="00D4691A" w:rsidRDefault="00660057" w:rsidP="00562DA7">
            <w:pPr>
              <w:widowControl/>
              <w:jc w:val="center"/>
              <w:rPr>
                <w:rFonts w:cs="Arial"/>
                <w:b/>
                <w:color w:val="FFFFFF"/>
                <w:sz w:val="20"/>
                <w:lang w:eastAsia="es-MX"/>
              </w:rPr>
            </w:pPr>
            <w:r w:rsidRPr="00D4691A">
              <w:rPr>
                <w:rFonts w:cs="Arial"/>
                <w:b/>
                <w:color w:val="FFFFFF" w:themeColor="background1"/>
                <w:sz w:val="20"/>
                <w:lang w:eastAsia="es-MX"/>
              </w:rPr>
              <w:t>trabajo infantil</w:t>
            </w:r>
          </w:p>
        </w:tc>
        <w:tc>
          <w:tcPr>
            <w:tcW w:w="1320" w:type="dxa"/>
            <w:tcBorders>
              <w:top w:val="nil"/>
              <w:left w:val="nil"/>
              <w:bottom w:val="nil"/>
              <w:right w:val="nil"/>
            </w:tcBorders>
            <w:shd w:val="clear" w:color="auto" w:fill="338B99"/>
            <w:vAlign w:val="center"/>
            <w:hideMark/>
          </w:tcPr>
          <w:p w14:paraId="1289E5E0" w14:textId="77777777" w:rsidR="00660057" w:rsidRPr="00D4691A" w:rsidRDefault="00660057" w:rsidP="00562DA7">
            <w:pPr>
              <w:widowControl/>
              <w:jc w:val="center"/>
              <w:rPr>
                <w:rFonts w:cs="Arial"/>
                <w:b/>
                <w:color w:val="FFFFFF"/>
                <w:sz w:val="20"/>
                <w:lang w:eastAsia="es-MX"/>
              </w:rPr>
            </w:pPr>
            <w:r w:rsidRPr="00D4691A">
              <w:rPr>
                <w:rFonts w:cs="Arial"/>
                <w:b/>
                <w:color w:val="FFFFFF" w:themeColor="background1"/>
                <w:sz w:val="20"/>
                <w:lang w:eastAsia="es-MX"/>
              </w:rPr>
              <w:t>ocupación no permitida</w:t>
            </w:r>
          </w:p>
        </w:tc>
        <w:tc>
          <w:tcPr>
            <w:tcW w:w="2480" w:type="dxa"/>
            <w:tcBorders>
              <w:top w:val="nil"/>
              <w:left w:val="nil"/>
              <w:bottom w:val="nil"/>
              <w:right w:val="nil"/>
            </w:tcBorders>
            <w:shd w:val="clear" w:color="auto" w:fill="338B99"/>
            <w:vAlign w:val="center"/>
            <w:hideMark/>
          </w:tcPr>
          <w:p w14:paraId="4F4482BD" w14:textId="77777777" w:rsidR="00660057" w:rsidRPr="00D4691A" w:rsidRDefault="00660057" w:rsidP="00562DA7">
            <w:pPr>
              <w:widowControl/>
              <w:jc w:val="center"/>
              <w:rPr>
                <w:rFonts w:cs="Arial"/>
                <w:b/>
                <w:color w:val="FFFFFF"/>
                <w:sz w:val="20"/>
                <w:lang w:eastAsia="es-MX"/>
              </w:rPr>
            </w:pPr>
            <w:r w:rsidRPr="00D4691A">
              <w:rPr>
                <w:rFonts w:cs="Arial"/>
                <w:b/>
                <w:color w:val="FFFFFF" w:themeColor="background1"/>
                <w:sz w:val="20"/>
                <w:lang w:eastAsia="es-MX"/>
              </w:rPr>
              <w:t>quehaceres domésticos en condiciones no adecuadas</w:t>
            </w:r>
          </w:p>
        </w:tc>
      </w:tr>
      <w:tr w:rsidR="00660057" w:rsidRPr="00D4691A" w14:paraId="3A4FF1D9" w14:textId="77777777">
        <w:trPr>
          <w:trHeight w:val="300"/>
        </w:trPr>
        <w:tc>
          <w:tcPr>
            <w:tcW w:w="220" w:type="dxa"/>
            <w:tcBorders>
              <w:top w:val="nil"/>
              <w:left w:val="nil"/>
              <w:bottom w:val="nil"/>
              <w:right w:val="nil"/>
            </w:tcBorders>
            <w:shd w:val="clear" w:color="auto" w:fill="CCE2E6"/>
            <w:noWrap/>
            <w:vAlign w:val="bottom"/>
            <w:hideMark/>
          </w:tcPr>
          <w:p w14:paraId="648C2C3B" w14:textId="77777777" w:rsidR="00660057" w:rsidRPr="00D4691A" w:rsidRDefault="00660057" w:rsidP="00562DA7">
            <w:pPr>
              <w:widowControl/>
              <w:jc w:val="left"/>
              <w:rPr>
                <w:rFonts w:ascii="Times New Roman" w:hAnsi="Times New Roman"/>
                <w:color w:val="000000"/>
                <w:sz w:val="20"/>
                <w:lang w:eastAsia="es-MX"/>
              </w:rPr>
            </w:pPr>
            <w:r w:rsidRPr="00D4691A">
              <w:rPr>
                <w:rFonts w:ascii="Times New Roman" w:hAnsi="Times New Roman"/>
                <w:color w:val="000000"/>
                <w:sz w:val="20"/>
                <w:lang w:eastAsia="es-MX"/>
              </w:rPr>
              <w:t> </w:t>
            </w:r>
          </w:p>
        </w:tc>
        <w:tc>
          <w:tcPr>
            <w:tcW w:w="3280" w:type="dxa"/>
            <w:tcBorders>
              <w:top w:val="nil"/>
              <w:left w:val="nil"/>
              <w:bottom w:val="nil"/>
              <w:right w:val="nil"/>
            </w:tcBorders>
            <w:shd w:val="clear" w:color="auto" w:fill="CCE2E6"/>
            <w:vAlign w:val="center"/>
            <w:hideMark/>
          </w:tcPr>
          <w:p w14:paraId="7089BBBB" w14:textId="77777777" w:rsidR="00660057" w:rsidRPr="00D4691A" w:rsidRDefault="00660057" w:rsidP="00562DA7">
            <w:pPr>
              <w:widowControl/>
              <w:jc w:val="left"/>
              <w:rPr>
                <w:rFonts w:cs="Arial"/>
                <w:color w:val="000000"/>
                <w:sz w:val="20"/>
                <w:lang w:eastAsia="es-MX"/>
              </w:rPr>
            </w:pPr>
            <w:r w:rsidRPr="00D4691A">
              <w:rPr>
                <w:rFonts w:cs="Arial"/>
                <w:sz w:val="20"/>
                <w:lang w:eastAsia="es-MX"/>
              </w:rPr>
              <w:t>Refrigerador</w:t>
            </w:r>
          </w:p>
        </w:tc>
        <w:tc>
          <w:tcPr>
            <w:tcW w:w="1320" w:type="dxa"/>
            <w:tcBorders>
              <w:top w:val="nil"/>
              <w:left w:val="nil"/>
              <w:bottom w:val="nil"/>
              <w:right w:val="nil"/>
            </w:tcBorders>
            <w:shd w:val="clear" w:color="auto" w:fill="CCE2E6"/>
            <w:vAlign w:val="center"/>
            <w:hideMark/>
          </w:tcPr>
          <w:p w14:paraId="6EF3EF24" w14:textId="77777777" w:rsidR="00660057" w:rsidRPr="00D4691A" w:rsidRDefault="00660057" w:rsidP="00562DA7">
            <w:pPr>
              <w:widowControl/>
              <w:jc w:val="center"/>
              <w:rPr>
                <w:rFonts w:cs="Arial"/>
                <w:color w:val="000000"/>
                <w:sz w:val="20"/>
                <w:lang w:eastAsia="es-MX"/>
              </w:rPr>
            </w:pPr>
            <w:r w:rsidRPr="00D4691A">
              <w:rPr>
                <w:rFonts w:cs="Arial"/>
                <w:sz w:val="20"/>
                <w:lang w:eastAsia="es-MX"/>
              </w:rPr>
              <w:t>91.1</w:t>
            </w:r>
          </w:p>
        </w:tc>
        <w:tc>
          <w:tcPr>
            <w:tcW w:w="1320" w:type="dxa"/>
            <w:tcBorders>
              <w:top w:val="nil"/>
              <w:left w:val="nil"/>
              <w:bottom w:val="nil"/>
              <w:right w:val="nil"/>
            </w:tcBorders>
            <w:shd w:val="clear" w:color="auto" w:fill="CCE2E6"/>
            <w:vAlign w:val="center"/>
            <w:hideMark/>
          </w:tcPr>
          <w:p w14:paraId="1F2A1BCF" w14:textId="77777777" w:rsidR="00660057" w:rsidRPr="00D4691A" w:rsidRDefault="00660057" w:rsidP="00562DA7">
            <w:pPr>
              <w:widowControl/>
              <w:jc w:val="center"/>
              <w:rPr>
                <w:rFonts w:cs="Arial"/>
                <w:color w:val="000000"/>
                <w:sz w:val="20"/>
                <w:lang w:eastAsia="es-MX"/>
              </w:rPr>
            </w:pPr>
            <w:r w:rsidRPr="00D4691A">
              <w:rPr>
                <w:rFonts w:cs="Arial"/>
                <w:sz w:val="20"/>
                <w:lang w:eastAsia="es-MX"/>
              </w:rPr>
              <w:t>84.9</w:t>
            </w:r>
          </w:p>
        </w:tc>
        <w:tc>
          <w:tcPr>
            <w:tcW w:w="1320" w:type="dxa"/>
            <w:tcBorders>
              <w:top w:val="nil"/>
              <w:left w:val="nil"/>
              <w:bottom w:val="nil"/>
              <w:right w:val="nil"/>
            </w:tcBorders>
            <w:shd w:val="clear" w:color="auto" w:fill="CCE2E6"/>
            <w:vAlign w:val="center"/>
            <w:hideMark/>
          </w:tcPr>
          <w:p w14:paraId="2D79A50C" w14:textId="77777777" w:rsidR="00660057" w:rsidRPr="00D4691A" w:rsidRDefault="00660057" w:rsidP="00562DA7">
            <w:pPr>
              <w:widowControl/>
              <w:jc w:val="center"/>
              <w:rPr>
                <w:rFonts w:cs="Arial"/>
                <w:color w:val="000000"/>
                <w:sz w:val="20"/>
                <w:lang w:eastAsia="es-MX"/>
              </w:rPr>
            </w:pPr>
            <w:r w:rsidRPr="00D4691A">
              <w:rPr>
                <w:rFonts w:cs="Arial"/>
                <w:sz w:val="20"/>
                <w:lang w:eastAsia="es-MX"/>
              </w:rPr>
              <w:t>82.7</w:t>
            </w:r>
          </w:p>
        </w:tc>
        <w:tc>
          <w:tcPr>
            <w:tcW w:w="2480" w:type="dxa"/>
            <w:tcBorders>
              <w:top w:val="nil"/>
              <w:left w:val="nil"/>
              <w:bottom w:val="nil"/>
              <w:right w:val="nil"/>
            </w:tcBorders>
            <w:shd w:val="clear" w:color="auto" w:fill="CCE2E6"/>
            <w:vAlign w:val="center"/>
            <w:hideMark/>
          </w:tcPr>
          <w:p w14:paraId="2EBD96D3" w14:textId="77777777" w:rsidR="00660057" w:rsidRPr="00D4691A" w:rsidRDefault="00660057" w:rsidP="00562DA7">
            <w:pPr>
              <w:widowControl/>
              <w:jc w:val="center"/>
              <w:rPr>
                <w:rFonts w:cs="Arial"/>
                <w:color w:val="000000"/>
                <w:sz w:val="20"/>
                <w:lang w:eastAsia="es-MX"/>
              </w:rPr>
            </w:pPr>
            <w:r w:rsidRPr="00D4691A">
              <w:rPr>
                <w:rFonts w:cs="Arial"/>
                <w:sz w:val="20"/>
                <w:lang w:eastAsia="es-MX"/>
              </w:rPr>
              <w:t>86.0</w:t>
            </w:r>
          </w:p>
        </w:tc>
      </w:tr>
      <w:tr w:rsidR="00660057" w:rsidRPr="00D4691A" w14:paraId="0EC46683" w14:textId="77777777">
        <w:trPr>
          <w:trHeight w:val="300"/>
        </w:trPr>
        <w:tc>
          <w:tcPr>
            <w:tcW w:w="220" w:type="dxa"/>
            <w:tcBorders>
              <w:top w:val="nil"/>
              <w:left w:val="nil"/>
              <w:bottom w:val="nil"/>
              <w:right w:val="nil"/>
            </w:tcBorders>
            <w:shd w:val="clear" w:color="auto" w:fill="CCE2E6"/>
            <w:noWrap/>
            <w:vAlign w:val="bottom"/>
            <w:hideMark/>
          </w:tcPr>
          <w:p w14:paraId="27FDD977" w14:textId="77777777" w:rsidR="00660057" w:rsidRPr="00D4691A" w:rsidRDefault="00660057" w:rsidP="00562DA7">
            <w:pPr>
              <w:widowControl/>
              <w:jc w:val="left"/>
              <w:rPr>
                <w:rFonts w:ascii="Times New Roman" w:hAnsi="Times New Roman"/>
                <w:color w:val="000000"/>
                <w:sz w:val="20"/>
                <w:lang w:eastAsia="es-MX"/>
              </w:rPr>
            </w:pPr>
            <w:r w:rsidRPr="00D4691A">
              <w:rPr>
                <w:rFonts w:ascii="Times New Roman" w:hAnsi="Times New Roman"/>
                <w:color w:val="000000"/>
                <w:sz w:val="20"/>
                <w:lang w:eastAsia="es-MX"/>
              </w:rPr>
              <w:t> </w:t>
            </w:r>
          </w:p>
        </w:tc>
        <w:tc>
          <w:tcPr>
            <w:tcW w:w="3280" w:type="dxa"/>
            <w:tcBorders>
              <w:top w:val="nil"/>
              <w:left w:val="nil"/>
              <w:bottom w:val="nil"/>
              <w:right w:val="nil"/>
            </w:tcBorders>
            <w:shd w:val="clear" w:color="auto" w:fill="CCE2E6"/>
            <w:vAlign w:val="center"/>
            <w:hideMark/>
          </w:tcPr>
          <w:p w14:paraId="508C7695" w14:textId="77777777" w:rsidR="00660057" w:rsidRPr="00D4691A" w:rsidRDefault="00660057" w:rsidP="00562DA7">
            <w:pPr>
              <w:widowControl/>
              <w:jc w:val="left"/>
              <w:rPr>
                <w:rFonts w:cs="Arial"/>
                <w:color w:val="000000"/>
                <w:sz w:val="20"/>
                <w:lang w:eastAsia="es-MX"/>
              </w:rPr>
            </w:pPr>
            <w:r w:rsidRPr="00D4691A">
              <w:rPr>
                <w:rFonts w:cs="Arial"/>
                <w:sz w:val="20"/>
                <w:lang w:eastAsia="es-MX"/>
              </w:rPr>
              <w:t>Lavadora</w:t>
            </w:r>
          </w:p>
        </w:tc>
        <w:tc>
          <w:tcPr>
            <w:tcW w:w="1320" w:type="dxa"/>
            <w:tcBorders>
              <w:top w:val="nil"/>
              <w:left w:val="nil"/>
              <w:bottom w:val="nil"/>
              <w:right w:val="nil"/>
            </w:tcBorders>
            <w:shd w:val="clear" w:color="auto" w:fill="CCE2E6"/>
            <w:vAlign w:val="center"/>
            <w:hideMark/>
          </w:tcPr>
          <w:p w14:paraId="37AE0F7E" w14:textId="77777777" w:rsidR="00660057" w:rsidRPr="00D4691A" w:rsidRDefault="00660057" w:rsidP="00562DA7">
            <w:pPr>
              <w:widowControl/>
              <w:jc w:val="center"/>
              <w:rPr>
                <w:rFonts w:cs="Arial"/>
                <w:color w:val="000000"/>
                <w:sz w:val="20"/>
                <w:lang w:eastAsia="es-MX"/>
              </w:rPr>
            </w:pPr>
            <w:r w:rsidRPr="00D4691A">
              <w:rPr>
                <w:rFonts w:cs="Arial"/>
                <w:sz w:val="20"/>
                <w:lang w:eastAsia="es-MX"/>
              </w:rPr>
              <w:t>78.0</w:t>
            </w:r>
          </w:p>
        </w:tc>
        <w:tc>
          <w:tcPr>
            <w:tcW w:w="1320" w:type="dxa"/>
            <w:tcBorders>
              <w:top w:val="nil"/>
              <w:left w:val="nil"/>
              <w:bottom w:val="nil"/>
              <w:right w:val="nil"/>
            </w:tcBorders>
            <w:shd w:val="clear" w:color="auto" w:fill="CCE2E6"/>
            <w:vAlign w:val="center"/>
            <w:hideMark/>
          </w:tcPr>
          <w:p w14:paraId="2B9514B0" w14:textId="77777777" w:rsidR="00660057" w:rsidRPr="00D4691A" w:rsidRDefault="00660057" w:rsidP="00562DA7">
            <w:pPr>
              <w:widowControl/>
              <w:jc w:val="center"/>
              <w:rPr>
                <w:rFonts w:cs="Arial"/>
                <w:color w:val="000000"/>
                <w:sz w:val="20"/>
                <w:lang w:eastAsia="es-MX"/>
              </w:rPr>
            </w:pPr>
            <w:r w:rsidRPr="00D4691A">
              <w:rPr>
                <w:rFonts w:cs="Arial"/>
                <w:sz w:val="20"/>
                <w:lang w:eastAsia="es-MX"/>
              </w:rPr>
              <w:t>68.9</w:t>
            </w:r>
          </w:p>
        </w:tc>
        <w:tc>
          <w:tcPr>
            <w:tcW w:w="1320" w:type="dxa"/>
            <w:tcBorders>
              <w:top w:val="nil"/>
              <w:left w:val="nil"/>
              <w:bottom w:val="nil"/>
              <w:right w:val="nil"/>
            </w:tcBorders>
            <w:shd w:val="clear" w:color="auto" w:fill="CCE2E6"/>
            <w:vAlign w:val="center"/>
            <w:hideMark/>
          </w:tcPr>
          <w:p w14:paraId="11477B75" w14:textId="77777777" w:rsidR="00660057" w:rsidRPr="00D4691A" w:rsidRDefault="00660057" w:rsidP="00562DA7">
            <w:pPr>
              <w:widowControl/>
              <w:jc w:val="center"/>
              <w:rPr>
                <w:rFonts w:cs="Arial"/>
                <w:color w:val="000000"/>
                <w:sz w:val="20"/>
                <w:lang w:eastAsia="es-MX"/>
              </w:rPr>
            </w:pPr>
            <w:r w:rsidRPr="00D4691A">
              <w:rPr>
                <w:rFonts w:cs="Arial"/>
                <w:sz w:val="20"/>
                <w:lang w:eastAsia="es-MX"/>
              </w:rPr>
              <w:t>66.0</w:t>
            </w:r>
          </w:p>
        </w:tc>
        <w:tc>
          <w:tcPr>
            <w:tcW w:w="2480" w:type="dxa"/>
            <w:tcBorders>
              <w:top w:val="nil"/>
              <w:left w:val="nil"/>
              <w:bottom w:val="nil"/>
              <w:right w:val="nil"/>
            </w:tcBorders>
            <w:shd w:val="clear" w:color="auto" w:fill="CCE2E6"/>
            <w:vAlign w:val="center"/>
            <w:hideMark/>
          </w:tcPr>
          <w:p w14:paraId="7E57F0F8" w14:textId="77777777" w:rsidR="00660057" w:rsidRPr="00D4691A" w:rsidRDefault="00660057" w:rsidP="00562DA7">
            <w:pPr>
              <w:widowControl/>
              <w:jc w:val="center"/>
              <w:rPr>
                <w:rFonts w:cs="Arial"/>
                <w:color w:val="000000"/>
                <w:sz w:val="20"/>
                <w:lang w:eastAsia="es-MX"/>
              </w:rPr>
            </w:pPr>
            <w:r w:rsidRPr="00D4691A">
              <w:rPr>
                <w:rFonts w:cs="Arial"/>
                <w:sz w:val="20"/>
                <w:lang w:eastAsia="es-MX"/>
              </w:rPr>
              <w:t>69.8</w:t>
            </w:r>
          </w:p>
        </w:tc>
      </w:tr>
      <w:tr w:rsidR="00660057" w:rsidRPr="00D4691A" w14:paraId="2CA33E61" w14:textId="77777777">
        <w:trPr>
          <w:trHeight w:val="300"/>
        </w:trPr>
        <w:tc>
          <w:tcPr>
            <w:tcW w:w="220" w:type="dxa"/>
            <w:tcBorders>
              <w:top w:val="nil"/>
              <w:left w:val="nil"/>
              <w:bottom w:val="nil"/>
              <w:right w:val="nil"/>
            </w:tcBorders>
            <w:shd w:val="clear" w:color="auto" w:fill="CCE2E6"/>
            <w:noWrap/>
            <w:vAlign w:val="bottom"/>
            <w:hideMark/>
          </w:tcPr>
          <w:p w14:paraId="1F9D725A" w14:textId="77777777" w:rsidR="00660057" w:rsidRPr="00D4691A" w:rsidRDefault="00660057" w:rsidP="00562DA7">
            <w:pPr>
              <w:widowControl/>
              <w:jc w:val="left"/>
              <w:rPr>
                <w:rFonts w:ascii="Times New Roman" w:hAnsi="Times New Roman"/>
                <w:color w:val="000000"/>
                <w:sz w:val="20"/>
                <w:lang w:eastAsia="es-MX"/>
              </w:rPr>
            </w:pPr>
            <w:r w:rsidRPr="00D4691A">
              <w:rPr>
                <w:rFonts w:ascii="Times New Roman" w:hAnsi="Times New Roman"/>
                <w:color w:val="000000"/>
                <w:sz w:val="20"/>
                <w:lang w:eastAsia="es-MX"/>
              </w:rPr>
              <w:t> </w:t>
            </w:r>
          </w:p>
        </w:tc>
        <w:tc>
          <w:tcPr>
            <w:tcW w:w="3280" w:type="dxa"/>
            <w:tcBorders>
              <w:top w:val="nil"/>
              <w:left w:val="nil"/>
              <w:bottom w:val="nil"/>
              <w:right w:val="nil"/>
            </w:tcBorders>
            <w:shd w:val="clear" w:color="auto" w:fill="CCE2E6"/>
            <w:vAlign w:val="center"/>
            <w:hideMark/>
          </w:tcPr>
          <w:p w14:paraId="7638BA76" w14:textId="77777777" w:rsidR="00660057" w:rsidRPr="00D4691A" w:rsidRDefault="00660057" w:rsidP="00562DA7">
            <w:pPr>
              <w:widowControl/>
              <w:jc w:val="left"/>
              <w:rPr>
                <w:rFonts w:cs="Arial"/>
                <w:color w:val="000000"/>
                <w:sz w:val="20"/>
                <w:lang w:eastAsia="es-MX"/>
              </w:rPr>
            </w:pPr>
            <w:r w:rsidRPr="00D4691A">
              <w:rPr>
                <w:rFonts w:cs="Arial"/>
                <w:sz w:val="20"/>
                <w:lang w:eastAsia="es-MX"/>
              </w:rPr>
              <w:t>Horno de microondas</w:t>
            </w:r>
          </w:p>
        </w:tc>
        <w:tc>
          <w:tcPr>
            <w:tcW w:w="1320" w:type="dxa"/>
            <w:tcBorders>
              <w:top w:val="nil"/>
              <w:left w:val="nil"/>
              <w:bottom w:val="nil"/>
              <w:right w:val="nil"/>
            </w:tcBorders>
            <w:shd w:val="clear" w:color="auto" w:fill="CCE2E6"/>
            <w:vAlign w:val="center"/>
            <w:hideMark/>
          </w:tcPr>
          <w:p w14:paraId="795643EA" w14:textId="77777777" w:rsidR="00660057" w:rsidRPr="00D4691A" w:rsidRDefault="00660057" w:rsidP="00562DA7">
            <w:pPr>
              <w:widowControl/>
              <w:jc w:val="center"/>
              <w:rPr>
                <w:rFonts w:cs="Arial"/>
                <w:color w:val="000000"/>
                <w:sz w:val="20"/>
                <w:lang w:eastAsia="es-MX"/>
              </w:rPr>
            </w:pPr>
            <w:r w:rsidRPr="00D4691A">
              <w:rPr>
                <w:rFonts w:cs="Arial"/>
                <w:sz w:val="20"/>
                <w:lang w:eastAsia="es-MX"/>
              </w:rPr>
              <w:t>46.3</w:t>
            </w:r>
          </w:p>
        </w:tc>
        <w:tc>
          <w:tcPr>
            <w:tcW w:w="1320" w:type="dxa"/>
            <w:tcBorders>
              <w:top w:val="nil"/>
              <w:left w:val="nil"/>
              <w:bottom w:val="nil"/>
              <w:right w:val="nil"/>
            </w:tcBorders>
            <w:shd w:val="clear" w:color="auto" w:fill="CCE2E6"/>
            <w:vAlign w:val="center"/>
            <w:hideMark/>
          </w:tcPr>
          <w:p w14:paraId="7D785C5E" w14:textId="77777777" w:rsidR="00660057" w:rsidRPr="00D4691A" w:rsidRDefault="00660057" w:rsidP="00562DA7">
            <w:pPr>
              <w:widowControl/>
              <w:jc w:val="center"/>
              <w:rPr>
                <w:rFonts w:cs="Arial"/>
                <w:color w:val="000000"/>
                <w:sz w:val="20"/>
                <w:lang w:eastAsia="es-MX"/>
              </w:rPr>
            </w:pPr>
            <w:r w:rsidRPr="00D4691A">
              <w:rPr>
                <w:rFonts w:cs="Arial"/>
                <w:sz w:val="20"/>
                <w:lang w:eastAsia="es-MX"/>
              </w:rPr>
              <w:t>32.1</w:t>
            </w:r>
          </w:p>
        </w:tc>
        <w:tc>
          <w:tcPr>
            <w:tcW w:w="1320" w:type="dxa"/>
            <w:tcBorders>
              <w:top w:val="nil"/>
              <w:left w:val="nil"/>
              <w:bottom w:val="nil"/>
              <w:right w:val="nil"/>
            </w:tcBorders>
            <w:shd w:val="clear" w:color="auto" w:fill="CCE2E6"/>
            <w:vAlign w:val="center"/>
            <w:hideMark/>
          </w:tcPr>
          <w:p w14:paraId="0D7C85CD" w14:textId="77777777" w:rsidR="00660057" w:rsidRPr="00D4691A" w:rsidRDefault="00660057" w:rsidP="00562DA7">
            <w:pPr>
              <w:widowControl/>
              <w:jc w:val="center"/>
              <w:rPr>
                <w:rFonts w:cs="Arial"/>
                <w:color w:val="000000"/>
                <w:sz w:val="20"/>
                <w:lang w:eastAsia="es-MX"/>
              </w:rPr>
            </w:pPr>
            <w:r w:rsidRPr="00D4691A">
              <w:rPr>
                <w:rFonts w:cs="Arial"/>
                <w:sz w:val="20"/>
                <w:lang w:eastAsia="es-MX"/>
              </w:rPr>
              <w:t>28.3</w:t>
            </w:r>
          </w:p>
        </w:tc>
        <w:tc>
          <w:tcPr>
            <w:tcW w:w="2480" w:type="dxa"/>
            <w:tcBorders>
              <w:top w:val="nil"/>
              <w:left w:val="nil"/>
              <w:bottom w:val="nil"/>
              <w:right w:val="nil"/>
            </w:tcBorders>
            <w:shd w:val="clear" w:color="auto" w:fill="CCE2E6"/>
            <w:vAlign w:val="center"/>
            <w:hideMark/>
          </w:tcPr>
          <w:p w14:paraId="7D25C27D" w14:textId="77777777" w:rsidR="00660057" w:rsidRPr="00D4691A" w:rsidRDefault="00660057" w:rsidP="00562DA7">
            <w:pPr>
              <w:widowControl/>
              <w:jc w:val="center"/>
              <w:rPr>
                <w:rFonts w:cs="Arial"/>
                <w:color w:val="000000"/>
                <w:sz w:val="20"/>
                <w:lang w:eastAsia="es-MX"/>
              </w:rPr>
            </w:pPr>
            <w:r w:rsidRPr="00D4691A">
              <w:rPr>
                <w:rFonts w:cs="Arial"/>
                <w:sz w:val="20"/>
                <w:lang w:eastAsia="es-MX"/>
              </w:rPr>
              <w:t>34.4</w:t>
            </w:r>
          </w:p>
        </w:tc>
      </w:tr>
      <w:tr w:rsidR="00660057" w:rsidRPr="00D4691A" w14:paraId="228BEE3C" w14:textId="77777777">
        <w:trPr>
          <w:trHeight w:val="300"/>
        </w:trPr>
        <w:tc>
          <w:tcPr>
            <w:tcW w:w="220" w:type="dxa"/>
            <w:tcBorders>
              <w:top w:val="nil"/>
              <w:left w:val="nil"/>
              <w:bottom w:val="nil"/>
              <w:right w:val="nil"/>
            </w:tcBorders>
            <w:shd w:val="clear" w:color="auto" w:fill="CCE2E6"/>
            <w:noWrap/>
            <w:vAlign w:val="bottom"/>
            <w:hideMark/>
          </w:tcPr>
          <w:p w14:paraId="0D9CEA94" w14:textId="77777777" w:rsidR="00660057" w:rsidRPr="00D4691A" w:rsidRDefault="00660057" w:rsidP="00562DA7">
            <w:pPr>
              <w:widowControl/>
              <w:jc w:val="left"/>
              <w:rPr>
                <w:rFonts w:ascii="Times New Roman" w:hAnsi="Times New Roman"/>
                <w:color w:val="000000"/>
                <w:sz w:val="20"/>
                <w:lang w:eastAsia="es-MX"/>
              </w:rPr>
            </w:pPr>
            <w:r w:rsidRPr="00D4691A">
              <w:rPr>
                <w:rFonts w:ascii="Times New Roman" w:hAnsi="Times New Roman"/>
                <w:color w:val="000000"/>
                <w:sz w:val="20"/>
                <w:lang w:eastAsia="es-MX"/>
              </w:rPr>
              <w:t> </w:t>
            </w:r>
          </w:p>
        </w:tc>
        <w:tc>
          <w:tcPr>
            <w:tcW w:w="3280" w:type="dxa"/>
            <w:tcBorders>
              <w:top w:val="nil"/>
              <w:left w:val="nil"/>
              <w:bottom w:val="nil"/>
              <w:right w:val="nil"/>
            </w:tcBorders>
            <w:shd w:val="clear" w:color="auto" w:fill="CCE2E6"/>
            <w:vAlign w:val="center"/>
            <w:hideMark/>
          </w:tcPr>
          <w:p w14:paraId="57DFF35A" w14:textId="77777777" w:rsidR="00660057" w:rsidRPr="00D4691A" w:rsidRDefault="00660057" w:rsidP="00562DA7">
            <w:pPr>
              <w:widowControl/>
              <w:jc w:val="left"/>
              <w:rPr>
                <w:rFonts w:cs="Arial"/>
                <w:color w:val="000000"/>
                <w:sz w:val="20"/>
                <w:lang w:eastAsia="es-MX"/>
              </w:rPr>
            </w:pPr>
            <w:r w:rsidRPr="00D4691A">
              <w:rPr>
                <w:rFonts w:cs="Arial"/>
                <w:sz w:val="20"/>
                <w:lang w:eastAsia="es-MX"/>
              </w:rPr>
              <w:t>Automóvil o camioneta</w:t>
            </w:r>
          </w:p>
        </w:tc>
        <w:tc>
          <w:tcPr>
            <w:tcW w:w="1320" w:type="dxa"/>
            <w:tcBorders>
              <w:top w:val="nil"/>
              <w:left w:val="nil"/>
              <w:bottom w:val="nil"/>
              <w:right w:val="nil"/>
            </w:tcBorders>
            <w:shd w:val="clear" w:color="auto" w:fill="CCE2E6"/>
            <w:vAlign w:val="center"/>
            <w:hideMark/>
          </w:tcPr>
          <w:p w14:paraId="45879764" w14:textId="77777777" w:rsidR="00660057" w:rsidRPr="00D4691A" w:rsidRDefault="00660057" w:rsidP="00562DA7">
            <w:pPr>
              <w:widowControl/>
              <w:jc w:val="center"/>
              <w:rPr>
                <w:rFonts w:cs="Arial"/>
                <w:color w:val="000000"/>
                <w:sz w:val="20"/>
                <w:lang w:eastAsia="es-MX"/>
              </w:rPr>
            </w:pPr>
            <w:r w:rsidRPr="00D4691A">
              <w:rPr>
                <w:rFonts w:cs="Arial"/>
                <w:sz w:val="20"/>
                <w:lang w:eastAsia="es-MX"/>
              </w:rPr>
              <w:t>48.1</w:t>
            </w:r>
          </w:p>
        </w:tc>
        <w:tc>
          <w:tcPr>
            <w:tcW w:w="1320" w:type="dxa"/>
            <w:tcBorders>
              <w:top w:val="nil"/>
              <w:left w:val="nil"/>
              <w:bottom w:val="nil"/>
              <w:right w:val="nil"/>
            </w:tcBorders>
            <w:shd w:val="clear" w:color="auto" w:fill="CCE2E6"/>
            <w:vAlign w:val="center"/>
            <w:hideMark/>
          </w:tcPr>
          <w:p w14:paraId="7DC7AD0B" w14:textId="77777777" w:rsidR="00660057" w:rsidRPr="00D4691A" w:rsidRDefault="00660057" w:rsidP="00562DA7">
            <w:pPr>
              <w:widowControl/>
              <w:jc w:val="center"/>
              <w:rPr>
                <w:rFonts w:cs="Arial"/>
                <w:color w:val="000000"/>
                <w:sz w:val="20"/>
                <w:lang w:eastAsia="es-MX"/>
              </w:rPr>
            </w:pPr>
            <w:r w:rsidRPr="00D4691A">
              <w:rPr>
                <w:rFonts w:cs="Arial"/>
                <w:sz w:val="20"/>
                <w:lang w:eastAsia="es-MX"/>
              </w:rPr>
              <w:t>38.9</w:t>
            </w:r>
          </w:p>
        </w:tc>
        <w:tc>
          <w:tcPr>
            <w:tcW w:w="1320" w:type="dxa"/>
            <w:tcBorders>
              <w:top w:val="nil"/>
              <w:left w:val="nil"/>
              <w:bottom w:val="nil"/>
              <w:right w:val="nil"/>
            </w:tcBorders>
            <w:shd w:val="clear" w:color="auto" w:fill="CCE2E6"/>
            <w:vAlign w:val="center"/>
            <w:hideMark/>
          </w:tcPr>
          <w:p w14:paraId="70467767" w14:textId="77777777" w:rsidR="00660057" w:rsidRPr="00D4691A" w:rsidRDefault="00660057" w:rsidP="00562DA7">
            <w:pPr>
              <w:widowControl/>
              <w:jc w:val="center"/>
              <w:rPr>
                <w:rFonts w:cs="Arial"/>
                <w:color w:val="000000"/>
                <w:sz w:val="20"/>
                <w:lang w:eastAsia="es-MX"/>
              </w:rPr>
            </w:pPr>
            <w:r w:rsidRPr="00D4691A">
              <w:rPr>
                <w:rFonts w:cs="Arial"/>
                <w:sz w:val="20"/>
                <w:lang w:eastAsia="es-MX"/>
              </w:rPr>
              <w:t>36.7</w:t>
            </w:r>
          </w:p>
        </w:tc>
        <w:tc>
          <w:tcPr>
            <w:tcW w:w="2480" w:type="dxa"/>
            <w:tcBorders>
              <w:top w:val="nil"/>
              <w:left w:val="nil"/>
              <w:bottom w:val="nil"/>
              <w:right w:val="nil"/>
            </w:tcBorders>
            <w:shd w:val="clear" w:color="auto" w:fill="CCE2E6"/>
            <w:vAlign w:val="center"/>
            <w:hideMark/>
          </w:tcPr>
          <w:p w14:paraId="5A5FA6B9" w14:textId="77777777" w:rsidR="00660057" w:rsidRPr="00D4691A" w:rsidRDefault="00660057" w:rsidP="00562DA7">
            <w:pPr>
              <w:widowControl/>
              <w:jc w:val="center"/>
              <w:rPr>
                <w:rFonts w:cs="Arial"/>
                <w:color w:val="000000"/>
                <w:sz w:val="20"/>
                <w:lang w:eastAsia="es-MX"/>
              </w:rPr>
            </w:pPr>
            <w:r w:rsidRPr="00D4691A">
              <w:rPr>
                <w:rFonts w:cs="Arial"/>
                <w:sz w:val="20"/>
                <w:lang w:eastAsia="es-MX"/>
              </w:rPr>
              <w:t>39.5</w:t>
            </w:r>
          </w:p>
        </w:tc>
      </w:tr>
      <w:tr w:rsidR="00660057" w:rsidRPr="00D4691A" w14:paraId="6D46F118" w14:textId="77777777">
        <w:trPr>
          <w:trHeight w:val="300"/>
        </w:trPr>
        <w:tc>
          <w:tcPr>
            <w:tcW w:w="220" w:type="dxa"/>
            <w:tcBorders>
              <w:top w:val="nil"/>
              <w:left w:val="nil"/>
              <w:bottom w:val="nil"/>
              <w:right w:val="nil"/>
            </w:tcBorders>
            <w:shd w:val="clear" w:color="auto" w:fill="CCE2E6"/>
            <w:noWrap/>
            <w:vAlign w:val="bottom"/>
            <w:hideMark/>
          </w:tcPr>
          <w:p w14:paraId="6D3F4444" w14:textId="77777777" w:rsidR="00660057" w:rsidRPr="00D4691A" w:rsidRDefault="00660057" w:rsidP="00562DA7">
            <w:pPr>
              <w:widowControl/>
              <w:jc w:val="left"/>
              <w:rPr>
                <w:rFonts w:ascii="Times New Roman" w:hAnsi="Times New Roman"/>
                <w:color w:val="000000"/>
                <w:sz w:val="20"/>
                <w:lang w:eastAsia="es-MX"/>
              </w:rPr>
            </w:pPr>
            <w:r w:rsidRPr="00D4691A">
              <w:rPr>
                <w:rFonts w:ascii="Times New Roman" w:hAnsi="Times New Roman"/>
                <w:color w:val="000000"/>
                <w:sz w:val="20"/>
                <w:lang w:eastAsia="es-MX"/>
              </w:rPr>
              <w:t> </w:t>
            </w:r>
          </w:p>
        </w:tc>
        <w:tc>
          <w:tcPr>
            <w:tcW w:w="3280" w:type="dxa"/>
            <w:tcBorders>
              <w:top w:val="nil"/>
              <w:left w:val="nil"/>
              <w:bottom w:val="nil"/>
              <w:right w:val="nil"/>
            </w:tcBorders>
            <w:shd w:val="clear" w:color="auto" w:fill="CCE2E6"/>
            <w:vAlign w:val="center"/>
            <w:hideMark/>
          </w:tcPr>
          <w:p w14:paraId="2F2AE80E" w14:textId="77777777" w:rsidR="00660057" w:rsidRPr="00D4691A" w:rsidRDefault="00660057" w:rsidP="00562DA7">
            <w:pPr>
              <w:widowControl/>
              <w:jc w:val="left"/>
              <w:rPr>
                <w:rFonts w:cs="Arial"/>
                <w:color w:val="000000"/>
                <w:sz w:val="20"/>
                <w:lang w:eastAsia="es-MX"/>
              </w:rPr>
            </w:pPr>
            <w:r w:rsidRPr="00D4691A">
              <w:rPr>
                <w:rFonts w:cs="Arial"/>
                <w:sz w:val="20"/>
                <w:lang w:eastAsia="es-MX"/>
              </w:rPr>
              <w:t>Motocicleta o motoneta</w:t>
            </w:r>
          </w:p>
        </w:tc>
        <w:tc>
          <w:tcPr>
            <w:tcW w:w="1320" w:type="dxa"/>
            <w:tcBorders>
              <w:top w:val="nil"/>
              <w:left w:val="nil"/>
              <w:bottom w:val="nil"/>
              <w:right w:val="nil"/>
            </w:tcBorders>
            <w:shd w:val="clear" w:color="auto" w:fill="CCE2E6"/>
            <w:vAlign w:val="center"/>
            <w:hideMark/>
          </w:tcPr>
          <w:p w14:paraId="1C152499" w14:textId="77777777" w:rsidR="00660057" w:rsidRPr="00D4691A" w:rsidRDefault="00660057" w:rsidP="00562DA7">
            <w:pPr>
              <w:widowControl/>
              <w:jc w:val="center"/>
              <w:rPr>
                <w:rFonts w:cs="Arial"/>
                <w:color w:val="000000"/>
                <w:sz w:val="20"/>
                <w:lang w:eastAsia="es-MX"/>
              </w:rPr>
            </w:pPr>
            <w:r w:rsidRPr="00D4691A">
              <w:rPr>
                <w:rFonts w:cs="Arial"/>
                <w:sz w:val="20"/>
                <w:lang w:eastAsia="es-MX"/>
              </w:rPr>
              <w:t>18.5</w:t>
            </w:r>
          </w:p>
        </w:tc>
        <w:tc>
          <w:tcPr>
            <w:tcW w:w="1320" w:type="dxa"/>
            <w:tcBorders>
              <w:top w:val="nil"/>
              <w:left w:val="nil"/>
              <w:bottom w:val="nil"/>
              <w:right w:val="nil"/>
            </w:tcBorders>
            <w:shd w:val="clear" w:color="auto" w:fill="CCE2E6"/>
            <w:vAlign w:val="center"/>
            <w:hideMark/>
          </w:tcPr>
          <w:p w14:paraId="7229CE4E" w14:textId="77777777" w:rsidR="00660057" w:rsidRPr="00D4691A" w:rsidRDefault="00660057" w:rsidP="00562DA7">
            <w:pPr>
              <w:widowControl/>
              <w:jc w:val="center"/>
              <w:rPr>
                <w:rFonts w:cs="Arial"/>
                <w:color w:val="000000"/>
                <w:sz w:val="20"/>
                <w:lang w:eastAsia="es-MX"/>
              </w:rPr>
            </w:pPr>
            <w:r w:rsidRPr="00D4691A">
              <w:rPr>
                <w:rFonts w:cs="Arial"/>
                <w:sz w:val="20"/>
                <w:lang w:eastAsia="es-MX"/>
              </w:rPr>
              <w:t>22.3</w:t>
            </w:r>
          </w:p>
        </w:tc>
        <w:tc>
          <w:tcPr>
            <w:tcW w:w="1320" w:type="dxa"/>
            <w:tcBorders>
              <w:top w:val="nil"/>
              <w:left w:val="nil"/>
              <w:bottom w:val="nil"/>
              <w:right w:val="nil"/>
            </w:tcBorders>
            <w:shd w:val="clear" w:color="auto" w:fill="CCE2E6"/>
            <w:vAlign w:val="center"/>
            <w:hideMark/>
          </w:tcPr>
          <w:p w14:paraId="48DC868A" w14:textId="77777777" w:rsidR="00660057" w:rsidRPr="00D4691A" w:rsidRDefault="00660057" w:rsidP="00562DA7">
            <w:pPr>
              <w:widowControl/>
              <w:jc w:val="center"/>
              <w:rPr>
                <w:rFonts w:cs="Arial"/>
                <w:color w:val="000000"/>
                <w:sz w:val="20"/>
                <w:lang w:eastAsia="es-MX"/>
              </w:rPr>
            </w:pPr>
            <w:r w:rsidRPr="00D4691A">
              <w:rPr>
                <w:rFonts w:cs="Arial"/>
                <w:sz w:val="20"/>
                <w:lang w:eastAsia="es-MX"/>
              </w:rPr>
              <w:t>24.4</w:t>
            </w:r>
          </w:p>
        </w:tc>
        <w:tc>
          <w:tcPr>
            <w:tcW w:w="2480" w:type="dxa"/>
            <w:tcBorders>
              <w:top w:val="nil"/>
              <w:left w:val="nil"/>
              <w:bottom w:val="nil"/>
              <w:right w:val="nil"/>
            </w:tcBorders>
            <w:shd w:val="clear" w:color="auto" w:fill="CCE2E6"/>
            <w:vAlign w:val="center"/>
            <w:hideMark/>
          </w:tcPr>
          <w:p w14:paraId="4F222DE1" w14:textId="77777777" w:rsidR="00660057" w:rsidRPr="00D4691A" w:rsidRDefault="00660057" w:rsidP="00562DA7">
            <w:pPr>
              <w:widowControl/>
              <w:jc w:val="center"/>
              <w:rPr>
                <w:rFonts w:cs="Arial"/>
                <w:color w:val="000000"/>
                <w:sz w:val="20"/>
                <w:lang w:eastAsia="es-MX"/>
              </w:rPr>
            </w:pPr>
            <w:r w:rsidRPr="00D4691A">
              <w:rPr>
                <w:rFonts w:cs="Arial"/>
                <w:sz w:val="20"/>
                <w:lang w:eastAsia="es-MX"/>
              </w:rPr>
              <w:t>20.8</w:t>
            </w:r>
          </w:p>
        </w:tc>
      </w:tr>
      <w:tr w:rsidR="00660057" w:rsidRPr="00D4691A" w14:paraId="7BDF1EC2" w14:textId="77777777">
        <w:trPr>
          <w:trHeight w:val="510"/>
        </w:trPr>
        <w:tc>
          <w:tcPr>
            <w:tcW w:w="220" w:type="dxa"/>
            <w:tcBorders>
              <w:top w:val="nil"/>
              <w:left w:val="nil"/>
              <w:bottom w:val="nil"/>
              <w:right w:val="nil"/>
            </w:tcBorders>
            <w:shd w:val="clear" w:color="auto" w:fill="CCE2E6"/>
            <w:noWrap/>
            <w:vAlign w:val="bottom"/>
            <w:hideMark/>
          </w:tcPr>
          <w:p w14:paraId="559C162F" w14:textId="77777777" w:rsidR="00660057" w:rsidRPr="00D4691A" w:rsidRDefault="00660057" w:rsidP="00562DA7">
            <w:pPr>
              <w:widowControl/>
              <w:jc w:val="left"/>
              <w:rPr>
                <w:rFonts w:ascii="Times New Roman" w:hAnsi="Times New Roman"/>
                <w:color w:val="000000"/>
                <w:sz w:val="20"/>
                <w:lang w:eastAsia="es-MX"/>
              </w:rPr>
            </w:pPr>
            <w:r w:rsidRPr="00D4691A">
              <w:rPr>
                <w:rFonts w:ascii="Times New Roman" w:hAnsi="Times New Roman"/>
                <w:color w:val="000000"/>
                <w:sz w:val="20"/>
                <w:lang w:eastAsia="es-MX"/>
              </w:rPr>
              <w:t> </w:t>
            </w:r>
          </w:p>
        </w:tc>
        <w:tc>
          <w:tcPr>
            <w:tcW w:w="3280" w:type="dxa"/>
            <w:tcBorders>
              <w:top w:val="nil"/>
              <w:left w:val="nil"/>
              <w:bottom w:val="nil"/>
              <w:right w:val="nil"/>
            </w:tcBorders>
            <w:shd w:val="clear" w:color="auto" w:fill="CCE2E6"/>
            <w:vAlign w:val="center"/>
            <w:hideMark/>
          </w:tcPr>
          <w:p w14:paraId="600BFBA3" w14:textId="77777777" w:rsidR="00660057" w:rsidRPr="00D4691A" w:rsidRDefault="00660057" w:rsidP="00562DA7">
            <w:pPr>
              <w:widowControl/>
              <w:jc w:val="left"/>
              <w:rPr>
                <w:rFonts w:cs="Arial"/>
                <w:color w:val="000000"/>
                <w:sz w:val="20"/>
                <w:lang w:eastAsia="es-MX"/>
              </w:rPr>
            </w:pPr>
            <w:r w:rsidRPr="00D4691A">
              <w:rPr>
                <w:rFonts w:cs="Arial"/>
                <w:sz w:val="20"/>
                <w:lang w:eastAsia="es-MX"/>
              </w:rPr>
              <w:t>Bicicleta que se utilice como medio de transporte</w:t>
            </w:r>
          </w:p>
        </w:tc>
        <w:tc>
          <w:tcPr>
            <w:tcW w:w="1320" w:type="dxa"/>
            <w:tcBorders>
              <w:top w:val="nil"/>
              <w:left w:val="nil"/>
              <w:bottom w:val="nil"/>
              <w:right w:val="nil"/>
            </w:tcBorders>
            <w:shd w:val="clear" w:color="auto" w:fill="CCE2E6"/>
            <w:vAlign w:val="center"/>
            <w:hideMark/>
          </w:tcPr>
          <w:p w14:paraId="46C19201" w14:textId="77777777" w:rsidR="00660057" w:rsidRPr="00D4691A" w:rsidRDefault="00660057" w:rsidP="00562DA7">
            <w:pPr>
              <w:widowControl/>
              <w:jc w:val="center"/>
              <w:rPr>
                <w:rFonts w:cs="Arial"/>
                <w:color w:val="000000"/>
                <w:sz w:val="20"/>
                <w:lang w:eastAsia="es-MX"/>
              </w:rPr>
            </w:pPr>
            <w:r w:rsidRPr="00D4691A">
              <w:rPr>
                <w:rFonts w:cs="Arial"/>
                <w:sz w:val="20"/>
                <w:lang w:eastAsia="es-MX"/>
              </w:rPr>
              <w:t>26.8</w:t>
            </w:r>
          </w:p>
        </w:tc>
        <w:tc>
          <w:tcPr>
            <w:tcW w:w="1320" w:type="dxa"/>
            <w:tcBorders>
              <w:top w:val="nil"/>
              <w:left w:val="nil"/>
              <w:bottom w:val="nil"/>
              <w:right w:val="nil"/>
            </w:tcBorders>
            <w:shd w:val="clear" w:color="auto" w:fill="CCE2E6"/>
            <w:vAlign w:val="center"/>
            <w:hideMark/>
          </w:tcPr>
          <w:p w14:paraId="0B0AF886" w14:textId="77777777" w:rsidR="00660057" w:rsidRPr="00D4691A" w:rsidRDefault="00660057" w:rsidP="00562DA7">
            <w:pPr>
              <w:widowControl/>
              <w:jc w:val="center"/>
              <w:rPr>
                <w:rFonts w:cs="Arial"/>
                <w:color w:val="000000"/>
                <w:sz w:val="20"/>
                <w:lang w:eastAsia="es-MX"/>
              </w:rPr>
            </w:pPr>
            <w:r w:rsidRPr="00D4691A">
              <w:rPr>
                <w:rFonts w:cs="Arial"/>
                <w:sz w:val="20"/>
                <w:lang w:eastAsia="es-MX"/>
              </w:rPr>
              <w:t>31.9</w:t>
            </w:r>
          </w:p>
        </w:tc>
        <w:tc>
          <w:tcPr>
            <w:tcW w:w="1320" w:type="dxa"/>
            <w:tcBorders>
              <w:top w:val="nil"/>
              <w:left w:val="nil"/>
              <w:bottom w:val="nil"/>
              <w:right w:val="nil"/>
            </w:tcBorders>
            <w:shd w:val="clear" w:color="auto" w:fill="CCE2E6"/>
            <w:vAlign w:val="center"/>
            <w:hideMark/>
          </w:tcPr>
          <w:p w14:paraId="3EECDD15" w14:textId="77777777" w:rsidR="00660057" w:rsidRPr="00D4691A" w:rsidRDefault="00660057" w:rsidP="00562DA7">
            <w:pPr>
              <w:widowControl/>
              <w:jc w:val="center"/>
              <w:rPr>
                <w:rFonts w:cs="Arial"/>
                <w:color w:val="000000"/>
                <w:sz w:val="20"/>
                <w:lang w:eastAsia="es-MX"/>
              </w:rPr>
            </w:pPr>
            <w:r w:rsidRPr="00D4691A">
              <w:rPr>
                <w:rFonts w:cs="Arial"/>
                <w:sz w:val="20"/>
                <w:lang w:eastAsia="es-MX"/>
              </w:rPr>
              <w:t>32.7</w:t>
            </w:r>
          </w:p>
        </w:tc>
        <w:tc>
          <w:tcPr>
            <w:tcW w:w="2480" w:type="dxa"/>
            <w:tcBorders>
              <w:top w:val="nil"/>
              <w:left w:val="nil"/>
              <w:bottom w:val="nil"/>
              <w:right w:val="nil"/>
            </w:tcBorders>
            <w:shd w:val="clear" w:color="auto" w:fill="CCE2E6"/>
            <w:vAlign w:val="center"/>
            <w:hideMark/>
          </w:tcPr>
          <w:p w14:paraId="1FEA5582" w14:textId="77777777" w:rsidR="00660057" w:rsidRPr="00D4691A" w:rsidRDefault="00660057" w:rsidP="00562DA7">
            <w:pPr>
              <w:widowControl/>
              <w:jc w:val="center"/>
              <w:rPr>
                <w:rFonts w:cs="Arial"/>
                <w:color w:val="000000"/>
                <w:sz w:val="20"/>
                <w:lang w:eastAsia="es-MX"/>
              </w:rPr>
            </w:pPr>
            <w:r w:rsidRPr="00D4691A">
              <w:rPr>
                <w:rFonts w:cs="Arial"/>
                <w:sz w:val="20"/>
                <w:lang w:eastAsia="es-MX"/>
              </w:rPr>
              <w:t>31.3</w:t>
            </w:r>
          </w:p>
        </w:tc>
      </w:tr>
      <w:tr w:rsidR="00660057" w:rsidRPr="00D4691A" w14:paraId="2D107584" w14:textId="77777777">
        <w:trPr>
          <w:trHeight w:val="510"/>
        </w:trPr>
        <w:tc>
          <w:tcPr>
            <w:tcW w:w="220" w:type="dxa"/>
            <w:tcBorders>
              <w:top w:val="nil"/>
              <w:left w:val="nil"/>
              <w:bottom w:val="nil"/>
              <w:right w:val="nil"/>
            </w:tcBorders>
            <w:shd w:val="clear" w:color="auto" w:fill="CCE2E6"/>
            <w:noWrap/>
            <w:vAlign w:val="bottom"/>
            <w:hideMark/>
          </w:tcPr>
          <w:p w14:paraId="39AC0412" w14:textId="77777777" w:rsidR="00660057" w:rsidRPr="00D4691A" w:rsidRDefault="00660057" w:rsidP="00562DA7">
            <w:pPr>
              <w:widowControl/>
              <w:jc w:val="left"/>
              <w:rPr>
                <w:rFonts w:ascii="Times New Roman" w:hAnsi="Times New Roman"/>
                <w:color w:val="000000"/>
                <w:sz w:val="20"/>
                <w:lang w:eastAsia="es-MX"/>
              </w:rPr>
            </w:pPr>
            <w:r w:rsidRPr="00D4691A">
              <w:rPr>
                <w:rFonts w:ascii="Times New Roman" w:hAnsi="Times New Roman" w:cs="Arial"/>
                <w:sz w:val="20"/>
                <w:lang w:eastAsia="es-MX"/>
              </w:rPr>
              <w:t> </w:t>
            </w:r>
          </w:p>
        </w:tc>
        <w:tc>
          <w:tcPr>
            <w:tcW w:w="3280" w:type="dxa"/>
            <w:tcBorders>
              <w:top w:val="nil"/>
              <w:left w:val="nil"/>
              <w:bottom w:val="nil"/>
              <w:right w:val="nil"/>
            </w:tcBorders>
            <w:shd w:val="clear" w:color="auto" w:fill="CCE2E6"/>
            <w:vAlign w:val="center"/>
            <w:hideMark/>
          </w:tcPr>
          <w:p w14:paraId="1724E94E" w14:textId="77777777" w:rsidR="00660057" w:rsidRPr="00D4691A" w:rsidRDefault="00660057" w:rsidP="00562DA7">
            <w:pPr>
              <w:widowControl/>
              <w:jc w:val="left"/>
              <w:rPr>
                <w:rFonts w:cs="Arial"/>
                <w:color w:val="000000"/>
                <w:sz w:val="20"/>
                <w:lang w:eastAsia="es-MX"/>
              </w:rPr>
            </w:pPr>
            <w:r w:rsidRPr="00D4691A">
              <w:rPr>
                <w:rFonts w:cs="Arial"/>
                <w:sz w:val="20"/>
                <w:lang w:eastAsia="es-MX"/>
              </w:rPr>
              <w:t>Algún aparato o dispositivo para oír radio</w:t>
            </w:r>
          </w:p>
        </w:tc>
        <w:tc>
          <w:tcPr>
            <w:tcW w:w="1320" w:type="dxa"/>
            <w:tcBorders>
              <w:top w:val="nil"/>
              <w:left w:val="nil"/>
              <w:bottom w:val="nil"/>
              <w:right w:val="nil"/>
            </w:tcBorders>
            <w:shd w:val="clear" w:color="auto" w:fill="CCE2E6"/>
            <w:vAlign w:val="center"/>
            <w:hideMark/>
          </w:tcPr>
          <w:p w14:paraId="7E1702BD" w14:textId="77777777" w:rsidR="00660057" w:rsidRPr="00D4691A" w:rsidRDefault="00660057" w:rsidP="00562DA7">
            <w:pPr>
              <w:widowControl/>
              <w:jc w:val="center"/>
              <w:rPr>
                <w:rFonts w:cs="Arial"/>
                <w:color w:val="000000"/>
                <w:sz w:val="20"/>
                <w:lang w:eastAsia="es-MX"/>
              </w:rPr>
            </w:pPr>
            <w:r w:rsidRPr="00D4691A">
              <w:rPr>
                <w:rFonts w:cs="Arial"/>
                <w:sz w:val="20"/>
                <w:lang w:eastAsia="es-MX"/>
              </w:rPr>
              <w:t>63.3</w:t>
            </w:r>
          </w:p>
        </w:tc>
        <w:tc>
          <w:tcPr>
            <w:tcW w:w="1320" w:type="dxa"/>
            <w:tcBorders>
              <w:top w:val="nil"/>
              <w:left w:val="nil"/>
              <w:bottom w:val="nil"/>
              <w:right w:val="nil"/>
            </w:tcBorders>
            <w:shd w:val="clear" w:color="auto" w:fill="CCE2E6"/>
            <w:vAlign w:val="center"/>
            <w:hideMark/>
          </w:tcPr>
          <w:p w14:paraId="53D10FB5" w14:textId="77777777" w:rsidR="00660057" w:rsidRPr="00D4691A" w:rsidRDefault="00660057" w:rsidP="00562DA7">
            <w:pPr>
              <w:widowControl/>
              <w:jc w:val="center"/>
              <w:rPr>
                <w:rFonts w:cs="Arial"/>
                <w:color w:val="000000"/>
                <w:sz w:val="20"/>
                <w:lang w:eastAsia="es-MX"/>
              </w:rPr>
            </w:pPr>
            <w:r w:rsidRPr="00D4691A">
              <w:rPr>
                <w:rFonts w:cs="Arial"/>
                <w:sz w:val="20"/>
                <w:lang w:eastAsia="es-MX"/>
              </w:rPr>
              <w:t>62.5</w:t>
            </w:r>
          </w:p>
        </w:tc>
        <w:tc>
          <w:tcPr>
            <w:tcW w:w="1320" w:type="dxa"/>
            <w:tcBorders>
              <w:top w:val="nil"/>
              <w:left w:val="nil"/>
              <w:bottom w:val="nil"/>
              <w:right w:val="nil"/>
            </w:tcBorders>
            <w:shd w:val="clear" w:color="auto" w:fill="CCE2E6"/>
            <w:vAlign w:val="center"/>
            <w:hideMark/>
          </w:tcPr>
          <w:p w14:paraId="1654871F" w14:textId="77777777" w:rsidR="00660057" w:rsidRPr="00D4691A" w:rsidRDefault="00660057" w:rsidP="00562DA7">
            <w:pPr>
              <w:widowControl/>
              <w:jc w:val="center"/>
              <w:rPr>
                <w:rFonts w:cs="Arial"/>
                <w:color w:val="000000"/>
                <w:sz w:val="20"/>
                <w:lang w:eastAsia="es-MX"/>
              </w:rPr>
            </w:pPr>
            <w:r w:rsidRPr="00D4691A">
              <w:rPr>
                <w:rFonts w:cs="Arial"/>
                <w:sz w:val="20"/>
                <w:lang w:eastAsia="es-MX"/>
              </w:rPr>
              <w:t>61.7</w:t>
            </w:r>
          </w:p>
        </w:tc>
        <w:tc>
          <w:tcPr>
            <w:tcW w:w="2480" w:type="dxa"/>
            <w:tcBorders>
              <w:top w:val="nil"/>
              <w:left w:val="nil"/>
              <w:bottom w:val="nil"/>
              <w:right w:val="nil"/>
            </w:tcBorders>
            <w:shd w:val="clear" w:color="auto" w:fill="CCE2E6"/>
            <w:vAlign w:val="center"/>
            <w:hideMark/>
          </w:tcPr>
          <w:p w14:paraId="43D0671C" w14:textId="77777777" w:rsidR="00660057" w:rsidRPr="00D4691A" w:rsidRDefault="00660057" w:rsidP="00562DA7">
            <w:pPr>
              <w:widowControl/>
              <w:jc w:val="center"/>
              <w:rPr>
                <w:rFonts w:cs="Arial"/>
                <w:color w:val="000000"/>
                <w:sz w:val="20"/>
                <w:lang w:eastAsia="es-MX"/>
              </w:rPr>
            </w:pPr>
            <w:r w:rsidRPr="00D4691A">
              <w:rPr>
                <w:rFonts w:cs="Arial"/>
                <w:sz w:val="20"/>
                <w:lang w:eastAsia="es-MX"/>
              </w:rPr>
              <w:t>62.7</w:t>
            </w:r>
          </w:p>
        </w:tc>
      </w:tr>
      <w:tr w:rsidR="00660057" w:rsidRPr="00D4691A" w14:paraId="46EB328F" w14:textId="77777777">
        <w:trPr>
          <w:trHeight w:val="300"/>
        </w:trPr>
        <w:tc>
          <w:tcPr>
            <w:tcW w:w="220" w:type="dxa"/>
            <w:tcBorders>
              <w:top w:val="nil"/>
              <w:left w:val="nil"/>
              <w:bottom w:val="nil"/>
              <w:right w:val="nil"/>
            </w:tcBorders>
            <w:shd w:val="clear" w:color="auto" w:fill="CCE2E6"/>
            <w:noWrap/>
            <w:vAlign w:val="bottom"/>
            <w:hideMark/>
          </w:tcPr>
          <w:p w14:paraId="6B790259" w14:textId="77777777" w:rsidR="00660057" w:rsidRPr="00D4691A" w:rsidRDefault="00660057" w:rsidP="00562DA7">
            <w:pPr>
              <w:widowControl/>
              <w:jc w:val="left"/>
              <w:rPr>
                <w:rFonts w:ascii="Times New Roman" w:hAnsi="Times New Roman"/>
                <w:color w:val="000000"/>
                <w:sz w:val="20"/>
                <w:lang w:eastAsia="es-MX"/>
              </w:rPr>
            </w:pPr>
            <w:r w:rsidRPr="00D4691A">
              <w:rPr>
                <w:rFonts w:ascii="Times New Roman" w:hAnsi="Times New Roman"/>
                <w:color w:val="000000"/>
                <w:sz w:val="20"/>
                <w:lang w:eastAsia="es-MX"/>
              </w:rPr>
              <w:t> </w:t>
            </w:r>
          </w:p>
        </w:tc>
        <w:tc>
          <w:tcPr>
            <w:tcW w:w="3280" w:type="dxa"/>
            <w:tcBorders>
              <w:top w:val="nil"/>
              <w:left w:val="nil"/>
              <w:bottom w:val="nil"/>
              <w:right w:val="nil"/>
            </w:tcBorders>
            <w:shd w:val="clear" w:color="auto" w:fill="CCE2E6"/>
            <w:vAlign w:val="center"/>
            <w:hideMark/>
          </w:tcPr>
          <w:p w14:paraId="1C5BEF6B" w14:textId="77777777" w:rsidR="00660057" w:rsidRPr="00D4691A" w:rsidRDefault="00660057" w:rsidP="00562DA7">
            <w:pPr>
              <w:widowControl/>
              <w:jc w:val="left"/>
              <w:rPr>
                <w:rFonts w:cs="Arial"/>
                <w:color w:val="000000"/>
                <w:sz w:val="20"/>
                <w:lang w:eastAsia="es-MX"/>
              </w:rPr>
            </w:pPr>
            <w:r w:rsidRPr="00D4691A">
              <w:rPr>
                <w:rFonts w:cs="Arial"/>
                <w:sz w:val="20"/>
                <w:lang w:eastAsia="es-MX"/>
              </w:rPr>
              <w:t>Televisor</w:t>
            </w:r>
          </w:p>
        </w:tc>
        <w:tc>
          <w:tcPr>
            <w:tcW w:w="1320" w:type="dxa"/>
            <w:tcBorders>
              <w:top w:val="nil"/>
              <w:left w:val="nil"/>
              <w:bottom w:val="nil"/>
              <w:right w:val="nil"/>
            </w:tcBorders>
            <w:shd w:val="clear" w:color="auto" w:fill="CCE2E6"/>
            <w:vAlign w:val="center"/>
            <w:hideMark/>
          </w:tcPr>
          <w:p w14:paraId="0DFCA2AF" w14:textId="77777777" w:rsidR="00660057" w:rsidRPr="00D4691A" w:rsidRDefault="00660057" w:rsidP="00562DA7">
            <w:pPr>
              <w:widowControl/>
              <w:jc w:val="center"/>
              <w:rPr>
                <w:rFonts w:cs="Arial"/>
                <w:color w:val="000000"/>
                <w:sz w:val="20"/>
                <w:lang w:eastAsia="es-MX"/>
              </w:rPr>
            </w:pPr>
            <w:r w:rsidRPr="00D4691A">
              <w:rPr>
                <w:rFonts w:cs="Arial"/>
                <w:sz w:val="20"/>
                <w:lang w:eastAsia="es-MX"/>
              </w:rPr>
              <w:t>91.3</w:t>
            </w:r>
          </w:p>
        </w:tc>
        <w:tc>
          <w:tcPr>
            <w:tcW w:w="1320" w:type="dxa"/>
            <w:tcBorders>
              <w:top w:val="nil"/>
              <w:left w:val="nil"/>
              <w:bottom w:val="nil"/>
              <w:right w:val="nil"/>
            </w:tcBorders>
            <w:shd w:val="clear" w:color="auto" w:fill="CCE2E6"/>
            <w:vAlign w:val="center"/>
            <w:hideMark/>
          </w:tcPr>
          <w:p w14:paraId="2FF9B9A4" w14:textId="77777777" w:rsidR="00660057" w:rsidRPr="00D4691A" w:rsidRDefault="00660057" w:rsidP="00562DA7">
            <w:pPr>
              <w:widowControl/>
              <w:jc w:val="center"/>
              <w:rPr>
                <w:rFonts w:cs="Arial"/>
                <w:color w:val="000000"/>
                <w:sz w:val="20"/>
                <w:lang w:eastAsia="es-MX"/>
              </w:rPr>
            </w:pPr>
            <w:r w:rsidRPr="00D4691A">
              <w:rPr>
                <w:rFonts w:cs="Arial"/>
                <w:sz w:val="20"/>
                <w:lang w:eastAsia="es-MX"/>
              </w:rPr>
              <w:t>86.0</w:t>
            </w:r>
          </w:p>
        </w:tc>
        <w:tc>
          <w:tcPr>
            <w:tcW w:w="1320" w:type="dxa"/>
            <w:tcBorders>
              <w:top w:val="nil"/>
              <w:left w:val="nil"/>
              <w:bottom w:val="nil"/>
              <w:right w:val="nil"/>
            </w:tcBorders>
            <w:shd w:val="clear" w:color="auto" w:fill="CCE2E6"/>
            <w:vAlign w:val="center"/>
            <w:hideMark/>
          </w:tcPr>
          <w:p w14:paraId="1A53868C" w14:textId="77777777" w:rsidR="00660057" w:rsidRPr="00D4691A" w:rsidRDefault="00660057" w:rsidP="00562DA7">
            <w:pPr>
              <w:widowControl/>
              <w:jc w:val="center"/>
              <w:rPr>
                <w:rFonts w:cs="Arial"/>
                <w:color w:val="000000"/>
                <w:sz w:val="20"/>
                <w:lang w:eastAsia="es-MX"/>
              </w:rPr>
            </w:pPr>
            <w:r w:rsidRPr="00D4691A">
              <w:rPr>
                <w:rFonts w:cs="Arial"/>
                <w:sz w:val="20"/>
                <w:lang w:eastAsia="es-MX"/>
              </w:rPr>
              <w:t>84.5</w:t>
            </w:r>
          </w:p>
        </w:tc>
        <w:tc>
          <w:tcPr>
            <w:tcW w:w="2480" w:type="dxa"/>
            <w:tcBorders>
              <w:top w:val="nil"/>
              <w:left w:val="nil"/>
              <w:bottom w:val="nil"/>
              <w:right w:val="nil"/>
            </w:tcBorders>
            <w:shd w:val="clear" w:color="auto" w:fill="CCE2E6"/>
            <w:vAlign w:val="center"/>
            <w:hideMark/>
          </w:tcPr>
          <w:p w14:paraId="115D64A8" w14:textId="77777777" w:rsidR="00660057" w:rsidRPr="00D4691A" w:rsidRDefault="00660057" w:rsidP="00562DA7">
            <w:pPr>
              <w:widowControl/>
              <w:jc w:val="center"/>
              <w:rPr>
                <w:rFonts w:cs="Arial"/>
                <w:color w:val="000000"/>
                <w:sz w:val="20"/>
                <w:lang w:eastAsia="es-MX"/>
              </w:rPr>
            </w:pPr>
            <w:r w:rsidRPr="00D4691A">
              <w:rPr>
                <w:rFonts w:cs="Arial"/>
                <w:sz w:val="20"/>
                <w:lang w:eastAsia="es-MX"/>
              </w:rPr>
              <w:t>86.5</w:t>
            </w:r>
          </w:p>
        </w:tc>
      </w:tr>
      <w:tr w:rsidR="00660057" w:rsidRPr="00D4691A" w14:paraId="374D623D" w14:textId="77777777">
        <w:trPr>
          <w:trHeight w:val="300"/>
        </w:trPr>
        <w:tc>
          <w:tcPr>
            <w:tcW w:w="220" w:type="dxa"/>
            <w:tcBorders>
              <w:top w:val="nil"/>
              <w:left w:val="nil"/>
              <w:bottom w:val="nil"/>
              <w:right w:val="nil"/>
            </w:tcBorders>
            <w:shd w:val="clear" w:color="auto" w:fill="CCE2E6"/>
            <w:noWrap/>
            <w:vAlign w:val="bottom"/>
            <w:hideMark/>
          </w:tcPr>
          <w:p w14:paraId="47FF7443" w14:textId="77777777" w:rsidR="00660057" w:rsidRPr="00D4691A" w:rsidRDefault="00660057" w:rsidP="00562DA7">
            <w:pPr>
              <w:widowControl/>
              <w:jc w:val="left"/>
              <w:rPr>
                <w:rFonts w:ascii="Times New Roman" w:hAnsi="Times New Roman"/>
                <w:color w:val="000000"/>
                <w:sz w:val="20"/>
                <w:lang w:eastAsia="es-MX"/>
              </w:rPr>
            </w:pPr>
            <w:r w:rsidRPr="00D4691A">
              <w:rPr>
                <w:rFonts w:ascii="Times New Roman" w:hAnsi="Times New Roman"/>
                <w:color w:val="000000"/>
                <w:sz w:val="20"/>
                <w:lang w:eastAsia="es-MX"/>
              </w:rPr>
              <w:t> </w:t>
            </w:r>
          </w:p>
        </w:tc>
        <w:tc>
          <w:tcPr>
            <w:tcW w:w="3280" w:type="dxa"/>
            <w:tcBorders>
              <w:top w:val="nil"/>
              <w:left w:val="nil"/>
              <w:bottom w:val="nil"/>
              <w:right w:val="nil"/>
            </w:tcBorders>
            <w:shd w:val="clear" w:color="auto" w:fill="CCE2E6"/>
            <w:vAlign w:val="center"/>
            <w:hideMark/>
          </w:tcPr>
          <w:p w14:paraId="2E1BFFCA" w14:textId="77777777" w:rsidR="00660057" w:rsidRPr="00D4691A" w:rsidRDefault="00660057" w:rsidP="00562DA7">
            <w:pPr>
              <w:widowControl/>
              <w:jc w:val="left"/>
              <w:rPr>
                <w:rFonts w:cs="Arial"/>
                <w:color w:val="000000"/>
                <w:sz w:val="20"/>
                <w:lang w:eastAsia="es-MX"/>
              </w:rPr>
            </w:pPr>
            <w:r w:rsidRPr="00D4691A">
              <w:rPr>
                <w:rFonts w:cs="Arial"/>
                <w:sz w:val="20"/>
                <w:lang w:eastAsia="es-MX"/>
              </w:rPr>
              <w:t>Computadora, laptop o tablet</w:t>
            </w:r>
          </w:p>
        </w:tc>
        <w:tc>
          <w:tcPr>
            <w:tcW w:w="1320" w:type="dxa"/>
            <w:tcBorders>
              <w:top w:val="nil"/>
              <w:left w:val="nil"/>
              <w:bottom w:val="nil"/>
              <w:right w:val="nil"/>
            </w:tcBorders>
            <w:shd w:val="clear" w:color="auto" w:fill="CCE2E6"/>
            <w:vAlign w:val="center"/>
            <w:hideMark/>
          </w:tcPr>
          <w:p w14:paraId="0330ACDF" w14:textId="77777777" w:rsidR="00660057" w:rsidRPr="00D4691A" w:rsidRDefault="00660057" w:rsidP="00562DA7">
            <w:pPr>
              <w:widowControl/>
              <w:jc w:val="center"/>
              <w:rPr>
                <w:rFonts w:cs="Arial"/>
                <w:color w:val="000000"/>
                <w:sz w:val="20"/>
                <w:lang w:eastAsia="es-MX"/>
              </w:rPr>
            </w:pPr>
            <w:r w:rsidRPr="00D4691A">
              <w:rPr>
                <w:rFonts w:cs="Arial"/>
                <w:sz w:val="20"/>
                <w:lang w:eastAsia="es-MX"/>
              </w:rPr>
              <w:t>44.1</w:t>
            </w:r>
          </w:p>
        </w:tc>
        <w:tc>
          <w:tcPr>
            <w:tcW w:w="1320" w:type="dxa"/>
            <w:tcBorders>
              <w:top w:val="nil"/>
              <w:left w:val="nil"/>
              <w:bottom w:val="nil"/>
              <w:right w:val="nil"/>
            </w:tcBorders>
            <w:shd w:val="clear" w:color="auto" w:fill="CCE2E6"/>
            <w:vAlign w:val="center"/>
            <w:hideMark/>
          </w:tcPr>
          <w:p w14:paraId="7D649B3C" w14:textId="77777777" w:rsidR="00660057" w:rsidRPr="00D4691A" w:rsidRDefault="00660057" w:rsidP="00562DA7">
            <w:pPr>
              <w:widowControl/>
              <w:jc w:val="center"/>
              <w:rPr>
                <w:rFonts w:cs="Arial"/>
                <w:color w:val="000000"/>
                <w:sz w:val="20"/>
                <w:lang w:eastAsia="es-MX"/>
              </w:rPr>
            </w:pPr>
            <w:r w:rsidRPr="00D4691A">
              <w:rPr>
                <w:rFonts w:cs="Arial"/>
                <w:sz w:val="20"/>
                <w:lang w:eastAsia="es-MX"/>
              </w:rPr>
              <w:t>29.9</w:t>
            </w:r>
          </w:p>
        </w:tc>
        <w:tc>
          <w:tcPr>
            <w:tcW w:w="1320" w:type="dxa"/>
            <w:tcBorders>
              <w:top w:val="nil"/>
              <w:left w:val="nil"/>
              <w:bottom w:val="nil"/>
              <w:right w:val="nil"/>
            </w:tcBorders>
            <w:shd w:val="clear" w:color="auto" w:fill="CCE2E6"/>
            <w:vAlign w:val="center"/>
            <w:hideMark/>
          </w:tcPr>
          <w:p w14:paraId="17A43DCB" w14:textId="77777777" w:rsidR="00660057" w:rsidRPr="00D4691A" w:rsidRDefault="00660057" w:rsidP="00562DA7">
            <w:pPr>
              <w:widowControl/>
              <w:jc w:val="center"/>
              <w:rPr>
                <w:rFonts w:cs="Arial"/>
                <w:color w:val="000000"/>
                <w:sz w:val="20"/>
                <w:lang w:eastAsia="es-MX"/>
              </w:rPr>
            </w:pPr>
            <w:r w:rsidRPr="00D4691A">
              <w:rPr>
                <w:rFonts w:cs="Arial"/>
                <w:sz w:val="20"/>
                <w:lang w:eastAsia="es-MX"/>
              </w:rPr>
              <w:t>25.7</w:t>
            </w:r>
          </w:p>
        </w:tc>
        <w:tc>
          <w:tcPr>
            <w:tcW w:w="2480" w:type="dxa"/>
            <w:tcBorders>
              <w:top w:val="nil"/>
              <w:left w:val="nil"/>
              <w:bottom w:val="nil"/>
              <w:right w:val="nil"/>
            </w:tcBorders>
            <w:shd w:val="clear" w:color="auto" w:fill="CCE2E6"/>
            <w:vAlign w:val="center"/>
            <w:hideMark/>
          </w:tcPr>
          <w:p w14:paraId="12E35C02" w14:textId="77777777" w:rsidR="00660057" w:rsidRPr="00D4691A" w:rsidRDefault="00660057" w:rsidP="00562DA7">
            <w:pPr>
              <w:widowControl/>
              <w:jc w:val="center"/>
              <w:rPr>
                <w:rFonts w:cs="Arial"/>
                <w:color w:val="000000"/>
                <w:sz w:val="20"/>
                <w:lang w:eastAsia="es-MX"/>
              </w:rPr>
            </w:pPr>
            <w:r w:rsidRPr="00D4691A">
              <w:rPr>
                <w:rFonts w:cs="Arial"/>
                <w:sz w:val="20"/>
                <w:lang w:eastAsia="es-MX"/>
              </w:rPr>
              <w:t>33.0</w:t>
            </w:r>
          </w:p>
        </w:tc>
      </w:tr>
      <w:tr w:rsidR="00660057" w:rsidRPr="00D4691A" w14:paraId="368C22C5" w14:textId="77777777">
        <w:trPr>
          <w:trHeight w:val="300"/>
        </w:trPr>
        <w:tc>
          <w:tcPr>
            <w:tcW w:w="220" w:type="dxa"/>
            <w:tcBorders>
              <w:top w:val="nil"/>
              <w:left w:val="nil"/>
              <w:bottom w:val="nil"/>
              <w:right w:val="nil"/>
            </w:tcBorders>
            <w:shd w:val="clear" w:color="auto" w:fill="CCE2E6"/>
            <w:noWrap/>
            <w:vAlign w:val="bottom"/>
            <w:hideMark/>
          </w:tcPr>
          <w:p w14:paraId="2EBE89C4" w14:textId="77777777" w:rsidR="00660057" w:rsidRPr="00D4691A" w:rsidRDefault="00660057" w:rsidP="00562DA7">
            <w:pPr>
              <w:widowControl/>
              <w:jc w:val="left"/>
              <w:rPr>
                <w:rFonts w:ascii="Times New Roman" w:hAnsi="Times New Roman"/>
                <w:color w:val="000000"/>
                <w:sz w:val="20"/>
                <w:lang w:eastAsia="es-MX"/>
              </w:rPr>
            </w:pPr>
            <w:r w:rsidRPr="00D4691A">
              <w:rPr>
                <w:rFonts w:ascii="Times New Roman" w:hAnsi="Times New Roman"/>
                <w:color w:val="000000"/>
                <w:sz w:val="20"/>
                <w:lang w:eastAsia="es-MX"/>
              </w:rPr>
              <w:t> </w:t>
            </w:r>
          </w:p>
        </w:tc>
        <w:tc>
          <w:tcPr>
            <w:tcW w:w="3280" w:type="dxa"/>
            <w:tcBorders>
              <w:top w:val="nil"/>
              <w:left w:val="nil"/>
              <w:bottom w:val="nil"/>
              <w:right w:val="nil"/>
            </w:tcBorders>
            <w:shd w:val="clear" w:color="auto" w:fill="CCE2E6"/>
            <w:vAlign w:val="center"/>
            <w:hideMark/>
          </w:tcPr>
          <w:p w14:paraId="5EB7E23E" w14:textId="77777777" w:rsidR="00660057" w:rsidRPr="00D4691A" w:rsidRDefault="00660057" w:rsidP="00562DA7">
            <w:pPr>
              <w:widowControl/>
              <w:jc w:val="left"/>
              <w:rPr>
                <w:rFonts w:cs="Arial"/>
                <w:color w:val="000000"/>
                <w:sz w:val="20"/>
                <w:lang w:eastAsia="es-MX"/>
              </w:rPr>
            </w:pPr>
            <w:r w:rsidRPr="00D4691A">
              <w:rPr>
                <w:rFonts w:cs="Arial"/>
                <w:sz w:val="20"/>
                <w:lang w:eastAsia="es-MX"/>
              </w:rPr>
              <w:t>Línea telefónica fija</w:t>
            </w:r>
          </w:p>
        </w:tc>
        <w:tc>
          <w:tcPr>
            <w:tcW w:w="1320" w:type="dxa"/>
            <w:tcBorders>
              <w:top w:val="nil"/>
              <w:left w:val="nil"/>
              <w:bottom w:val="nil"/>
              <w:right w:val="nil"/>
            </w:tcBorders>
            <w:shd w:val="clear" w:color="auto" w:fill="CCE2E6"/>
            <w:vAlign w:val="center"/>
            <w:hideMark/>
          </w:tcPr>
          <w:p w14:paraId="4F6F4DA6" w14:textId="77777777" w:rsidR="00660057" w:rsidRPr="00D4691A" w:rsidRDefault="00660057" w:rsidP="00562DA7">
            <w:pPr>
              <w:widowControl/>
              <w:jc w:val="center"/>
              <w:rPr>
                <w:rFonts w:cs="Arial"/>
                <w:color w:val="000000"/>
                <w:sz w:val="20"/>
                <w:lang w:eastAsia="es-MX"/>
              </w:rPr>
            </w:pPr>
            <w:r w:rsidRPr="00D4691A">
              <w:rPr>
                <w:rFonts w:cs="Arial"/>
                <w:sz w:val="20"/>
                <w:lang w:eastAsia="es-MX"/>
              </w:rPr>
              <w:t>38.2</w:t>
            </w:r>
          </w:p>
        </w:tc>
        <w:tc>
          <w:tcPr>
            <w:tcW w:w="1320" w:type="dxa"/>
            <w:tcBorders>
              <w:top w:val="nil"/>
              <w:left w:val="nil"/>
              <w:bottom w:val="nil"/>
              <w:right w:val="nil"/>
            </w:tcBorders>
            <w:shd w:val="clear" w:color="auto" w:fill="CCE2E6"/>
            <w:vAlign w:val="center"/>
            <w:hideMark/>
          </w:tcPr>
          <w:p w14:paraId="7C02AD12" w14:textId="77777777" w:rsidR="00660057" w:rsidRPr="00D4691A" w:rsidRDefault="00660057" w:rsidP="00562DA7">
            <w:pPr>
              <w:widowControl/>
              <w:jc w:val="center"/>
              <w:rPr>
                <w:rFonts w:cs="Arial"/>
                <w:color w:val="000000"/>
                <w:sz w:val="20"/>
                <w:lang w:eastAsia="es-MX"/>
              </w:rPr>
            </w:pPr>
            <w:r w:rsidRPr="00D4691A">
              <w:rPr>
                <w:rFonts w:cs="Arial"/>
                <w:sz w:val="20"/>
                <w:lang w:eastAsia="es-MX"/>
              </w:rPr>
              <w:t>26.3</w:t>
            </w:r>
          </w:p>
        </w:tc>
        <w:tc>
          <w:tcPr>
            <w:tcW w:w="1320" w:type="dxa"/>
            <w:tcBorders>
              <w:top w:val="nil"/>
              <w:left w:val="nil"/>
              <w:bottom w:val="nil"/>
              <w:right w:val="nil"/>
            </w:tcBorders>
            <w:shd w:val="clear" w:color="auto" w:fill="CCE2E6"/>
            <w:vAlign w:val="center"/>
            <w:hideMark/>
          </w:tcPr>
          <w:p w14:paraId="0DB68E98" w14:textId="77777777" w:rsidR="00660057" w:rsidRPr="00D4691A" w:rsidRDefault="00660057" w:rsidP="00562DA7">
            <w:pPr>
              <w:widowControl/>
              <w:jc w:val="center"/>
              <w:rPr>
                <w:rFonts w:cs="Arial"/>
                <w:color w:val="000000"/>
                <w:sz w:val="20"/>
                <w:lang w:eastAsia="es-MX"/>
              </w:rPr>
            </w:pPr>
            <w:r w:rsidRPr="00D4691A">
              <w:rPr>
                <w:rFonts w:cs="Arial"/>
                <w:sz w:val="20"/>
                <w:lang w:eastAsia="es-MX"/>
              </w:rPr>
              <w:t>22.6</w:t>
            </w:r>
          </w:p>
        </w:tc>
        <w:tc>
          <w:tcPr>
            <w:tcW w:w="2480" w:type="dxa"/>
            <w:tcBorders>
              <w:top w:val="nil"/>
              <w:left w:val="nil"/>
              <w:bottom w:val="nil"/>
              <w:right w:val="nil"/>
            </w:tcBorders>
            <w:shd w:val="clear" w:color="auto" w:fill="CCE2E6"/>
            <w:vAlign w:val="center"/>
            <w:hideMark/>
          </w:tcPr>
          <w:p w14:paraId="2F8904DB" w14:textId="77777777" w:rsidR="00660057" w:rsidRPr="00D4691A" w:rsidRDefault="00660057" w:rsidP="00562DA7">
            <w:pPr>
              <w:widowControl/>
              <w:jc w:val="center"/>
              <w:rPr>
                <w:rFonts w:cs="Arial"/>
                <w:color w:val="000000"/>
                <w:sz w:val="20"/>
                <w:lang w:eastAsia="es-MX"/>
              </w:rPr>
            </w:pPr>
            <w:r w:rsidRPr="00D4691A">
              <w:rPr>
                <w:rFonts w:cs="Arial"/>
                <w:sz w:val="20"/>
                <w:lang w:eastAsia="es-MX"/>
              </w:rPr>
              <w:t>29.2</w:t>
            </w:r>
          </w:p>
        </w:tc>
      </w:tr>
      <w:tr w:rsidR="00660057" w:rsidRPr="00D4691A" w14:paraId="4BE0A050" w14:textId="77777777">
        <w:trPr>
          <w:trHeight w:val="300"/>
        </w:trPr>
        <w:tc>
          <w:tcPr>
            <w:tcW w:w="220" w:type="dxa"/>
            <w:tcBorders>
              <w:top w:val="nil"/>
              <w:left w:val="nil"/>
              <w:bottom w:val="nil"/>
              <w:right w:val="nil"/>
            </w:tcBorders>
            <w:shd w:val="clear" w:color="auto" w:fill="CCE2E6"/>
            <w:noWrap/>
            <w:vAlign w:val="bottom"/>
            <w:hideMark/>
          </w:tcPr>
          <w:p w14:paraId="391EB7E8" w14:textId="77777777" w:rsidR="00660057" w:rsidRPr="00D4691A" w:rsidRDefault="00660057" w:rsidP="00562DA7">
            <w:pPr>
              <w:widowControl/>
              <w:jc w:val="left"/>
              <w:rPr>
                <w:rFonts w:ascii="Times New Roman" w:hAnsi="Times New Roman"/>
                <w:color w:val="000000"/>
                <w:sz w:val="20"/>
                <w:lang w:eastAsia="es-MX"/>
              </w:rPr>
            </w:pPr>
            <w:r w:rsidRPr="00D4691A">
              <w:rPr>
                <w:rFonts w:ascii="Times New Roman" w:hAnsi="Times New Roman"/>
                <w:color w:val="000000"/>
                <w:sz w:val="20"/>
                <w:lang w:eastAsia="es-MX"/>
              </w:rPr>
              <w:t> </w:t>
            </w:r>
          </w:p>
        </w:tc>
        <w:tc>
          <w:tcPr>
            <w:tcW w:w="3280" w:type="dxa"/>
            <w:tcBorders>
              <w:top w:val="nil"/>
              <w:left w:val="nil"/>
              <w:bottom w:val="nil"/>
              <w:right w:val="nil"/>
            </w:tcBorders>
            <w:shd w:val="clear" w:color="auto" w:fill="CCE2E6"/>
            <w:vAlign w:val="center"/>
            <w:hideMark/>
          </w:tcPr>
          <w:p w14:paraId="6A821F0A" w14:textId="77777777" w:rsidR="00660057" w:rsidRPr="00D4691A" w:rsidRDefault="00660057" w:rsidP="00562DA7">
            <w:pPr>
              <w:widowControl/>
              <w:jc w:val="left"/>
              <w:rPr>
                <w:rFonts w:cs="Arial"/>
                <w:color w:val="000000"/>
                <w:sz w:val="20"/>
                <w:lang w:eastAsia="es-MX"/>
              </w:rPr>
            </w:pPr>
            <w:r w:rsidRPr="00D4691A">
              <w:rPr>
                <w:rFonts w:cs="Arial"/>
                <w:sz w:val="20"/>
                <w:lang w:eastAsia="es-MX"/>
              </w:rPr>
              <w:t>Teléfono celular</w:t>
            </w:r>
          </w:p>
        </w:tc>
        <w:tc>
          <w:tcPr>
            <w:tcW w:w="1320" w:type="dxa"/>
            <w:tcBorders>
              <w:top w:val="nil"/>
              <w:left w:val="nil"/>
              <w:bottom w:val="nil"/>
              <w:right w:val="nil"/>
            </w:tcBorders>
            <w:shd w:val="clear" w:color="auto" w:fill="CCE2E6"/>
            <w:vAlign w:val="center"/>
            <w:hideMark/>
          </w:tcPr>
          <w:p w14:paraId="1CEDA1B8" w14:textId="77777777" w:rsidR="00660057" w:rsidRPr="00D4691A" w:rsidRDefault="00660057" w:rsidP="00562DA7">
            <w:pPr>
              <w:widowControl/>
              <w:jc w:val="center"/>
              <w:rPr>
                <w:rFonts w:cs="Arial"/>
                <w:color w:val="000000"/>
                <w:sz w:val="20"/>
                <w:lang w:eastAsia="es-MX"/>
              </w:rPr>
            </w:pPr>
            <w:r w:rsidRPr="00D4691A">
              <w:rPr>
                <w:rFonts w:cs="Arial"/>
                <w:sz w:val="20"/>
                <w:lang w:eastAsia="es-MX"/>
              </w:rPr>
              <w:t>95.1</w:t>
            </w:r>
          </w:p>
        </w:tc>
        <w:tc>
          <w:tcPr>
            <w:tcW w:w="1320" w:type="dxa"/>
            <w:tcBorders>
              <w:top w:val="nil"/>
              <w:left w:val="nil"/>
              <w:bottom w:val="nil"/>
              <w:right w:val="nil"/>
            </w:tcBorders>
            <w:shd w:val="clear" w:color="auto" w:fill="CCE2E6"/>
            <w:vAlign w:val="center"/>
            <w:hideMark/>
          </w:tcPr>
          <w:p w14:paraId="6361D693" w14:textId="77777777" w:rsidR="00660057" w:rsidRPr="00D4691A" w:rsidRDefault="00660057" w:rsidP="00562DA7">
            <w:pPr>
              <w:widowControl/>
              <w:jc w:val="center"/>
              <w:rPr>
                <w:rFonts w:cs="Arial"/>
                <w:color w:val="000000"/>
                <w:sz w:val="20"/>
                <w:lang w:eastAsia="es-MX"/>
              </w:rPr>
            </w:pPr>
            <w:r w:rsidRPr="00D4691A">
              <w:rPr>
                <w:rFonts w:cs="Arial"/>
                <w:sz w:val="20"/>
                <w:lang w:eastAsia="es-MX"/>
              </w:rPr>
              <w:t>92.8</w:t>
            </w:r>
          </w:p>
        </w:tc>
        <w:tc>
          <w:tcPr>
            <w:tcW w:w="1320" w:type="dxa"/>
            <w:tcBorders>
              <w:top w:val="nil"/>
              <w:left w:val="nil"/>
              <w:bottom w:val="nil"/>
              <w:right w:val="nil"/>
            </w:tcBorders>
            <w:shd w:val="clear" w:color="auto" w:fill="CCE2E6"/>
            <w:vAlign w:val="center"/>
            <w:hideMark/>
          </w:tcPr>
          <w:p w14:paraId="3B71B13A" w14:textId="77777777" w:rsidR="00660057" w:rsidRPr="00D4691A" w:rsidRDefault="00660057" w:rsidP="00562DA7">
            <w:pPr>
              <w:widowControl/>
              <w:jc w:val="center"/>
              <w:rPr>
                <w:rFonts w:cs="Arial"/>
                <w:color w:val="000000"/>
                <w:sz w:val="20"/>
                <w:lang w:eastAsia="es-MX"/>
              </w:rPr>
            </w:pPr>
            <w:r w:rsidRPr="00D4691A">
              <w:rPr>
                <w:rFonts w:cs="Arial"/>
                <w:sz w:val="20"/>
                <w:lang w:eastAsia="es-MX"/>
              </w:rPr>
              <w:t>91.8</w:t>
            </w:r>
          </w:p>
        </w:tc>
        <w:tc>
          <w:tcPr>
            <w:tcW w:w="2480" w:type="dxa"/>
            <w:tcBorders>
              <w:top w:val="nil"/>
              <w:left w:val="nil"/>
              <w:bottom w:val="nil"/>
              <w:right w:val="nil"/>
            </w:tcBorders>
            <w:shd w:val="clear" w:color="auto" w:fill="CCE2E6"/>
            <w:vAlign w:val="center"/>
            <w:hideMark/>
          </w:tcPr>
          <w:p w14:paraId="13A8C029" w14:textId="77777777" w:rsidR="00660057" w:rsidRPr="00D4691A" w:rsidRDefault="00660057" w:rsidP="00562DA7">
            <w:pPr>
              <w:widowControl/>
              <w:jc w:val="center"/>
              <w:rPr>
                <w:rFonts w:cs="Arial"/>
                <w:color w:val="000000"/>
                <w:sz w:val="20"/>
                <w:lang w:eastAsia="es-MX"/>
              </w:rPr>
            </w:pPr>
            <w:r w:rsidRPr="00D4691A">
              <w:rPr>
                <w:rFonts w:cs="Arial"/>
                <w:sz w:val="20"/>
                <w:lang w:eastAsia="es-MX"/>
              </w:rPr>
              <w:t>93.5</w:t>
            </w:r>
          </w:p>
        </w:tc>
      </w:tr>
      <w:tr w:rsidR="00660057" w:rsidRPr="00D4691A" w14:paraId="63F83874" w14:textId="77777777">
        <w:trPr>
          <w:trHeight w:val="300"/>
        </w:trPr>
        <w:tc>
          <w:tcPr>
            <w:tcW w:w="220" w:type="dxa"/>
            <w:tcBorders>
              <w:top w:val="nil"/>
              <w:left w:val="nil"/>
              <w:bottom w:val="nil"/>
              <w:right w:val="nil"/>
            </w:tcBorders>
            <w:shd w:val="clear" w:color="auto" w:fill="CCE2E6"/>
            <w:noWrap/>
            <w:vAlign w:val="bottom"/>
            <w:hideMark/>
          </w:tcPr>
          <w:p w14:paraId="0372F87B" w14:textId="77777777" w:rsidR="00660057" w:rsidRPr="00D4691A" w:rsidRDefault="00660057" w:rsidP="00562DA7">
            <w:pPr>
              <w:widowControl/>
              <w:jc w:val="left"/>
              <w:rPr>
                <w:rFonts w:ascii="Times New Roman" w:hAnsi="Times New Roman"/>
                <w:color w:val="000000"/>
                <w:sz w:val="20"/>
                <w:lang w:eastAsia="es-MX"/>
              </w:rPr>
            </w:pPr>
            <w:r w:rsidRPr="00D4691A">
              <w:rPr>
                <w:rFonts w:ascii="Times New Roman" w:hAnsi="Times New Roman"/>
                <w:color w:val="000000"/>
                <w:sz w:val="20"/>
                <w:lang w:eastAsia="es-MX"/>
              </w:rPr>
              <w:t> </w:t>
            </w:r>
          </w:p>
        </w:tc>
        <w:tc>
          <w:tcPr>
            <w:tcW w:w="3280" w:type="dxa"/>
            <w:tcBorders>
              <w:top w:val="nil"/>
              <w:left w:val="nil"/>
              <w:bottom w:val="nil"/>
              <w:right w:val="nil"/>
            </w:tcBorders>
            <w:shd w:val="clear" w:color="auto" w:fill="CCE2E6"/>
            <w:vAlign w:val="center"/>
            <w:hideMark/>
          </w:tcPr>
          <w:p w14:paraId="6CB32ADF" w14:textId="77777777" w:rsidR="00660057" w:rsidRPr="00D4691A" w:rsidRDefault="00660057" w:rsidP="00562DA7">
            <w:pPr>
              <w:widowControl/>
              <w:jc w:val="left"/>
              <w:rPr>
                <w:rFonts w:cs="Arial"/>
                <w:color w:val="000000"/>
                <w:sz w:val="20"/>
                <w:lang w:eastAsia="es-MX"/>
              </w:rPr>
            </w:pPr>
            <w:r w:rsidRPr="00D4691A">
              <w:rPr>
                <w:rFonts w:cs="Arial"/>
                <w:sz w:val="20"/>
                <w:lang w:eastAsia="es-MX"/>
              </w:rPr>
              <w:t>Internet</w:t>
            </w:r>
          </w:p>
        </w:tc>
        <w:tc>
          <w:tcPr>
            <w:tcW w:w="1320" w:type="dxa"/>
            <w:tcBorders>
              <w:top w:val="nil"/>
              <w:left w:val="nil"/>
              <w:bottom w:val="nil"/>
              <w:right w:val="nil"/>
            </w:tcBorders>
            <w:shd w:val="clear" w:color="auto" w:fill="CCE2E6"/>
            <w:vAlign w:val="center"/>
            <w:hideMark/>
          </w:tcPr>
          <w:p w14:paraId="3080A2F3" w14:textId="77777777" w:rsidR="00660057" w:rsidRPr="00D4691A" w:rsidRDefault="00660057" w:rsidP="00562DA7">
            <w:pPr>
              <w:widowControl/>
              <w:jc w:val="center"/>
              <w:rPr>
                <w:rFonts w:cs="Arial"/>
                <w:color w:val="000000"/>
                <w:sz w:val="20"/>
                <w:lang w:eastAsia="es-MX"/>
              </w:rPr>
            </w:pPr>
            <w:r w:rsidRPr="00D4691A">
              <w:rPr>
                <w:rFonts w:cs="Arial"/>
                <w:sz w:val="20"/>
                <w:lang w:eastAsia="es-MX"/>
              </w:rPr>
              <w:t>70.4</w:t>
            </w:r>
          </w:p>
        </w:tc>
        <w:tc>
          <w:tcPr>
            <w:tcW w:w="1320" w:type="dxa"/>
            <w:tcBorders>
              <w:top w:val="nil"/>
              <w:left w:val="nil"/>
              <w:bottom w:val="nil"/>
              <w:right w:val="nil"/>
            </w:tcBorders>
            <w:shd w:val="clear" w:color="auto" w:fill="CCE2E6"/>
            <w:vAlign w:val="center"/>
            <w:hideMark/>
          </w:tcPr>
          <w:p w14:paraId="51F81A85" w14:textId="77777777" w:rsidR="00660057" w:rsidRPr="00D4691A" w:rsidRDefault="00660057" w:rsidP="00562DA7">
            <w:pPr>
              <w:widowControl/>
              <w:jc w:val="center"/>
              <w:rPr>
                <w:rFonts w:cs="Arial"/>
                <w:color w:val="000000"/>
                <w:sz w:val="20"/>
                <w:lang w:eastAsia="es-MX"/>
              </w:rPr>
            </w:pPr>
            <w:r w:rsidRPr="00D4691A">
              <w:rPr>
                <w:rFonts w:cs="Arial"/>
                <w:sz w:val="20"/>
                <w:lang w:eastAsia="es-MX"/>
              </w:rPr>
              <w:t>56.9</w:t>
            </w:r>
          </w:p>
        </w:tc>
        <w:tc>
          <w:tcPr>
            <w:tcW w:w="1320" w:type="dxa"/>
            <w:tcBorders>
              <w:top w:val="nil"/>
              <w:left w:val="nil"/>
              <w:bottom w:val="nil"/>
              <w:right w:val="nil"/>
            </w:tcBorders>
            <w:shd w:val="clear" w:color="auto" w:fill="CCE2E6"/>
            <w:vAlign w:val="center"/>
            <w:hideMark/>
          </w:tcPr>
          <w:p w14:paraId="361E3CC7" w14:textId="77777777" w:rsidR="00660057" w:rsidRPr="00D4691A" w:rsidRDefault="00660057" w:rsidP="00562DA7">
            <w:pPr>
              <w:widowControl/>
              <w:jc w:val="center"/>
              <w:rPr>
                <w:rFonts w:cs="Arial"/>
                <w:color w:val="000000"/>
                <w:sz w:val="20"/>
                <w:lang w:eastAsia="es-MX"/>
              </w:rPr>
            </w:pPr>
            <w:r w:rsidRPr="00D4691A">
              <w:rPr>
                <w:rFonts w:cs="Arial"/>
                <w:sz w:val="20"/>
                <w:lang w:eastAsia="es-MX"/>
              </w:rPr>
              <w:t>53.2</w:t>
            </w:r>
          </w:p>
        </w:tc>
        <w:tc>
          <w:tcPr>
            <w:tcW w:w="2480" w:type="dxa"/>
            <w:tcBorders>
              <w:top w:val="nil"/>
              <w:left w:val="nil"/>
              <w:bottom w:val="nil"/>
              <w:right w:val="nil"/>
            </w:tcBorders>
            <w:shd w:val="clear" w:color="auto" w:fill="CCE2E6"/>
            <w:vAlign w:val="center"/>
            <w:hideMark/>
          </w:tcPr>
          <w:p w14:paraId="410E7DAD" w14:textId="77777777" w:rsidR="00660057" w:rsidRPr="00D4691A" w:rsidRDefault="00660057" w:rsidP="00562DA7">
            <w:pPr>
              <w:widowControl/>
              <w:jc w:val="center"/>
              <w:rPr>
                <w:rFonts w:cs="Arial"/>
                <w:color w:val="000000"/>
                <w:sz w:val="20"/>
                <w:lang w:eastAsia="es-MX"/>
              </w:rPr>
            </w:pPr>
            <w:r w:rsidRPr="00D4691A">
              <w:rPr>
                <w:rFonts w:cs="Arial"/>
                <w:sz w:val="20"/>
                <w:lang w:eastAsia="es-MX"/>
              </w:rPr>
              <w:t>58.9</w:t>
            </w:r>
          </w:p>
        </w:tc>
      </w:tr>
      <w:tr w:rsidR="00660057" w:rsidRPr="00D4691A" w14:paraId="7D79BF0C" w14:textId="77777777">
        <w:trPr>
          <w:trHeight w:val="510"/>
        </w:trPr>
        <w:tc>
          <w:tcPr>
            <w:tcW w:w="220" w:type="dxa"/>
            <w:tcBorders>
              <w:top w:val="nil"/>
              <w:left w:val="nil"/>
              <w:bottom w:val="nil"/>
              <w:right w:val="nil"/>
            </w:tcBorders>
            <w:shd w:val="clear" w:color="auto" w:fill="CCE2E6"/>
            <w:noWrap/>
            <w:vAlign w:val="bottom"/>
            <w:hideMark/>
          </w:tcPr>
          <w:p w14:paraId="449A957A" w14:textId="77777777" w:rsidR="00660057" w:rsidRPr="00D4691A" w:rsidRDefault="00660057" w:rsidP="00562DA7">
            <w:pPr>
              <w:widowControl/>
              <w:jc w:val="left"/>
              <w:rPr>
                <w:rFonts w:ascii="Times New Roman" w:hAnsi="Times New Roman"/>
                <w:color w:val="000000"/>
                <w:sz w:val="20"/>
                <w:lang w:eastAsia="es-MX"/>
              </w:rPr>
            </w:pPr>
            <w:r w:rsidRPr="00D4691A">
              <w:rPr>
                <w:rFonts w:ascii="Times New Roman" w:hAnsi="Times New Roman"/>
                <w:color w:val="000000"/>
                <w:sz w:val="20"/>
                <w:lang w:eastAsia="es-MX"/>
              </w:rPr>
              <w:t> </w:t>
            </w:r>
          </w:p>
        </w:tc>
        <w:tc>
          <w:tcPr>
            <w:tcW w:w="3280" w:type="dxa"/>
            <w:tcBorders>
              <w:top w:val="nil"/>
              <w:left w:val="nil"/>
              <w:bottom w:val="nil"/>
              <w:right w:val="nil"/>
            </w:tcBorders>
            <w:shd w:val="clear" w:color="auto" w:fill="CCE2E6"/>
            <w:vAlign w:val="center"/>
            <w:hideMark/>
          </w:tcPr>
          <w:p w14:paraId="79655344" w14:textId="77777777" w:rsidR="00660057" w:rsidRPr="00D4691A" w:rsidRDefault="00660057" w:rsidP="00562DA7">
            <w:pPr>
              <w:widowControl/>
              <w:jc w:val="left"/>
              <w:rPr>
                <w:rFonts w:cs="Arial"/>
                <w:color w:val="000000"/>
                <w:sz w:val="20"/>
                <w:lang w:eastAsia="es-MX"/>
              </w:rPr>
            </w:pPr>
            <w:r w:rsidRPr="00D4691A">
              <w:rPr>
                <w:rFonts w:cs="Arial"/>
                <w:sz w:val="20"/>
                <w:lang w:eastAsia="es-MX"/>
              </w:rPr>
              <w:t>Servicio de televisión de paga (Cable o satelital)</w:t>
            </w:r>
          </w:p>
        </w:tc>
        <w:tc>
          <w:tcPr>
            <w:tcW w:w="1320" w:type="dxa"/>
            <w:tcBorders>
              <w:top w:val="nil"/>
              <w:left w:val="nil"/>
              <w:bottom w:val="nil"/>
              <w:right w:val="nil"/>
            </w:tcBorders>
            <w:shd w:val="clear" w:color="auto" w:fill="CCE2E6"/>
            <w:vAlign w:val="center"/>
            <w:hideMark/>
          </w:tcPr>
          <w:p w14:paraId="3F3851C3" w14:textId="77777777" w:rsidR="00660057" w:rsidRPr="00D4691A" w:rsidRDefault="00660057" w:rsidP="00562DA7">
            <w:pPr>
              <w:widowControl/>
              <w:jc w:val="center"/>
              <w:rPr>
                <w:rFonts w:cs="Arial"/>
                <w:color w:val="000000"/>
                <w:sz w:val="20"/>
                <w:lang w:eastAsia="es-MX"/>
              </w:rPr>
            </w:pPr>
            <w:r w:rsidRPr="00D4691A">
              <w:rPr>
                <w:rFonts w:cs="Arial"/>
                <w:sz w:val="20"/>
                <w:lang w:eastAsia="es-MX"/>
              </w:rPr>
              <w:t>44.0</w:t>
            </w:r>
          </w:p>
        </w:tc>
        <w:tc>
          <w:tcPr>
            <w:tcW w:w="1320" w:type="dxa"/>
            <w:tcBorders>
              <w:top w:val="nil"/>
              <w:left w:val="nil"/>
              <w:bottom w:val="nil"/>
              <w:right w:val="nil"/>
            </w:tcBorders>
            <w:shd w:val="clear" w:color="auto" w:fill="CCE2E6"/>
            <w:vAlign w:val="center"/>
            <w:hideMark/>
          </w:tcPr>
          <w:p w14:paraId="6EA57BA1" w14:textId="77777777" w:rsidR="00660057" w:rsidRPr="00D4691A" w:rsidRDefault="00660057" w:rsidP="00562DA7">
            <w:pPr>
              <w:widowControl/>
              <w:jc w:val="center"/>
              <w:rPr>
                <w:rFonts w:cs="Arial"/>
                <w:color w:val="000000"/>
                <w:sz w:val="20"/>
                <w:lang w:eastAsia="es-MX"/>
              </w:rPr>
            </w:pPr>
            <w:r w:rsidRPr="00D4691A">
              <w:rPr>
                <w:rFonts w:cs="Arial"/>
                <w:sz w:val="20"/>
                <w:lang w:eastAsia="es-MX"/>
              </w:rPr>
              <w:t>36.4</w:t>
            </w:r>
          </w:p>
        </w:tc>
        <w:tc>
          <w:tcPr>
            <w:tcW w:w="1320" w:type="dxa"/>
            <w:tcBorders>
              <w:top w:val="nil"/>
              <w:left w:val="nil"/>
              <w:bottom w:val="nil"/>
              <w:right w:val="nil"/>
            </w:tcBorders>
            <w:shd w:val="clear" w:color="auto" w:fill="CCE2E6"/>
            <w:vAlign w:val="center"/>
            <w:hideMark/>
          </w:tcPr>
          <w:p w14:paraId="5D84CEDD" w14:textId="77777777" w:rsidR="00660057" w:rsidRPr="00D4691A" w:rsidRDefault="00660057" w:rsidP="00562DA7">
            <w:pPr>
              <w:widowControl/>
              <w:jc w:val="center"/>
              <w:rPr>
                <w:rFonts w:cs="Arial"/>
                <w:color w:val="000000"/>
                <w:sz w:val="20"/>
                <w:lang w:eastAsia="es-MX"/>
              </w:rPr>
            </w:pPr>
            <w:r w:rsidRPr="00D4691A">
              <w:rPr>
                <w:rFonts w:cs="Arial"/>
                <w:sz w:val="20"/>
                <w:lang w:eastAsia="es-MX"/>
              </w:rPr>
              <w:t>33.7</w:t>
            </w:r>
          </w:p>
        </w:tc>
        <w:tc>
          <w:tcPr>
            <w:tcW w:w="2480" w:type="dxa"/>
            <w:tcBorders>
              <w:top w:val="nil"/>
              <w:left w:val="nil"/>
              <w:bottom w:val="nil"/>
              <w:right w:val="nil"/>
            </w:tcBorders>
            <w:shd w:val="clear" w:color="auto" w:fill="CCE2E6"/>
            <w:vAlign w:val="center"/>
            <w:hideMark/>
          </w:tcPr>
          <w:p w14:paraId="4B00EC65" w14:textId="77777777" w:rsidR="00660057" w:rsidRPr="00D4691A" w:rsidRDefault="00660057" w:rsidP="00562DA7">
            <w:pPr>
              <w:widowControl/>
              <w:jc w:val="center"/>
              <w:rPr>
                <w:rFonts w:cs="Arial"/>
                <w:color w:val="000000"/>
                <w:sz w:val="20"/>
                <w:lang w:eastAsia="es-MX"/>
              </w:rPr>
            </w:pPr>
            <w:r w:rsidRPr="00D4691A">
              <w:rPr>
                <w:rFonts w:cs="Arial"/>
                <w:sz w:val="20"/>
                <w:lang w:eastAsia="es-MX"/>
              </w:rPr>
              <w:t>38.3</w:t>
            </w:r>
          </w:p>
        </w:tc>
      </w:tr>
      <w:tr w:rsidR="00660057" w:rsidRPr="00D4691A" w14:paraId="79DEB9D1" w14:textId="77777777">
        <w:trPr>
          <w:trHeight w:val="510"/>
        </w:trPr>
        <w:tc>
          <w:tcPr>
            <w:tcW w:w="220" w:type="dxa"/>
            <w:tcBorders>
              <w:top w:val="nil"/>
              <w:left w:val="nil"/>
              <w:right w:val="nil"/>
            </w:tcBorders>
            <w:shd w:val="clear" w:color="auto" w:fill="CCE2E6"/>
            <w:noWrap/>
            <w:vAlign w:val="bottom"/>
            <w:hideMark/>
          </w:tcPr>
          <w:p w14:paraId="42A31FD4" w14:textId="77777777" w:rsidR="00660057" w:rsidRPr="00D4691A" w:rsidRDefault="00660057" w:rsidP="00562DA7">
            <w:pPr>
              <w:widowControl/>
              <w:jc w:val="left"/>
              <w:rPr>
                <w:rFonts w:ascii="Times New Roman" w:hAnsi="Times New Roman"/>
                <w:color w:val="000000"/>
                <w:sz w:val="20"/>
                <w:lang w:eastAsia="es-MX"/>
              </w:rPr>
            </w:pPr>
            <w:r w:rsidRPr="00D4691A">
              <w:rPr>
                <w:rFonts w:ascii="Times New Roman" w:hAnsi="Times New Roman"/>
                <w:color w:val="000000"/>
                <w:sz w:val="20"/>
                <w:lang w:eastAsia="es-MX"/>
              </w:rPr>
              <w:t> </w:t>
            </w:r>
          </w:p>
        </w:tc>
        <w:tc>
          <w:tcPr>
            <w:tcW w:w="3280" w:type="dxa"/>
            <w:tcBorders>
              <w:top w:val="nil"/>
              <w:left w:val="nil"/>
              <w:right w:val="nil"/>
            </w:tcBorders>
            <w:shd w:val="clear" w:color="auto" w:fill="CCE2E6"/>
            <w:vAlign w:val="center"/>
            <w:hideMark/>
          </w:tcPr>
          <w:p w14:paraId="0708D439" w14:textId="77777777" w:rsidR="00660057" w:rsidRPr="00D4691A" w:rsidRDefault="00660057" w:rsidP="00562DA7">
            <w:pPr>
              <w:widowControl/>
              <w:jc w:val="left"/>
              <w:rPr>
                <w:rFonts w:cs="Arial"/>
                <w:color w:val="000000"/>
                <w:sz w:val="20"/>
                <w:lang w:eastAsia="es-MX"/>
              </w:rPr>
            </w:pPr>
            <w:r w:rsidRPr="00D4691A">
              <w:rPr>
                <w:rFonts w:cs="Arial"/>
                <w:sz w:val="20"/>
                <w:lang w:eastAsia="es-MX"/>
              </w:rPr>
              <w:t>Servicio de películas, música o videos de paga por Internet</w:t>
            </w:r>
          </w:p>
        </w:tc>
        <w:tc>
          <w:tcPr>
            <w:tcW w:w="1320" w:type="dxa"/>
            <w:tcBorders>
              <w:top w:val="nil"/>
              <w:left w:val="nil"/>
              <w:right w:val="nil"/>
            </w:tcBorders>
            <w:shd w:val="clear" w:color="auto" w:fill="CCE2E6"/>
            <w:vAlign w:val="center"/>
            <w:hideMark/>
          </w:tcPr>
          <w:p w14:paraId="78C237C4" w14:textId="77777777" w:rsidR="00660057" w:rsidRPr="00D4691A" w:rsidRDefault="00660057" w:rsidP="00562DA7">
            <w:pPr>
              <w:widowControl/>
              <w:jc w:val="center"/>
              <w:rPr>
                <w:rFonts w:cs="Arial"/>
                <w:color w:val="000000"/>
                <w:sz w:val="20"/>
                <w:lang w:eastAsia="es-MX"/>
              </w:rPr>
            </w:pPr>
            <w:r w:rsidRPr="00D4691A">
              <w:rPr>
                <w:rFonts w:cs="Arial"/>
                <w:sz w:val="20"/>
                <w:lang w:eastAsia="es-MX"/>
              </w:rPr>
              <w:t>25.9</w:t>
            </w:r>
          </w:p>
        </w:tc>
        <w:tc>
          <w:tcPr>
            <w:tcW w:w="1320" w:type="dxa"/>
            <w:tcBorders>
              <w:top w:val="nil"/>
              <w:left w:val="nil"/>
              <w:right w:val="nil"/>
            </w:tcBorders>
            <w:shd w:val="clear" w:color="auto" w:fill="CCE2E6"/>
            <w:vAlign w:val="center"/>
            <w:hideMark/>
          </w:tcPr>
          <w:p w14:paraId="4DE248B9" w14:textId="77777777" w:rsidR="00660057" w:rsidRPr="00D4691A" w:rsidRDefault="00660057" w:rsidP="00562DA7">
            <w:pPr>
              <w:widowControl/>
              <w:jc w:val="center"/>
              <w:rPr>
                <w:rFonts w:cs="Arial"/>
                <w:color w:val="000000"/>
                <w:sz w:val="20"/>
                <w:lang w:eastAsia="es-MX"/>
              </w:rPr>
            </w:pPr>
            <w:r w:rsidRPr="00D4691A">
              <w:rPr>
                <w:rFonts w:cs="Arial"/>
                <w:sz w:val="20"/>
                <w:lang w:eastAsia="es-MX"/>
              </w:rPr>
              <w:t>15.9</w:t>
            </w:r>
          </w:p>
        </w:tc>
        <w:tc>
          <w:tcPr>
            <w:tcW w:w="1320" w:type="dxa"/>
            <w:tcBorders>
              <w:top w:val="nil"/>
              <w:left w:val="nil"/>
              <w:right w:val="nil"/>
            </w:tcBorders>
            <w:shd w:val="clear" w:color="auto" w:fill="CCE2E6"/>
            <w:vAlign w:val="center"/>
            <w:hideMark/>
          </w:tcPr>
          <w:p w14:paraId="7D0CB80C" w14:textId="77777777" w:rsidR="00660057" w:rsidRPr="00D4691A" w:rsidRDefault="00660057" w:rsidP="00562DA7">
            <w:pPr>
              <w:widowControl/>
              <w:jc w:val="center"/>
              <w:rPr>
                <w:rFonts w:cs="Arial"/>
                <w:color w:val="000000"/>
                <w:sz w:val="20"/>
                <w:lang w:eastAsia="es-MX"/>
              </w:rPr>
            </w:pPr>
            <w:r w:rsidRPr="00D4691A">
              <w:rPr>
                <w:rFonts w:cs="Arial"/>
                <w:sz w:val="20"/>
                <w:lang w:eastAsia="es-MX"/>
              </w:rPr>
              <w:t>12.9</w:t>
            </w:r>
          </w:p>
        </w:tc>
        <w:tc>
          <w:tcPr>
            <w:tcW w:w="2480" w:type="dxa"/>
            <w:tcBorders>
              <w:top w:val="nil"/>
              <w:left w:val="nil"/>
              <w:right w:val="nil"/>
            </w:tcBorders>
            <w:shd w:val="clear" w:color="auto" w:fill="CCE2E6"/>
            <w:vAlign w:val="center"/>
            <w:hideMark/>
          </w:tcPr>
          <w:p w14:paraId="6BFD9234" w14:textId="77777777" w:rsidR="00660057" w:rsidRPr="00D4691A" w:rsidRDefault="00660057" w:rsidP="00562DA7">
            <w:pPr>
              <w:widowControl/>
              <w:jc w:val="center"/>
              <w:rPr>
                <w:rFonts w:cs="Arial"/>
                <w:color w:val="000000"/>
                <w:sz w:val="20"/>
                <w:lang w:eastAsia="es-MX"/>
              </w:rPr>
            </w:pPr>
            <w:r w:rsidRPr="00D4691A">
              <w:rPr>
                <w:rFonts w:cs="Arial"/>
                <w:sz w:val="20"/>
                <w:lang w:eastAsia="es-MX"/>
              </w:rPr>
              <w:t>18.3</w:t>
            </w:r>
          </w:p>
        </w:tc>
      </w:tr>
      <w:tr w:rsidR="00660057" w:rsidRPr="00D4691A" w14:paraId="10CC0ACC" w14:textId="77777777">
        <w:trPr>
          <w:trHeight w:val="300"/>
        </w:trPr>
        <w:tc>
          <w:tcPr>
            <w:tcW w:w="220" w:type="dxa"/>
            <w:tcBorders>
              <w:top w:val="nil"/>
              <w:left w:val="nil"/>
              <w:right w:val="nil"/>
            </w:tcBorders>
            <w:shd w:val="clear" w:color="auto" w:fill="CCE2E6"/>
            <w:vAlign w:val="center"/>
            <w:hideMark/>
          </w:tcPr>
          <w:p w14:paraId="708B7A8A" w14:textId="77777777" w:rsidR="00660057" w:rsidRPr="00D4691A" w:rsidRDefault="00660057" w:rsidP="00562DA7">
            <w:pPr>
              <w:widowControl/>
              <w:jc w:val="left"/>
              <w:rPr>
                <w:rFonts w:ascii="Times New Roman" w:hAnsi="Times New Roman"/>
                <w:color w:val="000000"/>
                <w:sz w:val="20"/>
                <w:lang w:eastAsia="es-MX"/>
              </w:rPr>
            </w:pPr>
            <w:r w:rsidRPr="00D4691A">
              <w:rPr>
                <w:rFonts w:ascii="Times New Roman" w:hAnsi="Times New Roman"/>
                <w:color w:val="000000"/>
                <w:sz w:val="20"/>
                <w:lang w:eastAsia="es-MX"/>
              </w:rPr>
              <w:t> </w:t>
            </w:r>
          </w:p>
        </w:tc>
        <w:tc>
          <w:tcPr>
            <w:tcW w:w="3280" w:type="dxa"/>
            <w:tcBorders>
              <w:top w:val="nil"/>
              <w:left w:val="nil"/>
              <w:right w:val="nil"/>
            </w:tcBorders>
            <w:shd w:val="clear" w:color="auto" w:fill="CCE2E6"/>
            <w:vAlign w:val="center"/>
            <w:hideMark/>
          </w:tcPr>
          <w:p w14:paraId="31E8E477" w14:textId="77777777" w:rsidR="00660057" w:rsidRPr="00D4691A" w:rsidRDefault="00660057" w:rsidP="00562DA7">
            <w:pPr>
              <w:widowControl/>
              <w:jc w:val="left"/>
              <w:rPr>
                <w:rFonts w:cs="Arial"/>
                <w:color w:val="000000"/>
                <w:sz w:val="20"/>
                <w:lang w:eastAsia="es-MX"/>
              </w:rPr>
            </w:pPr>
            <w:r w:rsidRPr="00D4691A">
              <w:rPr>
                <w:rFonts w:cs="Arial"/>
                <w:sz w:val="20"/>
                <w:lang w:eastAsia="es-MX"/>
              </w:rPr>
              <w:t>Consola de videojuegos</w:t>
            </w:r>
          </w:p>
        </w:tc>
        <w:tc>
          <w:tcPr>
            <w:tcW w:w="1320" w:type="dxa"/>
            <w:tcBorders>
              <w:top w:val="nil"/>
              <w:left w:val="nil"/>
              <w:right w:val="nil"/>
            </w:tcBorders>
            <w:shd w:val="clear" w:color="auto" w:fill="CCE2E6"/>
            <w:vAlign w:val="center"/>
            <w:hideMark/>
          </w:tcPr>
          <w:p w14:paraId="4E916519" w14:textId="77777777" w:rsidR="00660057" w:rsidRPr="00D4691A" w:rsidRDefault="00660057" w:rsidP="00562DA7">
            <w:pPr>
              <w:widowControl/>
              <w:jc w:val="center"/>
              <w:rPr>
                <w:rFonts w:cs="Arial"/>
                <w:color w:val="000000"/>
                <w:sz w:val="20"/>
                <w:lang w:eastAsia="es-MX"/>
              </w:rPr>
            </w:pPr>
            <w:r w:rsidRPr="00D4691A">
              <w:rPr>
                <w:rFonts w:cs="Arial"/>
                <w:sz w:val="20"/>
                <w:lang w:eastAsia="es-MX"/>
              </w:rPr>
              <w:t>16.3</w:t>
            </w:r>
          </w:p>
        </w:tc>
        <w:tc>
          <w:tcPr>
            <w:tcW w:w="1320" w:type="dxa"/>
            <w:tcBorders>
              <w:top w:val="nil"/>
              <w:left w:val="nil"/>
              <w:right w:val="nil"/>
            </w:tcBorders>
            <w:shd w:val="clear" w:color="auto" w:fill="CCE2E6"/>
            <w:vAlign w:val="center"/>
            <w:hideMark/>
          </w:tcPr>
          <w:p w14:paraId="3AE04EF1" w14:textId="77777777" w:rsidR="00660057" w:rsidRPr="00D4691A" w:rsidRDefault="00660057" w:rsidP="00562DA7">
            <w:pPr>
              <w:widowControl/>
              <w:jc w:val="center"/>
              <w:rPr>
                <w:rFonts w:cs="Arial"/>
                <w:color w:val="000000"/>
                <w:sz w:val="20"/>
                <w:lang w:eastAsia="es-MX"/>
              </w:rPr>
            </w:pPr>
            <w:r w:rsidRPr="00D4691A">
              <w:rPr>
                <w:rFonts w:cs="Arial"/>
                <w:sz w:val="20"/>
                <w:lang w:eastAsia="es-MX"/>
              </w:rPr>
              <w:t>10.4</w:t>
            </w:r>
          </w:p>
        </w:tc>
        <w:tc>
          <w:tcPr>
            <w:tcW w:w="1320" w:type="dxa"/>
            <w:tcBorders>
              <w:top w:val="nil"/>
              <w:left w:val="nil"/>
              <w:right w:val="nil"/>
            </w:tcBorders>
            <w:shd w:val="clear" w:color="auto" w:fill="CCE2E6"/>
            <w:vAlign w:val="center"/>
            <w:hideMark/>
          </w:tcPr>
          <w:p w14:paraId="4A414BBE" w14:textId="77777777" w:rsidR="00660057" w:rsidRPr="00D4691A" w:rsidRDefault="00660057" w:rsidP="00562DA7">
            <w:pPr>
              <w:widowControl/>
              <w:jc w:val="center"/>
              <w:rPr>
                <w:rFonts w:cs="Arial"/>
                <w:color w:val="000000"/>
                <w:sz w:val="20"/>
                <w:lang w:eastAsia="es-MX"/>
              </w:rPr>
            </w:pPr>
            <w:r w:rsidRPr="00D4691A">
              <w:rPr>
                <w:rFonts w:cs="Arial"/>
                <w:sz w:val="20"/>
                <w:lang w:eastAsia="es-MX"/>
              </w:rPr>
              <w:t>9.0</w:t>
            </w:r>
          </w:p>
        </w:tc>
        <w:tc>
          <w:tcPr>
            <w:tcW w:w="2480" w:type="dxa"/>
            <w:tcBorders>
              <w:top w:val="nil"/>
              <w:left w:val="nil"/>
              <w:right w:val="nil"/>
            </w:tcBorders>
            <w:shd w:val="clear" w:color="auto" w:fill="CCE2E6"/>
            <w:vAlign w:val="center"/>
            <w:hideMark/>
          </w:tcPr>
          <w:p w14:paraId="460389D8" w14:textId="77777777" w:rsidR="00660057" w:rsidRPr="00D4691A" w:rsidRDefault="00660057" w:rsidP="00562DA7">
            <w:pPr>
              <w:widowControl/>
              <w:jc w:val="center"/>
              <w:rPr>
                <w:rFonts w:cs="Arial"/>
                <w:color w:val="000000"/>
                <w:sz w:val="20"/>
                <w:lang w:eastAsia="es-MX"/>
              </w:rPr>
            </w:pPr>
            <w:r w:rsidRPr="00D4691A">
              <w:rPr>
                <w:rFonts w:cs="Arial"/>
                <w:sz w:val="20"/>
                <w:lang w:eastAsia="es-MX"/>
              </w:rPr>
              <w:t>11.3</w:t>
            </w:r>
          </w:p>
        </w:tc>
      </w:tr>
    </w:tbl>
    <w:p w14:paraId="7EC6FA17" w14:textId="24B396DA" w:rsidR="00660057" w:rsidRPr="00560388" w:rsidRDefault="00DB651F" w:rsidP="00660057">
      <w:pPr>
        <w:widowControl/>
        <w:autoSpaceDE w:val="0"/>
        <w:autoSpaceDN w:val="0"/>
        <w:adjustRightInd w:val="0"/>
        <w:rPr>
          <w:rFonts w:cs="Arial"/>
          <w:sz w:val="16"/>
          <w:szCs w:val="16"/>
        </w:rPr>
      </w:pPr>
      <w:r>
        <w:rPr>
          <w:rFonts w:cs="Arial"/>
          <w:color w:val="000000" w:themeColor="text1"/>
          <w:sz w:val="16"/>
          <w:szCs w:val="16"/>
        </w:rPr>
        <w:t xml:space="preserve">  </w:t>
      </w:r>
      <w:r w:rsidR="00660057" w:rsidRPr="00560388">
        <w:rPr>
          <w:rFonts w:cs="Arial"/>
          <w:color w:val="000000" w:themeColor="text1"/>
          <w:sz w:val="16"/>
          <w:szCs w:val="16"/>
        </w:rPr>
        <w:t>Fuente: INEGI, ENTI. 2022.</w:t>
      </w:r>
    </w:p>
    <w:p w14:paraId="32753739" w14:textId="77777777" w:rsidR="00660057" w:rsidRDefault="00660057" w:rsidP="00660057">
      <w:pPr>
        <w:widowControl/>
        <w:autoSpaceDE w:val="0"/>
        <w:autoSpaceDN w:val="0"/>
        <w:adjustRightInd w:val="0"/>
        <w:spacing w:line="276" w:lineRule="auto"/>
        <w:rPr>
          <w:rFonts w:cs="Arial"/>
          <w:color w:val="000000"/>
          <w:szCs w:val="24"/>
        </w:rPr>
      </w:pPr>
    </w:p>
    <w:p w14:paraId="77F727D2" w14:textId="7A1D2234" w:rsidR="001163A2" w:rsidRPr="0037646C" w:rsidRDefault="001163A2" w:rsidP="00583074">
      <w:pPr>
        <w:pStyle w:val="Prrafodelista"/>
        <w:widowControl/>
        <w:autoSpaceDE w:val="0"/>
        <w:autoSpaceDN w:val="0"/>
        <w:adjustRightInd w:val="0"/>
        <w:jc w:val="center"/>
        <w:rPr>
          <w:rFonts w:cs="Arial"/>
          <w:b/>
          <w:bCs/>
          <w:color w:val="000000"/>
          <w:szCs w:val="24"/>
        </w:rPr>
      </w:pPr>
      <w:r>
        <w:rPr>
          <w:rFonts w:cs="Arial"/>
          <w:b/>
          <w:bCs/>
          <w:color w:val="000000"/>
          <w:szCs w:val="24"/>
        </w:rPr>
        <w:t>ASPECTOS</w:t>
      </w:r>
      <w:r w:rsidRPr="0037646C">
        <w:rPr>
          <w:rFonts w:cs="Arial"/>
          <w:b/>
          <w:bCs/>
          <w:color w:val="000000"/>
          <w:szCs w:val="24"/>
        </w:rPr>
        <w:t xml:space="preserve"> </w:t>
      </w:r>
      <w:r w:rsidRPr="00DA1FFF">
        <w:rPr>
          <w:rFonts w:ascii="Arial Negrita" w:hAnsi="Arial Negrita" w:cs="Arial"/>
          <w:b/>
          <w:bCs/>
          <w:smallCaps/>
          <w:color w:val="000000"/>
          <w:szCs w:val="24"/>
        </w:rPr>
        <w:t>METODOL</w:t>
      </w:r>
      <w:r w:rsidR="00DA1FFF">
        <w:rPr>
          <w:rFonts w:ascii="Arial Negrita" w:hAnsi="Arial Negrita" w:cs="Arial"/>
          <w:b/>
          <w:bCs/>
          <w:smallCaps/>
          <w:color w:val="000000"/>
          <w:szCs w:val="24"/>
        </w:rPr>
        <w:t>Ó</w:t>
      </w:r>
      <w:r w:rsidRPr="00DA1FFF">
        <w:rPr>
          <w:rFonts w:ascii="Arial Negrita" w:hAnsi="Arial Negrita" w:cs="Arial"/>
          <w:b/>
          <w:bCs/>
          <w:smallCaps/>
          <w:color w:val="000000"/>
          <w:szCs w:val="24"/>
        </w:rPr>
        <w:t>GICOS</w:t>
      </w:r>
    </w:p>
    <w:p w14:paraId="280849E6" w14:textId="77777777" w:rsidR="00660057" w:rsidRDefault="00660057" w:rsidP="001163A2">
      <w:pPr>
        <w:widowControl/>
        <w:autoSpaceDE w:val="0"/>
        <w:autoSpaceDN w:val="0"/>
        <w:rPr>
          <w:rFonts w:cs="Arial"/>
          <w:color w:val="000000"/>
          <w:szCs w:val="24"/>
        </w:rPr>
      </w:pPr>
    </w:p>
    <w:p w14:paraId="68333AAE" w14:textId="79A0C73C" w:rsidR="00791592" w:rsidRPr="0037646C" w:rsidRDefault="00791592" w:rsidP="001163A2">
      <w:pPr>
        <w:widowControl/>
        <w:autoSpaceDE w:val="0"/>
        <w:autoSpaceDN w:val="0"/>
        <w:rPr>
          <w:rFonts w:cs="Arial"/>
          <w:color w:val="000000"/>
          <w:szCs w:val="24"/>
        </w:rPr>
      </w:pPr>
      <w:r w:rsidRPr="0037646C">
        <w:rPr>
          <w:rFonts w:cs="Arial"/>
          <w:color w:val="000000"/>
          <w:szCs w:val="24"/>
        </w:rPr>
        <w:t xml:space="preserve">Los antecedentes de la ENTI datan de 1997, cuando por primera vez se levantó un Módulo de Trabajo Infantil </w:t>
      </w:r>
      <w:r w:rsidR="005711A7">
        <w:rPr>
          <w:rFonts w:cs="Arial"/>
          <w:color w:val="000000"/>
          <w:szCs w:val="24"/>
        </w:rPr>
        <w:t>(MTI)</w:t>
      </w:r>
      <w:r w:rsidR="008E4270">
        <w:rPr>
          <w:rFonts w:cs="Arial"/>
          <w:color w:val="000000"/>
          <w:szCs w:val="24"/>
        </w:rPr>
        <w:t xml:space="preserve">. Su objetivo fue </w:t>
      </w:r>
      <w:r w:rsidRPr="0037646C">
        <w:rPr>
          <w:rFonts w:cs="Arial"/>
          <w:color w:val="000000"/>
          <w:szCs w:val="24"/>
        </w:rPr>
        <w:t xml:space="preserve">estimar el número de niñas y niños de 6 a 14 años que desempeñaban actividades económicas en las zonas indígenas del país, en el marco de la Encuesta Nacional de Empleo en Zonas Indígenas 1997. Posteriormente, </w:t>
      </w:r>
      <w:r w:rsidR="008E4270">
        <w:rPr>
          <w:rFonts w:cs="Arial"/>
          <w:color w:val="000000"/>
          <w:szCs w:val="24"/>
        </w:rPr>
        <w:t>vino</w:t>
      </w:r>
      <w:r w:rsidRPr="0037646C">
        <w:rPr>
          <w:rFonts w:cs="Arial"/>
          <w:color w:val="000000"/>
          <w:szCs w:val="24"/>
        </w:rPr>
        <w:t xml:space="preserve"> un segundo levantamiento en una submuestra de viviendas de la Encuesta Nacional de Empleo de 1999, con una cobertura nacional y el mismo diseño conceptual del módulo que le antecedió.</w:t>
      </w:r>
    </w:p>
    <w:p w14:paraId="105F1947" w14:textId="77777777" w:rsidR="00791592" w:rsidRPr="0037646C" w:rsidRDefault="00791592" w:rsidP="001163A2">
      <w:pPr>
        <w:widowControl/>
        <w:autoSpaceDE w:val="0"/>
        <w:autoSpaceDN w:val="0"/>
        <w:adjustRightInd w:val="0"/>
        <w:rPr>
          <w:rFonts w:cs="Arial"/>
          <w:color w:val="000000"/>
          <w:szCs w:val="24"/>
        </w:rPr>
      </w:pPr>
    </w:p>
    <w:p w14:paraId="2B597A22" w14:textId="61ABB8E2" w:rsidR="00791592" w:rsidRPr="0037646C" w:rsidRDefault="00791592">
      <w:pPr>
        <w:widowControl/>
        <w:autoSpaceDE w:val="0"/>
        <w:autoSpaceDN w:val="0"/>
        <w:adjustRightInd w:val="0"/>
        <w:rPr>
          <w:rFonts w:cs="Arial"/>
          <w:color w:val="000000"/>
          <w:szCs w:val="24"/>
        </w:rPr>
      </w:pPr>
      <w:r w:rsidRPr="0037646C">
        <w:rPr>
          <w:rFonts w:cs="Arial"/>
          <w:color w:val="000000"/>
          <w:szCs w:val="24"/>
        </w:rPr>
        <w:t>El INEGI</w:t>
      </w:r>
      <w:r w:rsidR="00E11D0E">
        <w:rPr>
          <w:rFonts w:cs="Arial"/>
          <w:color w:val="000000"/>
          <w:szCs w:val="24"/>
        </w:rPr>
        <w:t xml:space="preserve"> junto con</w:t>
      </w:r>
      <w:r w:rsidRPr="0037646C">
        <w:rPr>
          <w:rFonts w:cs="Arial"/>
          <w:color w:val="000000"/>
          <w:szCs w:val="24"/>
        </w:rPr>
        <w:t xml:space="preserve"> la STPS y varias organizaciones nacionales e internacionales, entre ellas la OIT y el Fondo de las Naciones Unidas para la Infancia</w:t>
      </w:r>
      <w:r w:rsidR="00647F7F">
        <w:rPr>
          <w:rFonts w:cs="Arial"/>
          <w:color w:val="000000"/>
          <w:szCs w:val="24"/>
        </w:rPr>
        <w:t xml:space="preserve"> (UNICEF, por sus siglas en inglés)</w:t>
      </w:r>
      <w:r w:rsidRPr="0037646C">
        <w:rPr>
          <w:rFonts w:cs="Arial"/>
          <w:color w:val="000000"/>
          <w:szCs w:val="24"/>
        </w:rPr>
        <w:t>, actualizaron el diseño del M</w:t>
      </w:r>
      <w:r w:rsidR="005711A7">
        <w:rPr>
          <w:rFonts w:cs="Arial"/>
          <w:color w:val="000000"/>
          <w:szCs w:val="24"/>
        </w:rPr>
        <w:t>TI</w:t>
      </w:r>
      <w:r w:rsidRPr="0037646C">
        <w:rPr>
          <w:rFonts w:cs="Arial"/>
          <w:color w:val="000000"/>
          <w:szCs w:val="24"/>
        </w:rPr>
        <w:t xml:space="preserve"> con las mejores prácticas internacionales y nacionales</w:t>
      </w:r>
      <w:r w:rsidR="00E11D0E">
        <w:rPr>
          <w:rFonts w:cs="Arial"/>
          <w:color w:val="000000"/>
          <w:szCs w:val="24"/>
        </w:rPr>
        <w:t xml:space="preserve">. El </w:t>
      </w:r>
      <w:r w:rsidR="00380D05">
        <w:rPr>
          <w:rFonts w:cs="Arial"/>
          <w:color w:val="000000"/>
          <w:szCs w:val="24"/>
        </w:rPr>
        <w:t xml:space="preserve">primer </w:t>
      </w:r>
      <w:r w:rsidRPr="0037646C">
        <w:rPr>
          <w:rFonts w:cs="Arial"/>
          <w:color w:val="000000"/>
          <w:szCs w:val="24"/>
        </w:rPr>
        <w:t>levantamiento se realizó en 2007, anexo a la Encuesta Nacional de Ocupación y Empleo (ENOE) y</w:t>
      </w:r>
      <w:r w:rsidR="005711A7">
        <w:rPr>
          <w:rFonts w:cs="Arial"/>
          <w:color w:val="000000"/>
          <w:szCs w:val="24"/>
        </w:rPr>
        <w:t>,</w:t>
      </w:r>
      <w:r w:rsidRPr="0037646C">
        <w:rPr>
          <w:rFonts w:cs="Arial"/>
          <w:color w:val="000000"/>
          <w:szCs w:val="24"/>
        </w:rPr>
        <w:t xml:space="preserve"> por primera vez</w:t>
      </w:r>
      <w:r w:rsidR="005711A7">
        <w:rPr>
          <w:rFonts w:cs="Arial"/>
          <w:color w:val="000000"/>
          <w:szCs w:val="24"/>
        </w:rPr>
        <w:t>,</w:t>
      </w:r>
      <w:r w:rsidRPr="0037646C">
        <w:rPr>
          <w:rFonts w:cs="Arial"/>
          <w:color w:val="000000"/>
          <w:szCs w:val="24"/>
        </w:rPr>
        <w:t xml:space="preserve"> tuvo una cobertura nacional y estatal para la población de 5 a 17 años de edad.</w:t>
      </w:r>
    </w:p>
    <w:p w14:paraId="22AF2CD1" w14:textId="77777777" w:rsidR="00791592" w:rsidRPr="0037646C" w:rsidRDefault="00791592" w:rsidP="001163A2">
      <w:pPr>
        <w:widowControl/>
        <w:autoSpaceDE w:val="0"/>
        <w:autoSpaceDN w:val="0"/>
        <w:adjustRightInd w:val="0"/>
        <w:rPr>
          <w:rFonts w:cs="Arial"/>
          <w:color w:val="000000"/>
          <w:szCs w:val="24"/>
        </w:rPr>
      </w:pPr>
    </w:p>
    <w:p w14:paraId="355705D3" w14:textId="16506941" w:rsidR="00791592" w:rsidRPr="0037646C" w:rsidRDefault="00791592">
      <w:pPr>
        <w:widowControl/>
        <w:autoSpaceDE w:val="0"/>
        <w:autoSpaceDN w:val="0"/>
        <w:adjustRightInd w:val="0"/>
        <w:rPr>
          <w:rFonts w:cs="Arial"/>
          <w:color w:val="000000"/>
          <w:szCs w:val="24"/>
        </w:rPr>
      </w:pPr>
      <w:r w:rsidRPr="0037646C">
        <w:rPr>
          <w:rFonts w:cs="Arial"/>
          <w:color w:val="000000"/>
          <w:szCs w:val="24"/>
        </w:rPr>
        <w:lastRenderedPageBreak/>
        <w:t>De 2007 a 2017, el Módulo se levantó cada dos años con algunas adecuaciones en sus instrumentos de recolección para atender nuevas necesidades de información y en 2015 se incorporó la captación de las actividades domésticas peligrosas para complementar la medición de los quehaceres domésticos en condiciones no adecuadas.</w:t>
      </w:r>
    </w:p>
    <w:p w14:paraId="7CF66E3D" w14:textId="77777777" w:rsidR="001163A2" w:rsidRDefault="001163A2">
      <w:pPr>
        <w:widowControl/>
        <w:autoSpaceDE w:val="0"/>
        <w:autoSpaceDN w:val="0"/>
        <w:adjustRightInd w:val="0"/>
        <w:rPr>
          <w:rFonts w:cs="Arial"/>
          <w:color w:val="000000"/>
          <w:szCs w:val="24"/>
        </w:rPr>
      </w:pPr>
    </w:p>
    <w:p w14:paraId="6C41194B" w14:textId="613EE584" w:rsidR="00791592" w:rsidRPr="0037646C" w:rsidRDefault="00791592">
      <w:pPr>
        <w:widowControl/>
        <w:autoSpaceDE w:val="0"/>
        <w:autoSpaceDN w:val="0"/>
        <w:adjustRightInd w:val="0"/>
        <w:rPr>
          <w:rFonts w:cs="Arial"/>
          <w:color w:val="000000"/>
          <w:szCs w:val="24"/>
        </w:rPr>
      </w:pPr>
      <w:r w:rsidRPr="0037646C">
        <w:rPr>
          <w:rFonts w:cs="Arial"/>
          <w:color w:val="000000"/>
          <w:szCs w:val="24"/>
        </w:rPr>
        <w:t>En 2019 el M</w:t>
      </w:r>
      <w:r w:rsidR="005711A7">
        <w:rPr>
          <w:rFonts w:cs="Arial"/>
          <w:color w:val="000000"/>
          <w:szCs w:val="24"/>
        </w:rPr>
        <w:t>TI</w:t>
      </w:r>
      <w:r w:rsidRPr="0037646C">
        <w:rPr>
          <w:rFonts w:cs="Arial"/>
          <w:color w:val="000000"/>
          <w:szCs w:val="24"/>
        </w:rPr>
        <w:t xml:space="preserve"> transit</w:t>
      </w:r>
      <w:r w:rsidR="00257AA4">
        <w:rPr>
          <w:rFonts w:cs="Arial"/>
          <w:color w:val="000000"/>
          <w:szCs w:val="24"/>
        </w:rPr>
        <w:t>ó</w:t>
      </w:r>
      <w:r w:rsidRPr="0037646C">
        <w:rPr>
          <w:rFonts w:cs="Arial"/>
          <w:color w:val="000000"/>
          <w:szCs w:val="24"/>
        </w:rPr>
        <w:t xml:space="preserve"> hacia la E</w:t>
      </w:r>
      <w:r w:rsidR="005711A7">
        <w:rPr>
          <w:rFonts w:cs="Arial"/>
          <w:color w:val="000000"/>
          <w:szCs w:val="24"/>
        </w:rPr>
        <w:t>NTI</w:t>
      </w:r>
      <w:r w:rsidRPr="0037646C">
        <w:rPr>
          <w:rFonts w:cs="Arial"/>
          <w:color w:val="000000"/>
          <w:szCs w:val="24"/>
        </w:rPr>
        <w:t xml:space="preserve"> con la colaboración de la STPS y la OIT</w:t>
      </w:r>
      <w:r w:rsidR="005711A7">
        <w:rPr>
          <w:rFonts w:cs="Arial"/>
          <w:color w:val="000000"/>
          <w:szCs w:val="24"/>
        </w:rPr>
        <w:t xml:space="preserve">. Para ello se </w:t>
      </w:r>
      <w:r w:rsidRPr="0037646C">
        <w:rPr>
          <w:rFonts w:cs="Arial"/>
          <w:color w:val="000000"/>
          <w:szCs w:val="24"/>
        </w:rPr>
        <w:t>levant</w:t>
      </w:r>
      <w:r w:rsidR="005711A7">
        <w:rPr>
          <w:rFonts w:cs="Arial"/>
          <w:color w:val="000000"/>
          <w:szCs w:val="24"/>
        </w:rPr>
        <w:t>ó</w:t>
      </w:r>
      <w:r w:rsidRPr="0037646C">
        <w:rPr>
          <w:rFonts w:cs="Arial"/>
          <w:color w:val="000000"/>
          <w:szCs w:val="24"/>
        </w:rPr>
        <w:t xml:space="preserve"> en una muestra de viviendas independiente de la ENOE </w:t>
      </w:r>
      <w:r w:rsidR="005711A7">
        <w:rPr>
          <w:rFonts w:cs="Arial"/>
          <w:color w:val="000000"/>
          <w:szCs w:val="24"/>
        </w:rPr>
        <w:t xml:space="preserve">y se </w:t>
      </w:r>
      <w:r w:rsidRPr="0037646C">
        <w:rPr>
          <w:rFonts w:cs="Arial"/>
          <w:color w:val="000000"/>
          <w:szCs w:val="24"/>
        </w:rPr>
        <w:t>mant</w:t>
      </w:r>
      <w:r w:rsidR="005711A7">
        <w:rPr>
          <w:rFonts w:cs="Arial"/>
          <w:color w:val="000000"/>
          <w:szCs w:val="24"/>
        </w:rPr>
        <w:t>uvo</w:t>
      </w:r>
      <w:r w:rsidRPr="0037646C">
        <w:rPr>
          <w:rFonts w:cs="Arial"/>
          <w:color w:val="000000"/>
          <w:szCs w:val="24"/>
        </w:rPr>
        <w:t xml:space="preserve"> el diseño conceptual del</w:t>
      </w:r>
      <w:r w:rsidR="005711A7">
        <w:rPr>
          <w:rFonts w:cs="Arial"/>
          <w:color w:val="000000"/>
          <w:szCs w:val="24"/>
        </w:rPr>
        <w:t xml:space="preserve"> </w:t>
      </w:r>
      <w:r w:rsidRPr="0037646C">
        <w:rPr>
          <w:rFonts w:cs="Arial"/>
          <w:color w:val="000000"/>
          <w:szCs w:val="24"/>
        </w:rPr>
        <w:t>MTI para la medición del trabajo infantil. En 2022</w:t>
      </w:r>
      <w:r w:rsidR="005711A7">
        <w:rPr>
          <w:rFonts w:cs="Arial"/>
          <w:color w:val="000000"/>
          <w:szCs w:val="24"/>
        </w:rPr>
        <w:t>,</w:t>
      </w:r>
      <w:r w:rsidRPr="0037646C">
        <w:rPr>
          <w:rFonts w:cs="Arial"/>
          <w:color w:val="000000"/>
          <w:szCs w:val="24"/>
        </w:rPr>
        <w:t xml:space="preserve"> las tres instituciones levantaron la segunda edición de la ENTI bajo el mismo diseño conceptual de su antecesora y del MTI con la finalidad de mantener la comparabilidad</w:t>
      </w:r>
      <w:r w:rsidR="005711A7">
        <w:rPr>
          <w:rFonts w:cs="Arial"/>
          <w:color w:val="000000"/>
          <w:szCs w:val="24"/>
        </w:rPr>
        <w:t>. A</w:t>
      </w:r>
      <w:r w:rsidR="0007066E">
        <w:rPr>
          <w:rFonts w:cs="Arial"/>
          <w:color w:val="000000"/>
          <w:szCs w:val="24"/>
        </w:rPr>
        <w:t xml:space="preserve">demás, </w:t>
      </w:r>
      <w:r w:rsidR="005711A7">
        <w:rPr>
          <w:rFonts w:cs="Arial"/>
          <w:color w:val="000000"/>
          <w:szCs w:val="24"/>
        </w:rPr>
        <w:t>a</w:t>
      </w:r>
      <w:r w:rsidRPr="0037646C">
        <w:rPr>
          <w:rFonts w:cs="Arial"/>
          <w:color w:val="000000"/>
          <w:szCs w:val="24"/>
        </w:rPr>
        <w:t>grega</w:t>
      </w:r>
      <w:r w:rsidR="005711A7">
        <w:rPr>
          <w:rFonts w:cs="Arial"/>
          <w:color w:val="000000"/>
          <w:szCs w:val="24"/>
        </w:rPr>
        <w:t>ron</w:t>
      </w:r>
      <w:r w:rsidRPr="0037646C">
        <w:rPr>
          <w:rFonts w:cs="Arial"/>
          <w:color w:val="000000"/>
          <w:szCs w:val="24"/>
        </w:rPr>
        <w:t xml:space="preserve"> nuevos tópicos sobre las características de las viviendas y de los hogares.</w:t>
      </w:r>
    </w:p>
    <w:p w14:paraId="02C59D6A" w14:textId="77777777" w:rsidR="0034045F" w:rsidRPr="0037646C" w:rsidRDefault="0034045F" w:rsidP="001163A2">
      <w:pPr>
        <w:pStyle w:val="Textoindependiente"/>
        <w:widowControl/>
        <w:rPr>
          <w:color w:val="231F20"/>
          <w:sz w:val="24"/>
          <w:szCs w:val="24"/>
        </w:rPr>
      </w:pPr>
    </w:p>
    <w:p w14:paraId="3D5E87A2" w14:textId="77777777" w:rsidR="00791592" w:rsidRPr="0037646C" w:rsidRDefault="00791592" w:rsidP="00DA1FFF">
      <w:pPr>
        <w:pStyle w:val="Prrafodelista"/>
        <w:widowControl/>
        <w:numPr>
          <w:ilvl w:val="0"/>
          <w:numId w:val="6"/>
        </w:numPr>
        <w:autoSpaceDE w:val="0"/>
        <w:autoSpaceDN w:val="0"/>
        <w:adjustRightInd w:val="0"/>
        <w:ind w:left="567" w:hanging="567"/>
        <w:jc w:val="left"/>
        <w:rPr>
          <w:rFonts w:cs="Arial"/>
          <w:b/>
          <w:bCs/>
          <w:color w:val="000000"/>
          <w:szCs w:val="24"/>
        </w:rPr>
      </w:pPr>
      <w:r w:rsidRPr="0037646C">
        <w:rPr>
          <w:rFonts w:cs="Arial"/>
          <w:b/>
          <w:bCs/>
          <w:color w:val="000000"/>
          <w:szCs w:val="24"/>
        </w:rPr>
        <w:t>Diseño conceptual</w:t>
      </w:r>
    </w:p>
    <w:p w14:paraId="6E8630B5" w14:textId="77777777" w:rsidR="00791592" w:rsidRPr="0037646C" w:rsidRDefault="00791592">
      <w:pPr>
        <w:widowControl/>
        <w:autoSpaceDE w:val="0"/>
        <w:autoSpaceDN w:val="0"/>
        <w:rPr>
          <w:rFonts w:cs="Arial"/>
          <w:color w:val="000000"/>
          <w:szCs w:val="24"/>
        </w:rPr>
      </w:pPr>
    </w:p>
    <w:p w14:paraId="2D078E4F" w14:textId="29F73083" w:rsidR="00791592" w:rsidRPr="0037646C" w:rsidRDefault="00791592">
      <w:pPr>
        <w:widowControl/>
        <w:autoSpaceDE w:val="0"/>
        <w:autoSpaceDN w:val="0"/>
        <w:rPr>
          <w:rFonts w:cs="Arial"/>
          <w:color w:val="000000"/>
          <w:szCs w:val="24"/>
        </w:rPr>
      </w:pPr>
      <w:r w:rsidRPr="0037646C">
        <w:rPr>
          <w:rFonts w:cs="Arial"/>
          <w:color w:val="000000"/>
          <w:szCs w:val="24"/>
        </w:rPr>
        <w:t>La metodología de medición del trabajo infantil toma como referencia las recomendaciones internacionales y la legislación nacional</w:t>
      </w:r>
      <w:r w:rsidR="00857612">
        <w:rPr>
          <w:rFonts w:cs="Arial"/>
          <w:color w:val="000000"/>
          <w:szCs w:val="24"/>
        </w:rPr>
        <w:t xml:space="preserve"> que se </w:t>
      </w:r>
      <w:r w:rsidR="0007066E">
        <w:rPr>
          <w:rFonts w:cs="Arial"/>
          <w:color w:val="000000"/>
          <w:szCs w:val="24"/>
        </w:rPr>
        <w:t>e</w:t>
      </w:r>
      <w:r w:rsidR="00857612">
        <w:rPr>
          <w:rFonts w:cs="Arial"/>
          <w:color w:val="000000"/>
          <w:szCs w:val="24"/>
        </w:rPr>
        <w:t>ncuentran e</w:t>
      </w:r>
      <w:r w:rsidR="0007066E">
        <w:rPr>
          <w:rFonts w:cs="Arial"/>
          <w:color w:val="000000"/>
          <w:szCs w:val="24"/>
        </w:rPr>
        <w:t>n</w:t>
      </w:r>
      <w:r w:rsidRPr="0037646C">
        <w:rPr>
          <w:rFonts w:cs="Arial"/>
          <w:color w:val="000000"/>
          <w:szCs w:val="24"/>
        </w:rPr>
        <w:t>:</w:t>
      </w:r>
    </w:p>
    <w:p w14:paraId="15EB3E99" w14:textId="77777777" w:rsidR="00791592" w:rsidRPr="0037646C" w:rsidRDefault="00791592">
      <w:pPr>
        <w:widowControl/>
        <w:autoSpaceDE w:val="0"/>
        <w:autoSpaceDN w:val="0"/>
        <w:rPr>
          <w:rFonts w:cs="Arial"/>
          <w:color w:val="000000"/>
          <w:szCs w:val="24"/>
        </w:rPr>
      </w:pPr>
    </w:p>
    <w:p w14:paraId="7CCD3B83" w14:textId="0250A42A" w:rsidR="00791592" w:rsidRPr="0037646C" w:rsidRDefault="00791592" w:rsidP="00136A32">
      <w:pPr>
        <w:pStyle w:val="Prrafodelista"/>
        <w:widowControl/>
        <w:numPr>
          <w:ilvl w:val="0"/>
          <w:numId w:val="4"/>
        </w:numPr>
        <w:autoSpaceDE w:val="0"/>
        <w:autoSpaceDN w:val="0"/>
        <w:rPr>
          <w:rFonts w:cs="Arial"/>
          <w:color w:val="000000"/>
          <w:szCs w:val="24"/>
        </w:rPr>
      </w:pPr>
      <w:r w:rsidRPr="0037646C">
        <w:rPr>
          <w:rFonts w:cs="Arial"/>
          <w:color w:val="000000"/>
          <w:szCs w:val="24"/>
        </w:rPr>
        <w:t>Convenio núm. 138 y Recomendación 146 sobre la edad mínima de admisión al trabajo</w:t>
      </w:r>
      <w:r w:rsidR="00C92FD6">
        <w:rPr>
          <w:rFonts w:cs="Arial"/>
          <w:color w:val="000000"/>
          <w:szCs w:val="24"/>
        </w:rPr>
        <w:t>,</w:t>
      </w:r>
      <w:r w:rsidRPr="0037646C">
        <w:rPr>
          <w:rFonts w:cs="Arial"/>
          <w:color w:val="000000"/>
          <w:szCs w:val="24"/>
        </w:rPr>
        <w:t xml:space="preserve"> OIT</w:t>
      </w:r>
      <w:r w:rsidR="00423B9A">
        <w:rPr>
          <w:rFonts w:cs="Arial"/>
          <w:color w:val="000000"/>
          <w:szCs w:val="24"/>
        </w:rPr>
        <w:t>.</w:t>
      </w:r>
    </w:p>
    <w:p w14:paraId="6870F8D0" w14:textId="13F953AC" w:rsidR="00791592" w:rsidRPr="0037646C" w:rsidRDefault="00791592" w:rsidP="00136A32">
      <w:pPr>
        <w:pStyle w:val="Prrafodelista"/>
        <w:widowControl/>
        <w:numPr>
          <w:ilvl w:val="0"/>
          <w:numId w:val="4"/>
        </w:numPr>
        <w:autoSpaceDE w:val="0"/>
        <w:autoSpaceDN w:val="0"/>
        <w:rPr>
          <w:rFonts w:cs="Arial"/>
          <w:color w:val="000000"/>
          <w:szCs w:val="24"/>
        </w:rPr>
      </w:pPr>
      <w:r w:rsidRPr="0037646C">
        <w:rPr>
          <w:rFonts w:cs="Arial"/>
          <w:color w:val="000000"/>
          <w:szCs w:val="24"/>
        </w:rPr>
        <w:t>Convenio núm. 182 y Recomendación 190 sobre las peores formas de trabajo infantil</w:t>
      </w:r>
      <w:r w:rsidR="00C92FD6">
        <w:rPr>
          <w:rFonts w:cs="Arial"/>
          <w:color w:val="000000"/>
          <w:szCs w:val="24"/>
        </w:rPr>
        <w:t>,</w:t>
      </w:r>
      <w:r w:rsidRPr="0037646C">
        <w:rPr>
          <w:rFonts w:cs="Arial"/>
          <w:color w:val="000000"/>
          <w:szCs w:val="24"/>
        </w:rPr>
        <w:t xml:space="preserve"> OIT</w:t>
      </w:r>
      <w:r w:rsidR="00423B9A">
        <w:rPr>
          <w:rFonts w:cs="Arial"/>
          <w:color w:val="000000"/>
          <w:szCs w:val="24"/>
        </w:rPr>
        <w:t>.</w:t>
      </w:r>
    </w:p>
    <w:p w14:paraId="510636E0" w14:textId="5B245EB5" w:rsidR="00791592" w:rsidRPr="0037646C" w:rsidRDefault="00791592" w:rsidP="00136A32">
      <w:pPr>
        <w:pStyle w:val="Prrafodelista"/>
        <w:widowControl/>
        <w:numPr>
          <w:ilvl w:val="0"/>
          <w:numId w:val="4"/>
        </w:numPr>
        <w:autoSpaceDE w:val="0"/>
        <w:autoSpaceDN w:val="0"/>
        <w:rPr>
          <w:rFonts w:cs="Arial"/>
          <w:color w:val="000000"/>
          <w:szCs w:val="24"/>
        </w:rPr>
      </w:pPr>
      <w:r w:rsidRPr="0037646C">
        <w:rPr>
          <w:rFonts w:cs="Arial"/>
          <w:color w:val="000000"/>
          <w:szCs w:val="24"/>
        </w:rPr>
        <w:t>Convención sobre los derechos del niño</w:t>
      </w:r>
      <w:r w:rsidR="00C92FD6">
        <w:rPr>
          <w:rFonts w:cs="Arial"/>
          <w:color w:val="000000"/>
          <w:szCs w:val="24"/>
        </w:rPr>
        <w:t>,</w:t>
      </w:r>
      <w:r w:rsidRPr="0037646C">
        <w:rPr>
          <w:rFonts w:cs="Arial"/>
          <w:color w:val="000000"/>
          <w:szCs w:val="24"/>
        </w:rPr>
        <w:t xml:space="preserve"> UNICEF</w:t>
      </w:r>
      <w:r w:rsidR="00423B9A">
        <w:rPr>
          <w:rFonts w:cs="Arial"/>
          <w:color w:val="000000"/>
          <w:szCs w:val="24"/>
        </w:rPr>
        <w:t>.</w:t>
      </w:r>
    </w:p>
    <w:p w14:paraId="76741E1E" w14:textId="7361423D" w:rsidR="00791592" w:rsidRPr="0037646C" w:rsidRDefault="00791592" w:rsidP="00136A32">
      <w:pPr>
        <w:pStyle w:val="Prrafodelista"/>
        <w:widowControl/>
        <w:numPr>
          <w:ilvl w:val="0"/>
          <w:numId w:val="4"/>
        </w:numPr>
        <w:autoSpaceDE w:val="0"/>
        <w:autoSpaceDN w:val="0"/>
        <w:rPr>
          <w:rFonts w:cs="Arial"/>
          <w:color w:val="000000"/>
          <w:szCs w:val="24"/>
        </w:rPr>
      </w:pPr>
      <w:r w:rsidRPr="0037646C">
        <w:rPr>
          <w:rFonts w:cs="Arial"/>
          <w:color w:val="000000"/>
          <w:szCs w:val="24"/>
        </w:rPr>
        <w:t>Constitución Política de los Estados Unidos Mexicanos</w:t>
      </w:r>
      <w:r w:rsidR="00423B9A">
        <w:rPr>
          <w:rFonts w:cs="Arial"/>
          <w:color w:val="000000"/>
          <w:szCs w:val="24"/>
        </w:rPr>
        <w:t>.</w:t>
      </w:r>
    </w:p>
    <w:p w14:paraId="5FB45092" w14:textId="75371C1D" w:rsidR="00791592" w:rsidRPr="0037646C" w:rsidRDefault="00791592" w:rsidP="00136A32">
      <w:pPr>
        <w:pStyle w:val="Prrafodelista"/>
        <w:widowControl/>
        <w:numPr>
          <w:ilvl w:val="0"/>
          <w:numId w:val="4"/>
        </w:numPr>
        <w:autoSpaceDE w:val="0"/>
        <w:autoSpaceDN w:val="0"/>
        <w:rPr>
          <w:rFonts w:cs="Arial"/>
          <w:color w:val="000000"/>
          <w:szCs w:val="24"/>
        </w:rPr>
      </w:pPr>
      <w:r w:rsidRPr="0037646C">
        <w:rPr>
          <w:rFonts w:cs="Arial"/>
          <w:color w:val="000000"/>
          <w:szCs w:val="24"/>
        </w:rPr>
        <w:t>Ley Federal del Trabajo</w:t>
      </w:r>
      <w:r w:rsidR="00E52DC9">
        <w:rPr>
          <w:rFonts w:cs="Arial"/>
          <w:color w:val="000000"/>
          <w:szCs w:val="24"/>
        </w:rPr>
        <w:t xml:space="preserve"> (México)</w:t>
      </w:r>
      <w:r w:rsidR="00423B9A">
        <w:rPr>
          <w:rFonts w:cs="Arial"/>
          <w:color w:val="000000"/>
          <w:szCs w:val="24"/>
        </w:rPr>
        <w:t>.</w:t>
      </w:r>
    </w:p>
    <w:p w14:paraId="2383CBA1" w14:textId="5E3E6B69" w:rsidR="00791592" w:rsidRPr="0037646C" w:rsidRDefault="00791592" w:rsidP="00136A32">
      <w:pPr>
        <w:pStyle w:val="Prrafodelista"/>
        <w:widowControl/>
        <w:numPr>
          <w:ilvl w:val="0"/>
          <w:numId w:val="4"/>
        </w:numPr>
        <w:autoSpaceDE w:val="0"/>
        <w:autoSpaceDN w:val="0"/>
        <w:rPr>
          <w:rFonts w:cs="Arial"/>
          <w:color w:val="000000"/>
          <w:szCs w:val="24"/>
        </w:rPr>
      </w:pPr>
      <w:r w:rsidRPr="0037646C">
        <w:rPr>
          <w:rFonts w:cs="Arial"/>
          <w:color w:val="000000"/>
          <w:szCs w:val="24"/>
        </w:rPr>
        <w:t>Ley General de los Derechos de Niñas, Niños y Adolescentes</w:t>
      </w:r>
      <w:r w:rsidR="00E52DC9" w:rsidRPr="00E52DC9">
        <w:rPr>
          <w:rFonts w:cs="Arial"/>
          <w:color w:val="000000"/>
          <w:szCs w:val="24"/>
        </w:rPr>
        <w:t xml:space="preserve"> </w:t>
      </w:r>
      <w:r w:rsidR="00E52DC9">
        <w:rPr>
          <w:rFonts w:cs="Arial"/>
          <w:color w:val="000000"/>
          <w:szCs w:val="24"/>
        </w:rPr>
        <w:t>(México)</w:t>
      </w:r>
      <w:r w:rsidR="00423B9A">
        <w:rPr>
          <w:rFonts w:cs="Arial"/>
          <w:color w:val="000000"/>
          <w:szCs w:val="24"/>
        </w:rPr>
        <w:t>.</w:t>
      </w:r>
    </w:p>
    <w:p w14:paraId="1227AA1F" w14:textId="77777777" w:rsidR="00791592" w:rsidRPr="0037646C" w:rsidRDefault="00791592">
      <w:pPr>
        <w:widowControl/>
        <w:autoSpaceDE w:val="0"/>
        <w:autoSpaceDN w:val="0"/>
        <w:rPr>
          <w:rFonts w:cs="Arial"/>
          <w:color w:val="000000"/>
          <w:szCs w:val="24"/>
        </w:rPr>
      </w:pPr>
    </w:p>
    <w:p w14:paraId="16B61772" w14:textId="5C6500A5" w:rsidR="00791592" w:rsidRDefault="00650E77">
      <w:pPr>
        <w:widowControl/>
        <w:autoSpaceDE w:val="0"/>
        <w:autoSpaceDN w:val="0"/>
        <w:rPr>
          <w:rFonts w:cs="Arial"/>
          <w:color w:val="000000"/>
          <w:szCs w:val="24"/>
        </w:rPr>
      </w:pPr>
      <w:r>
        <w:rPr>
          <w:rFonts w:cs="Arial"/>
          <w:color w:val="000000"/>
          <w:szCs w:val="24"/>
        </w:rPr>
        <w:t>En 2016, e</w:t>
      </w:r>
      <w:r w:rsidR="00791592" w:rsidRPr="0037646C">
        <w:rPr>
          <w:rFonts w:cs="Arial"/>
          <w:color w:val="000000"/>
          <w:szCs w:val="24"/>
        </w:rPr>
        <w:t>l Comité Técnico Especializado de Estadísticas del Trabajo y Previsión Social aprobó la metodología de medición del trabajo infantil.</w:t>
      </w:r>
    </w:p>
    <w:p w14:paraId="7F632E69" w14:textId="77777777" w:rsidR="005711A7" w:rsidRDefault="005711A7">
      <w:pPr>
        <w:widowControl/>
        <w:autoSpaceDE w:val="0"/>
        <w:autoSpaceDN w:val="0"/>
        <w:rPr>
          <w:rFonts w:cs="Arial"/>
          <w:color w:val="000000"/>
          <w:szCs w:val="24"/>
        </w:rPr>
      </w:pPr>
    </w:p>
    <w:p w14:paraId="6767FF5B" w14:textId="77777777" w:rsidR="0034045F" w:rsidRPr="0037646C" w:rsidRDefault="0034045F">
      <w:pPr>
        <w:widowControl/>
        <w:autoSpaceDE w:val="0"/>
        <w:autoSpaceDN w:val="0"/>
        <w:rPr>
          <w:rFonts w:cs="Arial"/>
          <w:color w:val="000000"/>
          <w:szCs w:val="24"/>
        </w:rPr>
      </w:pPr>
    </w:p>
    <w:p w14:paraId="4C75E114" w14:textId="77777777" w:rsidR="00791592" w:rsidRPr="0037646C" w:rsidRDefault="00791592" w:rsidP="00DA1FFF">
      <w:pPr>
        <w:pStyle w:val="Prrafodelista"/>
        <w:widowControl/>
        <w:numPr>
          <w:ilvl w:val="0"/>
          <w:numId w:val="6"/>
        </w:numPr>
        <w:autoSpaceDE w:val="0"/>
        <w:autoSpaceDN w:val="0"/>
        <w:adjustRightInd w:val="0"/>
        <w:ind w:left="567" w:hanging="567"/>
        <w:jc w:val="left"/>
        <w:rPr>
          <w:rFonts w:cs="Arial"/>
          <w:b/>
          <w:bCs/>
          <w:color w:val="000000"/>
          <w:szCs w:val="24"/>
        </w:rPr>
      </w:pPr>
      <w:bookmarkStart w:id="5" w:name="_Toc56509216"/>
      <w:r w:rsidRPr="0037646C">
        <w:rPr>
          <w:rFonts w:cs="Arial"/>
          <w:b/>
          <w:bCs/>
          <w:color w:val="000000"/>
          <w:szCs w:val="24"/>
        </w:rPr>
        <w:t>Objetivo general</w:t>
      </w:r>
      <w:bookmarkEnd w:id="5"/>
    </w:p>
    <w:p w14:paraId="6148A05E" w14:textId="77777777" w:rsidR="00791592" w:rsidRPr="0037646C" w:rsidRDefault="00791592">
      <w:pPr>
        <w:widowControl/>
        <w:autoSpaceDE w:val="0"/>
        <w:autoSpaceDN w:val="0"/>
        <w:rPr>
          <w:rFonts w:cs="Arial"/>
          <w:color w:val="000000"/>
          <w:szCs w:val="24"/>
        </w:rPr>
      </w:pPr>
    </w:p>
    <w:p w14:paraId="3A3D29C3" w14:textId="44D4C6EC" w:rsidR="00791592" w:rsidRDefault="00791592" w:rsidP="005D6ED4">
      <w:pPr>
        <w:widowControl/>
        <w:autoSpaceDE w:val="0"/>
        <w:autoSpaceDN w:val="0"/>
        <w:rPr>
          <w:rFonts w:cs="Arial"/>
          <w:color w:val="000000"/>
          <w:szCs w:val="24"/>
        </w:rPr>
      </w:pPr>
      <w:r w:rsidRPr="0037646C">
        <w:rPr>
          <w:rFonts w:cs="Arial"/>
          <w:color w:val="000000"/>
          <w:szCs w:val="24"/>
        </w:rPr>
        <w:t xml:space="preserve">Ofrecer información actualizada sobre la magnitud del trabajo infantil y las características socioeconómicas y laborales de las niñas y los niños que trabajan y de la </w:t>
      </w:r>
      <w:r w:rsidR="00D92FDD">
        <w:rPr>
          <w:rFonts w:cs="Arial"/>
          <w:color w:val="000000"/>
          <w:szCs w:val="24"/>
        </w:rPr>
        <w:t>población de 5 a 17 años</w:t>
      </w:r>
      <w:r w:rsidRPr="0037646C">
        <w:rPr>
          <w:rFonts w:cs="Arial"/>
          <w:color w:val="000000"/>
          <w:szCs w:val="24"/>
        </w:rPr>
        <w:t xml:space="preserve"> que participa en las actividades domésticas no remuneradas en sus propios hogares</w:t>
      </w:r>
      <w:r w:rsidR="00A839B1">
        <w:rPr>
          <w:rFonts w:cs="Arial"/>
          <w:color w:val="000000"/>
          <w:szCs w:val="24"/>
        </w:rPr>
        <w:t xml:space="preserve">. La finalidad es </w:t>
      </w:r>
      <w:r w:rsidRPr="0037646C">
        <w:rPr>
          <w:rFonts w:cs="Arial"/>
          <w:color w:val="000000"/>
          <w:szCs w:val="24"/>
        </w:rPr>
        <w:t>aportar información para el diseño y seguimiento de las políticas públicas</w:t>
      </w:r>
      <w:r w:rsidR="00310883">
        <w:rPr>
          <w:rFonts w:cs="Arial"/>
          <w:color w:val="000000"/>
          <w:szCs w:val="24"/>
        </w:rPr>
        <w:t xml:space="preserve"> que se orientan</w:t>
      </w:r>
      <w:r w:rsidRPr="0037646C">
        <w:rPr>
          <w:rFonts w:cs="Arial"/>
          <w:color w:val="000000"/>
          <w:szCs w:val="24"/>
        </w:rPr>
        <w:t xml:space="preserve"> a la erradicación del trabajo infantil en el país.</w:t>
      </w:r>
    </w:p>
    <w:p w14:paraId="0A8D8570" w14:textId="77777777" w:rsidR="0034045F" w:rsidRPr="0037646C" w:rsidRDefault="0034045F">
      <w:pPr>
        <w:widowControl/>
        <w:autoSpaceDE w:val="0"/>
        <w:autoSpaceDN w:val="0"/>
        <w:rPr>
          <w:rFonts w:cs="Arial"/>
          <w:color w:val="000000"/>
          <w:szCs w:val="24"/>
        </w:rPr>
      </w:pPr>
    </w:p>
    <w:p w14:paraId="57780218" w14:textId="72C5256B" w:rsidR="00791592" w:rsidRPr="0037646C" w:rsidRDefault="00F53141" w:rsidP="00F14901">
      <w:pPr>
        <w:pStyle w:val="Prrafodelista"/>
        <w:widowControl/>
        <w:autoSpaceDE w:val="0"/>
        <w:autoSpaceDN w:val="0"/>
        <w:adjustRightInd w:val="0"/>
        <w:ind w:left="567"/>
        <w:jc w:val="left"/>
        <w:rPr>
          <w:rFonts w:cs="Arial"/>
          <w:b/>
          <w:bCs/>
          <w:color w:val="000000"/>
          <w:szCs w:val="24"/>
        </w:rPr>
      </w:pPr>
      <w:bookmarkStart w:id="6" w:name="_Toc56509217"/>
      <w:r>
        <w:rPr>
          <w:rFonts w:cs="Arial"/>
          <w:b/>
          <w:bCs/>
          <w:color w:val="000000"/>
          <w:szCs w:val="24"/>
        </w:rPr>
        <w:t xml:space="preserve">2.1 </w:t>
      </w:r>
      <w:r>
        <w:rPr>
          <w:rFonts w:cs="Arial"/>
          <w:b/>
          <w:bCs/>
          <w:color w:val="000000"/>
          <w:szCs w:val="24"/>
        </w:rPr>
        <w:tab/>
      </w:r>
      <w:r w:rsidR="00791592" w:rsidRPr="0037646C">
        <w:rPr>
          <w:rFonts w:cs="Arial"/>
          <w:b/>
          <w:bCs/>
          <w:color w:val="000000"/>
          <w:szCs w:val="24"/>
        </w:rPr>
        <w:t>Objetivos específicos</w:t>
      </w:r>
      <w:bookmarkEnd w:id="6"/>
    </w:p>
    <w:p w14:paraId="31F52DE8" w14:textId="77777777" w:rsidR="00791592" w:rsidRPr="0037646C" w:rsidRDefault="00791592" w:rsidP="001163A2">
      <w:pPr>
        <w:pStyle w:val="Prrafodelista"/>
        <w:widowControl/>
        <w:autoSpaceDE w:val="0"/>
        <w:autoSpaceDN w:val="0"/>
        <w:rPr>
          <w:rFonts w:cs="Arial"/>
          <w:color w:val="000000"/>
          <w:szCs w:val="24"/>
        </w:rPr>
      </w:pPr>
    </w:p>
    <w:p w14:paraId="25EEF94C" w14:textId="77777777" w:rsidR="00791592" w:rsidRPr="0037646C" w:rsidRDefault="00791592" w:rsidP="00136A32">
      <w:pPr>
        <w:pStyle w:val="Prrafodelista"/>
        <w:widowControl/>
        <w:numPr>
          <w:ilvl w:val="0"/>
          <w:numId w:val="7"/>
        </w:numPr>
        <w:autoSpaceDE w:val="0"/>
        <w:autoSpaceDN w:val="0"/>
        <w:rPr>
          <w:rFonts w:cs="Arial"/>
          <w:color w:val="000000"/>
          <w:szCs w:val="24"/>
        </w:rPr>
      </w:pPr>
      <w:r w:rsidRPr="0037646C">
        <w:rPr>
          <w:rFonts w:cs="Arial"/>
          <w:color w:val="000000"/>
          <w:szCs w:val="24"/>
        </w:rPr>
        <w:t>Determinar la magnitud, características, causas y consecuencias de la participación de niñas y niños de 5 a 17 años en distintas formas de trabajo (económicas y no económicas).</w:t>
      </w:r>
    </w:p>
    <w:p w14:paraId="5BDE8E2F" w14:textId="77777777" w:rsidR="00791592" w:rsidRPr="0037646C" w:rsidRDefault="00791592" w:rsidP="00136A32">
      <w:pPr>
        <w:pStyle w:val="Prrafodelista"/>
        <w:widowControl/>
        <w:numPr>
          <w:ilvl w:val="0"/>
          <w:numId w:val="7"/>
        </w:numPr>
        <w:autoSpaceDE w:val="0"/>
        <w:autoSpaceDN w:val="0"/>
        <w:rPr>
          <w:rFonts w:cs="Arial"/>
          <w:color w:val="000000"/>
          <w:szCs w:val="24"/>
        </w:rPr>
      </w:pPr>
      <w:r w:rsidRPr="0037646C">
        <w:rPr>
          <w:rFonts w:cs="Arial"/>
          <w:color w:val="000000"/>
          <w:szCs w:val="24"/>
        </w:rPr>
        <w:t>Hacer operables las definiciones legales de trabajo infantil y trabajo peligroso en indicadores estadísticos.</w:t>
      </w:r>
    </w:p>
    <w:p w14:paraId="0401760C" w14:textId="31610C59" w:rsidR="00791592" w:rsidRPr="0037646C" w:rsidRDefault="00791592" w:rsidP="00136A32">
      <w:pPr>
        <w:pStyle w:val="Prrafodelista"/>
        <w:widowControl/>
        <w:numPr>
          <w:ilvl w:val="0"/>
          <w:numId w:val="7"/>
        </w:numPr>
        <w:autoSpaceDE w:val="0"/>
        <w:autoSpaceDN w:val="0"/>
        <w:rPr>
          <w:rFonts w:cs="Arial"/>
          <w:color w:val="000000"/>
          <w:szCs w:val="24"/>
        </w:rPr>
      </w:pPr>
      <w:r w:rsidRPr="0037646C">
        <w:rPr>
          <w:rFonts w:cs="Arial"/>
          <w:color w:val="000000"/>
          <w:szCs w:val="24"/>
        </w:rPr>
        <w:lastRenderedPageBreak/>
        <w:t>Determinar la prevalencia del trabajo en la ocupación, el trabajo infantil, el trabajo peligroso, los servicios domésticos no remunerados en el propio hogar y en los servicios domésticos no remunerados peligrosos y sus características.</w:t>
      </w:r>
    </w:p>
    <w:p w14:paraId="471A5D16" w14:textId="77777777" w:rsidR="00791592" w:rsidRPr="0037646C" w:rsidRDefault="00791592" w:rsidP="00136A32">
      <w:pPr>
        <w:pStyle w:val="Prrafodelista"/>
        <w:widowControl/>
        <w:numPr>
          <w:ilvl w:val="0"/>
          <w:numId w:val="7"/>
        </w:numPr>
        <w:autoSpaceDE w:val="0"/>
        <w:autoSpaceDN w:val="0"/>
        <w:rPr>
          <w:rFonts w:cs="Arial"/>
          <w:color w:val="000000"/>
          <w:szCs w:val="24"/>
        </w:rPr>
      </w:pPr>
      <w:r w:rsidRPr="0037646C">
        <w:rPr>
          <w:rFonts w:cs="Arial"/>
          <w:color w:val="000000"/>
          <w:szCs w:val="24"/>
        </w:rPr>
        <w:t>Evaluar la participación de niñas y niños y adolescentes de 5 a 17 años en una o más actividades simultáneamente: actividades económicas, asistencia escolar y quehaceres domésticos.</w:t>
      </w:r>
    </w:p>
    <w:p w14:paraId="5971EDB5" w14:textId="01F9F7EF" w:rsidR="00791592" w:rsidRPr="0037646C" w:rsidRDefault="00791592" w:rsidP="00136A32">
      <w:pPr>
        <w:pStyle w:val="Prrafodelista"/>
        <w:widowControl/>
        <w:numPr>
          <w:ilvl w:val="0"/>
          <w:numId w:val="7"/>
        </w:numPr>
        <w:autoSpaceDE w:val="0"/>
        <w:autoSpaceDN w:val="0"/>
        <w:rPr>
          <w:rFonts w:cs="Arial"/>
          <w:color w:val="000000"/>
          <w:szCs w:val="24"/>
        </w:rPr>
      </w:pPr>
      <w:r w:rsidRPr="0037646C">
        <w:rPr>
          <w:rFonts w:cs="Arial"/>
          <w:color w:val="000000"/>
          <w:szCs w:val="24"/>
        </w:rPr>
        <w:t>Recopilar información</w:t>
      </w:r>
      <w:r w:rsidR="006C104F">
        <w:rPr>
          <w:rFonts w:cs="Arial"/>
          <w:color w:val="000000"/>
          <w:szCs w:val="24"/>
        </w:rPr>
        <w:t xml:space="preserve"> de</w:t>
      </w:r>
      <w:r w:rsidRPr="0037646C">
        <w:rPr>
          <w:rFonts w:cs="Arial"/>
          <w:color w:val="000000"/>
          <w:szCs w:val="24"/>
        </w:rPr>
        <w:t xml:space="preserve"> las características ocupacionales y condiciones laborales de la </w:t>
      </w:r>
      <w:r w:rsidR="00D92FDD">
        <w:rPr>
          <w:rFonts w:cs="Arial"/>
          <w:color w:val="000000"/>
          <w:szCs w:val="24"/>
        </w:rPr>
        <w:t>población</w:t>
      </w:r>
      <w:r w:rsidR="004335FF">
        <w:rPr>
          <w:rFonts w:cs="Arial"/>
          <w:color w:val="000000"/>
          <w:szCs w:val="24"/>
        </w:rPr>
        <w:t xml:space="preserve"> ocupada</w:t>
      </w:r>
      <w:r w:rsidR="00D92FDD">
        <w:rPr>
          <w:rFonts w:cs="Arial"/>
          <w:color w:val="000000"/>
          <w:szCs w:val="24"/>
        </w:rPr>
        <w:t xml:space="preserve"> de 5 a 17 años</w:t>
      </w:r>
      <w:r w:rsidRPr="0037646C">
        <w:rPr>
          <w:rFonts w:cs="Arial"/>
          <w:color w:val="000000"/>
          <w:szCs w:val="24"/>
        </w:rPr>
        <w:t>: industria</w:t>
      </w:r>
      <w:r w:rsidR="006F3F26">
        <w:rPr>
          <w:rFonts w:cs="Arial"/>
          <w:color w:val="000000"/>
          <w:szCs w:val="24"/>
        </w:rPr>
        <w:t>,</w:t>
      </w:r>
      <w:r w:rsidRPr="0037646C">
        <w:rPr>
          <w:rFonts w:cs="Arial"/>
          <w:color w:val="000000"/>
          <w:szCs w:val="24"/>
        </w:rPr>
        <w:t xml:space="preserve"> situación en la ocupación</w:t>
      </w:r>
      <w:r w:rsidR="006F3F26">
        <w:rPr>
          <w:rFonts w:cs="Arial"/>
          <w:color w:val="000000"/>
          <w:szCs w:val="24"/>
        </w:rPr>
        <w:t>,</w:t>
      </w:r>
      <w:r w:rsidRPr="0037646C">
        <w:rPr>
          <w:rFonts w:cs="Arial"/>
          <w:color w:val="000000"/>
          <w:szCs w:val="24"/>
        </w:rPr>
        <w:t xml:space="preserve"> grupos de ocupación</w:t>
      </w:r>
      <w:r w:rsidR="006F3F26">
        <w:rPr>
          <w:rFonts w:cs="Arial"/>
          <w:color w:val="000000"/>
          <w:szCs w:val="24"/>
        </w:rPr>
        <w:t>,</w:t>
      </w:r>
      <w:r w:rsidRPr="0037646C">
        <w:rPr>
          <w:rFonts w:cs="Arial"/>
          <w:color w:val="000000"/>
          <w:szCs w:val="24"/>
        </w:rPr>
        <w:t xml:space="preserve"> horas de trabajo</w:t>
      </w:r>
      <w:r w:rsidR="006F3F26">
        <w:rPr>
          <w:rFonts w:cs="Arial"/>
          <w:color w:val="000000"/>
          <w:szCs w:val="24"/>
        </w:rPr>
        <w:t>,</w:t>
      </w:r>
      <w:r w:rsidRPr="0037646C">
        <w:rPr>
          <w:rFonts w:cs="Arial"/>
          <w:color w:val="000000"/>
          <w:szCs w:val="24"/>
        </w:rPr>
        <w:t xml:space="preserve"> entre otras.</w:t>
      </w:r>
    </w:p>
    <w:p w14:paraId="02B914FF" w14:textId="0D95BAB6" w:rsidR="00791592" w:rsidRDefault="00791592" w:rsidP="00136A32">
      <w:pPr>
        <w:pStyle w:val="Prrafodelista"/>
        <w:widowControl/>
        <w:numPr>
          <w:ilvl w:val="0"/>
          <w:numId w:val="7"/>
        </w:numPr>
        <w:autoSpaceDE w:val="0"/>
        <w:autoSpaceDN w:val="0"/>
        <w:ind w:left="714" w:hanging="357"/>
        <w:rPr>
          <w:rFonts w:cs="Arial"/>
          <w:color w:val="000000"/>
          <w:szCs w:val="24"/>
        </w:rPr>
      </w:pPr>
      <w:r w:rsidRPr="0037646C">
        <w:rPr>
          <w:rFonts w:cs="Arial"/>
          <w:color w:val="000000"/>
          <w:szCs w:val="24"/>
        </w:rPr>
        <w:t xml:space="preserve">Captar información sobre las características de las viviendas </w:t>
      </w:r>
      <w:r w:rsidR="00AE5EEB">
        <w:rPr>
          <w:rFonts w:cs="Arial"/>
          <w:color w:val="000000"/>
          <w:szCs w:val="24"/>
        </w:rPr>
        <w:t xml:space="preserve">en las </w:t>
      </w:r>
      <w:r w:rsidRPr="0037646C">
        <w:rPr>
          <w:rFonts w:cs="Arial"/>
          <w:color w:val="000000"/>
          <w:szCs w:val="24"/>
        </w:rPr>
        <w:t xml:space="preserve">que habita </w:t>
      </w:r>
      <w:r w:rsidR="00D92FDD">
        <w:rPr>
          <w:rFonts w:cs="Arial"/>
          <w:color w:val="000000"/>
          <w:szCs w:val="24"/>
        </w:rPr>
        <w:t>población de 5 a 17 años</w:t>
      </w:r>
      <w:r w:rsidRPr="0037646C">
        <w:rPr>
          <w:rFonts w:cs="Arial"/>
          <w:color w:val="000000"/>
          <w:szCs w:val="24"/>
        </w:rPr>
        <w:t xml:space="preserve"> y datos complementarios de los hogares.</w:t>
      </w:r>
    </w:p>
    <w:p w14:paraId="4934C476" w14:textId="77777777" w:rsidR="0034045F" w:rsidRPr="0037646C" w:rsidRDefault="0034045F" w:rsidP="009E43F3">
      <w:pPr>
        <w:widowControl/>
        <w:autoSpaceDE w:val="0"/>
        <w:autoSpaceDN w:val="0"/>
        <w:rPr>
          <w:rFonts w:cs="Arial"/>
          <w:color w:val="000000"/>
          <w:szCs w:val="24"/>
        </w:rPr>
      </w:pPr>
    </w:p>
    <w:p w14:paraId="3C139AB9" w14:textId="77777777" w:rsidR="00791592" w:rsidRPr="0037646C" w:rsidRDefault="00791592" w:rsidP="00F14901">
      <w:pPr>
        <w:pStyle w:val="Prrafodelista"/>
        <w:widowControl/>
        <w:numPr>
          <w:ilvl w:val="0"/>
          <w:numId w:val="6"/>
        </w:numPr>
        <w:autoSpaceDE w:val="0"/>
        <w:autoSpaceDN w:val="0"/>
        <w:adjustRightInd w:val="0"/>
        <w:ind w:left="567" w:hanging="567"/>
        <w:jc w:val="left"/>
        <w:rPr>
          <w:rFonts w:cs="Arial"/>
          <w:b/>
          <w:bCs/>
          <w:color w:val="000000"/>
          <w:szCs w:val="24"/>
        </w:rPr>
      </w:pPr>
      <w:bookmarkStart w:id="7" w:name="_Toc56509218"/>
      <w:r w:rsidRPr="0037646C">
        <w:rPr>
          <w:rFonts w:cs="Arial"/>
          <w:b/>
          <w:bCs/>
          <w:color w:val="000000"/>
          <w:szCs w:val="24"/>
        </w:rPr>
        <w:t>Población de estudio</w:t>
      </w:r>
      <w:bookmarkEnd w:id="7"/>
    </w:p>
    <w:p w14:paraId="5723760F" w14:textId="77777777" w:rsidR="00791592" w:rsidRPr="0037646C" w:rsidRDefault="00791592" w:rsidP="009E43F3">
      <w:pPr>
        <w:widowControl/>
        <w:autoSpaceDE w:val="0"/>
        <w:autoSpaceDN w:val="0"/>
        <w:rPr>
          <w:rFonts w:cs="Arial"/>
          <w:color w:val="000000"/>
          <w:szCs w:val="24"/>
        </w:rPr>
      </w:pPr>
    </w:p>
    <w:p w14:paraId="067508E6" w14:textId="496C45E2" w:rsidR="00791592" w:rsidRPr="0037646C" w:rsidRDefault="00791592" w:rsidP="009E43F3">
      <w:pPr>
        <w:widowControl/>
        <w:autoSpaceDE w:val="0"/>
        <w:autoSpaceDN w:val="0"/>
        <w:rPr>
          <w:rFonts w:cs="Arial"/>
          <w:color w:val="000000"/>
          <w:szCs w:val="24"/>
        </w:rPr>
      </w:pPr>
      <w:r w:rsidRPr="0037646C">
        <w:rPr>
          <w:rFonts w:cs="Arial"/>
          <w:color w:val="000000"/>
          <w:szCs w:val="24"/>
        </w:rPr>
        <w:t>Población de 5 a 17 años</w:t>
      </w:r>
      <w:r w:rsidR="00194C9C">
        <w:rPr>
          <w:rFonts w:cs="Arial"/>
          <w:color w:val="000000"/>
          <w:szCs w:val="24"/>
        </w:rPr>
        <w:t>.</w:t>
      </w:r>
    </w:p>
    <w:p w14:paraId="269669E4" w14:textId="77777777" w:rsidR="00406C40" w:rsidRPr="0037646C" w:rsidRDefault="00406C40" w:rsidP="009E43F3">
      <w:pPr>
        <w:widowControl/>
        <w:autoSpaceDE w:val="0"/>
        <w:autoSpaceDN w:val="0"/>
        <w:rPr>
          <w:rFonts w:cs="Arial"/>
          <w:color w:val="000000"/>
          <w:szCs w:val="24"/>
        </w:rPr>
      </w:pPr>
    </w:p>
    <w:p w14:paraId="6F158C47" w14:textId="77777777" w:rsidR="00791592" w:rsidRPr="00F14901" w:rsidRDefault="00791592" w:rsidP="00F14901">
      <w:pPr>
        <w:pStyle w:val="Prrafodelista"/>
        <w:widowControl/>
        <w:numPr>
          <w:ilvl w:val="0"/>
          <w:numId w:val="6"/>
        </w:numPr>
        <w:autoSpaceDE w:val="0"/>
        <w:autoSpaceDN w:val="0"/>
        <w:adjustRightInd w:val="0"/>
        <w:ind w:left="567" w:hanging="567"/>
        <w:jc w:val="left"/>
        <w:rPr>
          <w:rFonts w:cs="Arial"/>
          <w:b/>
          <w:bCs/>
          <w:color w:val="000000"/>
          <w:szCs w:val="24"/>
        </w:rPr>
      </w:pPr>
      <w:bookmarkStart w:id="8" w:name="_Toc56509219"/>
      <w:r w:rsidRPr="00F14901">
        <w:rPr>
          <w:rFonts w:cs="Arial"/>
          <w:b/>
          <w:bCs/>
          <w:color w:val="000000"/>
          <w:szCs w:val="24"/>
        </w:rPr>
        <w:t>Informante de la encuesta</w:t>
      </w:r>
      <w:bookmarkEnd w:id="8"/>
    </w:p>
    <w:p w14:paraId="28B37FB3" w14:textId="77777777" w:rsidR="00791592" w:rsidRPr="0037646C" w:rsidRDefault="00791592" w:rsidP="009E43F3">
      <w:pPr>
        <w:widowControl/>
        <w:autoSpaceDE w:val="0"/>
        <w:autoSpaceDN w:val="0"/>
        <w:rPr>
          <w:rFonts w:cs="Arial"/>
          <w:color w:val="000000"/>
          <w:szCs w:val="24"/>
        </w:rPr>
      </w:pPr>
    </w:p>
    <w:p w14:paraId="0936ABE8" w14:textId="6EB7678C" w:rsidR="00791592" w:rsidRDefault="00614125" w:rsidP="009E43F3">
      <w:pPr>
        <w:widowControl/>
        <w:autoSpaceDE w:val="0"/>
        <w:autoSpaceDN w:val="0"/>
        <w:rPr>
          <w:rFonts w:cs="Arial"/>
          <w:color w:val="000000"/>
          <w:szCs w:val="24"/>
        </w:rPr>
      </w:pPr>
      <w:r>
        <w:rPr>
          <w:rFonts w:cs="Arial"/>
          <w:color w:val="000000"/>
          <w:szCs w:val="24"/>
        </w:rPr>
        <w:t>En general, fue el j</w:t>
      </w:r>
      <w:r w:rsidR="00791592" w:rsidRPr="0037646C">
        <w:rPr>
          <w:rFonts w:cs="Arial"/>
          <w:color w:val="000000"/>
          <w:szCs w:val="24"/>
        </w:rPr>
        <w:t>efe o jefa del hogar</w:t>
      </w:r>
      <w:r>
        <w:rPr>
          <w:rFonts w:cs="Arial"/>
          <w:color w:val="000000"/>
          <w:szCs w:val="24"/>
        </w:rPr>
        <w:t xml:space="preserve">. En </w:t>
      </w:r>
      <w:r w:rsidR="00791592" w:rsidRPr="0037646C">
        <w:rPr>
          <w:rFonts w:cs="Arial"/>
          <w:color w:val="000000"/>
          <w:szCs w:val="24"/>
        </w:rPr>
        <w:t xml:space="preserve">el caso de </w:t>
      </w:r>
      <w:r>
        <w:rPr>
          <w:rFonts w:cs="Arial"/>
          <w:color w:val="000000"/>
          <w:szCs w:val="24"/>
        </w:rPr>
        <w:t xml:space="preserve">las y </w:t>
      </w:r>
      <w:r w:rsidR="00791592" w:rsidRPr="0037646C">
        <w:rPr>
          <w:rFonts w:cs="Arial"/>
          <w:color w:val="000000"/>
          <w:szCs w:val="24"/>
        </w:rPr>
        <w:t xml:space="preserve">los adolescentes de 15 a 17 años, </w:t>
      </w:r>
      <w:r>
        <w:rPr>
          <w:rFonts w:cs="Arial"/>
          <w:color w:val="000000"/>
          <w:szCs w:val="24"/>
        </w:rPr>
        <w:t xml:space="preserve">respondieron </w:t>
      </w:r>
      <w:r w:rsidR="00791592" w:rsidRPr="0037646C">
        <w:rPr>
          <w:rFonts w:cs="Arial"/>
          <w:color w:val="000000"/>
          <w:szCs w:val="24"/>
        </w:rPr>
        <w:t>con el permiso de sus padres o tutores</w:t>
      </w:r>
      <w:r w:rsidR="00194C9C">
        <w:rPr>
          <w:rFonts w:cs="Arial"/>
          <w:color w:val="000000"/>
          <w:szCs w:val="24"/>
        </w:rPr>
        <w:t>.</w:t>
      </w:r>
    </w:p>
    <w:p w14:paraId="6E334E55" w14:textId="77777777" w:rsidR="0034045F" w:rsidRPr="0037646C" w:rsidRDefault="0034045F" w:rsidP="009E43F3">
      <w:pPr>
        <w:widowControl/>
        <w:autoSpaceDE w:val="0"/>
        <w:autoSpaceDN w:val="0"/>
        <w:rPr>
          <w:rFonts w:cs="Arial"/>
          <w:color w:val="000000"/>
          <w:szCs w:val="24"/>
        </w:rPr>
      </w:pPr>
    </w:p>
    <w:p w14:paraId="31F01CA9" w14:textId="77777777" w:rsidR="00791592" w:rsidRPr="0037646C" w:rsidRDefault="00791592" w:rsidP="00F14901">
      <w:pPr>
        <w:pStyle w:val="Prrafodelista"/>
        <w:widowControl/>
        <w:numPr>
          <w:ilvl w:val="0"/>
          <w:numId w:val="6"/>
        </w:numPr>
        <w:autoSpaceDE w:val="0"/>
        <w:autoSpaceDN w:val="0"/>
        <w:adjustRightInd w:val="0"/>
        <w:ind w:left="567" w:hanging="567"/>
        <w:jc w:val="left"/>
        <w:rPr>
          <w:rFonts w:cs="Arial"/>
          <w:b/>
          <w:bCs/>
          <w:color w:val="000000"/>
          <w:szCs w:val="24"/>
        </w:rPr>
      </w:pPr>
      <w:bookmarkStart w:id="9" w:name="_Toc56509220"/>
      <w:r w:rsidRPr="0037646C">
        <w:rPr>
          <w:rFonts w:cs="Arial"/>
          <w:b/>
          <w:bCs/>
          <w:color w:val="000000"/>
          <w:szCs w:val="24"/>
        </w:rPr>
        <w:t>Instrumentos de captación</w:t>
      </w:r>
      <w:bookmarkEnd w:id="9"/>
    </w:p>
    <w:p w14:paraId="6388599B" w14:textId="77777777" w:rsidR="00791592" w:rsidRPr="0037646C" w:rsidRDefault="00791592">
      <w:pPr>
        <w:widowControl/>
        <w:autoSpaceDE w:val="0"/>
        <w:autoSpaceDN w:val="0"/>
        <w:rPr>
          <w:rFonts w:cs="Arial"/>
          <w:color w:val="000000"/>
          <w:szCs w:val="24"/>
        </w:rPr>
      </w:pPr>
    </w:p>
    <w:p w14:paraId="00E283D4" w14:textId="77777777" w:rsidR="00791592" w:rsidRPr="0037646C" w:rsidRDefault="00791592">
      <w:pPr>
        <w:widowControl/>
        <w:autoSpaceDE w:val="0"/>
        <w:autoSpaceDN w:val="0"/>
        <w:rPr>
          <w:rFonts w:cs="Arial"/>
          <w:color w:val="000000"/>
          <w:szCs w:val="24"/>
        </w:rPr>
      </w:pPr>
      <w:r w:rsidRPr="0037646C">
        <w:rPr>
          <w:rFonts w:cs="Arial"/>
          <w:color w:val="000000"/>
          <w:szCs w:val="24"/>
        </w:rPr>
        <w:t>Los cuestionarios utilizados fueron los siguientes:</w:t>
      </w:r>
    </w:p>
    <w:p w14:paraId="0CE7FA71" w14:textId="77777777" w:rsidR="00791592" w:rsidRPr="0037646C" w:rsidRDefault="00791592">
      <w:pPr>
        <w:widowControl/>
        <w:autoSpaceDE w:val="0"/>
        <w:autoSpaceDN w:val="0"/>
        <w:rPr>
          <w:rFonts w:cs="Arial"/>
          <w:color w:val="000000"/>
          <w:szCs w:val="24"/>
        </w:rPr>
      </w:pPr>
    </w:p>
    <w:p w14:paraId="3A7F6ACA" w14:textId="1032E2FF" w:rsidR="00791592" w:rsidRPr="0037646C" w:rsidRDefault="00791592" w:rsidP="00136A32">
      <w:pPr>
        <w:pStyle w:val="Prrafodelista"/>
        <w:widowControl/>
        <w:numPr>
          <w:ilvl w:val="0"/>
          <w:numId w:val="8"/>
        </w:numPr>
        <w:autoSpaceDE w:val="0"/>
        <w:autoSpaceDN w:val="0"/>
        <w:rPr>
          <w:rFonts w:cs="Arial"/>
          <w:color w:val="000000"/>
          <w:szCs w:val="24"/>
        </w:rPr>
      </w:pPr>
      <w:r w:rsidRPr="0037646C">
        <w:rPr>
          <w:rFonts w:cs="Arial"/>
          <w:color w:val="000000"/>
          <w:szCs w:val="24"/>
        </w:rPr>
        <w:t>Cuestionario Sociodemográfico (CS). Todos los integrantes de la vivienda</w:t>
      </w:r>
      <w:r w:rsidR="00780CE7">
        <w:rPr>
          <w:rFonts w:cs="Arial"/>
          <w:color w:val="000000"/>
          <w:szCs w:val="24"/>
        </w:rPr>
        <w:t>.</w:t>
      </w:r>
    </w:p>
    <w:p w14:paraId="45308D07" w14:textId="340A6882" w:rsidR="00791592" w:rsidRPr="0037646C" w:rsidRDefault="00791592" w:rsidP="00136A32">
      <w:pPr>
        <w:pStyle w:val="Prrafodelista"/>
        <w:widowControl/>
        <w:numPr>
          <w:ilvl w:val="0"/>
          <w:numId w:val="8"/>
        </w:numPr>
        <w:autoSpaceDE w:val="0"/>
        <w:autoSpaceDN w:val="0"/>
        <w:rPr>
          <w:rFonts w:cs="Arial"/>
          <w:color w:val="000000"/>
          <w:szCs w:val="24"/>
        </w:rPr>
      </w:pPr>
      <w:r w:rsidRPr="0037646C">
        <w:rPr>
          <w:rFonts w:cs="Arial"/>
          <w:color w:val="000000"/>
          <w:szCs w:val="24"/>
        </w:rPr>
        <w:t>Cuestionario de Ocupación y Empleo (COE). Personas de 12 y más años</w:t>
      </w:r>
      <w:r w:rsidR="00780CE7">
        <w:rPr>
          <w:rFonts w:cs="Arial"/>
          <w:color w:val="000000"/>
          <w:szCs w:val="24"/>
        </w:rPr>
        <w:t>.</w:t>
      </w:r>
    </w:p>
    <w:p w14:paraId="729F2C31" w14:textId="78ED9614" w:rsidR="00791592" w:rsidRPr="0037646C" w:rsidRDefault="00791592" w:rsidP="00136A32">
      <w:pPr>
        <w:pStyle w:val="Prrafodelista"/>
        <w:widowControl/>
        <w:numPr>
          <w:ilvl w:val="0"/>
          <w:numId w:val="8"/>
        </w:numPr>
        <w:autoSpaceDE w:val="0"/>
        <w:autoSpaceDN w:val="0"/>
        <w:rPr>
          <w:rFonts w:cs="Arial"/>
          <w:color w:val="000000"/>
          <w:szCs w:val="24"/>
        </w:rPr>
      </w:pPr>
      <w:r w:rsidRPr="0037646C">
        <w:rPr>
          <w:rFonts w:cs="Arial"/>
          <w:color w:val="000000"/>
          <w:szCs w:val="24"/>
        </w:rPr>
        <w:t>Cuestionario de actividades de 5 a 11 años</w:t>
      </w:r>
      <w:r w:rsidR="00780CE7">
        <w:rPr>
          <w:rFonts w:cs="Arial"/>
          <w:color w:val="000000"/>
          <w:szCs w:val="24"/>
        </w:rPr>
        <w:t>.</w:t>
      </w:r>
    </w:p>
    <w:p w14:paraId="5F6F4E28" w14:textId="4DA36E1B" w:rsidR="00791592" w:rsidRPr="0037646C" w:rsidRDefault="00791592" w:rsidP="00136A32">
      <w:pPr>
        <w:pStyle w:val="Prrafodelista"/>
        <w:widowControl/>
        <w:numPr>
          <w:ilvl w:val="0"/>
          <w:numId w:val="8"/>
        </w:numPr>
        <w:autoSpaceDE w:val="0"/>
        <w:autoSpaceDN w:val="0"/>
        <w:rPr>
          <w:rFonts w:cs="Arial"/>
          <w:color w:val="000000"/>
          <w:szCs w:val="24"/>
        </w:rPr>
      </w:pPr>
      <w:r w:rsidRPr="0037646C">
        <w:rPr>
          <w:rFonts w:cs="Arial"/>
          <w:color w:val="000000"/>
          <w:szCs w:val="24"/>
        </w:rPr>
        <w:t>Cuestionario de actividades de 12 a 17 años</w:t>
      </w:r>
      <w:r w:rsidR="00780CE7">
        <w:rPr>
          <w:rFonts w:cs="Arial"/>
          <w:color w:val="000000"/>
          <w:szCs w:val="24"/>
        </w:rPr>
        <w:t>.</w:t>
      </w:r>
    </w:p>
    <w:p w14:paraId="665C158A" w14:textId="2AF106B3" w:rsidR="005D6ED4" w:rsidRPr="00406C40" w:rsidRDefault="00791592" w:rsidP="00406C40">
      <w:pPr>
        <w:pStyle w:val="Prrafodelista"/>
        <w:widowControl/>
        <w:numPr>
          <w:ilvl w:val="0"/>
          <w:numId w:val="8"/>
        </w:numPr>
        <w:autoSpaceDE w:val="0"/>
        <w:autoSpaceDN w:val="0"/>
        <w:rPr>
          <w:rFonts w:cs="Arial"/>
          <w:color w:val="000000"/>
          <w:szCs w:val="24"/>
        </w:rPr>
      </w:pPr>
      <w:r w:rsidRPr="0037646C">
        <w:rPr>
          <w:rFonts w:cs="Arial"/>
          <w:color w:val="000000"/>
          <w:szCs w:val="24"/>
        </w:rPr>
        <w:t>Cuestionario complementario de hogares</w:t>
      </w:r>
      <w:r w:rsidR="00780CE7">
        <w:rPr>
          <w:rFonts w:cs="Arial"/>
          <w:color w:val="000000"/>
          <w:szCs w:val="24"/>
        </w:rPr>
        <w:t>.</w:t>
      </w:r>
    </w:p>
    <w:p w14:paraId="19C58D8E" w14:textId="77777777" w:rsidR="005A4B9B" w:rsidRDefault="005A4B9B" w:rsidP="00A63430">
      <w:pPr>
        <w:widowControl/>
        <w:autoSpaceDE w:val="0"/>
        <w:autoSpaceDN w:val="0"/>
        <w:rPr>
          <w:rFonts w:cs="Arial"/>
          <w:color w:val="000000"/>
          <w:szCs w:val="24"/>
        </w:rPr>
      </w:pPr>
    </w:p>
    <w:p w14:paraId="5C026C94" w14:textId="77777777" w:rsidR="003353B8" w:rsidRPr="00A63430" w:rsidRDefault="003353B8" w:rsidP="00A63430">
      <w:pPr>
        <w:widowControl/>
        <w:autoSpaceDE w:val="0"/>
        <w:autoSpaceDN w:val="0"/>
        <w:rPr>
          <w:rFonts w:cs="Arial"/>
          <w:color w:val="000000"/>
          <w:szCs w:val="24"/>
        </w:rPr>
      </w:pPr>
    </w:p>
    <w:p w14:paraId="6BEEFBEF" w14:textId="20A3785B" w:rsidR="00791592" w:rsidRPr="00406C40" w:rsidRDefault="00791592" w:rsidP="00F14901">
      <w:pPr>
        <w:pStyle w:val="Prrafodelista"/>
        <w:widowControl/>
        <w:numPr>
          <w:ilvl w:val="0"/>
          <w:numId w:val="6"/>
        </w:numPr>
        <w:autoSpaceDE w:val="0"/>
        <w:autoSpaceDN w:val="0"/>
        <w:adjustRightInd w:val="0"/>
        <w:ind w:left="567" w:hanging="567"/>
        <w:jc w:val="left"/>
        <w:rPr>
          <w:rFonts w:cs="Arial"/>
          <w:b/>
          <w:bCs/>
          <w:color w:val="000000"/>
          <w:szCs w:val="24"/>
        </w:rPr>
      </w:pPr>
      <w:bookmarkStart w:id="10" w:name="_Toc56509221"/>
      <w:r w:rsidRPr="0037646C">
        <w:rPr>
          <w:rFonts w:cs="Arial"/>
          <w:b/>
          <w:bCs/>
          <w:color w:val="000000"/>
          <w:szCs w:val="24"/>
        </w:rPr>
        <w:t>Temática de la encuesta</w:t>
      </w:r>
      <w:bookmarkEnd w:id="10"/>
    </w:p>
    <w:p w14:paraId="6F2F066F" w14:textId="77777777" w:rsidR="00406C40" w:rsidRDefault="00406C40" w:rsidP="009E43F3">
      <w:pPr>
        <w:widowControl/>
        <w:tabs>
          <w:tab w:val="left" w:pos="3261"/>
        </w:tabs>
        <w:autoSpaceDE w:val="0"/>
        <w:autoSpaceDN w:val="0"/>
        <w:rPr>
          <w:rFonts w:cs="Arial"/>
          <w:b/>
          <w:color w:val="000000"/>
          <w:szCs w:val="24"/>
        </w:rPr>
      </w:pPr>
    </w:p>
    <w:tbl>
      <w:tblPr>
        <w:tblW w:w="9776" w:type="dxa"/>
        <w:tblBorders>
          <w:top w:val="single" w:sz="4" w:space="0" w:color="338B99"/>
          <w:left w:val="single" w:sz="4" w:space="0" w:color="338B99"/>
          <w:bottom w:val="single" w:sz="4" w:space="0" w:color="338B99"/>
          <w:right w:val="single" w:sz="4" w:space="0" w:color="338B99"/>
          <w:insideH w:val="single" w:sz="4" w:space="0" w:color="338B99"/>
          <w:insideV w:val="single" w:sz="4" w:space="0" w:color="338B99"/>
        </w:tblBorders>
        <w:tblCellMar>
          <w:left w:w="70" w:type="dxa"/>
          <w:right w:w="70" w:type="dxa"/>
        </w:tblCellMar>
        <w:tblLook w:val="04A0" w:firstRow="1" w:lastRow="0" w:firstColumn="1" w:lastColumn="0" w:noHBand="0" w:noVBand="1"/>
      </w:tblPr>
      <w:tblGrid>
        <w:gridCol w:w="2799"/>
        <w:gridCol w:w="6977"/>
      </w:tblGrid>
      <w:tr w:rsidR="00660057" w:rsidRPr="00F73D1B" w14:paraId="16964429" w14:textId="77777777" w:rsidTr="00562DA7">
        <w:trPr>
          <w:trHeight w:val="302"/>
        </w:trPr>
        <w:tc>
          <w:tcPr>
            <w:tcW w:w="2799" w:type="dxa"/>
            <w:shd w:val="clear" w:color="auto" w:fill="338B99"/>
            <w:vAlign w:val="center"/>
            <w:hideMark/>
          </w:tcPr>
          <w:p w14:paraId="61B83F2C" w14:textId="77777777" w:rsidR="00660057" w:rsidRPr="00F73D1B" w:rsidRDefault="00660057" w:rsidP="00562DA7">
            <w:pPr>
              <w:widowControl/>
              <w:jc w:val="center"/>
              <w:rPr>
                <w:rFonts w:cs="Arial"/>
                <w:b/>
                <w:bCs/>
                <w:color w:val="000000" w:themeColor="text1"/>
                <w:szCs w:val="24"/>
                <w:lang w:eastAsia="es-MX"/>
              </w:rPr>
            </w:pPr>
            <w:r w:rsidRPr="00F73D1B">
              <w:rPr>
                <w:rFonts w:cs="Arial"/>
                <w:b/>
                <w:bCs/>
                <w:color w:val="000000" w:themeColor="text1"/>
                <w:szCs w:val="24"/>
                <w:lang w:eastAsia="es-MX"/>
              </w:rPr>
              <w:t>Tema</w:t>
            </w:r>
          </w:p>
        </w:tc>
        <w:tc>
          <w:tcPr>
            <w:tcW w:w="6977" w:type="dxa"/>
            <w:shd w:val="clear" w:color="auto" w:fill="338B99"/>
            <w:vAlign w:val="center"/>
            <w:hideMark/>
          </w:tcPr>
          <w:p w14:paraId="745C5E30" w14:textId="77777777" w:rsidR="00660057" w:rsidRPr="00F73D1B" w:rsidRDefault="00660057" w:rsidP="00562DA7">
            <w:pPr>
              <w:widowControl/>
              <w:jc w:val="center"/>
              <w:rPr>
                <w:rFonts w:cs="Arial"/>
                <w:b/>
                <w:bCs/>
                <w:color w:val="000000" w:themeColor="text1"/>
                <w:szCs w:val="24"/>
                <w:lang w:eastAsia="es-MX"/>
              </w:rPr>
            </w:pPr>
            <w:r w:rsidRPr="00F73D1B">
              <w:rPr>
                <w:rFonts w:cs="Arial"/>
                <w:b/>
                <w:bCs/>
                <w:color w:val="000000" w:themeColor="text1"/>
                <w:szCs w:val="24"/>
                <w:lang w:eastAsia="es-MX"/>
              </w:rPr>
              <w:t>Variables</w:t>
            </w:r>
          </w:p>
        </w:tc>
      </w:tr>
      <w:tr w:rsidR="00660057" w:rsidRPr="0037646C" w14:paraId="286EC4F1" w14:textId="77777777" w:rsidTr="00562DA7">
        <w:trPr>
          <w:trHeight w:val="302"/>
        </w:trPr>
        <w:tc>
          <w:tcPr>
            <w:tcW w:w="9776" w:type="dxa"/>
            <w:gridSpan w:val="2"/>
            <w:shd w:val="clear" w:color="auto" w:fill="99C5CC"/>
            <w:vAlign w:val="center"/>
            <w:hideMark/>
          </w:tcPr>
          <w:p w14:paraId="1DC1A1F4" w14:textId="77777777" w:rsidR="00660057" w:rsidRPr="00ED61DD" w:rsidRDefault="00660057" w:rsidP="00562DA7">
            <w:pPr>
              <w:widowControl/>
              <w:jc w:val="center"/>
              <w:rPr>
                <w:rFonts w:cs="Arial"/>
                <w:b/>
                <w:bCs/>
                <w:color w:val="000000"/>
                <w:szCs w:val="24"/>
                <w:lang w:eastAsia="es-MX"/>
              </w:rPr>
            </w:pPr>
            <w:r w:rsidRPr="00ED61DD">
              <w:rPr>
                <w:rFonts w:cs="Arial"/>
                <w:b/>
                <w:bCs/>
                <w:color w:val="000000"/>
                <w:szCs w:val="24"/>
                <w:lang w:eastAsia="es-MX"/>
              </w:rPr>
              <w:t>Cuestionario sociodemográfico</w:t>
            </w:r>
          </w:p>
        </w:tc>
      </w:tr>
      <w:tr w:rsidR="00660057" w:rsidRPr="0037646C" w14:paraId="63246B86" w14:textId="77777777" w:rsidTr="00562DA7">
        <w:trPr>
          <w:trHeight w:val="1209"/>
        </w:trPr>
        <w:tc>
          <w:tcPr>
            <w:tcW w:w="2799" w:type="dxa"/>
            <w:shd w:val="clear" w:color="000000" w:fill="FFFFFF"/>
            <w:vAlign w:val="center"/>
            <w:hideMark/>
          </w:tcPr>
          <w:p w14:paraId="3C8606FA" w14:textId="77777777" w:rsidR="00660057" w:rsidRPr="00ED61DD" w:rsidRDefault="00660057" w:rsidP="00562DA7">
            <w:pPr>
              <w:widowControl/>
              <w:jc w:val="left"/>
              <w:rPr>
                <w:rFonts w:cs="Arial"/>
                <w:b/>
                <w:bCs/>
                <w:color w:val="000000"/>
                <w:szCs w:val="24"/>
                <w:lang w:eastAsia="es-MX"/>
              </w:rPr>
            </w:pPr>
            <w:r w:rsidRPr="00ED61DD">
              <w:rPr>
                <w:rFonts w:cs="Arial"/>
                <w:b/>
                <w:bCs/>
                <w:color w:val="000000"/>
                <w:szCs w:val="24"/>
                <w:lang w:eastAsia="es-MX"/>
              </w:rPr>
              <w:t>Aspectos sociodemográficos</w:t>
            </w:r>
          </w:p>
        </w:tc>
        <w:tc>
          <w:tcPr>
            <w:tcW w:w="6977" w:type="dxa"/>
            <w:shd w:val="clear" w:color="000000" w:fill="FFFFFF"/>
            <w:vAlign w:val="center"/>
            <w:hideMark/>
          </w:tcPr>
          <w:p w14:paraId="7CC66BD9" w14:textId="77777777" w:rsidR="00660057" w:rsidRPr="00ED61DD" w:rsidRDefault="00660057" w:rsidP="00562DA7">
            <w:pPr>
              <w:widowControl/>
              <w:rPr>
                <w:rFonts w:cs="Arial"/>
                <w:color w:val="000000"/>
                <w:szCs w:val="24"/>
                <w:lang w:eastAsia="es-MX"/>
              </w:rPr>
            </w:pPr>
            <w:r w:rsidRPr="00ED61DD">
              <w:rPr>
                <w:rFonts w:cs="Arial"/>
                <w:color w:val="000000"/>
                <w:szCs w:val="24"/>
                <w:lang w:eastAsia="es-MX"/>
              </w:rPr>
              <w:t xml:space="preserve">Parentesco con </w:t>
            </w:r>
            <w:r>
              <w:rPr>
                <w:rFonts w:cs="Arial"/>
                <w:color w:val="000000"/>
                <w:szCs w:val="24"/>
                <w:lang w:eastAsia="es-MX"/>
              </w:rPr>
              <w:t>la persona jefa</w:t>
            </w:r>
            <w:r w:rsidRPr="00ED61DD">
              <w:rPr>
                <w:rFonts w:cs="Arial"/>
                <w:color w:val="000000"/>
                <w:szCs w:val="24"/>
                <w:lang w:eastAsia="es-MX"/>
              </w:rPr>
              <w:t xml:space="preserve"> del hogar, sexo, edad, lugar de nacimiento, condición de alfabetismo, nivel de instrucción, años aprobados, nombre de la carrera, antecedente escolar, egreso de la carrera, asistencia escolar, número de hijos nacidos vivos, situación conyugal, migración y causas de la migración.</w:t>
            </w:r>
          </w:p>
        </w:tc>
      </w:tr>
      <w:tr w:rsidR="00660057" w:rsidRPr="0037646C" w14:paraId="4B8AF5F1" w14:textId="77777777" w:rsidTr="00562DA7">
        <w:trPr>
          <w:trHeight w:val="967"/>
        </w:trPr>
        <w:tc>
          <w:tcPr>
            <w:tcW w:w="2799" w:type="dxa"/>
            <w:shd w:val="clear" w:color="000000" w:fill="FFFFFF"/>
            <w:vAlign w:val="center"/>
            <w:hideMark/>
          </w:tcPr>
          <w:p w14:paraId="073DF216" w14:textId="77777777" w:rsidR="00660057" w:rsidRPr="00ED61DD" w:rsidRDefault="00660057" w:rsidP="00562DA7">
            <w:pPr>
              <w:widowControl/>
              <w:jc w:val="left"/>
              <w:rPr>
                <w:rFonts w:cs="Arial"/>
                <w:b/>
                <w:bCs/>
                <w:color w:val="000000"/>
                <w:szCs w:val="24"/>
                <w:lang w:eastAsia="es-MX"/>
              </w:rPr>
            </w:pPr>
            <w:r w:rsidRPr="00ED61DD">
              <w:rPr>
                <w:rFonts w:cs="Arial"/>
                <w:b/>
                <w:bCs/>
                <w:color w:val="000000"/>
                <w:szCs w:val="24"/>
                <w:lang w:eastAsia="es-MX"/>
              </w:rPr>
              <w:t>Características de la vivienda</w:t>
            </w:r>
          </w:p>
        </w:tc>
        <w:tc>
          <w:tcPr>
            <w:tcW w:w="6977" w:type="dxa"/>
            <w:shd w:val="clear" w:color="000000" w:fill="FFFFFF"/>
            <w:vAlign w:val="center"/>
            <w:hideMark/>
          </w:tcPr>
          <w:p w14:paraId="6E7CF9E0" w14:textId="77777777" w:rsidR="00660057" w:rsidRPr="00ED61DD" w:rsidRDefault="00660057" w:rsidP="00562DA7">
            <w:pPr>
              <w:widowControl/>
              <w:rPr>
                <w:rFonts w:cs="Arial"/>
                <w:color w:val="000000"/>
                <w:szCs w:val="24"/>
                <w:lang w:eastAsia="es-MX"/>
              </w:rPr>
            </w:pPr>
            <w:r w:rsidRPr="00ED61DD">
              <w:rPr>
                <w:rFonts w:cs="Arial"/>
                <w:color w:val="000000"/>
                <w:szCs w:val="24"/>
                <w:lang w:eastAsia="es-MX"/>
              </w:rPr>
              <w:t>Material en pisos; número de dormitorios y cuartos; disponibilidad de electricidad, agua entubada, drenaje y sanitario; fuente de abastecimiento de agua; equipamiento de almacenamiento de agua; y bienes y TICS en la vivienda.</w:t>
            </w:r>
          </w:p>
        </w:tc>
      </w:tr>
      <w:tr w:rsidR="00660057" w:rsidRPr="0037646C" w14:paraId="75370738" w14:textId="77777777" w:rsidTr="00562DA7">
        <w:trPr>
          <w:trHeight w:val="302"/>
        </w:trPr>
        <w:tc>
          <w:tcPr>
            <w:tcW w:w="9776" w:type="dxa"/>
            <w:gridSpan w:val="2"/>
            <w:shd w:val="clear" w:color="auto" w:fill="99C5CC"/>
            <w:vAlign w:val="center"/>
            <w:hideMark/>
          </w:tcPr>
          <w:p w14:paraId="2D0A0A39" w14:textId="77777777" w:rsidR="00660057" w:rsidRPr="00ED61DD" w:rsidRDefault="00660057" w:rsidP="00562DA7">
            <w:pPr>
              <w:widowControl/>
              <w:jc w:val="center"/>
              <w:rPr>
                <w:rFonts w:cs="Arial"/>
                <w:b/>
                <w:bCs/>
                <w:color w:val="000000"/>
                <w:szCs w:val="24"/>
                <w:lang w:eastAsia="es-MX"/>
              </w:rPr>
            </w:pPr>
            <w:r w:rsidRPr="00ED61DD">
              <w:rPr>
                <w:rFonts w:cs="Arial"/>
                <w:b/>
                <w:bCs/>
                <w:color w:val="000000"/>
                <w:szCs w:val="24"/>
                <w:lang w:eastAsia="es-MX"/>
              </w:rPr>
              <w:lastRenderedPageBreak/>
              <w:t>Cuestionario de ocupación y empleo</w:t>
            </w:r>
          </w:p>
        </w:tc>
      </w:tr>
      <w:tr w:rsidR="00660057" w:rsidRPr="0037646C" w14:paraId="30736E08" w14:textId="77777777" w:rsidTr="00562DA7">
        <w:trPr>
          <w:trHeight w:val="967"/>
        </w:trPr>
        <w:tc>
          <w:tcPr>
            <w:tcW w:w="2799" w:type="dxa"/>
            <w:shd w:val="clear" w:color="000000" w:fill="FFFFFF"/>
            <w:vAlign w:val="center"/>
            <w:hideMark/>
          </w:tcPr>
          <w:p w14:paraId="5B1CD95E" w14:textId="77777777" w:rsidR="00660057" w:rsidRPr="00ED61DD" w:rsidRDefault="00660057" w:rsidP="00562DA7">
            <w:pPr>
              <w:widowControl/>
              <w:rPr>
                <w:rFonts w:cs="Arial"/>
                <w:b/>
                <w:bCs/>
                <w:color w:val="000000"/>
                <w:szCs w:val="24"/>
                <w:lang w:eastAsia="es-MX"/>
              </w:rPr>
            </w:pPr>
            <w:r w:rsidRPr="00ED61DD">
              <w:rPr>
                <w:rFonts w:cs="Arial"/>
                <w:b/>
                <w:bCs/>
                <w:color w:val="000000"/>
                <w:szCs w:val="24"/>
                <w:lang w:eastAsia="es-MX"/>
              </w:rPr>
              <w:t>Situación laboral</w:t>
            </w:r>
          </w:p>
        </w:tc>
        <w:tc>
          <w:tcPr>
            <w:tcW w:w="6977" w:type="dxa"/>
            <w:shd w:val="clear" w:color="000000" w:fill="FFFFFF"/>
            <w:vAlign w:val="center"/>
            <w:hideMark/>
          </w:tcPr>
          <w:p w14:paraId="7CCBC5E2" w14:textId="77777777" w:rsidR="00660057" w:rsidRPr="00ED61DD" w:rsidRDefault="00660057" w:rsidP="00562DA7">
            <w:pPr>
              <w:widowControl/>
              <w:rPr>
                <w:rFonts w:cs="Arial"/>
                <w:color w:val="000000"/>
                <w:szCs w:val="24"/>
                <w:lang w:eastAsia="es-MX"/>
              </w:rPr>
            </w:pPr>
            <w:r w:rsidRPr="00ED61DD">
              <w:rPr>
                <w:rFonts w:cs="Arial"/>
                <w:color w:val="000000"/>
                <w:szCs w:val="24"/>
                <w:lang w:eastAsia="es-MX"/>
              </w:rPr>
              <w:t>Condición de actividad económica y de ocupación, ausencia laboral, tiempo de búsqueda de trabajo, disponibilidad para trabajar, deseos de trabajar, motivo por el que perdió o abandonó el empleo o negocio, año de término, entre otros.</w:t>
            </w:r>
          </w:p>
        </w:tc>
      </w:tr>
      <w:tr w:rsidR="00660057" w:rsidRPr="0037646C" w14:paraId="0128D876" w14:textId="77777777" w:rsidTr="00562DA7">
        <w:trPr>
          <w:trHeight w:val="483"/>
        </w:trPr>
        <w:tc>
          <w:tcPr>
            <w:tcW w:w="2799" w:type="dxa"/>
            <w:shd w:val="clear" w:color="000000" w:fill="FFFFFF"/>
            <w:vAlign w:val="center"/>
            <w:hideMark/>
          </w:tcPr>
          <w:p w14:paraId="5750F75B" w14:textId="77777777" w:rsidR="00660057" w:rsidRPr="00ED61DD" w:rsidRDefault="00660057" w:rsidP="00562DA7">
            <w:pPr>
              <w:widowControl/>
              <w:jc w:val="left"/>
              <w:rPr>
                <w:rFonts w:cs="Arial"/>
                <w:b/>
                <w:bCs/>
                <w:color w:val="000000"/>
                <w:szCs w:val="24"/>
                <w:lang w:eastAsia="es-MX"/>
              </w:rPr>
            </w:pPr>
            <w:r w:rsidRPr="00ED61DD">
              <w:rPr>
                <w:rFonts w:cs="Arial"/>
                <w:b/>
                <w:bCs/>
                <w:color w:val="000000"/>
                <w:szCs w:val="24"/>
                <w:lang w:eastAsia="es-MX"/>
              </w:rPr>
              <w:t xml:space="preserve">Contexto laboral </w:t>
            </w:r>
          </w:p>
        </w:tc>
        <w:tc>
          <w:tcPr>
            <w:tcW w:w="6977" w:type="dxa"/>
            <w:shd w:val="clear" w:color="000000" w:fill="FFFFFF"/>
            <w:vAlign w:val="center"/>
            <w:hideMark/>
          </w:tcPr>
          <w:p w14:paraId="582E3EB7" w14:textId="77777777" w:rsidR="00660057" w:rsidRPr="00ED61DD" w:rsidRDefault="00660057" w:rsidP="00562DA7">
            <w:pPr>
              <w:widowControl/>
              <w:rPr>
                <w:rFonts w:cs="Arial"/>
                <w:color w:val="000000"/>
                <w:szCs w:val="24"/>
                <w:lang w:eastAsia="es-MX"/>
              </w:rPr>
            </w:pPr>
            <w:r w:rsidRPr="00ED61DD">
              <w:rPr>
                <w:rFonts w:cs="Arial"/>
                <w:color w:val="000000"/>
                <w:szCs w:val="24"/>
                <w:lang w:eastAsia="es-MX"/>
              </w:rPr>
              <w:t>Grupos de ocupación, posición en la ocupación, número de trabajadores, contratación, prestaciones.</w:t>
            </w:r>
          </w:p>
        </w:tc>
      </w:tr>
      <w:tr w:rsidR="00660057" w:rsidRPr="0037646C" w14:paraId="117A158E" w14:textId="77777777" w:rsidTr="00562DA7">
        <w:trPr>
          <w:trHeight w:val="725"/>
        </w:trPr>
        <w:tc>
          <w:tcPr>
            <w:tcW w:w="2799" w:type="dxa"/>
            <w:shd w:val="clear" w:color="000000" w:fill="FFFFFF"/>
            <w:vAlign w:val="center"/>
            <w:hideMark/>
          </w:tcPr>
          <w:p w14:paraId="1704E283" w14:textId="77777777" w:rsidR="00660057" w:rsidRPr="00ED61DD" w:rsidRDefault="00660057" w:rsidP="00562DA7">
            <w:pPr>
              <w:widowControl/>
              <w:jc w:val="left"/>
              <w:rPr>
                <w:rFonts w:cs="Arial"/>
                <w:b/>
                <w:bCs/>
                <w:color w:val="000000"/>
                <w:szCs w:val="24"/>
                <w:lang w:eastAsia="es-MX"/>
              </w:rPr>
            </w:pPr>
            <w:r w:rsidRPr="00ED61DD">
              <w:rPr>
                <w:rFonts w:cs="Arial"/>
                <w:b/>
                <w:bCs/>
                <w:color w:val="000000"/>
                <w:szCs w:val="24"/>
                <w:lang w:eastAsia="es-MX"/>
              </w:rPr>
              <w:t>Características de la unidad económica</w:t>
            </w:r>
          </w:p>
        </w:tc>
        <w:tc>
          <w:tcPr>
            <w:tcW w:w="6977" w:type="dxa"/>
            <w:shd w:val="clear" w:color="000000" w:fill="FFFFFF"/>
            <w:vAlign w:val="center"/>
            <w:hideMark/>
          </w:tcPr>
          <w:p w14:paraId="3172858C" w14:textId="77777777" w:rsidR="00660057" w:rsidRPr="00ED61DD" w:rsidRDefault="00660057" w:rsidP="00562DA7">
            <w:pPr>
              <w:widowControl/>
              <w:rPr>
                <w:rFonts w:cs="Arial"/>
                <w:color w:val="000000"/>
                <w:szCs w:val="24"/>
                <w:lang w:eastAsia="es-MX"/>
              </w:rPr>
            </w:pPr>
            <w:r w:rsidRPr="00ED61DD">
              <w:rPr>
                <w:rFonts w:cs="Arial"/>
                <w:color w:val="000000"/>
                <w:szCs w:val="24"/>
                <w:lang w:eastAsia="es-MX"/>
              </w:rPr>
              <w:t>Sector de actividad económica, tipo de unidad económica, lugar de trabajo, tipo de local, registros contables, cadenas de negocios, empleo en multinacionales.</w:t>
            </w:r>
          </w:p>
        </w:tc>
      </w:tr>
      <w:tr w:rsidR="00660057" w:rsidRPr="0037646C" w14:paraId="0ACF4C67" w14:textId="77777777" w:rsidTr="00562DA7">
        <w:trPr>
          <w:trHeight w:val="483"/>
        </w:trPr>
        <w:tc>
          <w:tcPr>
            <w:tcW w:w="2799" w:type="dxa"/>
            <w:shd w:val="clear" w:color="000000" w:fill="FFFFFF"/>
            <w:vAlign w:val="center"/>
            <w:hideMark/>
          </w:tcPr>
          <w:p w14:paraId="1399A192" w14:textId="77777777" w:rsidR="00660057" w:rsidRPr="00ED61DD" w:rsidRDefault="00660057" w:rsidP="00562DA7">
            <w:pPr>
              <w:widowControl/>
              <w:jc w:val="left"/>
              <w:rPr>
                <w:rFonts w:cs="Arial"/>
                <w:b/>
                <w:bCs/>
                <w:color w:val="000000"/>
                <w:szCs w:val="24"/>
                <w:lang w:eastAsia="es-MX"/>
              </w:rPr>
            </w:pPr>
            <w:r w:rsidRPr="00ED61DD">
              <w:rPr>
                <w:rFonts w:cs="Arial"/>
                <w:b/>
                <w:bCs/>
                <w:color w:val="000000"/>
                <w:szCs w:val="24"/>
                <w:lang w:eastAsia="es-MX"/>
              </w:rPr>
              <w:t>Jornada y regularidad laboral</w:t>
            </w:r>
          </w:p>
        </w:tc>
        <w:tc>
          <w:tcPr>
            <w:tcW w:w="6977" w:type="dxa"/>
            <w:shd w:val="clear" w:color="000000" w:fill="FFFFFF"/>
            <w:vAlign w:val="center"/>
            <w:hideMark/>
          </w:tcPr>
          <w:p w14:paraId="07D829FC" w14:textId="77777777" w:rsidR="00660057" w:rsidRPr="00ED61DD" w:rsidRDefault="00660057" w:rsidP="00562DA7">
            <w:pPr>
              <w:widowControl/>
              <w:rPr>
                <w:rFonts w:cs="Arial"/>
                <w:color w:val="000000"/>
                <w:szCs w:val="24"/>
                <w:lang w:eastAsia="es-MX"/>
              </w:rPr>
            </w:pPr>
            <w:r w:rsidRPr="00ED61DD">
              <w:rPr>
                <w:rFonts w:cs="Arial"/>
                <w:color w:val="000000"/>
                <w:szCs w:val="24"/>
                <w:lang w:eastAsia="es-MX"/>
              </w:rPr>
              <w:t>Tipo de jornada, días y horas trabajadas, nivel de actividad, motivos por los que no trabajó las horas habituales, meses trabajados.</w:t>
            </w:r>
          </w:p>
        </w:tc>
      </w:tr>
      <w:tr w:rsidR="00660057" w:rsidRPr="0037646C" w14:paraId="3D69657A" w14:textId="77777777" w:rsidTr="00562DA7">
        <w:trPr>
          <w:trHeight w:val="483"/>
        </w:trPr>
        <w:tc>
          <w:tcPr>
            <w:tcW w:w="2799" w:type="dxa"/>
            <w:shd w:val="clear" w:color="000000" w:fill="FFFFFF"/>
            <w:vAlign w:val="center"/>
            <w:hideMark/>
          </w:tcPr>
          <w:p w14:paraId="4DB2CED1" w14:textId="77777777" w:rsidR="00660057" w:rsidRPr="00ED61DD" w:rsidRDefault="00660057" w:rsidP="00562DA7">
            <w:pPr>
              <w:widowControl/>
              <w:jc w:val="left"/>
              <w:rPr>
                <w:rFonts w:cs="Arial"/>
                <w:b/>
                <w:bCs/>
                <w:color w:val="000000"/>
                <w:szCs w:val="24"/>
                <w:lang w:eastAsia="es-MX"/>
              </w:rPr>
            </w:pPr>
            <w:r w:rsidRPr="00ED61DD">
              <w:rPr>
                <w:rFonts w:cs="Arial"/>
                <w:b/>
                <w:bCs/>
                <w:color w:val="000000"/>
                <w:szCs w:val="24"/>
                <w:lang w:eastAsia="es-MX"/>
              </w:rPr>
              <w:t>Ingresos y atención médica</w:t>
            </w:r>
          </w:p>
        </w:tc>
        <w:tc>
          <w:tcPr>
            <w:tcW w:w="6977" w:type="dxa"/>
            <w:shd w:val="clear" w:color="000000" w:fill="FFFFFF"/>
            <w:vAlign w:val="center"/>
            <w:hideMark/>
          </w:tcPr>
          <w:p w14:paraId="5FB4FD61" w14:textId="77777777" w:rsidR="00660057" w:rsidRPr="00ED61DD" w:rsidRDefault="00660057" w:rsidP="00562DA7">
            <w:pPr>
              <w:widowControl/>
              <w:rPr>
                <w:rFonts w:cs="Arial"/>
                <w:color w:val="000000"/>
                <w:szCs w:val="24"/>
                <w:lang w:eastAsia="es-MX"/>
              </w:rPr>
            </w:pPr>
            <w:r w:rsidRPr="00ED61DD">
              <w:rPr>
                <w:rFonts w:cs="Arial"/>
                <w:color w:val="000000"/>
                <w:szCs w:val="24"/>
                <w:lang w:eastAsia="es-MX"/>
              </w:rPr>
              <w:t>Forma de pago, periodo de pago, monto de ingresos, sueldos y salarios mensuales, acceso a seguridad social y lugar de trabajo.</w:t>
            </w:r>
          </w:p>
        </w:tc>
      </w:tr>
      <w:tr w:rsidR="00660057" w:rsidRPr="0037646C" w14:paraId="4F358CBA" w14:textId="77777777" w:rsidTr="00562DA7">
        <w:trPr>
          <w:trHeight w:val="483"/>
        </w:trPr>
        <w:tc>
          <w:tcPr>
            <w:tcW w:w="2799" w:type="dxa"/>
            <w:shd w:val="clear" w:color="000000" w:fill="FFFFFF"/>
            <w:vAlign w:val="center"/>
            <w:hideMark/>
          </w:tcPr>
          <w:p w14:paraId="0F66E119" w14:textId="77777777" w:rsidR="00660057" w:rsidRPr="00ED61DD" w:rsidRDefault="00660057" w:rsidP="00562DA7">
            <w:pPr>
              <w:widowControl/>
              <w:jc w:val="left"/>
              <w:rPr>
                <w:rFonts w:cs="Arial"/>
                <w:b/>
                <w:bCs/>
                <w:color w:val="000000"/>
                <w:szCs w:val="24"/>
                <w:lang w:eastAsia="es-MX"/>
              </w:rPr>
            </w:pPr>
            <w:r w:rsidRPr="00ED61DD">
              <w:rPr>
                <w:rFonts w:cs="Arial"/>
                <w:b/>
                <w:bCs/>
                <w:color w:val="000000"/>
                <w:szCs w:val="24"/>
                <w:lang w:eastAsia="es-MX"/>
              </w:rPr>
              <w:t>Trabajo secundario</w:t>
            </w:r>
          </w:p>
        </w:tc>
        <w:tc>
          <w:tcPr>
            <w:tcW w:w="6977" w:type="dxa"/>
            <w:shd w:val="clear" w:color="000000" w:fill="FFFFFF"/>
            <w:vAlign w:val="center"/>
            <w:hideMark/>
          </w:tcPr>
          <w:p w14:paraId="78D64582" w14:textId="77777777" w:rsidR="00660057" w:rsidRPr="00ED61DD" w:rsidRDefault="00660057" w:rsidP="00562DA7">
            <w:pPr>
              <w:widowControl/>
              <w:rPr>
                <w:rFonts w:cs="Arial"/>
                <w:color w:val="000000"/>
                <w:szCs w:val="24"/>
                <w:lang w:eastAsia="es-MX"/>
              </w:rPr>
            </w:pPr>
            <w:r w:rsidRPr="00ED61DD">
              <w:rPr>
                <w:rFonts w:cs="Arial"/>
                <w:color w:val="000000"/>
                <w:szCs w:val="24"/>
                <w:lang w:eastAsia="es-MX"/>
              </w:rPr>
              <w:t>Posición en la ocupación, grupos de ocupación, sector de actividad económica.</w:t>
            </w:r>
          </w:p>
        </w:tc>
      </w:tr>
      <w:tr w:rsidR="00660057" w:rsidRPr="0037646C" w14:paraId="1A109474" w14:textId="77777777" w:rsidTr="00562DA7">
        <w:trPr>
          <w:trHeight w:val="302"/>
        </w:trPr>
        <w:tc>
          <w:tcPr>
            <w:tcW w:w="2799" w:type="dxa"/>
            <w:shd w:val="clear" w:color="000000" w:fill="FFFFFF"/>
            <w:vAlign w:val="center"/>
            <w:hideMark/>
          </w:tcPr>
          <w:p w14:paraId="5464A931" w14:textId="77777777" w:rsidR="00660057" w:rsidRPr="00ED61DD" w:rsidRDefault="00660057" w:rsidP="00562DA7">
            <w:pPr>
              <w:widowControl/>
              <w:jc w:val="left"/>
              <w:rPr>
                <w:rFonts w:cs="Arial"/>
                <w:b/>
                <w:bCs/>
                <w:color w:val="000000"/>
                <w:szCs w:val="24"/>
                <w:lang w:eastAsia="es-MX"/>
              </w:rPr>
            </w:pPr>
            <w:r w:rsidRPr="00ED61DD">
              <w:rPr>
                <w:rFonts w:cs="Arial"/>
                <w:b/>
                <w:bCs/>
                <w:color w:val="000000"/>
                <w:szCs w:val="24"/>
                <w:lang w:eastAsia="es-MX"/>
              </w:rPr>
              <w:t>Búsqueda de otro trabajo</w:t>
            </w:r>
          </w:p>
        </w:tc>
        <w:tc>
          <w:tcPr>
            <w:tcW w:w="6977" w:type="dxa"/>
            <w:shd w:val="clear" w:color="000000" w:fill="FFFFFF"/>
            <w:vAlign w:val="center"/>
            <w:hideMark/>
          </w:tcPr>
          <w:p w14:paraId="34BB8CAD" w14:textId="77777777" w:rsidR="00660057" w:rsidRPr="00ED61DD" w:rsidRDefault="00660057" w:rsidP="00562DA7">
            <w:pPr>
              <w:widowControl/>
              <w:rPr>
                <w:rFonts w:cs="Arial"/>
                <w:color w:val="000000"/>
                <w:szCs w:val="24"/>
                <w:lang w:eastAsia="es-MX"/>
              </w:rPr>
            </w:pPr>
            <w:r w:rsidRPr="00ED61DD">
              <w:rPr>
                <w:rFonts w:cs="Arial"/>
                <w:color w:val="000000"/>
                <w:szCs w:val="24"/>
                <w:lang w:eastAsia="es-MX"/>
              </w:rPr>
              <w:t>Condición de búsqueda y motivo de búsqueda de otro trabajo.</w:t>
            </w:r>
          </w:p>
        </w:tc>
      </w:tr>
      <w:tr w:rsidR="00660057" w:rsidRPr="0037646C" w14:paraId="3C066283" w14:textId="77777777" w:rsidTr="00562DA7">
        <w:trPr>
          <w:trHeight w:val="483"/>
        </w:trPr>
        <w:tc>
          <w:tcPr>
            <w:tcW w:w="2799" w:type="dxa"/>
            <w:shd w:val="clear" w:color="000000" w:fill="FFFFFF"/>
            <w:vAlign w:val="center"/>
            <w:hideMark/>
          </w:tcPr>
          <w:p w14:paraId="091BE42F" w14:textId="77777777" w:rsidR="00660057" w:rsidRPr="00ED61DD" w:rsidRDefault="00660057" w:rsidP="00562DA7">
            <w:pPr>
              <w:widowControl/>
              <w:jc w:val="left"/>
              <w:rPr>
                <w:rFonts w:cs="Arial"/>
                <w:b/>
                <w:bCs/>
                <w:color w:val="000000"/>
                <w:szCs w:val="24"/>
                <w:lang w:eastAsia="es-MX"/>
              </w:rPr>
            </w:pPr>
            <w:r w:rsidRPr="00ED61DD">
              <w:rPr>
                <w:rFonts w:cs="Arial"/>
                <w:b/>
                <w:bCs/>
                <w:color w:val="000000"/>
                <w:szCs w:val="24"/>
                <w:lang w:eastAsia="es-MX"/>
              </w:rPr>
              <w:t>Otras actividades</w:t>
            </w:r>
          </w:p>
        </w:tc>
        <w:tc>
          <w:tcPr>
            <w:tcW w:w="6977" w:type="dxa"/>
            <w:shd w:val="clear" w:color="000000" w:fill="FFFFFF"/>
            <w:vAlign w:val="center"/>
            <w:hideMark/>
          </w:tcPr>
          <w:p w14:paraId="37E0077B" w14:textId="77777777" w:rsidR="00660057" w:rsidRDefault="00660057" w:rsidP="00562DA7">
            <w:pPr>
              <w:widowControl/>
              <w:rPr>
                <w:rFonts w:cs="Arial"/>
                <w:color w:val="000000"/>
                <w:szCs w:val="24"/>
                <w:lang w:eastAsia="es-MX"/>
              </w:rPr>
            </w:pPr>
            <w:r w:rsidRPr="00ED61DD">
              <w:rPr>
                <w:rFonts w:cs="Arial"/>
                <w:color w:val="000000"/>
                <w:szCs w:val="24"/>
                <w:lang w:eastAsia="es-MX"/>
              </w:rPr>
              <w:t>Quehaceres domésticos, estudio, servicios comunitarios y horas dedicadas a dichas actividades.</w:t>
            </w:r>
          </w:p>
          <w:p w14:paraId="0E0DA1D7" w14:textId="77777777" w:rsidR="00406C40" w:rsidRPr="00ED61DD" w:rsidRDefault="00406C40" w:rsidP="00562DA7">
            <w:pPr>
              <w:widowControl/>
              <w:rPr>
                <w:rFonts w:cs="Arial"/>
                <w:color w:val="000000"/>
                <w:szCs w:val="24"/>
                <w:lang w:eastAsia="es-MX"/>
              </w:rPr>
            </w:pPr>
          </w:p>
        </w:tc>
      </w:tr>
      <w:tr w:rsidR="00660057" w:rsidRPr="0037646C" w14:paraId="3DF629B8" w14:textId="77777777" w:rsidTr="00562DA7">
        <w:trPr>
          <w:trHeight w:val="302"/>
        </w:trPr>
        <w:tc>
          <w:tcPr>
            <w:tcW w:w="9776" w:type="dxa"/>
            <w:gridSpan w:val="2"/>
            <w:shd w:val="clear" w:color="auto" w:fill="99C5CC"/>
            <w:vAlign w:val="center"/>
            <w:hideMark/>
          </w:tcPr>
          <w:p w14:paraId="5BFE1846" w14:textId="77777777" w:rsidR="00660057" w:rsidRPr="00ED61DD" w:rsidRDefault="00660057" w:rsidP="00562DA7">
            <w:pPr>
              <w:widowControl/>
              <w:jc w:val="center"/>
              <w:rPr>
                <w:rFonts w:cs="Arial"/>
                <w:b/>
                <w:bCs/>
                <w:color w:val="000000"/>
                <w:szCs w:val="24"/>
                <w:lang w:eastAsia="es-MX"/>
              </w:rPr>
            </w:pPr>
            <w:r w:rsidRPr="00ED61DD">
              <w:rPr>
                <w:rFonts w:cs="Arial"/>
                <w:b/>
                <w:bCs/>
                <w:color w:val="000000"/>
                <w:szCs w:val="24"/>
                <w:lang w:eastAsia="es-MX"/>
              </w:rPr>
              <w:t>Cuestionarios de actividades</w:t>
            </w:r>
          </w:p>
        </w:tc>
      </w:tr>
      <w:tr w:rsidR="00660057" w:rsidRPr="0037646C" w14:paraId="26030787" w14:textId="77777777" w:rsidTr="00562DA7">
        <w:trPr>
          <w:trHeight w:val="483"/>
        </w:trPr>
        <w:tc>
          <w:tcPr>
            <w:tcW w:w="2799" w:type="dxa"/>
            <w:shd w:val="clear" w:color="000000" w:fill="FFFFFF"/>
            <w:vAlign w:val="center"/>
            <w:hideMark/>
          </w:tcPr>
          <w:p w14:paraId="27AB4E17" w14:textId="77777777" w:rsidR="00660057" w:rsidRPr="00ED61DD" w:rsidRDefault="00660057" w:rsidP="00562DA7">
            <w:pPr>
              <w:widowControl/>
              <w:jc w:val="left"/>
              <w:rPr>
                <w:rFonts w:cs="Arial"/>
                <w:b/>
                <w:bCs/>
                <w:color w:val="000000"/>
                <w:szCs w:val="24"/>
                <w:lang w:eastAsia="es-MX"/>
              </w:rPr>
            </w:pPr>
            <w:r w:rsidRPr="00ED61DD">
              <w:rPr>
                <w:rFonts w:cs="Arial"/>
                <w:b/>
                <w:bCs/>
                <w:color w:val="000000"/>
                <w:szCs w:val="24"/>
                <w:lang w:eastAsia="es-MX"/>
              </w:rPr>
              <w:t>Actividades no económicas</w:t>
            </w:r>
          </w:p>
        </w:tc>
        <w:tc>
          <w:tcPr>
            <w:tcW w:w="6977" w:type="dxa"/>
            <w:shd w:val="clear" w:color="000000" w:fill="FFFFFF"/>
            <w:vAlign w:val="center"/>
            <w:hideMark/>
          </w:tcPr>
          <w:p w14:paraId="71DF7E73" w14:textId="77777777" w:rsidR="00660057" w:rsidRPr="00ED61DD" w:rsidRDefault="00660057" w:rsidP="00562DA7">
            <w:pPr>
              <w:widowControl/>
              <w:rPr>
                <w:rFonts w:cs="Arial"/>
                <w:color w:val="000000"/>
                <w:szCs w:val="24"/>
                <w:lang w:eastAsia="es-MX"/>
              </w:rPr>
            </w:pPr>
            <w:r w:rsidRPr="00ED61DD">
              <w:rPr>
                <w:rFonts w:cs="Arial"/>
                <w:color w:val="000000"/>
                <w:szCs w:val="24"/>
                <w:lang w:eastAsia="es-MX"/>
              </w:rPr>
              <w:t>Tiempo dedicado para estudiar, cuidar personas sin pago, tareas domésticas y servicios comunitarios.</w:t>
            </w:r>
          </w:p>
        </w:tc>
      </w:tr>
      <w:tr w:rsidR="00660057" w:rsidRPr="0037646C" w14:paraId="35FEF666" w14:textId="77777777" w:rsidTr="00562DA7">
        <w:trPr>
          <w:trHeight w:val="302"/>
        </w:trPr>
        <w:tc>
          <w:tcPr>
            <w:tcW w:w="2799" w:type="dxa"/>
            <w:shd w:val="clear" w:color="auto" w:fill="auto"/>
            <w:vAlign w:val="center"/>
            <w:hideMark/>
          </w:tcPr>
          <w:p w14:paraId="5D44825C" w14:textId="77777777" w:rsidR="00660057" w:rsidRPr="00ED61DD" w:rsidRDefault="00660057" w:rsidP="00562DA7">
            <w:pPr>
              <w:widowControl/>
              <w:jc w:val="left"/>
              <w:rPr>
                <w:rFonts w:cs="Arial"/>
                <w:b/>
                <w:bCs/>
                <w:color w:val="000000"/>
                <w:szCs w:val="24"/>
                <w:lang w:eastAsia="es-MX"/>
              </w:rPr>
            </w:pPr>
            <w:r w:rsidRPr="00ED61DD">
              <w:rPr>
                <w:rFonts w:cs="Arial"/>
                <w:b/>
                <w:bCs/>
                <w:color w:val="000000"/>
                <w:szCs w:val="24"/>
                <w:lang w:eastAsia="es-MX"/>
              </w:rPr>
              <w:t>Condición de ocupación</w:t>
            </w:r>
          </w:p>
        </w:tc>
        <w:tc>
          <w:tcPr>
            <w:tcW w:w="6977" w:type="dxa"/>
            <w:shd w:val="clear" w:color="auto" w:fill="auto"/>
            <w:vAlign w:val="center"/>
            <w:hideMark/>
          </w:tcPr>
          <w:p w14:paraId="2849E5BB" w14:textId="77777777" w:rsidR="00660057" w:rsidRPr="00ED61DD" w:rsidRDefault="00660057" w:rsidP="00562DA7">
            <w:pPr>
              <w:widowControl/>
              <w:rPr>
                <w:rFonts w:cs="Arial"/>
                <w:color w:val="000000"/>
                <w:szCs w:val="24"/>
                <w:lang w:eastAsia="es-MX"/>
              </w:rPr>
            </w:pPr>
            <w:r w:rsidRPr="00ED61DD">
              <w:rPr>
                <w:rFonts w:cs="Arial"/>
                <w:color w:val="000000"/>
                <w:szCs w:val="24"/>
                <w:lang w:eastAsia="es-MX"/>
              </w:rPr>
              <w:t>Condición de ocupación en la semana de referencia.</w:t>
            </w:r>
          </w:p>
        </w:tc>
      </w:tr>
      <w:tr w:rsidR="00660057" w:rsidRPr="0037646C" w14:paraId="3B86F818" w14:textId="77777777" w:rsidTr="00562DA7">
        <w:trPr>
          <w:trHeight w:val="483"/>
        </w:trPr>
        <w:tc>
          <w:tcPr>
            <w:tcW w:w="2799" w:type="dxa"/>
            <w:shd w:val="clear" w:color="auto" w:fill="auto"/>
            <w:vAlign w:val="center"/>
            <w:hideMark/>
          </w:tcPr>
          <w:p w14:paraId="113F7B21" w14:textId="77777777" w:rsidR="00660057" w:rsidRPr="00ED61DD" w:rsidRDefault="00660057" w:rsidP="00562DA7">
            <w:pPr>
              <w:widowControl/>
              <w:jc w:val="left"/>
              <w:rPr>
                <w:rFonts w:cs="Arial"/>
                <w:b/>
                <w:bCs/>
                <w:color w:val="000000"/>
                <w:szCs w:val="24"/>
                <w:lang w:eastAsia="es-MX"/>
              </w:rPr>
            </w:pPr>
            <w:r w:rsidRPr="00ED61DD">
              <w:rPr>
                <w:rFonts w:cs="Arial"/>
                <w:b/>
                <w:bCs/>
                <w:color w:val="000000"/>
                <w:szCs w:val="24"/>
                <w:lang w:eastAsia="es-MX"/>
              </w:rPr>
              <w:t>Características ocupacionales</w:t>
            </w:r>
          </w:p>
        </w:tc>
        <w:tc>
          <w:tcPr>
            <w:tcW w:w="6977" w:type="dxa"/>
            <w:shd w:val="clear" w:color="auto" w:fill="auto"/>
            <w:vAlign w:val="center"/>
            <w:hideMark/>
          </w:tcPr>
          <w:p w14:paraId="4B634CD2" w14:textId="77777777" w:rsidR="00660057" w:rsidRPr="00ED61DD" w:rsidRDefault="00660057" w:rsidP="00562DA7">
            <w:pPr>
              <w:widowControl/>
              <w:rPr>
                <w:rFonts w:cs="Arial"/>
                <w:color w:val="000000"/>
                <w:szCs w:val="24"/>
                <w:lang w:eastAsia="es-MX"/>
              </w:rPr>
            </w:pPr>
            <w:r w:rsidRPr="00ED61DD">
              <w:rPr>
                <w:rFonts w:cs="Arial"/>
                <w:color w:val="000000"/>
                <w:szCs w:val="24"/>
                <w:lang w:eastAsia="es-MX"/>
              </w:rPr>
              <w:t>Grupos de ocupación, posición en la ocupación, equipo de protección, número de trabajadores.</w:t>
            </w:r>
          </w:p>
        </w:tc>
      </w:tr>
      <w:tr w:rsidR="00660057" w:rsidRPr="0037646C" w14:paraId="71B25536" w14:textId="77777777" w:rsidTr="00562DA7">
        <w:trPr>
          <w:trHeight w:val="483"/>
        </w:trPr>
        <w:tc>
          <w:tcPr>
            <w:tcW w:w="2799" w:type="dxa"/>
            <w:shd w:val="clear" w:color="auto" w:fill="auto"/>
            <w:vAlign w:val="center"/>
            <w:hideMark/>
          </w:tcPr>
          <w:p w14:paraId="43E88876" w14:textId="77777777" w:rsidR="00660057" w:rsidRPr="00ED61DD" w:rsidRDefault="00660057" w:rsidP="00562DA7">
            <w:pPr>
              <w:widowControl/>
              <w:jc w:val="left"/>
              <w:rPr>
                <w:rFonts w:cs="Arial"/>
                <w:b/>
                <w:bCs/>
                <w:color w:val="000000"/>
                <w:szCs w:val="24"/>
                <w:lang w:eastAsia="es-MX"/>
              </w:rPr>
            </w:pPr>
            <w:r w:rsidRPr="00ED61DD">
              <w:rPr>
                <w:rFonts w:cs="Arial"/>
                <w:b/>
                <w:bCs/>
                <w:color w:val="000000"/>
                <w:szCs w:val="24"/>
                <w:lang w:eastAsia="es-MX"/>
              </w:rPr>
              <w:t>Características de la unidad económica</w:t>
            </w:r>
          </w:p>
        </w:tc>
        <w:tc>
          <w:tcPr>
            <w:tcW w:w="6977" w:type="dxa"/>
            <w:shd w:val="clear" w:color="auto" w:fill="auto"/>
            <w:vAlign w:val="center"/>
            <w:hideMark/>
          </w:tcPr>
          <w:p w14:paraId="4AC7E53E" w14:textId="77777777" w:rsidR="00660057" w:rsidRPr="00ED61DD" w:rsidRDefault="00660057" w:rsidP="00562DA7">
            <w:pPr>
              <w:widowControl/>
              <w:rPr>
                <w:rFonts w:cs="Arial"/>
                <w:color w:val="000000"/>
                <w:szCs w:val="24"/>
                <w:lang w:eastAsia="es-MX"/>
              </w:rPr>
            </w:pPr>
            <w:r w:rsidRPr="00ED61DD">
              <w:rPr>
                <w:rFonts w:cs="Arial"/>
                <w:color w:val="000000"/>
                <w:szCs w:val="24"/>
                <w:lang w:eastAsia="es-MX"/>
              </w:rPr>
              <w:t>Sector de actividad económica, tipo de local y lugar de trabajo.</w:t>
            </w:r>
          </w:p>
        </w:tc>
      </w:tr>
      <w:tr w:rsidR="00660057" w:rsidRPr="0037646C" w14:paraId="1267EE04" w14:textId="77777777" w:rsidTr="00562DA7">
        <w:trPr>
          <w:trHeight w:val="483"/>
        </w:trPr>
        <w:tc>
          <w:tcPr>
            <w:tcW w:w="2799" w:type="dxa"/>
            <w:shd w:val="clear" w:color="auto" w:fill="auto"/>
            <w:vAlign w:val="center"/>
            <w:hideMark/>
          </w:tcPr>
          <w:p w14:paraId="617BE2B7" w14:textId="77777777" w:rsidR="00660057" w:rsidRPr="00ED61DD" w:rsidRDefault="00660057" w:rsidP="00562DA7">
            <w:pPr>
              <w:widowControl/>
              <w:jc w:val="left"/>
              <w:rPr>
                <w:rFonts w:cs="Arial"/>
                <w:b/>
                <w:bCs/>
                <w:color w:val="000000"/>
                <w:szCs w:val="24"/>
                <w:lang w:eastAsia="es-MX"/>
              </w:rPr>
            </w:pPr>
            <w:r w:rsidRPr="00ED61DD">
              <w:rPr>
                <w:rFonts w:cs="Arial"/>
                <w:b/>
                <w:bCs/>
                <w:color w:val="000000"/>
                <w:szCs w:val="24"/>
                <w:lang w:eastAsia="es-MX"/>
              </w:rPr>
              <w:t>Edad de inicio laboral y características del empleador</w:t>
            </w:r>
          </w:p>
        </w:tc>
        <w:tc>
          <w:tcPr>
            <w:tcW w:w="6977" w:type="dxa"/>
            <w:shd w:val="clear" w:color="auto" w:fill="auto"/>
            <w:vAlign w:val="center"/>
            <w:hideMark/>
          </w:tcPr>
          <w:p w14:paraId="68B5681C" w14:textId="77777777" w:rsidR="00660057" w:rsidRPr="00ED61DD" w:rsidRDefault="00660057" w:rsidP="00562DA7">
            <w:pPr>
              <w:widowControl/>
              <w:rPr>
                <w:rFonts w:cs="Arial"/>
                <w:color w:val="000000"/>
                <w:szCs w:val="24"/>
                <w:lang w:eastAsia="es-MX"/>
              </w:rPr>
            </w:pPr>
            <w:r w:rsidRPr="00ED61DD">
              <w:rPr>
                <w:rFonts w:cs="Arial"/>
                <w:color w:val="000000"/>
                <w:szCs w:val="24"/>
                <w:lang w:eastAsia="es-MX"/>
              </w:rPr>
              <w:t>Edad de inicio para trabajar; condición de trabajo familiar; residencia y sexo del empleador.</w:t>
            </w:r>
          </w:p>
        </w:tc>
      </w:tr>
      <w:tr w:rsidR="00660057" w:rsidRPr="0037646C" w14:paraId="2AC06E05" w14:textId="77777777" w:rsidTr="00562DA7">
        <w:trPr>
          <w:trHeight w:val="725"/>
        </w:trPr>
        <w:tc>
          <w:tcPr>
            <w:tcW w:w="2799" w:type="dxa"/>
            <w:shd w:val="clear" w:color="auto" w:fill="auto"/>
            <w:vAlign w:val="center"/>
            <w:hideMark/>
          </w:tcPr>
          <w:p w14:paraId="3822BBE3" w14:textId="77777777" w:rsidR="00660057" w:rsidRPr="00ED61DD" w:rsidRDefault="00660057" w:rsidP="00562DA7">
            <w:pPr>
              <w:widowControl/>
              <w:jc w:val="left"/>
              <w:rPr>
                <w:rFonts w:cs="Arial"/>
                <w:b/>
                <w:bCs/>
                <w:color w:val="000000"/>
                <w:szCs w:val="24"/>
                <w:lang w:eastAsia="es-MX"/>
              </w:rPr>
            </w:pPr>
            <w:r w:rsidRPr="00ED61DD">
              <w:rPr>
                <w:rFonts w:cs="Arial"/>
                <w:b/>
                <w:bCs/>
                <w:color w:val="000000"/>
                <w:szCs w:val="24"/>
                <w:lang w:eastAsia="es-MX"/>
              </w:rPr>
              <w:t>Certificado médico, jornada laboral y regularidad del trabajo</w:t>
            </w:r>
          </w:p>
        </w:tc>
        <w:tc>
          <w:tcPr>
            <w:tcW w:w="6977" w:type="dxa"/>
            <w:shd w:val="clear" w:color="auto" w:fill="auto"/>
            <w:vAlign w:val="center"/>
            <w:hideMark/>
          </w:tcPr>
          <w:p w14:paraId="278EC24B" w14:textId="77777777" w:rsidR="00660057" w:rsidRPr="00ED61DD" w:rsidRDefault="00660057" w:rsidP="00562DA7">
            <w:pPr>
              <w:widowControl/>
              <w:rPr>
                <w:rFonts w:cs="Arial"/>
                <w:color w:val="000000"/>
                <w:szCs w:val="24"/>
                <w:lang w:eastAsia="es-MX"/>
              </w:rPr>
            </w:pPr>
            <w:r w:rsidRPr="00ED61DD">
              <w:rPr>
                <w:rFonts w:cs="Arial"/>
                <w:color w:val="000000"/>
                <w:szCs w:val="24"/>
                <w:lang w:eastAsia="es-MX"/>
              </w:rPr>
              <w:t>Solicitud de certificado médico para trabajar, tipo de jornada, días y horas habituales trabajados a la semana, condición de trabajar todos los meses del año y motivo para no trabaja todos los meses.</w:t>
            </w:r>
          </w:p>
        </w:tc>
      </w:tr>
      <w:tr w:rsidR="00660057" w:rsidRPr="0037646C" w14:paraId="32E8A223" w14:textId="77777777" w:rsidTr="003353B8">
        <w:trPr>
          <w:trHeight w:val="2260"/>
        </w:trPr>
        <w:tc>
          <w:tcPr>
            <w:tcW w:w="2799" w:type="dxa"/>
            <w:shd w:val="clear" w:color="auto" w:fill="auto"/>
            <w:vAlign w:val="center"/>
            <w:hideMark/>
          </w:tcPr>
          <w:p w14:paraId="33498731" w14:textId="77777777" w:rsidR="00660057" w:rsidRPr="00ED61DD" w:rsidRDefault="00660057" w:rsidP="00562DA7">
            <w:pPr>
              <w:widowControl/>
              <w:jc w:val="left"/>
              <w:rPr>
                <w:rFonts w:cs="Arial"/>
                <w:b/>
                <w:bCs/>
                <w:color w:val="000000"/>
                <w:szCs w:val="24"/>
                <w:lang w:eastAsia="es-MX"/>
              </w:rPr>
            </w:pPr>
            <w:r w:rsidRPr="00ED61DD">
              <w:rPr>
                <w:rFonts w:cs="Arial"/>
                <w:b/>
                <w:bCs/>
                <w:color w:val="000000"/>
                <w:szCs w:val="24"/>
                <w:lang w:eastAsia="es-MX"/>
              </w:rPr>
              <w:t>Ingreso por trabajo, uso principal del ingreso y razón principal por la que trabaja</w:t>
            </w:r>
          </w:p>
        </w:tc>
        <w:tc>
          <w:tcPr>
            <w:tcW w:w="6977" w:type="dxa"/>
            <w:shd w:val="clear" w:color="auto" w:fill="auto"/>
            <w:vAlign w:val="center"/>
            <w:hideMark/>
          </w:tcPr>
          <w:p w14:paraId="4972B5FA" w14:textId="77777777" w:rsidR="00660057" w:rsidRDefault="00660057" w:rsidP="00562DA7">
            <w:pPr>
              <w:widowControl/>
              <w:rPr>
                <w:rFonts w:cs="Arial"/>
                <w:color w:val="000000"/>
                <w:szCs w:val="24"/>
                <w:lang w:eastAsia="es-MX"/>
              </w:rPr>
            </w:pPr>
            <w:r w:rsidRPr="00ED61DD">
              <w:rPr>
                <w:rFonts w:cs="Arial"/>
                <w:color w:val="000000"/>
                <w:szCs w:val="24"/>
                <w:lang w:eastAsia="es-MX"/>
              </w:rPr>
              <w:t>Periodo de pago, monto de ingresos mensual, uso principal del ingreso, aportación de ingreso a su hogar y razón principal por la que trabaja.</w:t>
            </w:r>
          </w:p>
          <w:p w14:paraId="26D42052" w14:textId="0D7A7C65" w:rsidR="003353B8" w:rsidRPr="00ED61DD" w:rsidRDefault="003353B8" w:rsidP="00562DA7">
            <w:pPr>
              <w:widowControl/>
              <w:rPr>
                <w:rFonts w:cs="Arial"/>
                <w:color w:val="000000"/>
                <w:szCs w:val="24"/>
                <w:lang w:eastAsia="es-MX"/>
              </w:rPr>
            </w:pPr>
          </w:p>
        </w:tc>
      </w:tr>
      <w:tr w:rsidR="00660057" w:rsidRPr="0037646C" w14:paraId="34301E29" w14:textId="77777777" w:rsidTr="00562DA7">
        <w:trPr>
          <w:trHeight w:val="302"/>
        </w:trPr>
        <w:tc>
          <w:tcPr>
            <w:tcW w:w="9776" w:type="dxa"/>
            <w:gridSpan w:val="2"/>
            <w:shd w:val="clear" w:color="auto" w:fill="99C5CC"/>
            <w:vAlign w:val="center"/>
            <w:hideMark/>
          </w:tcPr>
          <w:p w14:paraId="21A0E2F9" w14:textId="77777777" w:rsidR="00660057" w:rsidRPr="00ED61DD" w:rsidRDefault="00660057" w:rsidP="00562DA7">
            <w:pPr>
              <w:widowControl/>
              <w:jc w:val="center"/>
              <w:rPr>
                <w:rFonts w:cs="Arial"/>
                <w:b/>
                <w:bCs/>
                <w:color w:val="000000"/>
                <w:szCs w:val="24"/>
                <w:lang w:eastAsia="es-MX"/>
              </w:rPr>
            </w:pPr>
            <w:r w:rsidRPr="00ED61DD">
              <w:rPr>
                <w:rFonts w:cs="Arial"/>
                <w:b/>
                <w:bCs/>
                <w:color w:val="000000"/>
                <w:szCs w:val="24"/>
                <w:lang w:eastAsia="es-MX"/>
              </w:rPr>
              <w:lastRenderedPageBreak/>
              <w:t>Cuestionarios de actividades</w:t>
            </w:r>
          </w:p>
        </w:tc>
      </w:tr>
      <w:tr w:rsidR="00660057" w:rsidRPr="0037646C" w14:paraId="5C6279E0" w14:textId="77777777" w:rsidTr="00562DA7">
        <w:trPr>
          <w:trHeight w:val="725"/>
        </w:trPr>
        <w:tc>
          <w:tcPr>
            <w:tcW w:w="2799" w:type="dxa"/>
            <w:shd w:val="clear" w:color="auto" w:fill="auto"/>
            <w:vAlign w:val="center"/>
            <w:hideMark/>
          </w:tcPr>
          <w:p w14:paraId="3501CB1C" w14:textId="77777777" w:rsidR="00660057" w:rsidRPr="00ED61DD" w:rsidRDefault="00660057" w:rsidP="00562DA7">
            <w:pPr>
              <w:widowControl/>
              <w:jc w:val="left"/>
              <w:rPr>
                <w:rFonts w:cs="Arial"/>
                <w:b/>
                <w:bCs/>
                <w:color w:val="000000"/>
                <w:szCs w:val="24"/>
                <w:lang w:eastAsia="es-MX"/>
              </w:rPr>
            </w:pPr>
            <w:r w:rsidRPr="00ED61DD">
              <w:rPr>
                <w:rFonts w:cs="Arial"/>
                <w:b/>
                <w:bCs/>
                <w:color w:val="000000"/>
                <w:szCs w:val="24"/>
                <w:lang w:eastAsia="es-MX"/>
              </w:rPr>
              <w:t>Actividades y trabajos peligrosos</w:t>
            </w:r>
          </w:p>
        </w:tc>
        <w:tc>
          <w:tcPr>
            <w:tcW w:w="6977" w:type="dxa"/>
            <w:shd w:val="clear" w:color="auto" w:fill="auto"/>
            <w:vAlign w:val="center"/>
            <w:hideMark/>
          </w:tcPr>
          <w:p w14:paraId="20D9BE33" w14:textId="77777777" w:rsidR="00660057" w:rsidRPr="00ED61DD" w:rsidRDefault="00660057" w:rsidP="00562DA7">
            <w:pPr>
              <w:widowControl/>
              <w:rPr>
                <w:rFonts w:cs="Arial"/>
                <w:color w:val="000000"/>
                <w:szCs w:val="24"/>
                <w:lang w:eastAsia="es-MX"/>
              </w:rPr>
            </w:pPr>
            <w:r w:rsidRPr="00ED61DD">
              <w:rPr>
                <w:rFonts w:cs="Arial"/>
                <w:color w:val="000000"/>
                <w:szCs w:val="24"/>
                <w:lang w:eastAsia="es-MX"/>
              </w:rPr>
              <w:t>Cargar cosas pesadas en su trabajo, sufrir problemas de salud o físicos, exposición a herramientas o sustancias peligrosas, lugares de trabajo peligrosos.</w:t>
            </w:r>
          </w:p>
        </w:tc>
      </w:tr>
      <w:tr w:rsidR="00660057" w:rsidRPr="0037646C" w14:paraId="4F41650C" w14:textId="77777777" w:rsidTr="00562DA7">
        <w:trPr>
          <w:trHeight w:val="725"/>
        </w:trPr>
        <w:tc>
          <w:tcPr>
            <w:tcW w:w="2799" w:type="dxa"/>
            <w:shd w:val="clear" w:color="auto" w:fill="auto"/>
            <w:vAlign w:val="center"/>
            <w:hideMark/>
          </w:tcPr>
          <w:p w14:paraId="48EA6DED" w14:textId="77777777" w:rsidR="00660057" w:rsidRPr="00ED61DD" w:rsidRDefault="00660057" w:rsidP="00562DA7">
            <w:pPr>
              <w:widowControl/>
              <w:jc w:val="left"/>
              <w:rPr>
                <w:rFonts w:cs="Arial"/>
                <w:b/>
                <w:bCs/>
                <w:color w:val="000000"/>
                <w:szCs w:val="24"/>
                <w:lang w:eastAsia="es-MX"/>
              </w:rPr>
            </w:pPr>
            <w:r w:rsidRPr="00ED61DD">
              <w:rPr>
                <w:rFonts w:cs="Arial"/>
                <w:b/>
                <w:bCs/>
                <w:color w:val="000000"/>
                <w:szCs w:val="24"/>
                <w:lang w:eastAsia="es-MX"/>
              </w:rPr>
              <w:t>Riesgos de trabajo</w:t>
            </w:r>
          </w:p>
        </w:tc>
        <w:tc>
          <w:tcPr>
            <w:tcW w:w="6977" w:type="dxa"/>
            <w:shd w:val="clear" w:color="auto" w:fill="auto"/>
            <w:vAlign w:val="center"/>
            <w:hideMark/>
          </w:tcPr>
          <w:p w14:paraId="6487F7FC" w14:textId="77777777" w:rsidR="00660057" w:rsidRPr="00ED61DD" w:rsidRDefault="00660057" w:rsidP="00562DA7">
            <w:pPr>
              <w:widowControl/>
              <w:rPr>
                <w:rFonts w:cs="Arial"/>
                <w:color w:val="000000"/>
                <w:szCs w:val="24"/>
                <w:lang w:eastAsia="es-MX"/>
              </w:rPr>
            </w:pPr>
            <w:r w:rsidRPr="00ED61DD">
              <w:rPr>
                <w:rFonts w:cs="Arial"/>
                <w:color w:val="000000"/>
                <w:szCs w:val="24"/>
                <w:lang w:eastAsia="es-MX"/>
              </w:rPr>
              <w:t>Accidente de trabajo y enfermedad laboral, atención médica por el riesgo de trabajo, trabajo en que ocurrió el riesgo y ocupación que desempeñaba cuando ocurrió el riesgo.</w:t>
            </w:r>
          </w:p>
        </w:tc>
      </w:tr>
      <w:tr w:rsidR="00660057" w:rsidRPr="0037646C" w14:paraId="1A7B3FCE" w14:textId="77777777" w:rsidTr="00562DA7">
        <w:trPr>
          <w:trHeight w:val="302"/>
        </w:trPr>
        <w:tc>
          <w:tcPr>
            <w:tcW w:w="2799" w:type="dxa"/>
            <w:shd w:val="clear" w:color="auto" w:fill="auto"/>
            <w:vAlign w:val="center"/>
            <w:hideMark/>
          </w:tcPr>
          <w:p w14:paraId="1ACE69C9" w14:textId="77777777" w:rsidR="00660057" w:rsidRPr="00ED61DD" w:rsidRDefault="00660057" w:rsidP="00562DA7">
            <w:pPr>
              <w:widowControl/>
              <w:jc w:val="left"/>
              <w:rPr>
                <w:rFonts w:cs="Arial"/>
                <w:b/>
                <w:bCs/>
                <w:color w:val="000000"/>
                <w:szCs w:val="24"/>
                <w:lang w:eastAsia="es-MX"/>
              </w:rPr>
            </w:pPr>
            <w:r w:rsidRPr="00ED61DD">
              <w:rPr>
                <w:rFonts w:cs="Arial"/>
                <w:b/>
                <w:bCs/>
                <w:color w:val="000000"/>
                <w:szCs w:val="24"/>
                <w:lang w:eastAsia="es-MX"/>
              </w:rPr>
              <w:t xml:space="preserve">Consecuencias del trabajo </w:t>
            </w:r>
          </w:p>
        </w:tc>
        <w:tc>
          <w:tcPr>
            <w:tcW w:w="6977" w:type="dxa"/>
            <w:shd w:val="clear" w:color="auto" w:fill="auto"/>
            <w:vAlign w:val="center"/>
            <w:hideMark/>
          </w:tcPr>
          <w:p w14:paraId="7BBCF120" w14:textId="77777777" w:rsidR="00660057" w:rsidRPr="00ED61DD" w:rsidRDefault="00660057" w:rsidP="00562DA7">
            <w:pPr>
              <w:widowControl/>
              <w:rPr>
                <w:rFonts w:cs="Arial"/>
                <w:color w:val="000000"/>
                <w:szCs w:val="24"/>
                <w:lang w:eastAsia="es-MX"/>
              </w:rPr>
            </w:pPr>
            <w:r w:rsidRPr="00ED61DD">
              <w:rPr>
                <w:rFonts w:cs="Arial"/>
                <w:color w:val="000000"/>
                <w:szCs w:val="24"/>
                <w:lang w:eastAsia="es-MX"/>
              </w:rPr>
              <w:t>Consecuencias para el hogar y consecuencias para las niñas y niños.</w:t>
            </w:r>
          </w:p>
        </w:tc>
      </w:tr>
      <w:tr w:rsidR="00660057" w:rsidRPr="0037646C" w14:paraId="7F6D5DE7" w14:textId="77777777" w:rsidTr="00562DA7">
        <w:trPr>
          <w:trHeight w:val="1209"/>
        </w:trPr>
        <w:tc>
          <w:tcPr>
            <w:tcW w:w="2799" w:type="dxa"/>
            <w:shd w:val="clear" w:color="auto" w:fill="auto"/>
            <w:vAlign w:val="center"/>
            <w:hideMark/>
          </w:tcPr>
          <w:p w14:paraId="054B79F6" w14:textId="77777777" w:rsidR="00660057" w:rsidRPr="00ED61DD" w:rsidRDefault="00660057" w:rsidP="00562DA7">
            <w:pPr>
              <w:widowControl/>
              <w:jc w:val="left"/>
              <w:rPr>
                <w:rFonts w:cs="Arial"/>
                <w:b/>
                <w:bCs/>
                <w:color w:val="000000"/>
                <w:szCs w:val="24"/>
                <w:lang w:eastAsia="es-MX"/>
              </w:rPr>
            </w:pPr>
            <w:r w:rsidRPr="00ED61DD">
              <w:rPr>
                <w:rFonts w:cs="Arial"/>
                <w:b/>
                <w:bCs/>
                <w:color w:val="000000"/>
                <w:szCs w:val="24"/>
                <w:lang w:eastAsia="es-MX"/>
              </w:rPr>
              <w:t>Asistencia escolar y trabajo</w:t>
            </w:r>
          </w:p>
        </w:tc>
        <w:tc>
          <w:tcPr>
            <w:tcW w:w="6977" w:type="dxa"/>
            <w:shd w:val="clear" w:color="auto" w:fill="auto"/>
            <w:vAlign w:val="center"/>
            <w:hideMark/>
          </w:tcPr>
          <w:p w14:paraId="3B9287B7" w14:textId="77777777" w:rsidR="00660057" w:rsidRPr="00ED61DD" w:rsidRDefault="00660057" w:rsidP="00562DA7">
            <w:pPr>
              <w:widowControl/>
              <w:rPr>
                <w:rFonts w:cs="Arial"/>
                <w:color w:val="000000"/>
                <w:szCs w:val="24"/>
                <w:lang w:eastAsia="es-MX"/>
              </w:rPr>
            </w:pPr>
            <w:r w:rsidRPr="00ED61DD">
              <w:rPr>
                <w:rFonts w:cs="Arial"/>
                <w:color w:val="000000"/>
                <w:szCs w:val="24"/>
                <w:lang w:eastAsia="es-MX"/>
              </w:rPr>
              <w:t>Alguna vez asistió a la escuela, edad en qué dejó la escuela, interrupción escolar, número de interrupciones, tiempo que tardó en regresa</w:t>
            </w:r>
            <w:r>
              <w:rPr>
                <w:rFonts w:cs="Arial"/>
                <w:color w:val="000000"/>
                <w:szCs w:val="24"/>
                <w:lang w:eastAsia="es-MX"/>
              </w:rPr>
              <w:t>r</w:t>
            </w:r>
            <w:r w:rsidRPr="00ED61DD">
              <w:rPr>
                <w:rFonts w:cs="Arial"/>
                <w:color w:val="000000"/>
                <w:szCs w:val="24"/>
                <w:lang w:eastAsia="es-MX"/>
              </w:rPr>
              <w:t xml:space="preserve"> a la escuela, nivel que cursaba cuando interrumpió la escuela, interrupción escolar por motivos de trabajo, razón principal por la que no asiste o interrumpió la escuela.</w:t>
            </w:r>
          </w:p>
        </w:tc>
      </w:tr>
      <w:tr w:rsidR="00660057" w:rsidRPr="0037646C" w14:paraId="43884402" w14:textId="77777777" w:rsidTr="00562DA7">
        <w:trPr>
          <w:trHeight w:val="483"/>
        </w:trPr>
        <w:tc>
          <w:tcPr>
            <w:tcW w:w="2799" w:type="dxa"/>
            <w:shd w:val="clear" w:color="auto" w:fill="auto"/>
            <w:vAlign w:val="center"/>
            <w:hideMark/>
          </w:tcPr>
          <w:p w14:paraId="21B872BD" w14:textId="77777777" w:rsidR="00660057" w:rsidRPr="00ED61DD" w:rsidRDefault="00660057" w:rsidP="00562DA7">
            <w:pPr>
              <w:widowControl/>
              <w:jc w:val="left"/>
              <w:rPr>
                <w:rFonts w:cs="Arial"/>
                <w:b/>
                <w:bCs/>
                <w:color w:val="000000"/>
                <w:szCs w:val="24"/>
                <w:lang w:eastAsia="es-MX"/>
              </w:rPr>
            </w:pPr>
            <w:r w:rsidRPr="00ED61DD">
              <w:rPr>
                <w:rFonts w:cs="Arial"/>
                <w:b/>
                <w:bCs/>
                <w:color w:val="000000"/>
                <w:szCs w:val="24"/>
                <w:lang w:eastAsia="es-MX"/>
              </w:rPr>
              <w:t>Actividades de cuidado y domésticas peligrosas</w:t>
            </w:r>
          </w:p>
        </w:tc>
        <w:tc>
          <w:tcPr>
            <w:tcW w:w="6977" w:type="dxa"/>
            <w:shd w:val="clear" w:color="auto" w:fill="auto"/>
            <w:vAlign w:val="center"/>
            <w:hideMark/>
          </w:tcPr>
          <w:p w14:paraId="3C166E0A" w14:textId="77777777" w:rsidR="00660057" w:rsidRPr="00ED61DD" w:rsidRDefault="00660057" w:rsidP="00562DA7">
            <w:pPr>
              <w:widowControl/>
              <w:rPr>
                <w:rFonts w:cs="Arial"/>
                <w:color w:val="000000"/>
                <w:szCs w:val="24"/>
                <w:lang w:eastAsia="es-MX"/>
              </w:rPr>
            </w:pPr>
            <w:r w:rsidRPr="00ED61DD">
              <w:rPr>
                <w:rFonts w:cs="Arial"/>
                <w:color w:val="000000"/>
                <w:szCs w:val="24"/>
                <w:lang w:eastAsia="es-MX"/>
              </w:rPr>
              <w:t>Exposición a riesgos o actividades peligrosas en el cuidado de personas y los quehaceres domésticos.</w:t>
            </w:r>
          </w:p>
        </w:tc>
      </w:tr>
      <w:tr w:rsidR="00660057" w:rsidRPr="0037646C" w14:paraId="5A0C61F0" w14:textId="77777777" w:rsidTr="00562DA7">
        <w:trPr>
          <w:trHeight w:val="483"/>
        </w:trPr>
        <w:tc>
          <w:tcPr>
            <w:tcW w:w="2799" w:type="dxa"/>
            <w:shd w:val="clear" w:color="auto" w:fill="auto"/>
            <w:vAlign w:val="center"/>
            <w:hideMark/>
          </w:tcPr>
          <w:p w14:paraId="5DA5DA6A" w14:textId="77777777" w:rsidR="00660057" w:rsidRPr="00ED61DD" w:rsidRDefault="00660057" w:rsidP="00562DA7">
            <w:pPr>
              <w:widowControl/>
              <w:jc w:val="left"/>
              <w:rPr>
                <w:rFonts w:cs="Arial"/>
                <w:b/>
                <w:bCs/>
                <w:color w:val="000000"/>
                <w:szCs w:val="24"/>
                <w:lang w:eastAsia="es-MX"/>
              </w:rPr>
            </w:pPr>
            <w:r w:rsidRPr="00ED61DD">
              <w:rPr>
                <w:rFonts w:cs="Arial"/>
                <w:b/>
                <w:bCs/>
                <w:color w:val="000000"/>
                <w:szCs w:val="24"/>
                <w:lang w:eastAsia="es-MX"/>
              </w:rPr>
              <w:t>Acceso a programas sociales y apoyos económicos</w:t>
            </w:r>
          </w:p>
        </w:tc>
        <w:tc>
          <w:tcPr>
            <w:tcW w:w="6977" w:type="dxa"/>
            <w:shd w:val="clear" w:color="auto" w:fill="auto"/>
            <w:vAlign w:val="center"/>
            <w:hideMark/>
          </w:tcPr>
          <w:p w14:paraId="1610BAEF" w14:textId="77777777" w:rsidR="00660057" w:rsidRDefault="00660057" w:rsidP="00562DA7">
            <w:pPr>
              <w:widowControl/>
              <w:rPr>
                <w:rFonts w:cs="Arial"/>
                <w:color w:val="000000"/>
                <w:szCs w:val="24"/>
                <w:lang w:eastAsia="es-MX"/>
              </w:rPr>
            </w:pPr>
            <w:r w:rsidRPr="00ED61DD">
              <w:rPr>
                <w:rFonts w:cs="Arial"/>
                <w:color w:val="000000"/>
                <w:szCs w:val="24"/>
                <w:lang w:eastAsia="es-MX"/>
              </w:rPr>
              <w:t>Becas para estudiar, ayuda de algún programa de gobierno y ayuda familiar.</w:t>
            </w:r>
          </w:p>
          <w:p w14:paraId="3EB8FE9B" w14:textId="77777777" w:rsidR="00406C40" w:rsidRPr="00ED61DD" w:rsidRDefault="00406C40" w:rsidP="00562DA7">
            <w:pPr>
              <w:widowControl/>
              <w:rPr>
                <w:rFonts w:cs="Arial"/>
                <w:color w:val="000000"/>
                <w:szCs w:val="24"/>
                <w:lang w:eastAsia="es-MX"/>
              </w:rPr>
            </w:pPr>
          </w:p>
        </w:tc>
      </w:tr>
      <w:tr w:rsidR="00660057" w:rsidRPr="0037646C" w14:paraId="750A6756" w14:textId="77777777" w:rsidTr="00562DA7">
        <w:trPr>
          <w:trHeight w:val="302"/>
        </w:trPr>
        <w:tc>
          <w:tcPr>
            <w:tcW w:w="9776" w:type="dxa"/>
            <w:gridSpan w:val="2"/>
            <w:shd w:val="clear" w:color="auto" w:fill="99C5CC"/>
            <w:vAlign w:val="center"/>
            <w:hideMark/>
          </w:tcPr>
          <w:p w14:paraId="28162807" w14:textId="6245F979" w:rsidR="00660057" w:rsidRPr="00ED61DD" w:rsidRDefault="00660057" w:rsidP="00562DA7">
            <w:pPr>
              <w:widowControl/>
              <w:jc w:val="center"/>
              <w:rPr>
                <w:rFonts w:cs="Arial"/>
                <w:b/>
                <w:bCs/>
                <w:color w:val="000000"/>
                <w:szCs w:val="24"/>
                <w:lang w:eastAsia="es-MX"/>
              </w:rPr>
            </w:pPr>
            <w:r w:rsidRPr="00ED61DD">
              <w:rPr>
                <w:rFonts w:cs="Arial"/>
                <w:b/>
                <w:bCs/>
                <w:color w:val="000000"/>
                <w:szCs w:val="24"/>
                <w:lang w:eastAsia="es-MX"/>
              </w:rPr>
              <w:t>Cuestionario complementario de hogares</w:t>
            </w:r>
          </w:p>
        </w:tc>
      </w:tr>
      <w:tr w:rsidR="00660057" w:rsidRPr="0037646C" w14:paraId="225E8075" w14:textId="77777777" w:rsidTr="00562DA7">
        <w:trPr>
          <w:trHeight w:val="1692"/>
        </w:trPr>
        <w:tc>
          <w:tcPr>
            <w:tcW w:w="2799" w:type="dxa"/>
            <w:shd w:val="clear" w:color="000000" w:fill="FFFFFF"/>
            <w:vAlign w:val="center"/>
            <w:hideMark/>
          </w:tcPr>
          <w:p w14:paraId="2B2B436E" w14:textId="77777777" w:rsidR="00660057" w:rsidRPr="00ED61DD" w:rsidRDefault="00660057" w:rsidP="00562DA7">
            <w:pPr>
              <w:widowControl/>
              <w:rPr>
                <w:rFonts w:cs="Arial"/>
                <w:b/>
                <w:bCs/>
                <w:color w:val="000000"/>
                <w:szCs w:val="24"/>
                <w:lang w:eastAsia="es-MX"/>
              </w:rPr>
            </w:pPr>
            <w:r w:rsidRPr="00ED61DD">
              <w:rPr>
                <w:rFonts w:cs="Arial"/>
                <w:b/>
                <w:bCs/>
                <w:color w:val="000000"/>
                <w:szCs w:val="24"/>
                <w:lang w:eastAsia="es-MX"/>
              </w:rPr>
              <w:t>Hogares</w:t>
            </w:r>
          </w:p>
        </w:tc>
        <w:tc>
          <w:tcPr>
            <w:tcW w:w="6977" w:type="dxa"/>
            <w:shd w:val="clear" w:color="000000" w:fill="FFFFFF"/>
            <w:vAlign w:val="center"/>
            <w:hideMark/>
          </w:tcPr>
          <w:p w14:paraId="35C6B019" w14:textId="77777777" w:rsidR="00660057" w:rsidRPr="00ED61DD" w:rsidRDefault="00660057" w:rsidP="00562DA7">
            <w:pPr>
              <w:widowControl/>
              <w:rPr>
                <w:rFonts w:cs="Arial"/>
                <w:color w:val="000000"/>
                <w:szCs w:val="24"/>
                <w:lang w:eastAsia="es-MX"/>
              </w:rPr>
            </w:pPr>
            <w:r w:rsidRPr="00ED61DD">
              <w:rPr>
                <w:rFonts w:cs="Arial"/>
                <w:color w:val="000000"/>
                <w:szCs w:val="24"/>
                <w:lang w:eastAsia="es-MX"/>
              </w:rPr>
              <w:t>Problemas en el hogar, gravedad del problema, beneficiarios de pensiones por jubilación y viudez; del Programa para el Bienestar de Niños, Niñas, Hijos de Madres Trabajadoras; de Becas Benito Juárez; del Programa Jóvenes Construyendo el Futuro; del Programa Pensión Bienestar de las Personas con Discapacidad; del Programa para el Bienestar de las Personas Adultas Mayores o de algún otro programa social.</w:t>
            </w:r>
          </w:p>
        </w:tc>
      </w:tr>
    </w:tbl>
    <w:p w14:paraId="77983462" w14:textId="03DC94D8" w:rsidR="00660057" w:rsidRDefault="00660057" w:rsidP="009E43F3">
      <w:pPr>
        <w:widowControl/>
        <w:tabs>
          <w:tab w:val="left" w:pos="3261"/>
        </w:tabs>
        <w:autoSpaceDE w:val="0"/>
        <w:autoSpaceDN w:val="0"/>
        <w:rPr>
          <w:rFonts w:cs="Arial"/>
          <w:b/>
          <w:color w:val="000000"/>
          <w:szCs w:val="24"/>
        </w:rPr>
      </w:pPr>
    </w:p>
    <w:p w14:paraId="351496F4" w14:textId="57444403" w:rsidR="00791592" w:rsidRPr="00053D20" w:rsidRDefault="00791592" w:rsidP="00F14901">
      <w:pPr>
        <w:pStyle w:val="Prrafodelista"/>
        <w:widowControl/>
        <w:numPr>
          <w:ilvl w:val="0"/>
          <w:numId w:val="6"/>
        </w:numPr>
        <w:autoSpaceDE w:val="0"/>
        <w:autoSpaceDN w:val="0"/>
        <w:jc w:val="left"/>
        <w:rPr>
          <w:rFonts w:cs="Arial"/>
          <w:b/>
          <w:bCs/>
          <w:color w:val="000000"/>
          <w:szCs w:val="24"/>
        </w:rPr>
      </w:pPr>
      <w:r w:rsidRPr="00053D20">
        <w:rPr>
          <w:rFonts w:cs="Arial"/>
          <w:b/>
          <w:bCs/>
          <w:color w:val="000000"/>
          <w:szCs w:val="24"/>
        </w:rPr>
        <w:t>Levantamiento</w:t>
      </w:r>
    </w:p>
    <w:p w14:paraId="53127D26" w14:textId="77777777" w:rsidR="0054757B" w:rsidRPr="005B3159" w:rsidRDefault="0054757B" w:rsidP="005B3159">
      <w:pPr>
        <w:widowControl/>
        <w:autoSpaceDE w:val="0"/>
        <w:autoSpaceDN w:val="0"/>
        <w:rPr>
          <w:rFonts w:cs="Arial"/>
          <w:color w:val="000000"/>
          <w:szCs w:val="24"/>
        </w:rPr>
      </w:pPr>
    </w:p>
    <w:p w14:paraId="1A2CBA13" w14:textId="19711684" w:rsidR="00791592" w:rsidRPr="005B3159" w:rsidRDefault="00791592" w:rsidP="005B3159">
      <w:pPr>
        <w:widowControl/>
        <w:autoSpaceDE w:val="0"/>
        <w:autoSpaceDN w:val="0"/>
        <w:rPr>
          <w:rFonts w:cs="Arial"/>
          <w:color w:val="000000"/>
          <w:szCs w:val="24"/>
        </w:rPr>
      </w:pPr>
      <w:r w:rsidRPr="005B3159">
        <w:rPr>
          <w:rFonts w:cs="Arial"/>
          <w:color w:val="000000"/>
          <w:szCs w:val="24"/>
        </w:rPr>
        <w:t>La información se levantó mediante entrevista directa (cara a cara) con cuestionario en papel</w:t>
      </w:r>
      <w:r w:rsidR="00650E77" w:rsidRPr="005B3159">
        <w:rPr>
          <w:rFonts w:cs="Arial"/>
          <w:color w:val="000000"/>
          <w:szCs w:val="24"/>
        </w:rPr>
        <w:t>,</w:t>
      </w:r>
      <w:r w:rsidRPr="005B3159">
        <w:rPr>
          <w:rFonts w:cs="Arial"/>
          <w:color w:val="000000"/>
          <w:szCs w:val="24"/>
        </w:rPr>
        <w:t xml:space="preserve"> del 3 de octubre al 30 de diciembre de 2022.</w:t>
      </w:r>
    </w:p>
    <w:p w14:paraId="40EB3981" w14:textId="77777777" w:rsidR="00791592" w:rsidRPr="0037646C" w:rsidRDefault="00791592" w:rsidP="00F14901">
      <w:pPr>
        <w:widowControl/>
        <w:jc w:val="left"/>
        <w:rPr>
          <w:rFonts w:cs="Arial"/>
          <w:szCs w:val="24"/>
        </w:rPr>
      </w:pPr>
    </w:p>
    <w:p w14:paraId="1B09D219" w14:textId="77777777" w:rsidR="00791592" w:rsidRPr="0037646C" w:rsidRDefault="00791592" w:rsidP="00F14901">
      <w:pPr>
        <w:pStyle w:val="Prrafodelista"/>
        <w:widowControl/>
        <w:numPr>
          <w:ilvl w:val="0"/>
          <w:numId w:val="6"/>
        </w:numPr>
        <w:autoSpaceDE w:val="0"/>
        <w:autoSpaceDN w:val="0"/>
        <w:adjustRightInd w:val="0"/>
        <w:ind w:left="567" w:hanging="567"/>
        <w:jc w:val="left"/>
        <w:rPr>
          <w:rFonts w:cs="Arial"/>
          <w:b/>
          <w:bCs/>
          <w:color w:val="000000"/>
          <w:szCs w:val="24"/>
        </w:rPr>
      </w:pPr>
      <w:r w:rsidRPr="0037646C">
        <w:rPr>
          <w:rFonts w:cs="Arial"/>
          <w:b/>
          <w:bCs/>
          <w:color w:val="000000"/>
          <w:szCs w:val="24"/>
        </w:rPr>
        <w:t>Diseño muestral</w:t>
      </w:r>
    </w:p>
    <w:p w14:paraId="62CDC074" w14:textId="77777777" w:rsidR="00791592" w:rsidRDefault="00791592" w:rsidP="009E43F3">
      <w:pPr>
        <w:widowControl/>
        <w:autoSpaceDE w:val="0"/>
        <w:autoSpaceDN w:val="0"/>
        <w:rPr>
          <w:rFonts w:cs="Arial"/>
          <w:color w:val="000000"/>
          <w:szCs w:val="24"/>
        </w:rPr>
      </w:pPr>
    </w:p>
    <w:tbl>
      <w:tblPr>
        <w:tblStyle w:val="Tablaconcuadrcula6concolores-nfasis1"/>
        <w:tblW w:w="9918" w:type="dxa"/>
        <w:tblBorders>
          <w:top w:val="single" w:sz="4" w:space="0" w:color="338B99"/>
          <w:left w:val="single" w:sz="4" w:space="0" w:color="338B99"/>
          <w:bottom w:val="single" w:sz="4" w:space="0" w:color="338B99"/>
          <w:right w:val="single" w:sz="4" w:space="0" w:color="338B99"/>
          <w:insideH w:val="single" w:sz="4" w:space="0" w:color="338B99"/>
          <w:insideV w:val="single" w:sz="4" w:space="0" w:color="338B99"/>
        </w:tblBorders>
        <w:tblLook w:val="04A0" w:firstRow="1" w:lastRow="0" w:firstColumn="1" w:lastColumn="0" w:noHBand="0" w:noVBand="1"/>
      </w:tblPr>
      <w:tblGrid>
        <w:gridCol w:w="3397"/>
        <w:gridCol w:w="6521"/>
      </w:tblGrid>
      <w:tr w:rsidR="00660057" w:rsidRPr="0037646C" w14:paraId="2BB4B900" w14:textId="77777777" w:rsidTr="00562DA7">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397" w:type="dxa"/>
            <w:tcBorders>
              <w:bottom w:val="none" w:sz="0" w:space="0" w:color="auto"/>
            </w:tcBorders>
          </w:tcPr>
          <w:p w14:paraId="0129F813" w14:textId="77777777" w:rsidR="00660057" w:rsidRPr="0037646C" w:rsidRDefault="00660057" w:rsidP="00562DA7">
            <w:pPr>
              <w:widowControl/>
              <w:rPr>
                <w:rFonts w:cs="Arial"/>
                <w:b w:val="0"/>
                <w:bCs w:val="0"/>
                <w:color w:val="auto"/>
                <w:szCs w:val="24"/>
              </w:rPr>
            </w:pPr>
            <w:r w:rsidRPr="0037646C">
              <w:rPr>
                <w:rFonts w:cs="Arial"/>
                <w:b w:val="0"/>
                <w:bCs w:val="0"/>
                <w:color w:val="auto"/>
                <w:szCs w:val="24"/>
              </w:rPr>
              <w:t>Marco de muestreo</w:t>
            </w:r>
          </w:p>
        </w:tc>
        <w:tc>
          <w:tcPr>
            <w:tcW w:w="6521" w:type="dxa"/>
            <w:tcBorders>
              <w:bottom w:val="none" w:sz="0" w:space="0" w:color="auto"/>
            </w:tcBorders>
          </w:tcPr>
          <w:p w14:paraId="421E9E89" w14:textId="77777777" w:rsidR="00660057" w:rsidRPr="0037646C" w:rsidRDefault="00660057" w:rsidP="00562DA7">
            <w:pPr>
              <w:widowControl/>
              <w:cnfStyle w:val="100000000000" w:firstRow="1" w:lastRow="0" w:firstColumn="0" w:lastColumn="0" w:oddVBand="0" w:evenVBand="0" w:oddHBand="0" w:evenHBand="0" w:firstRowFirstColumn="0" w:firstRowLastColumn="0" w:lastRowFirstColumn="0" w:lastRowLastColumn="0"/>
              <w:rPr>
                <w:rFonts w:cs="Arial"/>
                <w:b w:val="0"/>
                <w:bCs w:val="0"/>
                <w:color w:val="auto"/>
                <w:szCs w:val="24"/>
              </w:rPr>
            </w:pPr>
            <w:r w:rsidRPr="0037646C">
              <w:rPr>
                <w:rFonts w:cs="Arial"/>
                <w:b w:val="0"/>
                <w:bCs w:val="0"/>
                <w:color w:val="auto"/>
                <w:szCs w:val="24"/>
              </w:rPr>
              <w:t>Marco de muestreo de viviendas del INEGI</w:t>
            </w:r>
          </w:p>
        </w:tc>
      </w:tr>
      <w:tr w:rsidR="00660057" w:rsidRPr="0037646C" w14:paraId="58D2EB20" w14:textId="77777777" w:rsidTr="00562DA7">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397" w:type="dxa"/>
            <w:shd w:val="clear" w:color="auto" w:fill="CCE2E6"/>
          </w:tcPr>
          <w:p w14:paraId="4F2A0207" w14:textId="77777777" w:rsidR="00660057" w:rsidRPr="0037646C" w:rsidRDefault="00660057" w:rsidP="00562DA7">
            <w:pPr>
              <w:widowControl/>
              <w:rPr>
                <w:rFonts w:cs="Arial"/>
                <w:b w:val="0"/>
                <w:bCs w:val="0"/>
                <w:color w:val="auto"/>
                <w:szCs w:val="24"/>
              </w:rPr>
            </w:pPr>
            <w:r w:rsidRPr="0037646C">
              <w:rPr>
                <w:rFonts w:cs="Arial"/>
                <w:b w:val="0"/>
                <w:bCs w:val="0"/>
                <w:color w:val="auto"/>
                <w:szCs w:val="24"/>
              </w:rPr>
              <w:t>Unidad de observación</w:t>
            </w:r>
          </w:p>
        </w:tc>
        <w:tc>
          <w:tcPr>
            <w:tcW w:w="6521" w:type="dxa"/>
            <w:shd w:val="clear" w:color="auto" w:fill="CCE2E6"/>
          </w:tcPr>
          <w:p w14:paraId="199C95E5" w14:textId="77777777" w:rsidR="00660057" w:rsidRPr="0037646C" w:rsidRDefault="00660057" w:rsidP="00562DA7">
            <w:pPr>
              <w:widowControl/>
              <w:cnfStyle w:val="000000100000" w:firstRow="0" w:lastRow="0" w:firstColumn="0" w:lastColumn="0" w:oddVBand="0" w:evenVBand="0" w:oddHBand="1" w:evenHBand="0" w:firstRowFirstColumn="0" w:firstRowLastColumn="0" w:lastRowFirstColumn="0" w:lastRowLastColumn="0"/>
              <w:rPr>
                <w:rFonts w:cs="Arial"/>
                <w:color w:val="auto"/>
                <w:szCs w:val="24"/>
              </w:rPr>
            </w:pPr>
            <w:r w:rsidRPr="0037646C">
              <w:rPr>
                <w:rFonts w:cs="Arial"/>
                <w:color w:val="auto"/>
                <w:szCs w:val="24"/>
              </w:rPr>
              <w:t xml:space="preserve">Vivienda seleccionada con </w:t>
            </w:r>
            <w:r>
              <w:rPr>
                <w:rFonts w:cs="Arial"/>
                <w:color w:val="auto"/>
                <w:szCs w:val="24"/>
              </w:rPr>
              <w:t>población de 5 a 17 años</w:t>
            </w:r>
          </w:p>
          <w:p w14:paraId="272F3362" w14:textId="77777777" w:rsidR="00660057" w:rsidRPr="0037646C" w:rsidRDefault="00660057" w:rsidP="00562DA7">
            <w:pPr>
              <w:widowControl/>
              <w:cnfStyle w:val="000000100000" w:firstRow="0" w:lastRow="0" w:firstColumn="0" w:lastColumn="0" w:oddVBand="0" w:evenVBand="0" w:oddHBand="1" w:evenHBand="0" w:firstRowFirstColumn="0" w:firstRowLastColumn="0" w:lastRowFirstColumn="0" w:lastRowLastColumn="0"/>
              <w:rPr>
                <w:rFonts w:cs="Arial"/>
                <w:color w:val="auto"/>
                <w:szCs w:val="24"/>
              </w:rPr>
            </w:pPr>
            <w:r w:rsidRPr="0037646C">
              <w:rPr>
                <w:rFonts w:cs="Arial"/>
                <w:color w:val="auto"/>
                <w:szCs w:val="24"/>
              </w:rPr>
              <w:t>Hogares y personas del hogar</w:t>
            </w:r>
          </w:p>
        </w:tc>
      </w:tr>
      <w:tr w:rsidR="00660057" w:rsidRPr="0037646C" w14:paraId="1FB50236" w14:textId="77777777" w:rsidTr="00562DA7">
        <w:tc>
          <w:tcPr>
            <w:cnfStyle w:val="001000000000" w:firstRow="0" w:lastRow="0" w:firstColumn="1" w:lastColumn="0" w:oddVBand="0" w:evenVBand="0" w:oddHBand="0" w:evenHBand="0" w:firstRowFirstColumn="0" w:firstRowLastColumn="0" w:lastRowFirstColumn="0" w:lastRowLastColumn="0"/>
            <w:tcW w:w="3397" w:type="dxa"/>
          </w:tcPr>
          <w:p w14:paraId="2E931121" w14:textId="77777777" w:rsidR="00660057" w:rsidRPr="0037646C" w:rsidRDefault="00660057" w:rsidP="00562DA7">
            <w:pPr>
              <w:widowControl/>
              <w:rPr>
                <w:rFonts w:cs="Arial"/>
                <w:b w:val="0"/>
                <w:bCs w:val="0"/>
                <w:color w:val="auto"/>
                <w:szCs w:val="24"/>
              </w:rPr>
            </w:pPr>
            <w:r w:rsidRPr="0037646C">
              <w:rPr>
                <w:rFonts w:cs="Arial"/>
                <w:b w:val="0"/>
                <w:bCs w:val="0"/>
                <w:color w:val="auto"/>
                <w:szCs w:val="24"/>
              </w:rPr>
              <w:t>Población objetivo</w:t>
            </w:r>
          </w:p>
        </w:tc>
        <w:tc>
          <w:tcPr>
            <w:tcW w:w="6521" w:type="dxa"/>
          </w:tcPr>
          <w:p w14:paraId="5B04E50B" w14:textId="77777777" w:rsidR="00660057" w:rsidRPr="0037646C" w:rsidRDefault="00660057" w:rsidP="00562DA7">
            <w:pPr>
              <w:widowControl/>
              <w:cnfStyle w:val="000000000000" w:firstRow="0" w:lastRow="0" w:firstColumn="0" w:lastColumn="0" w:oddVBand="0" w:evenVBand="0" w:oddHBand="0" w:evenHBand="0" w:firstRowFirstColumn="0" w:firstRowLastColumn="0" w:lastRowFirstColumn="0" w:lastRowLastColumn="0"/>
              <w:rPr>
                <w:rFonts w:cs="Arial"/>
                <w:color w:val="auto"/>
                <w:szCs w:val="24"/>
              </w:rPr>
            </w:pPr>
            <w:r w:rsidRPr="0037646C">
              <w:rPr>
                <w:rFonts w:cs="Arial"/>
                <w:color w:val="auto"/>
                <w:szCs w:val="24"/>
              </w:rPr>
              <w:t>Población total</w:t>
            </w:r>
          </w:p>
          <w:p w14:paraId="65D3D0D4" w14:textId="77777777" w:rsidR="00660057" w:rsidRPr="0037646C" w:rsidRDefault="00660057" w:rsidP="00562DA7">
            <w:pPr>
              <w:widowControl/>
              <w:cnfStyle w:val="000000000000" w:firstRow="0" w:lastRow="0" w:firstColumn="0" w:lastColumn="0" w:oddVBand="0" w:evenVBand="0" w:oddHBand="0" w:evenHBand="0" w:firstRowFirstColumn="0" w:firstRowLastColumn="0" w:lastRowFirstColumn="0" w:lastRowLastColumn="0"/>
              <w:rPr>
                <w:rFonts w:cs="Arial"/>
                <w:color w:val="auto"/>
                <w:szCs w:val="24"/>
              </w:rPr>
            </w:pPr>
            <w:r w:rsidRPr="0037646C">
              <w:rPr>
                <w:rFonts w:cs="Arial"/>
                <w:color w:val="auto"/>
                <w:szCs w:val="24"/>
              </w:rPr>
              <w:t>Población de 12 y más años</w:t>
            </w:r>
          </w:p>
          <w:p w14:paraId="09FF3C32" w14:textId="77777777" w:rsidR="00660057" w:rsidRPr="0037646C" w:rsidRDefault="00660057" w:rsidP="00562DA7">
            <w:pPr>
              <w:widowControl/>
              <w:cnfStyle w:val="000000000000" w:firstRow="0" w:lastRow="0" w:firstColumn="0" w:lastColumn="0" w:oddVBand="0" w:evenVBand="0" w:oddHBand="0" w:evenHBand="0" w:firstRowFirstColumn="0" w:firstRowLastColumn="0" w:lastRowFirstColumn="0" w:lastRowLastColumn="0"/>
              <w:rPr>
                <w:rFonts w:cs="Arial"/>
                <w:color w:val="auto"/>
                <w:szCs w:val="24"/>
              </w:rPr>
            </w:pPr>
            <w:r w:rsidRPr="0037646C">
              <w:rPr>
                <w:rFonts w:cs="Arial"/>
                <w:color w:val="auto"/>
                <w:szCs w:val="24"/>
              </w:rPr>
              <w:t>Población de 5 a 17 y más años</w:t>
            </w:r>
          </w:p>
        </w:tc>
      </w:tr>
      <w:tr w:rsidR="00660057" w:rsidRPr="0037646C" w14:paraId="62396C52" w14:textId="77777777" w:rsidTr="00562D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CCE2E6"/>
          </w:tcPr>
          <w:p w14:paraId="7E22A65C" w14:textId="77777777" w:rsidR="00660057" w:rsidRPr="0037646C" w:rsidRDefault="00660057" w:rsidP="00562DA7">
            <w:pPr>
              <w:widowControl/>
              <w:rPr>
                <w:rFonts w:cs="Arial"/>
                <w:b w:val="0"/>
                <w:bCs w:val="0"/>
                <w:color w:val="auto"/>
                <w:szCs w:val="24"/>
              </w:rPr>
            </w:pPr>
            <w:r w:rsidRPr="0037646C">
              <w:rPr>
                <w:rFonts w:cs="Arial"/>
                <w:b w:val="0"/>
                <w:bCs w:val="0"/>
                <w:color w:val="auto"/>
                <w:szCs w:val="24"/>
              </w:rPr>
              <w:t>Tamaño de la muestra</w:t>
            </w:r>
          </w:p>
        </w:tc>
        <w:tc>
          <w:tcPr>
            <w:tcW w:w="6521" w:type="dxa"/>
            <w:shd w:val="clear" w:color="auto" w:fill="CCE2E6"/>
          </w:tcPr>
          <w:p w14:paraId="125501F9" w14:textId="77777777" w:rsidR="00660057" w:rsidRPr="0037646C" w:rsidRDefault="00660057" w:rsidP="00562DA7">
            <w:pPr>
              <w:widowControl/>
              <w:cnfStyle w:val="000000100000" w:firstRow="0" w:lastRow="0" w:firstColumn="0" w:lastColumn="0" w:oddVBand="0" w:evenVBand="0" w:oddHBand="1" w:evenHBand="0" w:firstRowFirstColumn="0" w:firstRowLastColumn="0" w:lastRowFirstColumn="0" w:lastRowLastColumn="0"/>
              <w:rPr>
                <w:rFonts w:cs="Arial"/>
                <w:color w:val="auto"/>
                <w:szCs w:val="24"/>
              </w:rPr>
            </w:pPr>
            <w:r w:rsidRPr="0037646C">
              <w:rPr>
                <w:rFonts w:cs="Arial"/>
                <w:color w:val="auto"/>
                <w:szCs w:val="24"/>
              </w:rPr>
              <w:t xml:space="preserve">64 954 viviendas </w:t>
            </w:r>
          </w:p>
        </w:tc>
      </w:tr>
      <w:tr w:rsidR="00660057" w:rsidRPr="0037646C" w14:paraId="46ACC710" w14:textId="77777777" w:rsidTr="00562DA7">
        <w:tc>
          <w:tcPr>
            <w:cnfStyle w:val="001000000000" w:firstRow="0" w:lastRow="0" w:firstColumn="1" w:lastColumn="0" w:oddVBand="0" w:evenVBand="0" w:oddHBand="0" w:evenHBand="0" w:firstRowFirstColumn="0" w:firstRowLastColumn="0" w:lastRowFirstColumn="0" w:lastRowLastColumn="0"/>
            <w:tcW w:w="3397" w:type="dxa"/>
          </w:tcPr>
          <w:p w14:paraId="4FFD6ED6" w14:textId="77777777" w:rsidR="00660057" w:rsidRPr="0037646C" w:rsidRDefault="00660057" w:rsidP="00562DA7">
            <w:pPr>
              <w:widowControl/>
              <w:rPr>
                <w:rFonts w:cs="Arial"/>
                <w:b w:val="0"/>
                <w:bCs w:val="0"/>
                <w:color w:val="auto"/>
                <w:szCs w:val="24"/>
              </w:rPr>
            </w:pPr>
            <w:r w:rsidRPr="0037646C">
              <w:rPr>
                <w:rFonts w:cs="Arial"/>
                <w:b w:val="0"/>
                <w:bCs w:val="0"/>
                <w:color w:val="auto"/>
                <w:szCs w:val="24"/>
              </w:rPr>
              <w:t>Diseño de la muestra</w:t>
            </w:r>
          </w:p>
        </w:tc>
        <w:tc>
          <w:tcPr>
            <w:tcW w:w="6521" w:type="dxa"/>
          </w:tcPr>
          <w:p w14:paraId="4891FAE8" w14:textId="77777777" w:rsidR="00660057" w:rsidRPr="0037646C" w:rsidRDefault="00660057" w:rsidP="00562DA7">
            <w:pPr>
              <w:widowControl/>
              <w:cnfStyle w:val="000000000000" w:firstRow="0" w:lastRow="0" w:firstColumn="0" w:lastColumn="0" w:oddVBand="0" w:evenVBand="0" w:oddHBand="0" w:evenHBand="0" w:firstRowFirstColumn="0" w:firstRowLastColumn="0" w:lastRowFirstColumn="0" w:lastRowLastColumn="0"/>
              <w:rPr>
                <w:rFonts w:cs="Arial"/>
                <w:color w:val="auto"/>
                <w:szCs w:val="24"/>
              </w:rPr>
            </w:pPr>
            <w:r w:rsidRPr="0037646C">
              <w:rPr>
                <w:rFonts w:cs="Arial"/>
                <w:color w:val="auto"/>
                <w:szCs w:val="24"/>
              </w:rPr>
              <w:t>Probabilístico</w:t>
            </w:r>
          </w:p>
          <w:p w14:paraId="23537717" w14:textId="77777777" w:rsidR="00660057" w:rsidRPr="0037646C" w:rsidRDefault="00660057" w:rsidP="00562DA7">
            <w:pPr>
              <w:widowControl/>
              <w:cnfStyle w:val="000000000000" w:firstRow="0" w:lastRow="0" w:firstColumn="0" w:lastColumn="0" w:oddVBand="0" w:evenVBand="0" w:oddHBand="0" w:evenHBand="0" w:firstRowFirstColumn="0" w:firstRowLastColumn="0" w:lastRowFirstColumn="0" w:lastRowLastColumn="0"/>
              <w:rPr>
                <w:rFonts w:cs="Arial"/>
                <w:color w:val="auto"/>
                <w:szCs w:val="24"/>
              </w:rPr>
            </w:pPr>
            <w:r w:rsidRPr="0037646C">
              <w:rPr>
                <w:rFonts w:cs="Arial"/>
                <w:color w:val="auto"/>
                <w:szCs w:val="24"/>
              </w:rPr>
              <w:t>Bietápico</w:t>
            </w:r>
          </w:p>
          <w:p w14:paraId="540C7AE8" w14:textId="77777777" w:rsidR="00660057" w:rsidRPr="0037646C" w:rsidRDefault="00660057" w:rsidP="00562DA7">
            <w:pPr>
              <w:widowControl/>
              <w:cnfStyle w:val="000000000000" w:firstRow="0" w:lastRow="0" w:firstColumn="0" w:lastColumn="0" w:oddVBand="0" w:evenVBand="0" w:oddHBand="0" w:evenHBand="0" w:firstRowFirstColumn="0" w:firstRowLastColumn="0" w:lastRowFirstColumn="0" w:lastRowLastColumn="0"/>
              <w:rPr>
                <w:rFonts w:cs="Arial"/>
                <w:color w:val="auto"/>
                <w:szCs w:val="24"/>
              </w:rPr>
            </w:pPr>
            <w:r w:rsidRPr="0037646C">
              <w:rPr>
                <w:rFonts w:cs="Arial"/>
                <w:color w:val="auto"/>
                <w:szCs w:val="24"/>
              </w:rPr>
              <w:lastRenderedPageBreak/>
              <w:t>Estratificado</w:t>
            </w:r>
          </w:p>
          <w:p w14:paraId="7DD3F00B" w14:textId="77777777" w:rsidR="00660057" w:rsidRPr="0037646C" w:rsidRDefault="00660057" w:rsidP="00562DA7">
            <w:pPr>
              <w:widowControl/>
              <w:cnfStyle w:val="000000000000" w:firstRow="0" w:lastRow="0" w:firstColumn="0" w:lastColumn="0" w:oddVBand="0" w:evenVBand="0" w:oddHBand="0" w:evenHBand="0" w:firstRowFirstColumn="0" w:firstRowLastColumn="0" w:lastRowFirstColumn="0" w:lastRowLastColumn="0"/>
              <w:rPr>
                <w:rFonts w:cs="Arial"/>
                <w:color w:val="auto"/>
                <w:szCs w:val="24"/>
              </w:rPr>
            </w:pPr>
            <w:r w:rsidRPr="0037646C">
              <w:rPr>
                <w:rFonts w:cs="Arial"/>
                <w:color w:val="auto"/>
                <w:szCs w:val="24"/>
              </w:rPr>
              <w:t>Por conglomerados</w:t>
            </w:r>
          </w:p>
        </w:tc>
      </w:tr>
      <w:tr w:rsidR="00660057" w:rsidRPr="0037646C" w14:paraId="2845C27E" w14:textId="77777777" w:rsidTr="00562D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CCE2E6"/>
          </w:tcPr>
          <w:p w14:paraId="6D5D8E65" w14:textId="77777777" w:rsidR="00660057" w:rsidRPr="0037646C" w:rsidRDefault="00660057" w:rsidP="00562DA7">
            <w:pPr>
              <w:widowControl/>
              <w:rPr>
                <w:rFonts w:cs="Arial"/>
                <w:b w:val="0"/>
                <w:bCs w:val="0"/>
                <w:color w:val="auto"/>
                <w:szCs w:val="24"/>
              </w:rPr>
            </w:pPr>
            <w:r w:rsidRPr="0037646C">
              <w:rPr>
                <w:rFonts w:cs="Arial"/>
                <w:b w:val="0"/>
                <w:bCs w:val="0"/>
                <w:color w:val="auto"/>
                <w:szCs w:val="24"/>
              </w:rPr>
              <w:lastRenderedPageBreak/>
              <w:t>Desglose geográfico</w:t>
            </w:r>
          </w:p>
        </w:tc>
        <w:tc>
          <w:tcPr>
            <w:tcW w:w="6521" w:type="dxa"/>
            <w:shd w:val="clear" w:color="auto" w:fill="CCE2E6"/>
          </w:tcPr>
          <w:p w14:paraId="392CB3E0" w14:textId="77777777" w:rsidR="00660057" w:rsidRPr="0037646C" w:rsidRDefault="00660057" w:rsidP="00562DA7">
            <w:pPr>
              <w:widowControl/>
              <w:cnfStyle w:val="000000100000" w:firstRow="0" w:lastRow="0" w:firstColumn="0" w:lastColumn="0" w:oddVBand="0" w:evenVBand="0" w:oddHBand="1" w:evenHBand="0" w:firstRowFirstColumn="0" w:firstRowLastColumn="0" w:lastRowFirstColumn="0" w:lastRowLastColumn="0"/>
              <w:rPr>
                <w:rFonts w:cs="Arial"/>
                <w:color w:val="auto"/>
                <w:szCs w:val="24"/>
              </w:rPr>
            </w:pPr>
            <w:r w:rsidRPr="0037646C">
              <w:rPr>
                <w:rFonts w:cs="Arial"/>
                <w:color w:val="auto"/>
                <w:szCs w:val="24"/>
              </w:rPr>
              <w:t>Nacional</w:t>
            </w:r>
          </w:p>
          <w:p w14:paraId="02FD6388" w14:textId="77777777" w:rsidR="00660057" w:rsidRPr="0037646C" w:rsidRDefault="00660057" w:rsidP="00562DA7">
            <w:pPr>
              <w:widowControl/>
              <w:cnfStyle w:val="000000100000" w:firstRow="0" w:lastRow="0" w:firstColumn="0" w:lastColumn="0" w:oddVBand="0" w:evenVBand="0" w:oddHBand="1" w:evenHBand="0" w:firstRowFirstColumn="0" w:firstRowLastColumn="0" w:lastRowFirstColumn="0" w:lastRowLastColumn="0"/>
              <w:rPr>
                <w:rFonts w:cs="Arial"/>
                <w:color w:val="auto"/>
                <w:szCs w:val="24"/>
              </w:rPr>
            </w:pPr>
            <w:r w:rsidRPr="0037646C">
              <w:rPr>
                <w:rFonts w:cs="Arial"/>
                <w:color w:val="auto"/>
                <w:szCs w:val="24"/>
              </w:rPr>
              <w:t>Áreas más y menos urbanizadas</w:t>
            </w:r>
          </w:p>
          <w:p w14:paraId="4DE01300" w14:textId="77777777" w:rsidR="00660057" w:rsidRPr="0037646C" w:rsidRDefault="00660057" w:rsidP="00562DA7">
            <w:pPr>
              <w:widowControl/>
              <w:cnfStyle w:val="000000100000" w:firstRow="0" w:lastRow="0" w:firstColumn="0" w:lastColumn="0" w:oddVBand="0" w:evenVBand="0" w:oddHBand="1" w:evenHBand="0" w:firstRowFirstColumn="0" w:firstRowLastColumn="0" w:lastRowFirstColumn="0" w:lastRowLastColumn="0"/>
              <w:rPr>
                <w:rFonts w:cs="Arial"/>
                <w:color w:val="auto"/>
                <w:szCs w:val="24"/>
              </w:rPr>
            </w:pPr>
            <w:r w:rsidRPr="0037646C">
              <w:rPr>
                <w:rFonts w:cs="Arial"/>
                <w:color w:val="auto"/>
                <w:szCs w:val="24"/>
              </w:rPr>
              <w:t>Entidad federativa</w:t>
            </w:r>
          </w:p>
        </w:tc>
      </w:tr>
    </w:tbl>
    <w:p w14:paraId="58D925C2" w14:textId="77777777" w:rsidR="00660057" w:rsidRDefault="00660057" w:rsidP="009E43F3">
      <w:pPr>
        <w:widowControl/>
        <w:autoSpaceDE w:val="0"/>
        <w:autoSpaceDN w:val="0"/>
        <w:rPr>
          <w:rFonts w:cs="Arial"/>
          <w:color w:val="000000"/>
          <w:szCs w:val="24"/>
        </w:rPr>
      </w:pPr>
    </w:p>
    <w:p w14:paraId="5B7091F3" w14:textId="77777777" w:rsidR="00F53141" w:rsidRDefault="00791592" w:rsidP="0054757B">
      <w:pPr>
        <w:widowControl/>
        <w:autoSpaceDE w:val="0"/>
        <w:autoSpaceDN w:val="0"/>
        <w:rPr>
          <w:rFonts w:cs="Arial"/>
          <w:color w:val="000000"/>
          <w:szCs w:val="24"/>
        </w:rPr>
      </w:pPr>
      <w:r w:rsidRPr="0037646C">
        <w:rPr>
          <w:rFonts w:cs="Arial"/>
          <w:color w:val="000000"/>
          <w:szCs w:val="24"/>
        </w:rPr>
        <w:t xml:space="preserve">El diseño conceptual de la ENTI 2022 se puede consultar en la sección de encuestas especiales del Subsistema Nacional de Información Demográfica en: </w:t>
      </w:r>
    </w:p>
    <w:p w14:paraId="66F0104A" w14:textId="28E19B9B" w:rsidR="00511745" w:rsidRPr="00ED61DD" w:rsidRDefault="00376EBF" w:rsidP="0054757B">
      <w:pPr>
        <w:widowControl/>
        <w:autoSpaceDE w:val="0"/>
        <w:autoSpaceDN w:val="0"/>
        <w:rPr>
          <w:rFonts w:cs="Arial"/>
          <w:color w:val="000000"/>
          <w:szCs w:val="24"/>
        </w:rPr>
      </w:pPr>
      <w:hyperlink r:id="rId40" w:history="1">
        <w:r w:rsidR="00F53141" w:rsidRPr="00F53141">
          <w:rPr>
            <w:rStyle w:val="Hipervnculo"/>
            <w:rFonts w:cs="Arial"/>
            <w:szCs w:val="24"/>
          </w:rPr>
          <w:t>https://www.inegi.org.mx/programas/enti/2022/</w:t>
        </w:r>
      </w:hyperlink>
    </w:p>
    <w:sectPr w:rsidR="00511745" w:rsidRPr="00ED61DD" w:rsidSect="003353B8">
      <w:headerReference w:type="default" r:id="rId41"/>
      <w:footerReference w:type="default" r:id="rId42"/>
      <w:pgSz w:w="12242" w:h="15842" w:code="1"/>
      <w:pgMar w:top="1134" w:right="1185" w:bottom="1134" w:left="1134"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729655" w14:textId="77777777" w:rsidR="00376EBF" w:rsidRDefault="00376EBF">
      <w:r>
        <w:separator/>
      </w:r>
    </w:p>
  </w:endnote>
  <w:endnote w:type="continuationSeparator" w:id="0">
    <w:p w14:paraId="36D29B03" w14:textId="77777777" w:rsidR="00376EBF" w:rsidRDefault="00376EBF">
      <w:r>
        <w:continuationSeparator/>
      </w:r>
    </w:p>
  </w:endnote>
  <w:endnote w:type="continuationNotice" w:id="1">
    <w:p w14:paraId="115A9634" w14:textId="77777777" w:rsidR="00376EBF" w:rsidRDefault="00376E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Arial Negrita">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4C219" w14:textId="475EBF36" w:rsidR="00562DA7" w:rsidRPr="001163A2" w:rsidRDefault="00562DA7" w:rsidP="00B271F5">
    <w:pPr>
      <w:pStyle w:val="Piedepgina"/>
      <w:jc w:val="center"/>
      <w:rPr>
        <w:b/>
        <w:bCs/>
        <w:color w:val="003057"/>
        <w:sz w:val="20"/>
      </w:rPr>
    </w:pPr>
    <w:r w:rsidRPr="001163A2">
      <w:rPr>
        <w:b/>
        <w:bCs/>
        <w:color w:val="003057"/>
        <w:sz w:val="20"/>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69731C" w14:textId="77777777" w:rsidR="00376EBF" w:rsidRDefault="00376EBF">
      <w:r>
        <w:separator/>
      </w:r>
    </w:p>
  </w:footnote>
  <w:footnote w:type="continuationSeparator" w:id="0">
    <w:p w14:paraId="761D5BCC" w14:textId="77777777" w:rsidR="00376EBF" w:rsidRDefault="00376EBF">
      <w:r>
        <w:continuationSeparator/>
      </w:r>
    </w:p>
  </w:footnote>
  <w:footnote w:type="continuationNotice" w:id="1">
    <w:p w14:paraId="3EF6F5D8" w14:textId="77777777" w:rsidR="00376EBF" w:rsidRDefault="00376EBF"/>
  </w:footnote>
  <w:footnote w:id="2">
    <w:p w14:paraId="4F28E813" w14:textId="0633F338" w:rsidR="00562DA7" w:rsidRPr="009825E2" w:rsidRDefault="00562DA7" w:rsidP="00AA04A7">
      <w:pPr>
        <w:pStyle w:val="Textonotapie"/>
        <w:ind w:left="142" w:right="51" w:hanging="142"/>
        <w:jc w:val="both"/>
        <w:rPr>
          <w:rFonts w:ascii="Arial" w:hAnsi="Arial" w:cs="Arial"/>
          <w:sz w:val="16"/>
          <w:szCs w:val="16"/>
        </w:rPr>
      </w:pPr>
      <w:r w:rsidRPr="009825E2">
        <w:rPr>
          <w:rStyle w:val="Refdenotaalpie"/>
          <w:rFonts w:ascii="Arial" w:hAnsi="Arial"/>
          <w:sz w:val="16"/>
          <w:szCs w:val="16"/>
        </w:rPr>
        <w:footnoteRef/>
      </w:r>
      <w:r w:rsidRPr="009825E2">
        <w:rPr>
          <w:rFonts w:ascii="Arial" w:hAnsi="Arial" w:cs="Arial"/>
          <w:sz w:val="16"/>
          <w:szCs w:val="16"/>
        </w:rPr>
        <w:t xml:space="preserve"> El trabajo infantil se refiere a la participación de niñas y niños en formas de trabajo prohibidas y/ o perjudiciales para su desarrollo. Lo anterior, con base en la legislación nacional, así como en los convenios y recomendaciones internacionales.</w:t>
      </w:r>
    </w:p>
  </w:footnote>
  <w:footnote w:id="3">
    <w:p w14:paraId="33A0BDC5" w14:textId="16C18FEC" w:rsidR="00562DA7" w:rsidRPr="009825E2" w:rsidRDefault="00562DA7" w:rsidP="00AA04A7">
      <w:pPr>
        <w:pStyle w:val="Textonotapie"/>
        <w:ind w:left="142" w:right="51" w:hanging="142"/>
        <w:rPr>
          <w:rFonts w:ascii="Arial" w:hAnsi="Arial" w:cs="Arial"/>
          <w:sz w:val="16"/>
          <w:szCs w:val="16"/>
          <w:lang w:val="es-MX"/>
        </w:rPr>
      </w:pPr>
      <w:r w:rsidRPr="009825E2">
        <w:rPr>
          <w:rStyle w:val="Refdenotaalpie"/>
          <w:rFonts w:ascii="Arial" w:hAnsi="Arial"/>
          <w:sz w:val="16"/>
          <w:szCs w:val="16"/>
        </w:rPr>
        <w:footnoteRef/>
      </w:r>
      <w:r w:rsidRPr="009825E2">
        <w:rPr>
          <w:rFonts w:ascii="Arial" w:hAnsi="Arial" w:cs="Arial"/>
          <w:sz w:val="16"/>
          <w:szCs w:val="16"/>
        </w:rPr>
        <w:t xml:space="preserve"> </w:t>
      </w:r>
      <w:r w:rsidRPr="009825E2">
        <w:rPr>
          <w:rFonts w:ascii="Arial" w:hAnsi="Arial" w:cs="Arial"/>
          <w:sz w:val="16"/>
          <w:szCs w:val="16"/>
          <w:lang w:val="es-MX"/>
        </w:rPr>
        <w:t>Resultado de</w:t>
      </w:r>
      <w:r>
        <w:rPr>
          <w:rFonts w:ascii="Arial" w:hAnsi="Arial" w:cs="Arial"/>
          <w:sz w:val="16"/>
          <w:szCs w:val="16"/>
          <w:lang w:val="es-MX"/>
        </w:rPr>
        <w:t xml:space="preserve"> la</w:t>
      </w:r>
      <w:r w:rsidRPr="009825E2">
        <w:rPr>
          <w:rFonts w:ascii="Arial" w:hAnsi="Arial" w:cs="Arial"/>
          <w:sz w:val="16"/>
          <w:szCs w:val="16"/>
          <w:lang w:val="es-MX"/>
        </w:rPr>
        <w:t xml:space="preserve"> prueba de hipótesis con un nivel de significancia de 0.1.</w:t>
      </w:r>
    </w:p>
  </w:footnote>
  <w:footnote w:id="4">
    <w:p w14:paraId="579B58B9" w14:textId="23F015CC" w:rsidR="00562DA7" w:rsidRPr="009825E2" w:rsidRDefault="00562DA7" w:rsidP="00AA04A7">
      <w:pPr>
        <w:pStyle w:val="Textonotapie"/>
        <w:ind w:left="142" w:right="51" w:hanging="142"/>
        <w:jc w:val="both"/>
        <w:rPr>
          <w:rFonts w:ascii="Arial" w:hAnsi="Arial" w:cs="Arial"/>
          <w:sz w:val="16"/>
          <w:szCs w:val="16"/>
        </w:rPr>
      </w:pPr>
      <w:r w:rsidRPr="009135F6">
        <w:rPr>
          <w:rStyle w:val="Refdenotaalpie"/>
          <w:sz w:val="16"/>
        </w:rPr>
        <w:footnoteRef/>
      </w:r>
      <w:r w:rsidRPr="009825E2">
        <w:rPr>
          <w:rFonts w:ascii="Arial" w:hAnsi="Arial" w:cs="Arial"/>
          <w:sz w:val="16"/>
          <w:szCs w:val="16"/>
        </w:rPr>
        <w:t xml:space="preserve"> De acuerdo con la Ley Federal del Trabajo, algunas de las ocupaciones peligrosas incluyen la producción agropecuaria para autoconsumo, construcción, minería e industria química. También consideran la exposición a riesgos como al fuego, humedad, ruido, herramientas, químicos y residuos peligrosos. De igual forma, se considera una ocupación peligrosa la que se lleva a cabo en lugares como bares, cantinas, minas, andamios y depósitos de basura, entre otras.</w:t>
      </w:r>
    </w:p>
  </w:footnote>
  <w:footnote w:id="5">
    <w:p w14:paraId="13DD2237" w14:textId="21E28D35" w:rsidR="00562DA7" w:rsidRPr="009825E2" w:rsidRDefault="00562DA7" w:rsidP="00AA04A7">
      <w:pPr>
        <w:pStyle w:val="Textonotapie"/>
        <w:ind w:left="142" w:right="51" w:hanging="142"/>
        <w:jc w:val="both"/>
        <w:rPr>
          <w:rFonts w:ascii="Arial" w:hAnsi="Arial" w:cs="Arial"/>
          <w:sz w:val="16"/>
          <w:szCs w:val="16"/>
        </w:rPr>
      </w:pPr>
      <w:r w:rsidRPr="009135F6">
        <w:rPr>
          <w:rStyle w:val="Refdenotaalpie"/>
          <w:sz w:val="16"/>
        </w:rPr>
        <w:footnoteRef/>
      </w:r>
      <w:r w:rsidRPr="009135F6">
        <w:rPr>
          <w:rStyle w:val="Refdenotaalpie"/>
          <w:sz w:val="16"/>
        </w:rPr>
        <w:t xml:space="preserve"> </w:t>
      </w:r>
      <w:r w:rsidRPr="009825E2">
        <w:rPr>
          <w:rFonts w:ascii="Arial" w:hAnsi="Arial" w:cs="Arial"/>
          <w:sz w:val="16"/>
          <w:szCs w:val="16"/>
        </w:rPr>
        <w:t>Las condiciones peligrosas en los quehaceres domésticos se establecen cuando las niñas, niños y adolescentes al realizar los quehaceres domésticos en sus propios hogares han cargado cosas pesadas, han tenido dolores de espalda o musculares, han manifestado cansancio o agotamiento, han tenido problemas respiratorios o intoxicación por el uso de productos de limpieza, o no pueden cumplir con sus actividades escolares.</w:t>
      </w:r>
    </w:p>
  </w:footnote>
  <w:footnote w:id="6">
    <w:p w14:paraId="01B3B670" w14:textId="4305BB02" w:rsidR="00562DA7" w:rsidRPr="00D94D89" w:rsidRDefault="009135F6" w:rsidP="00AA04A7">
      <w:pPr>
        <w:pStyle w:val="Textonotapie"/>
        <w:ind w:left="142" w:right="51" w:hanging="142"/>
        <w:jc w:val="both"/>
        <w:rPr>
          <w:rFonts w:ascii="Arial" w:hAnsi="Arial" w:cs="Arial"/>
          <w:sz w:val="16"/>
          <w:szCs w:val="16"/>
        </w:rPr>
      </w:pPr>
      <w:r w:rsidRPr="009135F6">
        <w:rPr>
          <w:rStyle w:val="Refdenotaalpie"/>
          <w:sz w:val="16"/>
        </w:rPr>
        <w:footnoteRef/>
      </w:r>
      <w:r w:rsidR="00562DA7" w:rsidRPr="009825E2">
        <w:rPr>
          <w:rFonts w:ascii="Arial" w:hAnsi="Arial" w:cs="Arial"/>
          <w:sz w:val="16"/>
          <w:szCs w:val="16"/>
        </w:rPr>
        <w:t>Los horarios prolongados en quehaceres domésticos se definen según la edad. Para los niños de 5 a 11 años son 14 horas o más a la semana. Para personas de 12 a 14 años, más de 28 horas a la semana. Para 15 años, más de 36 horas a la semana. Para 16 y 17 años, más de 48 horas a la semana.</w:t>
      </w:r>
    </w:p>
  </w:footnote>
  <w:footnote w:id="7">
    <w:p w14:paraId="0819DDF7" w14:textId="06060389" w:rsidR="00562DA7" w:rsidRPr="009825E2" w:rsidRDefault="00562DA7" w:rsidP="00347041">
      <w:pPr>
        <w:pStyle w:val="Textonotapie"/>
        <w:rPr>
          <w:rFonts w:ascii="Arial" w:hAnsi="Arial" w:cs="Arial"/>
          <w:sz w:val="16"/>
          <w:szCs w:val="16"/>
          <w:lang w:val="es-MX"/>
        </w:rPr>
      </w:pPr>
      <w:r>
        <w:rPr>
          <w:rStyle w:val="Refdenotaalpie"/>
        </w:rPr>
        <w:footnoteRef/>
      </w:r>
      <w:r>
        <w:t xml:space="preserve"> </w:t>
      </w:r>
      <w:r>
        <w:rPr>
          <w:rFonts w:ascii="Arial" w:hAnsi="Arial" w:cs="Arial"/>
          <w:sz w:val="16"/>
          <w:szCs w:val="16"/>
          <w:lang w:val="es-MX"/>
        </w:rPr>
        <w:t>Entre 2019 y 2022, no existen cambios significativos de acuerdo con la</w:t>
      </w:r>
      <w:r w:rsidRPr="009825E2">
        <w:rPr>
          <w:rFonts w:ascii="Arial" w:hAnsi="Arial" w:cs="Arial"/>
          <w:sz w:val="16"/>
          <w:szCs w:val="16"/>
          <w:lang w:val="es-MX"/>
        </w:rPr>
        <w:t xml:space="preserve"> prueba de hipótesis </w:t>
      </w:r>
      <w:r>
        <w:rPr>
          <w:rFonts w:ascii="Arial" w:hAnsi="Arial" w:cs="Arial"/>
          <w:sz w:val="16"/>
          <w:szCs w:val="16"/>
          <w:lang w:val="es-MX"/>
        </w:rPr>
        <w:t xml:space="preserve">con </w:t>
      </w:r>
      <w:r w:rsidRPr="009825E2">
        <w:rPr>
          <w:rFonts w:ascii="Arial" w:hAnsi="Arial" w:cs="Arial"/>
          <w:sz w:val="16"/>
          <w:szCs w:val="16"/>
          <w:lang w:val="es-MX"/>
        </w:rPr>
        <w:t>nivel de significancia de 0.1</w:t>
      </w:r>
      <w:r>
        <w:rPr>
          <w:rFonts w:ascii="Arial" w:hAnsi="Arial" w:cs="Arial"/>
          <w:sz w:val="16"/>
          <w:szCs w:val="16"/>
          <w:lang w:val="es-MX"/>
        </w:rPr>
        <w:t>.</w:t>
      </w:r>
    </w:p>
    <w:p w14:paraId="7894AEEB" w14:textId="6811A5FE" w:rsidR="00562DA7" w:rsidRPr="00347041" w:rsidRDefault="00562DA7">
      <w:pPr>
        <w:pStyle w:val="Textonotapie"/>
        <w:rPr>
          <w:lang w:val="es-MX"/>
        </w:rPr>
      </w:pPr>
    </w:p>
  </w:footnote>
  <w:footnote w:id="8">
    <w:p w14:paraId="7E5D1479" w14:textId="31AFBC9C" w:rsidR="00562DA7" w:rsidRPr="00347041" w:rsidRDefault="00562DA7" w:rsidP="004B1EF2">
      <w:pPr>
        <w:pStyle w:val="Textonotapie"/>
        <w:ind w:left="142" w:hanging="142"/>
        <w:rPr>
          <w:rFonts w:ascii="Arial" w:hAnsi="Arial" w:cs="Arial"/>
          <w:lang w:val="es-MX"/>
        </w:rPr>
      </w:pPr>
      <w:r w:rsidRPr="00347041">
        <w:rPr>
          <w:rStyle w:val="Refdenotaalpie"/>
          <w:rFonts w:ascii="Arial" w:hAnsi="Arial"/>
          <w:sz w:val="16"/>
          <w:szCs w:val="16"/>
        </w:rPr>
        <w:footnoteRef/>
      </w:r>
      <w:r w:rsidRPr="00347041">
        <w:rPr>
          <w:rFonts w:ascii="Arial" w:hAnsi="Arial" w:cs="Arial"/>
          <w:sz w:val="16"/>
          <w:szCs w:val="16"/>
        </w:rPr>
        <w:t xml:space="preserve"> </w:t>
      </w:r>
      <w:r w:rsidRPr="00347041">
        <w:rPr>
          <w:rFonts w:ascii="Arial" w:hAnsi="Arial" w:cs="Arial"/>
          <w:sz w:val="16"/>
          <w:szCs w:val="16"/>
          <w:lang w:val="es-MX"/>
        </w:rPr>
        <w:t>La suma de las personas en cada categoría es mayor que el total porque quienes están en ocupación peligrosa pueden presentar más de una situación</w:t>
      </w:r>
      <w:r w:rsidRPr="00347041">
        <w:rPr>
          <w:rFonts w:ascii="Arial" w:hAnsi="Arial" w:cs="Arial"/>
          <w:lang w:val="es-MX"/>
        </w:rPr>
        <w:t>.</w:t>
      </w:r>
    </w:p>
  </w:footnote>
  <w:footnote w:id="9">
    <w:p w14:paraId="3EF00318" w14:textId="18B9592F" w:rsidR="004862A0" w:rsidRPr="004862A0" w:rsidRDefault="004862A0" w:rsidP="004862A0">
      <w:pPr>
        <w:pStyle w:val="Textonotapie"/>
        <w:jc w:val="both"/>
        <w:rPr>
          <w:rFonts w:ascii="Arial" w:hAnsi="Arial" w:cs="Arial"/>
          <w:sz w:val="16"/>
          <w:szCs w:val="16"/>
        </w:rPr>
      </w:pPr>
      <w:r w:rsidRPr="004862A0">
        <w:rPr>
          <w:rFonts w:ascii="Arial Negrita" w:hAnsi="Arial Negrita"/>
          <w:b/>
          <w:smallCaps/>
          <w:sz w:val="16"/>
          <w:szCs w:val="16"/>
          <w:vertAlign w:val="superscript"/>
        </w:rPr>
        <w:footnoteRef/>
      </w:r>
      <w:r w:rsidRPr="004862A0">
        <w:rPr>
          <w:rFonts w:ascii="Arial" w:hAnsi="Arial" w:cs="Arial"/>
          <w:sz w:val="16"/>
          <w:szCs w:val="16"/>
        </w:rPr>
        <w:t xml:space="preserve"> Ley Federal del Trabajo. </w:t>
      </w:r>
      <w:r w:rsidR="00B10049" w:rsidRPr="004862A0">
        <w:rPr>
          <w:rFonts w:ascii="Arial" w:hAnsi="Arial" w:cs="Arial"/>
          <w:sz w:val="16"/>
          <w:szCs w:val="16"/>
        </w:rPr>
        <w:t>Titulo Quinto bis</w:t>
      </w:r>
      <w:r w:rsidR="00B10049">
        <w:rPr>
          <w:rFonts w:ascii="Arial" w:hAnsi="Arial" w:cs="Arial"/>
          <w:sz w:val="16"/>
          <w:szCs w:val="16"/>
        </w:rPr>
        <w:t>.</w:t>
      </w:r>
      <w:r w:rsidR="00B10049" w:rsidRPr="004862A0">
        <w:rPr>
          <w:rFonts w:ascii="Arial" w:hAnsi="Arial" w:cs="Arial"/>
          <w:sz w:val="16"/>
          <w:szCs w:val="16"/>
        </w:rPr>
        <w:t xml:space="preserve"> </w:t>
      </w:r>
      <w:r w:rsidRPr="004862A0">
        <w:rPr>
          <w:rFonts w:ascii="Arial" w:hAnsi="Arial" w:cs="Arial"/>
          <w:sz w:val="16"/>
          <w:szCs w:val="16"/>
        </w:rPr>
        <w:t>Art</w:t>
      </w:r>
      <w:r w:rsidR="00B10049">
        <w:rPr>
          <w:rFonts w:ascii="Arial" w:hAnsi="Arial" w:cs="Arial"/>
          <w:sz w:val="16"/>
          <w:szCs w:val="16"/>
        </w:rPr>
        <w:t>ículos</w:t>
      </w:r>
      <w:r w:rsidRPr="004862A0">
        <w:rPr>
          <w:rFonts w:ascii="Arial" w:hAnsi="Arial" w:cs="Arial"/>
          <w:sz w:val="16"/>
          <w:szCs w:val="16"/>
        </w:rPr>
        <w:t xml:space="preserve"> 173, 174, 175 y 176.</w:t>
      </w:r>
      <w:r>
        <w:rPr>
          <w:rFonts w:ascii="Arial" w:hAnsi="Arial" w:cs="Arial"/>
          <w:sz w:val="16"/>
          <w:szCs w:val="16"/>
        </w:rPr>
        <w:t xml:space="preserve"> </w:t>
      </w:r>
      <w:r w:rsidR="00B10049">
        <w:rPr>
          <w:rFonts w:ascii="Arial" w:hAnsi="Arial" w:cs="Arial"/>
          <w:sz w:val="16"/>
          <w:szCs w:val="16"/>
        </w:rPr>
        <w:t>(</w:t>
      </w:r>
      <w:r w:rsidRPr="004862A0">
        <w:rPr>
          <w:rFonts w:ascii="Arial" w:hAnsi="Arial" w:cs="Arial"/>
          <w:sz w:val="16"/>
          <w:szCs w:val="16"/>
        </w:rPr>
        <w:t>Regula el trabajo infantil, los sectores, ocupaciones, lugares, etc.</w:t>
      </w:r>
      <w:r w:rsidR="00B10049">
        <w:rPr>
          <w:rFonts w:ascii="Arial" w:hAnsi="Arial" w:cs="Arial"/>
          <w:sz w:val="16"/>
          <w:szCs w:val="16"/>
        </w:rPr>
        <w:t>)</w:t>
      </w:r>
    </w:p>
  </w:footnote>
  <w:footnote w:id="10">
    <w:p w14:paraId="0BE0F0BB" w14:textId="787E9523" w:rsidR="00562DA7" w:rsidRPr="00D94D89" w:rsidRDefault="00562DA7">
      <w:pPr>
        <w:pStyle w:val="Textonotapie"/>
        <w:rPr>
          <w:lang w:val="es-MX"/>
        </w:rPr>
      </w:pPr>
      <w:r w:rsidRPr="00D94D89">
        <w:rPr>
          <w:rStyle w:val="Refdenotaalpie"/>
          <w:rFonts w:ascii="Arial" w:hAnsi="Arial"/>
          <w:sz w:val="16"/>
          <w:szCs w:val="16"/>
        </w:rPr>
        <w:footnoteRef/>
      </w:r>
      <w:r w:rsidRPr="00D94D89">
        <w:rPr>
          <w:rFonts w:ascii="Arial" w:hAnsi="Arial" w:cs="Arial"/>
          <w:sz w:val="16"/>
          <w:szCs w:val="16"/>
        </w:rPr>
        <w:t xml:space="preserve"> </w:t>
      </w:r>
      <w:r w:rsidRPr="00BB1E3E">
        <w:rPr>
          <w:rFonts w:ascii="Arial" w:hAnsi="Arial" w:cs="Arial"/>
          <w:sz w:val="16"/>
          <w:szCs w:val="16"/>
        </w:rPr>
        <w:t>Se refiere a</w:t>
      </w:r>
      <w:r w:rsidRPr="00D94D89">
        <w:rPr>
          <w:rFonts w:ascii="Arial" w:hAnsi="Arial" w:cs="Arial"/>
          <w:sz w:val="16"/>
          <w:szCs w:val="16"/>
        </w:rPr>
        <w:t xml:space="preserve"> ocupación peligrosa o por debajo de la edad mínima legal de acceso al empleo.</w:t>
      </w:r>
    </w:p>
  </w:footnote>
  <w:footnote w:id="11">
    <w:p w14:paraId="27D91703" w14:textId="776D0CDE" w:rsidR="00363F7D" w:rsidRPr="00363F7D" w:rsidRDefault="00363F7D">
      <w:pPr>
        <w:pStyle w:val="Textonotapie"/>
        <w:rPr>
          <w:rFonts w:ascii="Arial" w:hAnsi="Arial" w:cs="Arial"/>
          <w:sz w:val="16"/>
          <w:szCs w:val="16"/>
          <w:lang w:val="es-MX"/>
        </w:rPr>
      </w:pPr>
      <w:r w:rsidRPr="00363F7D">
        <w:rPr>
          <w:rStyle w:val="Refdenotaalpie"/>
          <w:rFonts w:ascii="Arial" w:hAnsi="Arial"/>
          <w:sz w:val="16"/>
          <w:szCs w:val="16"/>
        </w:rPr>
        <w:footnoteRef/>
      </w:r>
      <w:r w:rsidRPr="00363F7D">
        <w:rPr>
          <w:rFonts w:ascii="Arial" w:hAnsi="Arial" w:cs="Arial"/>
          <w:sz w:val="16"/>
          <w:szCs w:val="16"/>
        </w:rPr>
        <w:t xml:space="preserve"> En el resto de los sectores no existen diferencias estadísticamente significativas entre las cifras de 2019 y 2022.</w:t>
      </w:r>
    </w:p>
  </w:footnote>
  <w:footnote w:id="12">
    <w:p w14:paraId="2826AE14" w14:textId="6FC16D97" w:rsidR="00562DA7" w:rsidRPr="00BF5349" w:rsidRDefault="00562DA7" w:rsidP="00D94D89">
      <w:pPr>
        <w:widowControl/>
        <w:autoSpaceDE w:val="0"/>
        <w:autoSpaceDN w:val="0"/>
        <w:adjustRightInd w:val="0"/>
        <w:ind w:left="142" w:hanging="142"/>
      </w:pPr>
      <w:r w:rsidRPr="00693FBE">
        <w:rPr>
          <w:rStyle w:val="Refdenotaalpie"/>
          <w:sz w:val="16"/>
          <w:szCs w:val="16"/>
        </w:rPr>
        <w:footnoteRef/>
      </w:r>
      <w:r w:rsidRPr="00693FBE">
        <w:rPr>
          <w:sz w:val="16"/>
          <w:szCs w:val="16"/>
        </w:rPr>
        <w:t xml:space="preserve"> </w:t>
      </w:r>
      <w:r w:rsidRPr="00693FBE">
        <w:rPr>
          <w:rFonts w:cs="Arial"/>
          <w:sz w:val="16"/>
          <w:szCs w:val="16"/>
        </w:rPr>
        <w:t>La ocupación</w:t>
      </w:r>
      <w:r w:rsidRPr="00D94D89">
        <w:rPr>
          <w:rFonts w:cs="Arial"/>
          <w:sz w:val="16"/>
          <w:szCs w:val="16"/>
        </w:rPr>
        <w:t xml:space="preserve"> no permitida de carácter peligroso o trabajo infantil peligroso en la producción económica constituye la principal prioridad de la política pública y de las acciones que deben emprenderse en primera instancia en la lucha contra el trabajo infantil.</w:t>
      </w:r>
    </w:p>
  </w:footnote>
  <w:footnote w:id="13">
    <w:p w14:paraId="40CBFBD3" w14:textId="77777777" w:rsidR="00562DA7" w:rsidRPr="00D94D89" w:rsidRDefault="00562DA7" w:rsidP="00D94D89">
      <w:pPr>
        <w:widowControl/>
        <w:autoSpaceDE w:val="0"/>
        <w:autoSpaceDN w:val="0"/>
        <w:adjustRightInd w:val="0"/>
        <w:ind w:left="142" w:hanging="142"/>
        <w:rPr>
          <w:rFonts w:cs="Arial"/>
          <w:sz w:val="16"/>
          <w:szCs w:val="16"/>
        </w:rPr>
      </w:pPr>
      <w:r w:rsidRPr="00D94D89">
        <w:rPr>
          <w:rStyle w:val="Refdenotaalpie"/>
          <w:sz w:val="16"/>
          <w:szCs w:val="16"/>
        </w:rPr>
        <w:footnoteRef/>
      </w:r>
      <w:r w:rsidRPr="00D94D89">
        <w:rPr>
          <w:sz w:val="16"/>
          <w:szCs w:val="16"/>
        </w:rPr>
        <w:t xml:space="preserve"> </w:t>
      </w:r>
      <w:r w:rsidRPr="00D94D89">
        <w:rPr>
          <w:rFonts w:cs="Arial"/>
          <w:sz w:val="16"/>
          <w:szCs w:val="16"/>
        </w:rPr>
        <w:t>En la determinación de la ocupación peligrosa, la LFT considera varios aspectos o dimensiones tales como sectores económicos y ocupaciones en las que se prohíbe el trabajo de niñas y niños, actividades en la que se exponen a riesgos o que afectan su salud, lugares y jornadas de trabajo no apropiadas, horarios prolongados, entre otros.</w:t>
      </w:r>
    </w:p>
    <w:p w14:paraId="1D3B94E1" w14:textId="6C88B02E" w:rsidR="00562DA7" w:rsidRPr="00D94D89" w:rsidRDefault="00562DA7">
      <w:pPr>
        <w:pStyle w:val="Textonotapie"/>
        <w:rPr>
          <w:lang w:val="es-MX"/>
        </w:rPr>
      </w:pPr>
    </w:p>
  </w:footnote>
  <w:footnote w:id="14">
    <w:p w14:paraId="03BD0F42" w14:textId="77777777" w:rsidR="00562DA7" w:rsidRPr="00D94D89" w:rsidRDefault="00562DA7" w:rsidP="00D94D89">
      <w:pPr>
        <w:widowControl/>
        <w:autoSpaceDE w:val="0"/>
        <w:autoSpaceDN w:val="0"/>
        <w:adjustRightInd w:val="0"/>
        <w:ind w:left="142" w:hanging="142"/>
        <w:rPr>
          <w:rFonts w:cs="Arial"/>
          <w:color w:val="000000"/>
          <w:sz w:val="16"/>
          <w:szCs w:val="16"/>
        </w:rPr>
      </w:pPr>
      <w:r w:rsidRPr="00D94D89">
        <w:rPr>
          <w:rStyle w:val="Refdenotaalpie"/>
          <w:sz w:val="16"/>
          <w:szCs w:val="16"/>
        </w:rPr>
        <w:footnoteRef/>
      </w:r>
      <w:r w:rsidRPr="00D94D89">
        <w:rPr>
          <w:sz w:val="16"/>
          <w:szCs w:val="16"/>
        </w:rPr>
        <w:t xml:space="preserve"> </w:t>
      </w:r>
      <w:r w:rsidRPr="00D94D89">
        <w:rPr>
          <w:rFonts w:cs="Arial"/>
          <w:color w:val="000000"/>
          <w:sz w:val="16"/>
          <w:szCs w:val="16"/>
        </w:rPr>
        <w:t>Los quehaceres domésticos en condiciones no adecuadas son aquellas actividades dedicadas a la producción de bienes y servicios para el consumo de los miembros del hogar sin remuneración que afectan la salud o integridad física de quienes las realizan, es decir, se llevan a cabo en condiciones peligrosas o en horarios prolongados.</w:t>
      </w:r>
    </w:p>
    <w:p w14:paraId="16A2966F" w14:textId="06FF0A88" w:rsidR="00562DA7" w:rsidRPr="00D94D89" w:rsidRDefault="00562DA7">
      <w:pPr>
        <w:pStyle w:val="Textonotapie"/>
        <w:rPr>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A5284" w14:textId="7AE6F8FE" w:rsidR="00562DA7" w:rsidRPr="00556447" w:rsidRDefault="00562DA7" w:rsidP="001163A2">
    <w:pPr>
      <w:pStyle w:val="Encabezado"/>
      <w:ind w:left="-567" w:right="49"/>
      <w:jc w:val="right"/>
      <w:rPr>
        <w:b/>
        <w:color w:val="002060"/>
        <w:lang w:val="pt-BR"/>
      </w:rPr>
    </w:pPr>
    <w:r>
      <w:rPr>
        <w:noProof/>
      </w:rPr>
      <w:drawing>
        <wp:anchor distT="0" distB="0" distL="114300" distR="114300" simplePos="0" relativeHeight="251658240" behindDoc="0" locked="0" layoutInCell="1" allowOverlap="1" wp14:anchorId="5FCE18B5" wp14:editId="36FD4A34">
          <wp:simplePos x="0" y="0"/>
          <wp:positionH relativeFrom="margin">
            <wp:posOffset>-56515</wp:posOffset>
          </wp:positionH>
          <wp:positionV relativeFrom="paragraph">
            <wp:posOffset>-143510</wp:posOffset>
          </wp:positionV>
          <wp:extent cx="2760980" cy="795655"/>
          <wp:effectExtent l="0" t="0" r="1270" b="4445"/>
          <wp:wrapSquare wrapText="bothSides"/>
          <wp:docPr id="1795479701" name="Imagen 1795479701" descr="Un letrero de color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99583202" descr="Un letrero de color negr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0980" cy="795655"/>
                  </a:xfrm>
                  <a:prstGeom prst="rect">
                    <a:avLst/>
                  </a:prstGeom>
                  <a:noFill/>
                </pic:spPr>
              </pic:pic>
            </a:graphicData>
          </a:graphic>
          <wp14:sizeRelH relativeFrom="page">
            <wp14:pctWidth>0</wp14:pctWidth>
          </wp14:sizeRelH>
          <wp14:sizeRelV relativeFrom="page">
            <wp14:pctHeight>0</wp14:pctHeight>
          </wp14:sizeRelV>
        </wp:anchor>
      </w:drawing>
    </w:r>
    <w:r w:rsidRPr="00556447">
      <w:rPr>
        <w:b/>
        <w:color w:val="002060"/>
      </w:rPr>
      <w:t>Comunicado de prensa número 5</w:t>
    </w:r>
    <w:r>
      <w:rPr>
        <w:b/>
        <w:color w:val="002060"/>
      </w:rPr>
      <w:t>8</w:t>
    </w:r>
    <w:r w:rsidR="00AA04A7">
      <w:rPr>
        <w:b/>
        <w:color w:val="002060"/>
      </w:rPr>
      <w:t>1</w:t>
    </w:r>
    <w:r w:rsidRPr="00556447">
      <w:rPr>
        <w:b/>
        <w:color w:val="002060"/>
      </w:rPr>
      <w:t>/23</w:t>
    </w:r>
  </w:p>
  <w:p w14:paraId="7DFC89AF" w14:textId="18105B89" w:rsidR="00562DA7" w:rsidRPr="00556447" w:rsidRDefault="00562DA7" w:rsidP="001163A2">
    <w:pPr>
      <w:pStyle w:val="Encabezado"/>
      <w:ind w:left="-567" w:right="49"/>
      <w:jc w:val="right"/>
      <w:rPr>
        <w:b/>
        <w:color w:val="002060"/>
        <w:lang w:val="pt-BR"/>
      </w:rPr>
    </w:pPr>
    <w:r>
      <w:rPr>
        <w:b/>
        <w:color w:val="002060"/>
        <w:lang w:val="pt-BR"/>
      </w:rPr>
      <w:t>5 de octubr</w:t>
    </w:r>
    <w:r w:rsidRPr="00556447">
      <w:rPr>
        <w:b/>
        <w:color w:val="002060"/>
        <w:lang w:val="pt-BR"/>
      </w:rPr>
      <w:t>e de 2023</w:t>
    </w:r>
  </w:p>
  <w:p w14:paraId="5C3B08D1" w14:textId="317A2010" w:rsidR="00562DA7" w:rsidRPr="00556447" w:rsidRDefault="00562DA7" w:rsidP="001163A2">
    <w:pPr>
      <w:pStyle w:val="Encabezado"/>
      <w:ind w:left="-567" w:right="49"/>
      <w:jc w:val="right"/>
    </w:pPr>
    <w:r w:rsidRPr="00556447">
      <w:rPr>
        <w:b/>
        <w:color w:val="002060"/>
      </w:rPr>
      <w:t xml:space="preserve">Página </w:t>
    </w:r>
    <w:r w:rsidRPr="00556447">
      <w:rPr>
        <w:b/>
        <w:color w:val="002060"/>
      </w:rPr>
      <w:fldChar w:fldCharType="begin"/>
    </w:r>
    <w:r w:rsidRPr="00556447">
      <w:rPr>
        <w:b/>
        <w:color w:val="002060"/>
      </w:rPr>
      <w:instrText xml:space="preserve"> PAGE  \* Arabic </w:instrText>
    </w:r>
    <w:r w:rsidRPr="00556447">
      <w:rPr>
        <w:b/>
        <w:color w:val="002060"/>
      </w:rPr>
      <w:fldChar w:fldCharType="separate"/>
    </w:r>
    <w:r>
      <w:rPr>
        <w:b/>
        <w:color w:val="002060"/>
      </w:rPr>
      <w:t>1</w:t>
    </w:r>
    <w:r w:rsidRPr="00556447">
      <w:rPr>
        <w:b/>
        <w:color w:val="002060"/>
      </w:rPr>
      <w:fldChar w:fldCharType="end"/>
    </w:r>
    <w:r w:rsidRPr="00556447">
      <w:rPr>
        <w:b/>
        <w:color w:val="002060"/>
      </w:rPr>
      <w:t>/</w:t>
    </w:r>
    <w:r>
      <w:rPr>
        <w:b/>
        <w:color w:val="002060"/>
      </w:rPr>
      <w:t>4</w:t>
    </w:r>
    <w:r w:rsidR="0024226E">
      <w:rPr>
        <w:b/>
        <w:color w:val="002060"/>
      </w:rPr>
      <w:t>4</w:t>
    </w:r>
  </w:p>
  <w:p w14:paraId="790A7372" w14:textId="6C0DD0DF" w:rsidR="00562DA7" w:rsidRDefault="00562DA7" w:rsidP="001163A2">
    <w:pPr>
      <w:pStyle w:val="Encabezado"/>
      <w:spacing w:before="120" w:after="120"/>
      <w:ind w:left="-142" w:right="51" w:hanging="142"/>
      <w:jc w:val="right"/>
      <w:rPr>
        <w:b/>
        <w:color w:val="00206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009819F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DBD2B7C6"/>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BEA523D"/>
    <w:multiLevelType w:val="hybridMultilevel"/>
    <w:tmpl w:val="EA80B63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C3E1ECB"/>
    <w:multiLevelType w:val="hybridMultilevel"/>
    <w:tmpl w:val="632C0CC0"/>
    <w:lvl w:ilvl="0" w:tplc="2C064654">
      <w:start w:val="1"/>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D278A7"/>
    <w:multiLevelType w:val="multilevel"/>
    <w:tmpl w:val="21CE34D6"/>
    <w:lvl w:ilvl="0">
      <w:start w:val="2"/>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13D5DA8"/>
    <w:multiLevelType w:val="hybridMultilevel"/>
    <w:tmpl w:val="6778EF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C7E2177"/>
    <w:multiLevelType w:val="multilevel"/>
    <w:tmpl w:val="960E0F20"/>
    <w:lvl w:ilvl="0">
      <w:start w:val="1"/>
      <w:numFmt w:val="decimal"/>
      <w:lvlText w:val="%1."/>
      <w:lvlJc w:val="left"/>
      <w:pPr>
        <w:ind w:left="774" w:hanging="358"/>
      </w:pPr>
      <w:rPr>
        <w:rFonts w:ascii="Arial" w:eastAsia="Arial" w:hAnsi="Arial" w:cs="Arial" w:hint="default"/>
        <w:b/>
        <w:bCs/>
        <w:color w:val="231F20"/>
        <w:spacing w:val="-32"/>
        <w:w w:val="100"/>
        <w:sz w:val="28"/>
        <w:szCs w:val="28"/>
      </w:rPr>
    </w:lvl>
    <w:lvl w:ilvl="1">
      <w:start w:val="1"/>
      <w:numFmt w:val="decimal"/>
      <w:pStyle w:val="Estilosegundonivel"/>
      <w:lvlText w:val="%1.%2"/>
      <w:lvlJc w:val="left"/>
      <w:pPr>
        <w:ind w:left="2038" w:hanging="620"/>
        <w:jc w:val="right"/>
      </w:pPr>
      <w:rPr>
        <w:rFonts w:ascii="Arial" w:eastAsia="Arial" w:hAnsi="Arial" w:cs="Arial" w:hint="default"/>
        <w:b/>
        <w:bCs/>
        <w:color w:val="231F20"/>
        <w:spacing w:val="-1"/>
        <w:w w:val="100"/>
        <w:sz w:val="24"/>
        <w:szCs w:val="24"/>
      </w:rPr>
    </w:lvl>
    <w:lvl w:ilvl="2">
      <w:start w:val="1"/>
      <w:numFmt w:val="decimal"/>
      <w:pStyle w:val="Estilo1tercernivel"/>
      <w:lvlText w:val="%1.%2.%3"/>
      <w:lvlJc w:val="left"/>
      <w:pPr>
        <w:ind w:left="693" w:hanging="551"/>
        <w:jc w:val="right"/>
      </w:pPr>
      <w:rPr>
        <w:rFonts w:hint="default"/>
        <w:b/>
        <w:bCs/>
        <w:spacing w:val="-1"/>
        <w:w w:val="100"/>
      </w:rPr>
    </w:lvl>
    <w:lvl w:ilvl="3">
      <w:start w:val="1"/>
      <w:numFmt w:val="upperRoman"/>
      <w:lvlText w:val="%4."/>
      <w:lvlJc w:val="left"/>
      <w:pPr>
        <w:ind w:left="1260" w:hanging="551"/>
      </w:pPr>
      <w:rPr>
        <w:rFonts w:ascii="Arial" w:eastAsia="Arial" w:hAnsi="Arial" w:cs="Arial" w:hint="default"/>
        <w:color w:val="231F20"/>
        <w:spacing w:val="-27"/>
        <w:w w:val="100"/>
        <w:sz w:val="22"/>
        <w:szCs w:val="22"/>
      </w:rPr>
    </w:lvl>
    <w:lvl w:ilvl="4">
      <w:numFmt w:val="bullet"/>
      <w:lvlText w:val="•"/>
      <w:lvlJc w:val="left"/>
      <w:pPr>
        <w:ind w:left="1080" w:hanging="551"/>
      </w:pPr>
      <w:rPr>
        <w:rFonts w:hint="default"/>
      </w:rPr>
    </w:lvl>
    <w:lvl w:ilvl="5">
      <w:numFmt w:val="bullet"/>
      <w:lvlText w:val="•"/>
      <w:lvlJc w:val="left"/>
      <w:pPr>
        <w:ind w:left="1180" w:hanging="551"/>
      </w:pPr>
      <w:rPr>
        <w:rFonts w:hint="default"/>
      </w:rPr>
    </w:lvl>
    <w:lvl w:ilvl="6">
      <w:numFmt w:val="bullet"/>
      <w:lvlText w:val="•"/>
      <w:lvlJc w:val="left"/>
      <w:pPr>
        <w:ind w:left="1260" w:hanging="551"/>
      </w:pPr>
      <w:rPr>
        <w:rFonts w:hint="default"/>
      </w:rPr>
    </w:lvl>
    <w:lvl w:ilvl="7">
      <w:numFmt w:val="bullet"/>
      <w:lvlText w:val="•"/>
      <w:lvlJc w:val="left"/>
      <w:pPr>
        <w:ind w:left="1320" w:hanging="551"/>
      </w:pPr>
      <w:rPr>
        <w:rFonts w:hint="default"/>
      </w:rPr>
    </w:lvl>
    <w:lvl w:ilvl="8">
      <w:numFmt w:val="bullet"/>
      <w:lvlText w:val="•"/>
      <w:lvlJc w:val="left"/>
      <w:pPr>
        <w:ind w:left="785" w:hanging="551"/>
      </w:pPr>
      <w:rPr>
        <w:rFonts w:hint="default"/>
      </w:rPr>
    </w:lvl>
  </w:abstractNum>
  <w:abstractNum w:abstractNumId="7" w15:restartNumberingAfterBreak="0">
    <w:nsid w:val="36A10E2A"/>
    <w:multiLevelType w:val="hybridMultilevel"/>
    <w:tmpl w:val="D0C23A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F1F0FE1"/>
    <w:multiLevelType w:val="hybridMultilevel"/>
    <w:tmpl w:val="ACF83E9E"/>
    <w:lvl w:ilvl="0" w:tplc="8FFACBE4">
      <w:start w:val="1"/>
      <w:numFmt w:val="decimal"/>
      <w:pStyle w:val="Estilo7"/>
      <w:lvlText w:val="2.%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34B2425"/>
    <w:multiLevelType w:val="hybridMultilevel"/>
    <w:tmpl w:val="598847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2A82355"/>
    <w:multiLevelType w:val="hybridMultilevel"/>
    <w:tmpl w:val="0190368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43458CF"/>
    <w:multiLevelType w:val="hybridMultilevel"/>
    <w:tmpl w:val="9A4838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4286444"/>
    <w:multiLevelType w:val="hybridMultilevel"/>
    <w:tmpl w:val="46E090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4326962"/>
    <w:multiLevelType w:val="hybridMultilevel"/>
    <w:tmpl w:val="C9927358"/>
    <w:lvl w:ilvl="0" w:tplc="512A48B6">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0"/>
  </w:num>
  <w:num w:numId="2">
    <w:abstractNumId w:val="9"/>
  </w:num>
  <w:num w:numId="3">
    <w:abstractNumId w:val="6"/>
  </w:num>
  <w:num w:numId="4">
    <w:abstractNumId w:val="12"/>
  </w:num>
  <w:num w:numId="5">
    <w:abstractNumId w:val="8"/>
  </w:num>
  <w:num w:numId="6">
    <w:abstractNumId w:val="7"/>
  </w:num>
  <w:num w:numId="7">
    <w:abstractNumId w:val="11"/>
  </w:num>
  <w:num w:numId="8">
    <w:abstractNumId w:val="5"/>
  </w:num>
  <w:num w:numId="9">
    <w:abstractNumId w:val="4"/>
  </w:num>
  <w:num w:numId="10">
    <w:abstractNumId w:val="3"/>
  </w:num>
  <w:num w:numId="11">
    <w:abstractNumId w:val="13"/>
  </w:num>
  <w:num w:numId="12">
    <w:abstractNumId w:val="10"/>
  </w:num>
  <w:num w:numId="13">
    <w:abstractNumId w:val="2"/>
  </w:num>
  <w:num w:numId="14">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pt-BR"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1C"/>
    <w:rsid w:val="00000340"/>
    <w:rsid w:val="000005E5"/>
    <w:rsid w:val="00000609"/>
    <w:rsid w:val="000006C8"/>
    <w:rsid w:val="0000071A"/>
    <w:rsid w:val="00000C09"/>
    <w:rsid w:val="00000E90"/>
    <w:rsid w:val="00000F85"/>
    <w:rsid w:val="000012DC"/>
    <w:rsid w:val="00001349"/>
    <w:rsid w:val="0000158A"/>
    <w:rsid w:val="000015C4"/>
    <w:rsid w:val="0000169F"/>
    <w:rsid w:val="0000171D"/>
    <w:rsid w:val="000022CF"/>
    <w:rsid w:val="00002780"/>
    <w:rsid w:val="000027A6"/>
    <w:rsid w:val="00002881"/>
    <w:rsid w:val="000029B0"/>
    <w:rsid w:val="00002BFB"/>
    <w:rsid w:val="00002C3B"/>
    <w:rsid w:val="00002C46"/>
    <w:rsid w:val="00002E24"/>
    <w:rsid w:val="00002E72"/>
    <w:rsid w:val="00003586"/>
    <w:rsid w:val="00003621"/>
    <w:rsid w:val="000037C9"/>
    <w:rsid w:val="00003995"/>
    <w:rsid w:val="000039FE"/>
    <w:rsid w:val="00003B8F"/>
    <w:rsid w:val="00003DF8"/>
    <w:rsid w:val="00003EF8"/>
    <w:rsid w:val="000041DD"/>
    <w:rsid w:val="000041E9"/>
    <w:rsid w:val="000046B6"/>
    <w:rsid w:val="00004CAD"/>
    <w:rsid w:val="00005004"/>
    <w:rsid w:val="00005304"/>
    <w:rsid w:val="00005754"/>
    <w:rsid w:val="00005B50"/>
    <w:rsid w:val="00005B59"/>
    <w:rsid w:val="0000634D"/>
    <w:rsid w:val="000065B6"/>
    <w:rsid w:val="000066F1"/>
    <w:rsid w:val="00006BB9"/>
    <w:rsid w:val="00006D04"/>
    <w:rsid w:val="00007094"/>
    <w:rsid w:val="00007829"/>
    <w:rsid w:val="00007C68"/>
    <w:rsid w:val="00007E87"/>
    <w:rsid w:val="0001004F"/>
    <w:rsid w:val="000103D6"/>
    <w:rsid w:val="00010987"/>
    <w:rsid w:val="00010C1B"/>
    <w:rsid w:val="00011260"/>
    <w:rsid w:val="000113DF"/>
    <w:rsid w:val="000114CC"/>
    <w:rsid w:val="00011620"/>
    <w:rsid w:val="00011718"/>
    <w:rsid w:val="000117C4"/>
    <w:rsid w:val="00011ABB"/>
    <w:rsid w:val="0001204C"/>
    <w:rsid w:val="0001230D"/>
    <w:rsid w:val="0001276A"/>
    <w:rsid w:val="0001292D"/>
    <w:rsid w:val="00012C74"/>
    <w:rsid w:val="00012D62"/>
    <w:rsid w:val="00012DEE"/>
    <w:rsid w:val="00013116"/>
    <w:rsid w:val="00013413"/>
    <w:rsid w:val="00013B57"/>
    <w:rsid w:val="00014805"/>
    <w:rsid w:val="00014B5C"/>
    <w:rsid w:val="00014D32"/>
    <w:rsid w:val="00014D68"/>
    <w:rsid w:val="00015257"/>
    <w:rsid w:val="000154ED"/>
    <w:rsid w:val="000155FF"/>
    <w:rsid w:val="0001631E"/>
    <w:rsid w:val="000166C9"/>
    <w:rsid w:val="000169B1"/>
    <w:rsid w:val="00016F7F"/>
    <w:rsid w:val="000172C6"/>
    <w:rsid w:val="0001751C"/>
    <w:rsid w:val="00017612"/>
    <w:rsid w:val="000177F5"/>
    <w:rsid w:val="000179B9"/>
    <w:rsid w:val="0002018E"/>
    <w:rsid w:val="00020CBA"/>
    <w:rsid w:val="00020D8C"/>
    <w:rsid w:val="00021207"/>
    <w:rsid w:val="000217D2"/>
    <w:rsid w:val="00021E72"/>
    <w:rsid w:val="000227DC"/>
    <w:rsid w:val="00022A4F"/>
    <w:rsid w:val="00022AF4"/>
    <w:rsid w:val="000235F0"/>
    <w:rsid w:val="000237A8"/>
    <w:rsid w:val="00023A5F"/>
    <w:rsid w:val="00023BE7"/>
    <w:rsid w:val="000241B3"/>
    <w:rsid w:val="00024478"/>
    <w:rsid w:val="00024CAC"/>
    <w:rsid w:val="00024CF0"/>
    <w:rsid w:val="00025100"/>
    <w:rsid w:val="0002524F"/>
    <w:rsid w:val="000254B9"/>
    <w:rsid w:val="00025C3B"/>
    <w:rsid w:val="00025E98"/>
    <w:rsid w:val="000267E0"/>
    <w:rsid w:val="00026A5B"/>
    <w:rsid w:val="00026B17"/>
    <w:rsid w:val="00026D5B"/>
    <w:rsid w:val="00026DCB"/>
    <w:rsid w:val="00026E70"/>
    <w:rsid w:val="000270FE"/>
    <w:rsid w:val="00027309"/>
    <w:rsid w:val="00027A94"/>
    <w:rsid w:val="00027DB5"/>
    <w:rsid w:val="00027ED7"/>
    <w:rsid w:val="000300E3"/>
    <w:rsid w:val="0003071D"/>
    <w:rsid w:val="00030D8B"/>
    <w:rsid w:val="000312F6"/>
    <w:rsid w:val="00031713"/>
    <w:rsid w:val="00031824"/>
    <w:rsid w:val="00031830"/>
    <w:rsid w:val="0003183E"/>
    <w:rsid w:val="00031AB9"/>
    <w:rsid w:val="0003252B"/>
    <w:rsid w:val="00032545"/>
    <w:rsid w:val="000325D6"/>
    <w:rsid w:val="000327E9"/>
    <w:rsid w:val="000331EA"/>
    <w:rsid w:val="0003341A"/>
    <w:rsid w:val="00033654"/>
    <w:rsid w:val="00033C5F"/>
    <w:rsid w:val="00033C65"/>
    <w:rsid w:val="000340C8"/>
    <w:rsid w:val="000340D3"/>
    <w:rsid w:val="000342CC"/>
    <w:rsid w:val="0003438C"/>
    <w:rsid w:val="000347DF"/>
    <w:rsid w:val="00034841"/>
    <w:rsid w:val="0003484D"/>
    <w:rsid w:val="00034B65"/>
    <w:rsid w:val="0003503F"/>
    <w:rsid w:val="000355DD"/>
    <w:rsid w:val="000356A6"/>
    <w:rsid w:val="00035BCE"/>
    <w:rsid w:val="00035BE0"/>
    <w:rsid w:val="000362D8"/>
    <w:rsid w:val="000362F2"/>
    <w:rsid w:val="000369DC"/>
    <w:rsid w:val="00036CE7"/>
    <w:rsid w:val="00036E3C"/>
    <w:rsid w:val="00037028"/>
    <w:rsid w:val="0003734B"/>
    <w:rsid w:val="000377A1"/>
    <w:rsid w:val="0004048A"/>
    <w:rsid w:val="00040B1B"/>
    <w:rsid w:val="00040D9D"/>
    <w:rsid w:val="00040DC7"/>
    <w:rsid w:val="00041069"/>
    <w:rsid w:val="00041115"/>
    <w:rsid w:val="00041170"/>
    <w:rsid w:val="00041175"/>
    <w:rsid w:val="000414C3"/>
    <w:rsid w:val="000417A6"/>
    <w:rsid w:val="000417EA"/>
    <w:rsid w:val="00041A3D"/>
    <w:rsid w:val="00042037"/>
    <w:rsid w:val="00042694"/>
    <w:rsid w:val="00042999"/>
    <w:rsid w:val="00042B46"/>
    <w:rsid w:val="00042BF5"/>
    <w:rsid w:val="000431A4"/>
    <w:rsid w:val="0004362B"/>
    <w:rsid w:val="00043C1A"/>
    <w:rsid w:val="00043D6B"/>
    <w:rsid w:val="00043F8A"/>
    <w:rsid w:val="000440C9"/>
    <w:rsid w:val="0004460E"/>
    <w:rsid w:val="000448B7"/>
    <w:rsid w:val="00044B46"/>
    <w:rsid w:val="00044BC5"/>
    <w:rsid w:val="00045217"/>
    <w:rsid w:val="00045A81"/>
    <w:rsid w:val="00045B2E"/>
    <w:rsid w:val="00045E99"/>
    <w:rsid w:val="0004657B"/>
    <w:rsid w:val="00046979"/>
    <w:rsid w:val="00046B41"/>
    <w:rsid w:val="00046CCD"/>
    <w:rsid w:val="00046E41"/>
    <w:rsid w:val="0004705C"/>
    <w:rsid w:val="00047130"/>
    <w:rsid w:val="000472B7"/>
    <w:rsid w:val="00047710"/>
    <w:rsid w:val="0004779E"/>
    <w:rsid w:val="00047802"/>
    <w:rsid w:val="000479C9"/>
    <w:rsid w:val="000479E6"/>
    <w:rsid w:val="0005020A"/>
    <w:rsid w:val="000502A5"/>
    <w:rsid w:val="0005031F"/>
    <w:rsid w:val="00050BB4"/>
    <w:rsid w:val="00050BCF"/>
    <w:rsid w:val="00050E06"/>
    <w:rsid w:val="00050F5E"/>
    <w:rsid w:val="00050FEF"/>
    <w:rsid w:val="00051082"/>
    <w:rsid w:val="000512BE"/>
    <w:rsid w:val="00051730"/>
    <w:rsid w:val="00051D8B"/>
    <w:rsid w:val="00051E25"/>
    <w:rsid w:val="000523C5"/>
    <w:rsid w:val="00052744"/>
    <w:rsid w:val="00052B88"/>
    <w:rsid w:val="00052E3B"/>
    <w:rsid w:val="00052FAE"/>
    <w:rsid w:val="00053AEC"/>
    <w:rsid w:val="00053D20"/>
    <w:rsid w:val="00053DA7"/>
    <w:rsid w:val="000540EF"/>
    <w:rsid w:val="0005430B"/>
    <w:rsid w:val="0005449F"/>
    <w:rsid w:val="0005463E"/>
    <w:rsid w:val="00055162"/>
    <w:rsid w:val="000552E7"/>
    <w:rsid w:val="00055478"/>
    <w:rsid w:val="000554DB"/>
    <w:rsid w:val="00055E79"/>
    <w:rsid w:val="00055EAA"/>
    <w:rsid w:val="00055F29"/>
    <w:rsid w:val="000560B3"/>
    <w:rsid w:val="00056137"/>
    <w:rsid w:val="00056151"/>
    <w:rsid w:val="000566C4"/>
    <w:rsid w:val="000572E8"/>
    <w:rsid w:val="000573C0"/>
    <w:rsid w:val="000576C3"/>
    <w:rsid w:val="000577AF"/>
    <w:rsid w:val="000577E5"/>
    <w:rsid w:val="000578E8"/>
    <w:rsid w:val="00057ACD"/>
    <w:rsid w:val="00057D70"/>
    <w:rsid w:val="00060033"/>
    <w:rsid w:val="000601C5"/>
    <w:rsid w:val="000602A9"/>
    <w:rsid w:val="00060322"/>
    <w:rsid w:val="000604BD"/>
    <w:rsid w:val="0006051D"/>
    <w:rsid w:val="00060561"/>
    <w:rsid w:val="00060E95"/>
    <w:rsid w:val="00061AB7"/>
    <w:rsid w:val="00061B03"/>
    <w:rsid w:val="00061DB2"/>
    <w:rsid w:val="00061E15"/>
    <w:rsid w:val="00061E61"/>
    <w:rsid w:val="000620CB"/>
    <w:rsid w:val="0006228D"/>
    <w:rsid w:val="00062569"/>
    <w:rsid w:val="000625C6"/>
    <w:rsid w:val="0006283D"/>
    <w:rsid w:val="00062A1B"/>
    <w:rsid w:val="00062FAA"/>
    <w:rsid w:val="00063030"/>
    <w:rsid w:val="00063174"/>
    <w:rsid w:val="00063600"/>
    <w:rsid w:val="0006364F"/>
    <w:rsid w:val="00063728"/>
    <w:rsid w:val="00063818"/>
    <w:rsid w:val="00063B8C"/>
    <w:rsid w:val="00063BB7"/>
    <w:rsid w:val="00064A68"/>
    <w:rsid w:val="00064B6A"/>
    <w:rsid w:val="00064D51"/>
    <w:rsid w:val="00065350"/>
    <w:rsid w:val="00065667"/>
    <w:rsid w:val="00065962"/>
    <w:rsid w:val="00066003"/>
    <w:rsid w:val="00066021"/>
    <w:rsid w:val="00066054"/>
    <w:rsid w:val="000660AB"/>
    <w:rsid w:val="000663A1"/>
    <w:rsid w:val="00066612"/>
    <w:rsid w:val="00066787"/>
    <w:rsid w:val="00067031"/>
    <w:rsid w:val="00067E84"/>
    <w:rsid w:val="00067F13"/>
    <w:rsid w:val="000702E7"/>
    <w:rsid w:val="0007043D"/>
    <w:rsid w:val="0007066E"/>
    <w:rsid w:val="00070D59"/>
    <w:rsid w:val="00070EFC"/>
    <w:rsid w:val="000711A3"/>
    <w:rsid w:val="0007144C"/>
    <w:rsid w:val="00071759"/>
    <w:rsid w:val="00071873"/>
    <w:rsid w:val="00071A40"/>
    <w:rsid w:val="00071D18"/>
    <w:rsid w:val="0007232B"/>
    <w:rsid w:val="000723AF"/>
    <w:rsid w:val="0007246A"/>
    <w:rsid w:val="00072812"/>
    <w:rsid w:val="00072B53"/>
    <w:rsid w:val="00072E14"/>
    <w:rsid w:val="00073145"/>
    <w:rsid w:val="00073396"/>
    <w:rsid w:val="000733FE"/>
    <w:rsid w:val="0007340E"/>
    <w:rsid w:val="00073423"/>
    <w:rsid w:val="0007362D"/>
    <w:rsid w:val="00074215"/>
    <w:rsid w:val="0007436B"/>
    <w:rsid w:val="000746A2"/>
    <w:rsid w:val="00074822"/>
    <w:rsid w:val="0007498B"/>
    <w:rsid w:val="00074A19"/>
    <w:rsid w:val="00074D43"/>
    <w:rsid w:val="00075095"/>
    <w:rsid w:val="00075136"/>
    <w:rsid w:val="00075264"/>
    <w:rsid w:val="0007526D"/>
    <w:rsid w:val="00075969"/>
    <w:rsid w:val="00075BF4"/>
    <w:rsid w:val="00075CCB"/>
    <w:rsid w:val="0007634C"/>
    <w:rsid w:val="000765AC"/>
    <w:rsid w:val="000769EE"/>
    <w:rsid w:val="00076B98"/>
    <w:rsid w:val="00076D71"/>
    <w:rsid w:val="00076EED"/>
    <w:rsid w:val="00076F4E"/>
    <w:rsid w:val="000773B3"/>
    <w:rsid w:val="0007750B"/>
    <w:rsid w:val="00077633"/>
    <w:rsid w:val="00077C09"/>
    <w:rsid w:val="00077E70"/>
    <w:rsid w:val="00077F71"/>
    <w:rsid w:val="0008015E"/>
    <w:rsid w:val="00080211"/>
    <w:rsid w:val="0008036D"/>
    <w:rsid w:val="00080528"/>
    <w:rsid w:val="00080833"/>
    <w:rsid w:val="00080FBB"/>
    <w:rsid w:val="000812C0"/>
    <w:rsid w:val="000813F0"/>
    <w:rsid w:val="00081BD8"/>
    <w:rsid w:val="000822DC"/>
    <w:rsid w:val="00082640"/>
    <w:rsid w:val="00082728"/>
    <w:rsid w:val="00082F15"/>
    <w:rsid w:val="00083372"/>
    <w:rsid w:val="00083B91"/>
    <w:rsid w:val="00083DC8"/>
    <w:rsid w:val="000840DD"/>
    <w:rsid w:val="000841BA"/>
    <w:rsid w:val="000846B1"/>
    <w:rsid w:val="00084AF0"/>
    <w:rsid w:val="00085872"/>
    <w:rsid w:val="0008588C"/>
    <w:rsid w:val="00085AA4"/>
    <w:rsid w:val="00085FC0"/>
    <w:rsid w:val="000867C9"/>
    <w:rsid w:val="000867E1"/>
    <w:rsid w:val="00086817"/>
    <w:rsid w:val="00086851"/>
    <w:rsid w:val="000869C6"/>
    <w:rsid w:val="00086E14"/>
    <w:rsid w:val="000872B2"/>
    <w:rsid w:val="000872F4"/>
    <w:rsid w:val="0008793E"/>
    <w:rsid w:val="00090711"/>
    <w:rsid w:val="00090721"/>
    <w:rsid w:val="00090CBA"/>
    <w:rsid w:val="00091495"/>
    <w:rsid w:val="000917C3"/>
    <w:rsid w:val="0009183C"/>
    <w:rsid w:val="0009195B"/>
    <w:rsid w:val="00091B54"/>
    <w:rsid w:val="00091EB6"/>
    <w:rsid w:val="000920A7"/>
    <w:rsid w:val="00092628"/>
    <w:rsid w:val="000927DF"/>
    <w:rsid w:val="000929CC"/>
    <w:rsid w:val="00092A2C"/>
    <w:rsid w:val="00092A2F"/>
    <w:rsid w:val="00092AA8"/>
    <w:rsid w:val="00092B5B"/>
    <w:rsid w:val="00092C5F"/>
    <w:rsid w:val="00092D6B"/>
    <w:rsid w:val="00092ED3"/>
    <w:rsid w:val="0009312A"/>
    <w:rsid w:val="00093494"/>
    <w:rsid w:val="000934A6"/>
    <w:rsid w:val="0009393A"/>
    <w:rsid w:val="0009423B"/>
    <w:rsid w:val="00094938"/>
    <w:rsid w:val="000950D1"/>
    <w:rsid w:val="0009520E"/>
    <w:rsid w:val="00095595"/>
    <w:rsid w:val="000956DF"/>
    <w:rsid w:val="000957A4"/>
    <w:rsid w:val="00095891"/>
    <w:rsid w:val="00095F63"/>
    <w:rsid w:val="00095FCC"/>
    <w:rsid w:val="00096257"/>
    <w:rsid w:val="000964CA"/>
    <w:rsid w:val="00096538"/>
    <w:rsid w:val="0009655C"/>
    <w:rsid w:val="000966C4"/>
    <w:rsid w:val="00096BF3"/>
    <w:rsid w:val="00096D34"/>
    <w:rsid w:val="00096EA7"/>
    <w:rsid w:val="00096FBB"/>
    <w:rsid w:val="00097B71"/>
    <w:rsid w:val="00097F4F"/>
    <w:rsid w:val="00097F73"/>
    <w:rsid w:val="000A0114"/>
    <w:rsid w:val="000A0246"/>
    <w:rsid w:val="000A039B"/>
    <w:rsid w:val="000A03D3"/>
    <w:rsid w:val="000A0450"/>
    <w:rsid w:val="000A09E8"/>
    <w:rsid w:val="000A0F30"/>
    <w:rsid w:val="000A14C4"/>
    <w:rsid w:val="000A150B"/>
    <w:rsid w:val="000A1532"/>
    <w:rsid w:val="000A1662"/>
    <w:rsid w:val="000A1995"/>
    <w:rsid w:val="000A1A1F"/>
    <w:rsid w:val="000A1BF2"/>
    <w:rsid w:val="000A1C8F"/>
    <w:rsid w:val="000A1CFA"/>
    <w:rsid w:val="000A2146"/>
    <w:rsid w:val="000A25D3"/>
    <w:rsid w:val="000A2738"/>
    <w:rsid w:val="000A2739"/>
    <w:rsid w:val="000A284C"/>
    <w:rsid w:val="000A2A33"/>
    <w:rsid w:val="000A2A38"/>
    <w:rsid w:val="000A2CBA"/>
    <w:rsid w:val="000A2DB5"/>
    <w:rsid w:val="000A3049"/>
    <w:rsid w:val="000A30FC"/>
    <w:rsid w:val="000A3183"/>
    <w:rsid w:val="000A3225"/>
    <w:rsid w:val="000A3405"/>
    <w:rsid w:val="000A35E5"/>
    <w:rsid w:val="000A366E"/>
    <w:rsid w:val="000A368D"/>
    <w:rsid w:val="000A3980"/>
    <w:rsid w:val="000A3B5B"/>
    <w:rsid w:val="000A3E3D"/>
    <w:rsid w:val="000A3E76"/>
    <w:rsid w:val="000A410C"/>
    <w:rsid w:val="000A4489"/>
    <w:rsid w:val="000A4591"/>
    <w:rsid w:val="000A4671"/>
    <w:rsid w:val="000A46C4"/>
    <w:rsid w:val="000A5154"/>
    <w:rsid w:val="000A58D0"/>
    <w:rsid w:val="000A5B3E"/>
    <w:rsid w:val="000A61B5"/>
    <w:rsid w:val="000A69D3"/>
    <w:rsid w:val="000A6A5B"/>
    <w:rsid w:val="000A6D49"/>
    <w:rsid w:val="000A6E78"/>
    <w:rsid w:val="000A6EBE"/>
    <w:rsid w:val="000A6F37"/>
    <w:rsid w:val="000A7059"/>
    <w:rsid w:val="000A7556"/>
    <w:rsid w:val="000A756D"/>
    <w:rsid w:val="000A7785"/>
    <w:rsid w:val="000A7BDA"/>
    <w:rsid w:val="000A7FDB"/>
    <w:rsid w:val="000B023D"/>
    <w:rsid w:val="000B0456"/>
    <w:rsid w:val="000B045E"/>
    <w:rsid w:val="000B057D"/>
    <w:rsid w:val="000B058C"/>
    <w:rsid w:val="000B05FA"/>
    <w:rsid w:val="000B0968"/>
    <w:rsid w:val="000B0EB9"/>
    <w:rsid w:val="000B11A8"/>
    <w:rsid w:val="000B11CA"/>
    <w:rsid w:val="000B156A"/>
    <w:rsid w:val="000B173B"/>
    <w:rsid w:val="000B18E9"/>
    <w:rsid w:val="000B2655"/>
    <w:rsid w:val="000B2679"/>
    <w:rsid w:val="000B279B"/>
    <w:rsid w:val="000B2AFB"/>
    <w:rsid w:val="000B2B1E"/>
    <w:rsid w:val="000B2FF7"/>
    <w:rsid w:val="000B31E7"/>
    <w:rsid w:val="000B34C0"/>
    <w:rsid w:val="000B3661"/>
    <w:rsid w:val="000B3864"/>
    <w:rsid w:val="000B3B3F"/>
    <w:rsid w:val="000B3BF6"/>
    <w:rsid w:val="000B3CA7"/>
    <w:rsid w:val="000B3E5F"/>
    <w:rsid w:val="000B3E74"/>
    <w:rsid w:val="000B3E7E"/>
    <w:rsid w:val="000B3F42"/>
    <w:rsid w:val="000B4447"/>
    <w:rsid w:val="000B45B6"/>
    <w:rsid w:val="000B4DDE"/>
    <w:rsid w:val="000B5127"/>
    <w:rsid w:val="000B5407"/>
    <w:rsid w:val="000B54FB"/>
    <w:rsid w:val="000B59A6"/>
    <w:rsid w:val="000B5AFE"/>
    <w:rsid w:val="000B6031"/>
    <w:rsid w:val="000B623D"/>
    <w:rsid w:val="000B652C"/>
    <w:rsid w:val="000B65CC"/>
    <w:rsid w:val="000B6610"/>
    <w:rsid w:val="000B6BCC"/>
    <w:rsid w:val="000B6E70"/>
    <w:rsid w:val="000B73D3"/>
    <w:rsid w:val="000B7404"/>
    <w:rsid w:val="000B7996"/>
    <w:rsid w:val="000B7A2B"/>
    <w:rsid w:val="000B7D4A"/>
    <w:rsid w:val="000B7DF4"/>
    <w:rsid w:val="000C00D7"/>
    <w:rsid w:val="000C0BC1"/>
    <w:rsid w:val="000C1E72"/>
    <w:rsid w:val="000C1EA6"/>
    <w:rsid w:val="000C1ED7"/>
    <w:rsid w:val="000C1F22"/>
    <w:rsid w:val="000C21A0"/>
    <w:rsid w:val="000C2482"/>
    <w:rsid w:val="000C2990"/>
    <w:rsid w:val="000C2D89"/>
    <w:rsid w:val="000C2DAF"/>
    <w:rsid w:val="000C31CB"/>
    <w:rsid w:val="000C3877"/>
    <w:rsid w:val="000C394F"/>
    <w:rsid w:val="000C3BE1"/>
    <w:rsid w:val="000C3E1A"/>
    <w:rsid w:val="000C4903"/>
    <w:rsid w:val="000C4D1D"/>
    <w:rsid w:val="000C4DD1"/>
    <w:rsid w:val="000C4DEF"/>
    <w:rsid w:val="000C57C7"/>
    <w:rsid w:val="000C57F3"/>
    <w:rsid w:val="000C5CCF"/>
    <w:rsid w:val="000C5E72"/>
    <w:rsid w:val="000C5E8E"/>
    <w:rsid w:val="000C5EE5"/>
    <w:rsid w:val="000C64BD"/>
    <w:rsid w:val="000C6577"/>
    <w:rsid w:val="000C723B"/>
    <w:rsid w:val="000C7250"/>
    <w:rsid w:val="000C7274"/>
    <w:rsid w:val="000C7B47"/>
    <w:rsid w:val="000C7DB5"/>
    <w:rsid w:val="000D0249"/>
    <w:rsid w:val="000D0F2B"/>
    <w:rsid w:val="000D0FCD"/>
    <w:rsid w:val="000D1690"/>
    <w:rsid w:val="000D1AFD"/>
    <w:rsid w:val="000D21B6"/>
    <w:rsid w:val="000D2233"/>
    <w:rsid w:val="000D232B"/>
    <w:rsid w:val="000D264F"/>
    <w:rsid w:val="000D2B5C"/>
    <w:rsid w:val="000D2D1A"/>
    <w:rsid w:val="000D346F"/>
    <w:rsid w:val="000D3520"/>
    <w:rsid w:val="000D354F"/>
    <w:rsid w:val="000D413B"/>
    <w:rsid w:val="000D4A5B"/>
    <w:rsid w:val="000D4BE0"/>
    <w:rsid w:val="000D4C2F"/>
    <w:rsid w:val="000D5375"/>
    <w:rsid w:val="000D5470"/>
    <w:rsid w:val="000D5D12"/>
    <w:rsid w:val="000D5E8D"/>
    <w:rsid w:val="000D618A"/>
    <w:rsid w:val="000D6605"/>
    <w:rsid w:val="000D6BFD"/>
    <w:rsid w:val="000D716F"/>
    <w:rsid w:val="000D7175"/>
    <w:rsid w:val="000D752F"/>
    <w:rsid w:val="000D7825"/>
    <w:rsid w:val="000D7B21"/>
    <w:rsid w:val="000E04B8"/>
    <w:rsid w:val="000E078F"/>
    <w:rsid w:val="000E0852"/>
    <w:rsid w:val="000E09BB"/>
    <w:rsid w:val="000E0AF9"/>
    <w:rsid w:val="000E0B57"/>
    <w:rsid w:val="000E0F2B"/>
    <w:rsid w:val="000E0F4B"/>
    <w:rsid w:val="000E1295"/>
    <w:rsid w:val="000E189E"/>
    <w:rsid w:val="000E1A53"/>
    <w:rsid w:val="000E1CB6"/>
    <w:rsid w:val="000E1EBC"/>
    <w:rsid w:val="000E1FF1"/>
    <w:rsid w:val="000E2327"/>
    <w:rsid w:val="000E26C2"/>
    <w:rsid w:val="000E2778"/>
    <w:rsid w:val="000E2DA5"/>
    <w:rsid w:val="000E3AD1"/>
    <w:rsid w:val="000E3C42"/>
    <w:rsid w:val="000E3F92"/>
    <w:rsid w:val="000E3FAA"/>
    <w:rsid w:val="000E413B"/>
    <w:rsid w:val="000E46F2"/>
    <w:rsid w:val="000E488E"/>
    <w:rsid w:val="000E48CC"/>
    <w:rsid w:val="000E490D"/>
    <w:rsid w:val="000E4C1E"/>
    <w:rsid w:val="000E4DCB"/>
    <w:rsid w:val="000E4DDD"/>
    <w:rsid w:val="000E4FEB"/>
    <w:rsid w:val="000E5480"/>
    <w:rsid w:val="000E590E"/>
    <w:rsid w:val="000E5A13"/>
    <w:rsid w:val="000E5BCC"/>
    <w:rsid w:val="000E665B"/>
    <w:rsid w:val="000E66A5"/>
    <w:rsid w:val="000E69E2"/>
    <w:rsid w:val="000E6DAA"/>
    <w:rsid w:val="000E6EA0"/>
    <w:rsid w:val="000E7133"/>
    <w:rsid w:val="000E755D"/>
    <w:rsid w:val="000E7B7C"/>
    <w:rsid w:val="000E7C9B"/>
    <w:rsid w:val="000F0159"/>
    <w:rsid w:val="000F015B"/>
    <w:rsid w:val="000F0275"/>
    <w:rsid w:val="000F044B"/>
    <w:rsid w:val="000F0492"/>
    <w:rsid w:val="000F0684"/>
    <w:rsid w:val="000F0DFC"/>
    <w:rsid w:val="000F0F4A"/>
    <w:rsid w:val="000F1780"/>
    <w:rsid w:val="000F1906"/>
    <w:rsid w:val="000F192E"/>
    <w:rsid w:val="000F1D47"/>
    <w:rsid w:val="000F1F9F"/>
    <w:rsid w:val="000F2054"/>
    <w:rsid w:val="000F20BB"/>
    <w:rsid w:val="000F230D"/>
    <w:rsid w:val="000F2B52"/>
    <w:rsid w:val="000F2CC8"/>
    <w:rsid w:val="000F2D86"/>
    <w:rsid w:val="000F2F31"/>
    <w:rsid w:val="000F36DA"/>
    <w:rsid w:val="000F3A44"/>
    <w:rsid w:val="000F3E42"/>
    <w:rsid w:val="000F3ED6"/>
    <w:rsid w:val="000F3F5E"/>
    <w:rsid w:val="000F41C9"/>
    <w:rsid w:val="000F45E0"/>
    <w:rsid w:val="000F46CF"/>
    <w:rsid w:val="000F46D4"/>
    <w:rsid w:val="000F4916"/>
    <w:rsid w:val="000F4AEE"/>
    <w:rsid w:val="000F4C85"/>
    <w:rsid w:val="000F4CEA"/>
    <w:rsid w:val="000F54D5"/>
    <w:rsid w:val="000F59A3"/>
    <w:rsid w:val="000F5A74"/>
    <w:rsid w:val="000F5C5B"/>
    <w:rsid w:val="000F5C94"/>
    <w:rsid w:val="000F62C5"/>
    <w:rsid w:val="000F6D9E"/>
    <w:rsid w:val="000F7069"/>
    <w:rsid w:val="000F74DA"/>
    <w:rsid w:val="000F7E76"/>
    <w:rsid w:val="0010000F"/>
    <w:rsid w:val="00100607"/>
    <w:rsid w:val="00100806"/>
    <w:rsid w:val="00101153"/>
    <w:rsid w:val="00101298"/>
    <w:rsid w:val="0010143B"/>
    <w:rsid w:val="00101F4C"/>
    <w:rsid w:val="00102000"/>
    <w:rsid w:val="0010204A"/>
    <w:rsid w:val="0010223F"/>
    <w:rsid w:val="00102265"/>
    <w:rsid w:val="00102444"/>
    <w:rsid w:val="00102511"/>
    <w:rsid w:val="001025A5"/>
    <w:rsid w:val="00102696"/>
    <w:rsid w:val="00102883"/>
    <w:rsid w:val="00102B3C"/>
    <w:rsid w:val="00102F2C"/>
    <w:rsid w:val="00103252"/>
    <w:rsid w:val="00103471"/>
    <w:rsid w:val="00103702"/>
    <w:rsid w:val="001038BB"/>
    <w:rsid w:val="001038F6"/>
    <w:rsid w:val="0010396F"/>
    <w:rsid w:val="001042C6"/>
    <w:rsid w:val="001042FE"/>
    <w:rsid w:val="001044B0"/>
    <w:rsid w:val="001048BA"/>
    <w:rsid w:val="00104A64"/>
    <w:rsid w:val="00104B02"/>
    <w:rsid w:val="00104B04"/>
    <w:rsid w:val="00104D18"/>
    <w:rsid w:val="00104F51"/>
    <w:rsid w:val="00105130"/>
    <w:rsid w:val="001051A4"/>
    <w:rsid w:val="001051DF"/>
    <w:rsid w:val="00105D4E"/>
    <w:rsid w:val="00105D58"/>
    <w:rsid w:val="00106025"/>
    <w:rsid w:val="00106136"/>
    <w:rsid w:val="00106211"/>
    <w:rsid w:val="00106260"/>
    <w:rsid w:val="00106346"/>
    <w:rsid w:val="00106629"/>
    <w:rsid w:val="00106B63"/>
    <w:rsid w:val="00106D03"/>
    <w:rsid w:val="00106DF1"/>
    <w:rsid w:val="00106F24"/>
    <w:rsid w:val="001070F7"/>
    <w:rsid w:val="001077B1"/>
    <w:rsid w:val="001078A3"/>
    <w:rsid w:val="00107C3D"/>
    <w:rsid w:val="001108BB"/>
    <w:rsid w:val="001109CE"/>
    <w:rsid w:val="00110AFD"/>
    <w:rsid w:val="001111B9"/>
    <w:rsid w:val="0011135B"/>
    <w:rsid w:val="0011179B"/>
    <w:rsid w:val="00111A1D"/>
    <w:rsid w:val="00111AAD"/>
    <w:rsid w:val="00111C05"/>
    <w:rsid w:val="00111EB4"/>
    <w:rsid w:val="00112102"/>
    <w:rsid w:val="00112108"/>
    <w:rsid w:val="00112468"/>
    <w:rsid w:val="0011256E"/>
    <w:rsid w:val="001125EA"/>
    <w:rsid w:val="001125EE"/>
    <w:rsid w:val="00112715"/>
    <w:rsid w:val="001127F2"/>
    <w:rsid w:val="00112D0C"/>
    <w:rsid w:val="00112EE2"/>
    <w:rsid w:val="00112FFE"/>
    <w:rsid w:val="00113195"/>
    <w:rsid w:val="001133C2"/>
    <w:rsid w:val="00113676"/>
    <w:rsid w:val="00113690"/>
    <w:rsid w:val="00113A66"/>
    <w:rsid w:val="00113A86"/>
    <w:rsid w:val="00113C67"/>
    <w:rsid w:val="00114208"/>
    <w:rsid w:val="0011473E"/>
    <w:rsid w:val="001147FF"/>
    <w:rsid w:val="00114AFB"/>
    <w:rsid w:val="00114D53"/>
    <w:rsid w:val="00114EEE"/>
    <w:rsid w:val="00114F00"/>
    <w:rsid w:val="00114F32"/>
    <w:rsid w:val="001152AB"/>
    <w:rsid w:val="0011569A"/>
    <w:rsid w:val="0011576E"/>
    <w:rsid w:val="0011592B"/>
    <w:rsid w:val="00115E68"/>
    <w:rsid w:val="00115F57"/>
    <w:rsid w:val="00115FA7"/>
    <w:rsid w:val="001163A2"/>
    <w:rsid w:val="00116976"/>
    <w:rsid w:val="00116FD2"/>
    <w:rsid w:val="00117035"/>
    <w:rsid w:val="0011726D"/>
    <w:rsid w:val="00117303"/>
    <w:rsid w:val="00117578"/>
    <w:rsid w:val="00117908"/>
    <w:rsid w:val="00117C18"/>
    <w:rsid w:val="001202E8"/>
    <w:rsid w:val="001203CF"/>
    <w:rsid w:val="0012070C"/>
    <w:rsid w:val="00120DAD"/>
    <w:rsid w:val="00120DCF"/>
    <w:rsid w:val="00121071"/>
    <w:rsid w:val="00121236"/>
    <w:rsid w:val="00121906"/>
    <w:rsid w:val="00121D25"/>
    <w:rsid w:val="00121E90"/>
    <w:rsid w:val="00121FAC"/>
    <w:rsid w:val="00122278"/>
    <w:rsid w:val="001223F7"/>
    <w:rsid w:val="00122810"/>
    <w:rsid w:val="00122991"/>
    <w:rsid w:val="00122ABA"/>
    <w:rsid w:val="0012310F"/>
    <w:rsid w:val="001234F5"/>
    <w:rsid w:val="0012359F"/>
    <w:rsid w:val="001235C6"/>
    <w:rsid w:val="00123A7C"/>
    <w:rsid w:val="00123EE3"/>
    <w:rsid w:val="00124280"/>
    <w:rsid w:val="00124566"/>
    <w:rsid w:val="00124913"/>
    <w:rsid w:val="00124E55"/>
    <w:rsid w:val="00124F38"/>
    <w:rsid w:val="0012544B"/>
    <w:rsid w:val="00125732"/>
    <w:rsid w:val="00125A18"/>
    <w:rsid w:val="00125C55"/>
    <w:rsid w:val="00126468"/>
    <w:rsid w:val="001264E4"/>
    <w:rsid w:val="00126990"/>
    <w:rsid w:val="00126C0D"/>
    <w:rsid w:val="00126FD9"/>
    <w:rsid w:val="00126FDB"/>
    <w:rsid w:val="001270B9"/>
    <w:rsid w:val="00127235"/>
    <w:rsid w:val="001272BF"/>
    <w:rsid w:val="001272CD"/>
    <w:rsid w:val="0012735A"/>
    <w:rsid w:val="001273E9"/>
    <w:rsid w:val="00127B50"/>
    <w:rsid w:val="00127B8B"/>
    <w:rsid w:val="00127DB3"/>
    <w:rsid w:val="00127DCC"/>
    <w:rsid w:val="0013011A"/>
    <w:rsid w:val="00130126"/>
    <w:rsid w:val="001301D7"/>
    <w:rsid w:val="00130410"/>
    <w:rsid w:val="0013067C"/>
    <w:rsid w:val="0013088D"/>
    <w:rsid w:val="00130ED6"/>
    <w:rsid w:val="0013133E"/>
    <w:rsid w:val="00131A84"/>
    <w:rsid w:val="00131ECE"/>
    <w:rsid w:val="00131F24"/>
    <w:rsid w:val="001320D6"/>
    <w:rsid w:val="00132440"/>
    <w:rsid w:val="001324D1"/>
    <w:rsid w:val="00132713"/>
    <w:rsid w:val="00132AF4"/>
    <w:rsid w:val="00132E5B"/>
    <w:rsid w:val="0013411B"/>
    <w:rsid w:val="001343B8"/>
    <w:rsid w:val="00134656"/>
    <w:rsid w:val="001347FF"/>
    <w:rsid w:val="001348A3"/>
    <w:rsid w:val="00134F70"/>
    <w:rsid w:val="00135130"/>
    <w:rsid w:val="00135E8B"/>
    <w:rsid w:val="00135EEF"/>
    <w:rsid w:val="001360B8"/>
    <w:rsid w:val="00136177"/>
    <w:rsid w:val="0013686F"/>
    <w:rsid w:val="00136880"/>
    <w:rsid w:val="00136A32"/>
    <w:rsid w:val="00137508"/>
    <w:rsid w:val="00137C15"/>
    <w:rsid w:val="0014037E"/>
    <w:rsid w:val="00140B82"/>
    <w:rsid w:val="00140DBC"/>
    <w:rsid w:val="00140E3B"/>
    <w:rsid w:val="001414BB"/>
    <w:rsid w:val="00141D07"/>
    <w:rsid w:val="0014249E"/>
    <w:rsid w:val="00142B80"/>
    <w:rsid w:val="00142DB0"/>
    <w:rsid w:val="0014342E"/>
    <w:rsid w:val="001437D1"/>
    <w:rsid w:val="0014381D"/>
    <w:rsid w:val="00143B38"/>
    <w:rsid w:val="00143FEB"/>
    <w:rsid w:val="00144227"/>
    <w:rsid w:val="0014436F"/>
    <w:rsid w:val="001443AF"/>
    <w:rsid w:val="0014456F"/>
    <w:rsid w:val="00144650"/>
    <w:rsid w:val="00144A92"/>
    <w:rsid w:val="00144EF6"/>
    <w:rsid w:val="00145151"/>
    <w:rsid w:val="00145232"/>
    <w:rsid w:val="00145249"/>
    <w:rsid w:val="00145AC4"/>
    <w:rsid w:val="00145B45"/>
    <w:rsid w:val="00145FD2"/>
    <w:rsid w:val="001460B1"/>
    <w:rsid w:val="00146B54"/>
    <w:rsid w:val="00146F18"/>
    <w:rsid w:val="0014717F"/>
    <w:rsid w:val="001471BF"/>
    <w:rsid w:val="001471F2"/>
    <w:rsid w:val="001477BA"/>
    <w:rsid w:val="00147833"/>
    <w:rsid w:val="00147ADB"/>
    <w:rsid w:val="00147D8F"/>
    <w:rsid w:val="00147E6C"/>
    <w:rsid w:val="00147FCA"/>
    <w:rsid w:val="001502A2"/>
    <w:rsid w:val="00150304"/>
    <w:rsid w:val="00150A0A"/>
    <w:rsid w:val="00150A4E"/>
    <w:rsid w:val="0015102F"/>
    <w:rsid w:val="00151602"/>
    <w:rsid w:val="001516A2"/>
    <w:rsid w:val="00151746"/>
    <w:rsid w:val="00151CF3"/>
    <w:rsid w:val="00152032"/>
    <w:rsid w:val="00152169"/>
    <w:rsid w:val="0015221B"/>
    <w:rsid w:val="0015251E"/>
    <w:rsid w:val="001526E1"/>
    <w:rsid w:val="00152849"/>
    <w:rsid w:val="0015294D"/>
    <w:rsid w:val="00152BAA"/>
    <w:rsid w:val="00153875"/>
    <w:rsid w:val="001538E6"/>
    <w:rsid w:val="00153E48"/>
    <w:rsid w:val="001546FA"/>
    <w:rsid w:val="0015470F"/>
    <w:rsid w:val="0015477E"/>
    <w:rsid w:val="00154A21"/>
    <w:rsid w:val="00154B5E"/>
    <w:rsid w:val="00154E5A"/>
    <w:rsid w:val="00154F7D"/>
    <w:rsid w:val="00155565"/>
    <w:rsid w:val="001555B8"/>
    <w:rsid w:val="0015586B"/>
    <w:rsid w:val="00155A8B"/>
    <w:rsid w:val="00155B44"/>
    <w:rsid w:val="00155E96"/>
    <w:rsid w:val="00155EE7"/>
    <w:rsid w:val="00156363"/>
    <w:rsid w:val="0015661D"/>
    <w:rsid w:val="00156958"/>
    <w:rsid w:val="00157813"/>
    <w:rsid w:val="00157899"/>
    <w:rsid w:val="00157D41"/>
    <w:rsid w:val="00160620"/>
    <w:rsid w:val="00160D58"/>
    <w:rsid w:val="00160DE2"/>
    <w:rsid w:val="00160F8B"/>
    <w:rsid w:val="001611A6"/>
    <w:rsid w:val="001612D4"/>
    <w:rsid w:val="00161365"/>
    <w:rsid w:val="001614D3"/>
    <w:rsid w:val="0016157C"/>
    <w:rsid w:val="00161771"/>
    <w:rsid w:val="00161B6F"/>
    <w:rsid w:val="0016305B"/>
    <w:rsid w:val="00163328"/>
    <w:rsid w:val="00163343"/>
    <w:rsid w:val="00163680"/>
    <w:rsid w:val="00163991"/>
    <w:rsid w:val="00163B7F"/>
    <w:rsid w:val="00163F74"/>
    <w:rsid w:val="00163F87"/>
    <w:rsid w:val="00163FD5"/>
    <w:rsid w:val="0016412F"/>
    <w:rsid w:val="0016438E"/>
    <w:rsid w:val="001645D3"/>
    <w:rsid w:val="00164A25"/>
    <w:rsid w:val="00164A27"/>
    <w:rsid w:val="00164B37"/>
    <w:rsid w:val="001651F6"/>
    <w:rsid w:val="0016540D"/>
    <w:rsid w:val="00165661"/>
    <w:rsid w:val="001657FE"/>
    <w:rsid w:val="00165876"/>
    <w:rsid w:val="00165979"/>
    <w:rsid w:val="00165B83"/>
    <w:rsid w:val="00165FAA"/>
    <w:rsid w:val="00166B65"/>
    <w:rsid w:val="00166E4E"/>
    <w:rsid w:val="00166F67"/>
    <w:rsid w:val="00167641"/>
    <w:rsid w:val="0016768F"/>
    <w:rsid w:val="00167874"/>
    <w:rsid w:val="00167890"/>
    <w:rsid w:val="00167BB4"/>
    <w:rsid w:val="00167E5B"/>
    <w:rsid w:val="00167F42"/>
    <w:rsid w:val="00167F8B"/>
    <w:rsid w:val="0017041E"/>
    <w:rsid w:val="0017080A"/>
    <w:rsid w:val="00170906"/>
    <w:rsid w:val="00170E70"/>
    <w:rsid w:val="00171177"/>
    <w:rsid w:val="0017143A"/>
    <w:rsid w:val="00171A3F"/>
    <w:rsid w:val="00171B80"/>
    <w:rsid w:val="00171DA6"/>
    <w:rsid w:val="00171FC2"/>
    <w:rsid w:val="001721E7"/>
    <w:rsid w:val="00172A46"/>
    <w:rsid w:val="00172CE5"/>
    <w:rsid w:val="00172DE2"/>
    <w:rsid w:val="00172EB2"/>
    <w:rsid w:val="0017313B"/>
    <w:rsid w:val="0017356C"/>
    <w:rsid w:val="00173718"/>
    <w:rsid w:val="0017384D"/>
    <w:rsid w:val="00173CAA"/>
    <w:rsid w:val="00173D2F"/>
    <w:rsid w:val="001741A9"/>
    <w:rsid w:val="001743E7"/>
    <w:rsid w:val="001744BF"/>
    <w:rsid w:val="00174530"/>
    <w:rsid w:val="001745BE"/>
    <w:rsid w:val="00174859"/>
    <w:rsid w:val="00174B49"/>
    <w:rsid w:val="00174DAF"/>
    <w:rsid w:val="00175A58"/>
    <w:rsid w:val="001760D0"/>
    <w:rsid w:val="001762A5"/>
    <w:rsid w:val="00176A17"/>
    <w:rsid w:val="00176A7D"/>
    <w:rsid w:val="00176B2B"/>
    <w:rsid w:val="00176FE5"/>
    <w:rsid w:val="00177735"/>
    <w:rsid w:val="00177A23"/>
    <w:rsid w:val="00177AAB"/>
    <w:rsid w:val="00177CB9"/>
    <w:rsid w:val="00177D21"/>
    <w:rsid w:val="00177D43"/>
    <w:rsid w:val="001807F8"/>
    <w:rsid w:val="0018090B"/>
    <w:rsid w:val="00180928"/>
    <w:rsid w:val="00180B3E"/>
    <w:rsid w:val="0018101C"/>
    <w:rsid w:val="00181586"/>
    <w:rsid w:val="0018191D"/>
    <w:rsid w:val="00181A7E"/>
    <w:rsid w:val="00181D67"/>
    <w:rsid w:val="00181D7C"/>
    <w:rsid w:val="00181FA1"/>
    <w:rsid w:val="00182221"/>
    <w:rsid w:val="00182679"/>
    <w:rsid w:val="00182A22"/>
    <w:rsid w:val="00182EE9"/>
    <w:rsid w:val="00183AE1"/>
    <w:rsid w:val="00183B17"/>
    <w:rsid w:val="00184064"/>
    <w:rsid w:val="0018427A"/>
    <w:rsid w:val="0018494F"/>
    <w:rsid w:val="00184A18"/>
    <w:rsid w:val="00184D5D"/>
    <w:rsid w:val="00184E76"/>
    <w:rsid w:val="00184F0C"/>
    <w:rsid w:val="001852E6"/>
    <w:rsid w:val="001854F0"/>
    <w:rsid w:val="00185689"/>
    <w:rsid w:val="001857FF"/>
    <w:rsid w:val="0018593B"/>
    <w:rsid w:val="00185DFF"/>
    <w:rsid w:val="00185EEF"/>
    <w:rsid w:val="00185F44"/>
    <w:rsid w:val="00186288"/>
    <w:rsid w:val="0018648D"/>
    <w:rsid w:val="0018653F"/>
    <w:rsid w:val="001867B6"/>
    <w:rsid w:val="00187280"/>
    <w:rsid w:val="00187289"/>
    <w:rsid w:val="0018755C"/>
    <w:rsid w:val="001877D2"/>
    <w:rsid w:val="001878A2"/>
    <w:rsid w:val="00187F5C"/>
    <w:rsid w:val="0019002A"/>
    <w:rsid w:val="0019034D"/>
    <w:rsid w:val="001905B8"/>
    <w:rsid w:val="00190743"/>
    <w:rsid w:val="0019080B"/>
    <w:rsid w:val="00190A99"/>
    <w:rsid w:val="001910DC"/>
    <w:rsid w:val="001913FE"/>
    <w:rsid w:val="001915D9"/>
    <w:rsid w:val="00191949"/>
    <w:rsid w:val="00191B61"/>
    <w:rsid w:val="00191CC0"/>
    <w:rsid w:val="00191D33"/>
    <w:rsid w:val="00191DE3"/>
    <w:rsid w:val="001920D6"/>
    <w:rsid w:val="001921E9"/>
    <w:rsid w:val="00192382"/>
    <w:rsid w:val="00192AF7"/>
    <w:rsid w:val="00192B25"/>
    <w:rsid w:val="00193A59"/>
    <w:rsid w:val="00193FFF"/>
    <w:rsid w:val="00194825"/>
    <w:rsid w:val="00194BFB"/>
    <w:rsid w:val="00194C6E"/>
    <w:rsid w:val="00194C78"/>
    <w:rsid w:val="00194C9C"/>
    <w:rsid w:val="00194CFA"/>
    <w:rsid w:val="00194DC1"/>
    <w:rsid w:val="001951CC"/>
    <w:rsid w:val="0019522F"/>
    <w:rsid w:val="001953F4"/>
    <w:rsid w:val="001955A8"/>
    <w:rsid w:val="0019581A"/>
    <w:rsid w:val="00195917"/>
    <w:rsid w:val="00195BB5"/>
    <w:rsid w:val="00195D57"/>
    <w:rsid w:val="00195E23"/>
    <w:rsid w:val="00196082"/>
    <w:rsid w:val="0019657C"/>
    <w:rsid w:val="00196628"/>
    <w:rsid w:val="00196961"/>
    <w:rsid w:val="00196C1A"/>
    <w:rsid w:val="00196CDE"/>
    <w:rsid w:val="00196F82"/>
    <w:rsid w:val="0019701B"/>
    <w:rsid w:val="001970AB"/>
    <w:rsid w:val="00197130"/>
    <w:rsid w:val="0019733F"/>
    <w:rsid w:val="001976DD"/>
    <w:rsid w:val="00197989"/>
    <w:rsid w:val="001A01B9"/>
    <w:rsid w:val="001A0587"/>
    <w:rsid w:val="001A06BC"/>
    <w:rsid w:val="001A0C81"/>
    <w:rsid w:val="001A0D8F"/>
    <w:rsid w:val="001A1221"/>
    <w:rsid w:val="001A1348"/>
    <w:rsid w:val="001A15FE"/>
    <w:rsid w:val="001A1E3A"/>
    <w:rsid w:val="001A2264"/>
    <w:rsid w:val="001A2383"/>
    <w:rsid w:val="001A2727"/>
    <w:rsid w:val="001A2AD2"/>
    <w:rsid w:val="001A3395"/>
    <w:rsid w:val="001A3BF8"/>
    <w:rsid w:val="001A3CB5"/>
    <w:rsid w:val="001A3EBF"/>
    <w:rsid w:val="001A404D"/>
    <w:rsid w:val="001A43FA"/>
    <w:rsid w:val="001A48EB"/>
    <w:rsid w:val="001A4ABC"/>
    <w:rsid w:val="001A4D4E"/>
    <w:rsid w:val="001A5449"/>
    <w:rsid w:val="001A548C"/>
    <w:rsid w:val="001A578B"/>
    <w:rsid w:val="001A57A1"/>
    <w:rsid w:val="001A5999"/>
    <w:rsid w:val="001A5A80"/>
    <w:rsid w:val="001A5EE4"/>
    <w:rsid w:val="001A60C6"/>
    <w:rsid w:val="001A6863"/>
    <w:rsid w:val="001A6F87"/>
    <w:rsid w:val="001A7557"/>
    <w:rsid w:val="001B01B1"/>
    <w:rsid w:val="001B1185"/>
    <w:rsid w:val="001B1212"/>
    <w:rsid w:val="001B19F9"/>
    <w:rsid w:val="001B1A60"/>
    <w:rsid w:val="001B1AB9"/>
    <w:rsid w:val="001B1CB0"/>
    <w:rsid w:val="001B25D9"/>
    <w:rsid w:val="001B2BD6"/>
    <w:rsid w:val="001B322B"/>
    <w:rsid w:val="001B36B0"/>
    <w:rsid w:val="001B3920"/>
    <w:rsid w:val="001B3A09"/>
    <w:rsid w:val="001B4249"/>
    <w:rsid w:val="001B468B"/>
    <w:rsid w:val="001B48C8"/>
    <w:rsid w:val="001B4C48"/>
    <w:rsid w:val="001B4D19"/>
    <w:rsid w:val="001B4DAB"/>
    <w:rsid w:val="001B51D3"/>
    <w:rsid w:val="001B52DE"/>
    <w:rsid w:val="001B53EE"/>
    <w:rsid w:val="001B548E"/>
    <w:rsid w:val="001B55A5"/>
    <w:rsid w:val="001B5D3F"/>
    <w:rsid w:val="001B689E"/>
    <w:rsid w:val="001B6943"/>
    <w:rsid w:val="001B6E1A"/>
    <w:rsid w:val="001B7102"/>
    <w:rsid w:val="001B7194"/>
    <w:rsid w:val="001B76DC"/>
    <w:rsid w:val="001B76FD"/>
    <w:rsid w:val="001B7E87"/>
    <w:rsid w:val="001C0087"/>
    <w:rsid w:val="001C025B"/>
    <w:rsid w:val="001C04B9"/>
    <w:rsid w:val="001C079C"/>
    <w:rsid w:val="001C0A42"/>
    <w:rsid w:val="001C0B40"/>
    <w:rsid w:val="001C1626"/>
    <w:rsid w:val="001C1686"/>
    <w:rsid w:val="001C16DD"/>
    <w:rsid w:val="001C1AAA"/>
    <w:rsid w:val="001C1C09"/>
    <w:rsid w:val="001C20E9"/>
    <w:rsid w:val="001C21EC"/>
    <w:rsid w:val="001C2342"/>
    <w:rsid w:val="001C27A8"/>
    <w:rsid w:val="001C2BC0"/>
    <w:rsid w:val="001C2E2A"/>
    <w:rsid w:val="001C3030"/>
    <w:rsid w:val="001C31BF"/>
    <w:rsid w:val="001C383A"/>
    <w:rsid w:val="001C3850"/>
    <w:rsid w:val="001C3C12"/>
    <w:rsid w:val="001C3D8D"/>
    <w:rsid w:val="001C4091"/>
    <w:rsid w:val="001C475B"/>
    <w:rsid w:val="001C47AA"/>
    <w:rsid w:val="001C4E23"/>
    <w:rsid w:val="001C5399"/>
    <w:rsid w:val="001C554D"/>
    <w:rsid w:val="001C5673"/>
    <w:rsid w:val="001C56A3"/>
    <w:rsid w:val="001C5701"/>
    <w:rsid w:val="001C57A7"/>
    <w:rsid w:val="001C585B"/>
    <w:rsid w:val="001C587C"/>
    <w:rsid w:val="001C5AC1"/>
    <w:rsid w:val="001C5D03"/>
    <w:rsid w:val="001C616F"/>
    <w:rsid w:val="001C62B7"/>
    <w:rsid w:val="001C67B1"/>
    <w:rsid w:val="001C685A"/>
    <w:rsid w:val="001C699A"/>
    <w:rsid w:val="001C6A55"/>
    <w:rsid w:val="001C6DF2"/>
    <w:rsid w:val="001C7173"/>
    <w:rsid w:val="001C7431"/>
    <w:rsid w:val="001C76EA"/>
    <w:rsid w:val="001C7823"/>
    <w:rsid w:val="001C7A82"/>
    <w:rsid w:val="001C7E8A"/>
    <w:rsid w:val="001C7EE2"/>
    <w:rsid w:val="001D04C8"/>
    <w:rsid w:val="001D05D4"/>
    <w:rsid w:val="001D076A"/>
    <w:rsid w:val="001D083C"/>
    <w:rsid w:val="001D0858"/>
    <w:rsid w:val="001D08B8"/>
    <w:rsid w:val="001D110A"/>
    <w:rsid w:val="001D1987"/>
    <w:rsid w:val="001D1D5E"/>
    <w:rsid w:val="001D20FE"/>
    <w:rsid w:val="001D27C6"/>
    <w:rsid w:val="001D2A5B"/>
    <w:rsid w:val="001D2E84"/>
    <w:rsid w:val="001D2FB1"/>
    <w:rsid w:val="001D3281"/>
    <w:rsid w:val="001D3451"/>
    <w:rsid w:val="001D37A5"/>
    <w:rsid w:val="001D3AD9"/>
    <w:rsid w:val="001D3BB3"/>
    <w:rsid w:val="001D3D3C"/>
    <w:rsid w:val="001D3D91"/>
    <w:rsid w:val="001D4165"/>
    <w:rsid w:val="001D4A1D"/>
    <w:rsid w:val="001D4A5A"/>
    <w:rsid w:val="001D4BB2"/>
    <w:rsid w:val="001D5009"/>
    <w:rsid w:val="001D555F"/>
    <w:rsid w:val="001D59D5"/>
    <w:rsid w:val="001D6721"/>
    <w:rsid w:val="001D6723"/>
    <w:rsid w:val="001D6B92"/>
    <w:rsid w:val="001D71C4"/>
    <w:rsid w:val="001D72F5"/>
    <w:rsid w:val="001D7584"/>
    <w:rsid w:val="001D76BF"/>
    <w:rsid w:val="001D7734"/>
    <w:rsid w:val="001D7959"/>
    <w:rsid w:val="001D7CD9"/>
    <w:rsid w:val="001D7DA2"/>
    <w:rsid w:val="001E0587"/>
    <w:rsid w:val="001E0816"/>
    <w:rsid w:val="001E09C0"/>
    <w:rsid w:val="001E0C51"/>
    <w:rsid w:val="001E0E47"/>
    <w:rsid w:val="001E0E77"/>
    <w:rsid w:val="001E1112"/>
    <w:rsid w:val="001E1490"/>
    <w:rsid w:val="001E14D4"/>
    <w:rsid w:val="001E1D27"/>
    <w:rsid w:val="001E1DA8"/>
    <w:rsid w:val="001E236A"/>
    <w:rsid w:val="001E2C9E"/>
    <w:rsid w:val="001E2D61"/>
    <w:rsid w:val="001E31B7"/>
    <w:rsid w:val="001E32B7"/>
    <w:rsid w:val="001E3642"/>
    <w:rsid w:val="001E382A"/>
    <w:rsid w:val="001E3935"/>
    <w:rsid w:val="001E3AC4"/>
    <w:rsid w:val="001E3B6F"/>
    <w:rsid w:val="001E3E15"/>
    <w:rsid w:val="001E42E0"/>
    <w:rsid w:val="001E44C6"/>
    <w:rsid w:val="001E4659"/>
    <w:rsid w:val="001E6005"/>
    <w:rsid w:val="001E608C"/>
    <w:rsid w:val="001E655C"/>
    <w:rsid w:val="001E656A"/>
    <w:rsid w:val="001E65DD"/>
    <w:rsid w:val="001E6702"/>
    <w:rsid w:val="001E6791"/>
    <w:rsid w:val="001E69EB"/>
    <w:rsid w:val="001E6A92"/>
    <w:rsid w:val="001E6B19"/>
    <w:rsid w:val="001E6F64"/>
    <w:rsid w:val="001E7564"/>
    <w:rsid w:val="001E76EB"/>
    <w:rsid w:val="001F0927"/>
    <w:rsid w:val="001F0B3F"/>
    <w:rsid w:val="001F0BBE"/>
    <w:rsid w:val="001F0EEB"/>
    <w:rsid w:val="001F1624"/>
    <w:rsid w:val="001F1731"/>
    <w:rsid w:val="001F1E1F"/>
    <w:rsid w:val="001F2072"/>
    <w:rsid w:val="001F2132"/>
    <w:rsid w:val="001F2C89"/>
    <w:rsid w:val="001F3239"/>
    <w:rsid w:val="001F3557"/>
    <w:rsid w:val="001F35EC"/>
    <w:rsid w:val="001F36DC"/>
    <w:rsid w:val="001F37EE"/>
    <w:rsid w:val="001F3A46"/>
    <w:rsid w:val="001F4797"/>
    <w:rsid w:val="001F492E"/>
    <w:rsid w:val="001F49C3"/>
    <w:rsid w:val="001F4B41"/>
    <w:rsid w:val="001F4E86"/>
    <w:rsid w:val="001F4F66"/>
    <w:rsid w:val="001F4FD3"/>
    <w:rsid w:val="001F547C"/>
    <w:rsid w:val="001F55A5"/>
    <w:rsid w:val="001F5645"/>
    <w:rsid w:val="001F5A61"/>
    <w:rsid w:val="001F5BF7"/>
    <w:rsid w:val="001F5BFE"/>
    <w:rsid w:val="001F625B"/>
    <w:rsid w:val="001F628B"/>
    <w:rsid w:val="001F6516"/>
    <w:rsid w:val="001F664F"/>
    <w:rsid w:val="001F66B1"/>
    <w:rsid w:val="001F6708"/>
    <w:rsid w:val="001F6FE9"/>
    <w:rsid w:val="001F7125"/>
    <w:rsid w:val="001F71EF"/>
    <w:rsid w:val="001F7245"/>
    <w:rsid w:val="001F74AF"/>
    <w:rsid w:val="001F7603"/>
    <w:rsid w:val="001F7758"/>
    <w:rsid w:val="001F77ED"/>
    <w:rsid w:val="001F7995"/>
    <w:rsid w:val="001F7CFA"/>
    <w:rsid w:val="002001E0"/>
    <w:rsid w:val="002003B4"/>
    <w:rsid w:val="0020071C"/>
    <w:rsid w:val="00200ABF"/>
    <w:rsid w:val="00200B66"/>
    <w:rsid w:val="00200BFB"/>
    <w:rsid w:val="00200C60"/>
    <w:rsid w:val="00200CAE"/>
    <w:rsid w:val="00200D1D"/>
    <w:rsid w:val="002010FA"/>
    <w:rsid w:val="002013A7"/>
    <w:rsid w:val="002013BF"/>
    <w:rsid w:val="00201487"/>
    <w:rsid w:val="00201B7C"/>
    <w:rsid w:val="00201BEA"/>
    <w:rsid w:val="00201D88"/>
    <w:rsid w:val="00201ED7"/>
    <w:rsid w:val="00201F70"/>
    <w:rsid w:val="002020AF"/>
    <w:rsid w:val="0020230F"/>
    <w:rsid w:val="002024CD"/>
    <w:rsid w:val="00202550"/>
    <w:rsid w:val="00202724"/>
    <w:rsid w:val="002033EC"/>
    <w:rsid w:val="002037BD"/>
    <w:rsid w:val="00203A13"/>
    <w:rsid w:val="00203D48"/>
    <w:rsid w:val="00203EAA"/>
    <w:rsid w:val="002047F2"/>
    <w:rsid w:val="0020481F"/>
    <w:rsid w:val="0020484D"/>
    <w:rsid w:val="00204A54"/>
    <w:rsid w:val="00204EDA"/>
    <w:rsid w:val="002051D1"/>
    <w:rsid w:val="0020538B"/>
    <w:rsid w:val="002053F4"/>
    <w:rsid w:val="002054C2"/>
    <w:rsid w:val="00205547"/>
    <w:rsid w:val="00205A80"/>
    <w:rsid w:val="00205E62"/>
    <w:rsid w:val="002060E8"/>
    <w:rsid w:val="002061B0"/>
    <w:rsid w:val="0020698A"/>
    <w:rsid w:val="002069AA"/>
    <w:rsid w:val="002071FB"/>
    <w:rsid w:val="0020729E"/>
    <w:rsid w:val="0020738F"/>
    <w:rsid w:val="0020741B"/>
    <w:rsid w:val="002075A2"/>
    <w:rsid w:val="00207AD8"/>
    <w:rsid w:val="00207E7B"/>
    <w:rsid w:val="00207EE4"/>
    <w:rsid w:val="002101A5"/>
    <w:rsid w:val="002101AB"/>
    <w:rsid w:val="0021044B"/>
    <w:rsid w:val="002108CD"/>
    <w:rsid w:val="002115B8"/>
    <w:rsid w:val="00211714"/>
    <w:rsid w:val="00211BD1"/>
    <w:rsid w:val="00212C23"/>
    <w:rsid w:val="00212CEB"/>
    <w:rsid w:val="00212F6D"/>
    <w:rsid w:val="00213526"/>
    <w:rsid w:val="00213EFE"/>
    <w:rsid w:val="00213F59"/>
    <w:rsid w:val="00214148"/>
    <w:rsid w:val="0021493A"/>
    <w:rsid w:val="002149AB"/>
    <w:rsid w:val="00214AE3"/>
    <w:rsid w:val="00214E26"/>
    <w:rsid w:val="00214FD8"/>
    <w:rsid w:val="0021519B"/>
    <w:rsid w:val="00215D72"/>
    <w:rsid w:val="00216C55"/>
    <w:rsid w:val="00216CD5"/>
    <w:rsid w:val="0021709C"/>
    <w:rsid w:val="002173FA"/>
    <w:rsid w:val="00217772"/>
    <w:rsid w:val="00217A93"/>
    <w:rsid w:val="00217D28"/>
    <w:rsid w:val="00220022"/>
    <w:rsid w:val="00220377"/>
    <w:rsid w:val="00220767"/>
    <w:rsid w:val="0022081D"/>
    <w:rsid w:val="00220F74"/>
    <w:rsid w:val="00220F8B"/>
    <w:rsid w:val="00221158"/>
    <w:rsid w:val="00221203"/>
    <w:rsid w:val="002214BB"/>
    <w:rsid w:val="00221556"/>
    <w:rsid w:val="0022159D"/>
    <w:rsid w:val="0022170C"/>
    <w:rsid w:val="0022171A"/>
    <w:rsid w:val="00221AB1"/>
    <w:rsid w:val="00221BEA"/>
    <w:rsid w:val="00221D7F"/>
    <w:rsid w:val="00222012"/>
    <w:rsid w:val="002225EE"/>
    <w:rsid w:val="00222671"/>
    <w:rsid w:val="002227BF"/>
    <w:rsid w:val="002229F3"/>
    <w:rsid w:val="00222CD7"/>
    <w:rsid w:val="00222EF5"/>
    <w:rsid w:val="0022318C"/>
    <w:rsid w:val="002233A4"/>
    <w:rsid w:val="002236A4"/>
    <w:rsid w:val="0022395D"/>
    <w:rsid w:val="002239A2"/>
    <w:rsid w:val="00224084"/>
    <w:rsid w:val="00224350"/>
    <w:rsid w:val="0022451E"/>
    <w:rsid w:val="00224623"/>
    <w:rsid w:val="00224713"/>
    <w:rsid w:val="002247CB"/>
    <w:rsid w:val="00224F66"/>
    <w:rsid w:val="00225432"/>
    <w:rsid w:val="0022550E"/>
    <w:rsid w:val="002255A0"/>
    <w:rsid w:val="002255EF"/>
    <w:rsid w:val="0022577B"/>
    <w:rsid w:val="00225844"/>
    <w:rsid w:val="00225A89"/>
    <w:rsid w:val="00225C24"/>
    <w:rsid w:val="00225C73"/>
    <w:rsid w:val="00225F7B"/>
    <w:rsid w:val="00226287"/>
    <w:rsid w:val="002266BA"/>
    <w:rsid w:val="00226F8D"/>
    <w:rsid w:val="002274E7"/>
    <w:rsid w:val="002276D7"/>
    <w:rsid w:val="002276E8"/>
    <w:rsid w:val="00227968"/>
    <w:rsid w:val="002279E1"/>
    <w:rsid w:val="00230A50"/>
    <w:rsid w:val="00230CAB"/>
    <w:rsid w:val="00230DF0"/>
    <w:rsid w:val="00230E9C"/>
    <w:rsid w:val="00230FDC"/>
    <w:rsid w:val="00231413"/>
    <w:rsid w:val="0023158A"/>
    <w:rsid w:val="002315A0"/>
    <w:rsid w:val="00231772"/>
    <w:rsid w:val="002318FA"/>
    <w:rsid w:val="00231D6C"/>
    <w:rsid w:val="002320D5"/>
    <w:rsid w:val="00232126"/>
    <w:rsid w:val="00232383"/>
    <w:rsid w:val="002323C0"/>
    <w:rsid w:val="002324D8"/>
    <w:rsid w:val="002325F7"/>
    <w:rsid w:val="00232C9F"/>
    <w:rsid w:val="00232CDE"/>
    <w:rsid w:val="00232D7D"/>
    <w:rsid w:val="0023303D"/>
    <w:rsid w:val="002331BD"/>
    <w:rsid w:val="0023321E"/>
    <w:rsid w:val="00233926"/>
    <w:rsid w:val="0023399B"/>
    <w:rsid w:val="00234065"/>
    <w:rsid w:val="00234192"/>
    <w:rsid w:val="00234324"/>
    <w:rsid w:val="002345EC"/>
    <w:rsid w:val="00234654"/>
    <w:rsid w:val="00234EB8"/>
    <w:rsid w:val="00235029"/>
    <w:rsid w:val="0023518C"/>
    <w:rsid w:val="00235869"/>
    <w:rsid w:val="00235AF0"/>
    <w:rsid w:val="00235E5F"/>
    <w:rsid w:val="002361CC"/>
    <w:rsid w:val="002363CD"/>
    <w:rsid w:val="002368A0"/>
    <w:rsid w:val="00236A67"/>
    <w:rsid w:val="00236C59"/>
    <w:rsid w:val="002370A2"/>
    <w:rsid w:val="00237447"/>
    <w:rsid w:val="0023765B"/>
    <w:rsid w:val="00237AF4"/>
    <w:rsid w:val="00237BFA"/>
    <w:rsid w:val="00237EC1"/>
    <w:rsid w:val="00237F62"/>
    <w:rsid w:val="00237FB9"/>
    <w:rsid w:val="00240847"/>
    <w:rsid w:val="00240A45"/>
    <w:rsid w:val="00240AE5"/>
    <w:rsid w:val="00241331"/>
    <w:rsid w:val="0024155B"/>
    <w:rsid w:val="00241B01"/>
    <w:rsid w:val="00242137"/>
    <w:rsid w:val="0024226E"/>
    <w:rsid w:val="00242305"/>
    <w:rsid w:val="0024235E"/>
    <w:rsid w:val="002424B6"/>
    <w:rsid w:val="00242A08"/>
    <w:rsid w:val="00243178"/>
    <w:rsid w:val="002439F5"/>
    <w:rsid w:val="00243DD8"/>
    <w:rsid w:val="00243DF2"/>
    <w:rsid w:val="0024418A"/>
    <w:rsid w:val="00244322"/>
    <w:rsid w:val="0024452C"/>
    <w:rsid w:val="00244C1E"/>
    <w:rsid w:val="00244E15"/>
    <w:rsid w:val="00244EF4"/>
    <w:rsid w:val="00245162"/>
    <w:rsid w:val="00245BC0"/>
    <w:rsid w:val="00245D0F"/>
    <w:rsid w:val="00245E2E"/>
    <w:rsid w:val="002463C1"/>
    <w:rsid w:val="00246778"/>
    <w:rsid w:val="002468EA"/>
    <w:rsid w:val="00246968"/>
    <w:rsid w:val="002469EB"/>
    <w:rsid w:val="0024740D"/>
    <w:rsid w:val="002474B3"/>
    <w:rsid w:val="00247931"/>
    <w:rsid w:val="00247998"/>
    <w:rsid w:val="00247AC9"/>
    <w:rsid w:val="00247B41"/>
    <w:rsid w:val="00247DF7"/>
    <w:rsid w:val="00250C16"/>
    <w:rsid w:val="00250E14"/>
    <w:rsid w:val="00250F32"/>
    <w:rsid w:val="00251185"/>
    <w:rsid w:val="002514B7"/>
    <w:rsid w:val="00251723"/>
    <w:rsid w:val="00251D4D"/>
    <w:rsid w:val="00251E07"/>
    <w:rsid w:val="002522A7"/>
    <w:rsid w:val="00252A01"/>
    <w:rsid w:val="00252F64"/>
    <w:rsid w:val="00252FC1"/>
    <w:rsid w:val="0025338E"/>
    <w:rsid w:val="00253E1D"/>
    <w:rsid w:val="00254197"/>
    <w:rsid w:val="00254D81"/>
    <w:rsid w:val="00254FAB"/>
    <w:rsid w:val="0025533F"/>
    <w:rsid w:val="00255776"/>
    <w:rsid w:val="00255913"/>
    <w:rsid w:val="002559B8"/>
    <w:rsid w:val="00255DFC"/>
    <w:rsid w:val="00255FFF"/>
    <w:rsid w:val="002568B8"/>
    <w:rsid w:val="00256C01"/>
    <w:rsid w:val="00256E41"/>
    <w:rsid w:val="00256F06"/>
    <w:rsid w:val="00257617"/>
    <w:rsid w:val="00257AA4"/>
    <w:rsid w:val="00260115"/>
    <w:rsid w:val="00260FA8"/>
    <w:rsid w:val="0026135C"/>
    <w:rsid w:val="0026135D"/>
    <w:rsid w:val="00262277"/>
    <w:rsid w:val="0026238C"/>
    <w:rsid w:val="002623B9"/>
    <w:rsid w:val="0026252E"/>
    <w:rsid w:val="0026264B"/>
    <w:rsid w:val="00262725"/>
    <w:rsid w:val="00262C5C"/>
    <w:rsid w:val="00262EBA"/>
    <w:rsid w:val="002630AA"/>
    <w:rsid w:val="002635BE"/>
    <w:rsid w:val="00263A3D"/>
    <w:rsid w:val="00263AD6"/>
    <w:rsid w:val="00263BAF"/>
    <w:rsid w:val="002640CD"/>
    <w:rsid w:val="002642AD"/>
    <w:rsid w:val="00264784"/>
    <w:rsid w:val="002647D2"/>
    <w:rsid w:val="00264F29"/>
    <w:rsid w:val="00264FFA"/>
    <w:rsid w:val="00265262"/>
    <w:rsid w:val="002653A6"/>
    <w:rsid w:val="00265494"/>
    <w:rsid w:val="0026592E"/>
    <w:rsid w:val="00265E8D"/>
    <w:rsid w:val="0026654A"/>
    <w:rsid w:val="00266634"/>
    <w:rsid w:val="0026673B"/>
    <w:rsid w:val="00266E23"/>
    <w:rsid w:val="00267313"/>
    <w:rsid w:val="00267320"/>
    <w:rsid w:val="0026738B"/>
    <w:rsid w:val="0026780E"/>
    <w:rsid w:val="00267830"/>
    <w:rsid w:val="00267B51"/>
    <w:rsid w:val="00267BA7"/>
    <w:rsid w:val="00267C37"/>
    <w:rsid w:val="00270256"/>
    <w:rsid w:val="002704F8"/>
    <w:rsid w:val="00270643"/>
    <w:rsid w:val="0027074D"/>
    <w:rsid w:val="00270A11"/>
    <w:rsid w:val="00270B4B"/>
    <w:rsid w:val="00270CA8"/>
    <w:rsid w:val="00270D3D"/>
    <w:rsid w:val="00270D77"/>
    <w:rsid w:val="00270E22"/>
    <w:rsid w:val="0027111E"/>
    <w:rsid w:val="0027135D"/>
    <w:rsid w:val="00271468"/>
    <w:rsid w:val="00271B94"/>
    <w:rsid w:val="00271BCD"/>
    <w:rsid w:val="00271C71"/>
    <w:rsid w:val="00272178"/>
    <w:rsid w:val="0027248B"/>
    <w:rsid w:val="00272742"/>
    <w:rsid w:val="00272952"/>
    <w:rsid w:val="0027298A"/>
    <w:rsid w:val="0027298B"/>
    <w:rsid w:val="00272A33"/>
    <w:rsid w:val="002730EE"/>
    <w:rsid w:val="002735EA"/>
    <w:rsid w:val="002737BA"/>
    <w:rsid w:val="00273BE1"/>
    <w:rsid w:val="00273C5B"/>
    <w:rsid w:val="00274539"/>
    <w:rsid w:val="002749EE"/>
    <w:rsid w:val="00274E07"/>
    <w:rsid w:val="00275425"/>
    <w:rsid w:val="002758ED"/>
    <w:rsid w:val="00275A04"/>
    <w:rsid w:val="00275F2F"/>
    <w:rsid w:val="002763A9"/>
    <w:rsid w:val="002764E0"/>
    <w:rsid w:val="00276CD1"/>
    <w:rsid w:val="00276E36"/>
    <w:rsid w:val="00276FD8"/>
    <w:rsid w:val="002771E5"/>
    <w:rsid w:val="0027755E"/>
    <w:rsid w:val="00277C83"/>
    <w:rsid w:val="00277E4D"/>
    <w:rsid w:val="00277EA0"/>
    <w:rsid w:val="00280621"/>
    <w:rsid w:val="00280880"/>
    <w:rsid w:val="00280A71"/>
    <w:rsid w:val="00280DBF"/>
    <w:rsid w:val="00281391"/>
    <w:rsid w:val="00281571"/>
    <w:rsid w:val="002816BD"/>
    <w:rsid w:val="002816D9"/>
    <w:rsid w:val="002817A0"/>
    <w:rsid w:val="0028192E"/>
    <w:rsid w:val="00283006"/>
    <w:rsid w:val="002831B9"/>
    <w:rsid w:val="0028379B"/>
    <w:rsid w:val="0028395D"/>
    <w:rsid w:val="002840B0"/>
    <w:rsid w:val="00284B33"/>
    <w:rsid w:val="00284E53"/>
    <w:rsid w:val="00284F0F"/>
    <w:rsid w:val="00285181"/>
    <w:rsid w:val="00285212"/>
    <w:rsid w:val="0028522A"/>
    <w:rsid w:val="0028577C"/>
    <w:rsid w:val="002858CB"/>
    <w:rsid w:val="00285F18"/>
    <w:rsid w:val="002861A3"/>
    <w:rsid w:val="002861E4"/>
    <w:rsid w:val="002863D8"/>
    <w:rsid w:val="002868A2"/>
    <w:rsid w:val="0028699D"/>
    <w:rsid w:val="00286E20"/>
    <w:rsid w:val="00286F1A"/>
    <w:rsid w:val="002873CA"/>
    <w:rsid w:val="002875C4"/>
    <w:rsid w:val="002876C0"/>
    <w:rsid w:val="00287A19"/>
    <w:rsid w:val="00287AE7"/>
    <w:rsid w:val="00287D46"/>
    <w:rsid w:val="00287DB8"/>
    <w:rsid w:val="002900A1"/>
    <w:rsid w:val="0029034B"/>
    <w:rsid w:val="002907B1"/>
    <w:rsid w:val="00291247"/>
    <w:rsid w:val="00291832"/>
    <w:rsid w:val="00291875"/>
    <w:rsid w:val="00291879"/>
    <w:rsid w:val="00291B84"/>
    <w:rsid w:val="00291C62"/>
    <w:rsid w:val="00291FB7"/>
    <w:rsid w:val="00292052"/>
    <w:rsid w:val="00292401"/>
    <w:rsid w:val="00292734"/>
    <w:rsid w:val="00292DD5"/>
    <w:rsid w:val="002932BC"/>
    <w:rsid w:val="002932D1"/>
    <w:rsid w:val="00293903"/>
    <w:rsid w:val="00294258"/>
    <w:rsid w:val="00294362"/>
    <w:rsid w:val="0029469D"/>
    <w:rsid w:val="002946E6"/>
    <w:rsid w:val="00294A44"/>
    <w:rsid w:val="00294ADC"/>
    <w:rsid w:val="00294C0E"/>
    <w:rsid w:val="00294CA4"/>
    <w:rsid w:val="00294D66"/>
    <w:rsid w:val="00295096"/>
    <w:rsid w:val="002952E2"/>
    <w:rsid w:val="002954E6"/>
    <w:rsid w:val="00295973"/>
    <w:rsid w:val="00295A6B"/>
    <w:rsid w:val="00295CC7"/>
    <w:rsid w:val="0029604A"/>
    <w:rsid w:val="002960D7"/>
    <w:rsid w:val="002966CA"/>
    <w:rsid w:val="00296940"/>
    <w:rsid w:val="00296DB4"/>
    <w:rsid w:val="00296EAB"/>
    <w:rsid w:val="00296FD9"/>
    <w:rsid w:val="0029736B"/>
    <w:rsid w:val="002973BF"/>
    <w:rsid w:val="0029744F"/>
    <w:rsid w:val="00297491"/>
    <w:rsid w:val="002974B2"/>
    <w:rsid w:val="0029770D"/>
    <w:rsid w:val="0029785B"/>
    <w:rsid w:val="00297E8E"/>
    <w:rsid w:val="002A0098"/>
    <w:rsid w:val="002A026B"/>
    <w:rsid w:val="002A0479"/>
    <w:rsid w:val="002A048E"/>
    <w:rsid w:val="002A0856"/>
    <w:rsid w:val="002A0C6B"/>
    <w:rsid w:val="002A0C97"/>
    <w:rsid w:val="002A0E9E"/>
    <w:rsid w:val="002A10B1"/>
    <w:rsid w:val="002A112E"/>
    <w:rsid w:val="002A189C"/>
    <w:rsid w:val="002A1AAB"/>
    <w:rsid w:val="002A1FBC"/>
    <w:rsid w:val="002A1FCD"/>
    <w:rsid w:val="002A2263"/>
    <w:rsid w:val="002A2549"/>
    <w:rsid w:val="002A25FA"/>
    <w:rsid w:val="002A2D84"/>
    <w:rsid w:val="002A30B2"/>
    <w:rsid w:val="002A321E"/>
    <w:rsid w:val="002A3500"/>
    <w:rsid w:val="002A39B6"/>
    <w:rsid w:val="002A3D2F"/>
    <w:rsid w:val="002A3D7B"/>
    <w:rsid w:val="002A427C"/>
    <w:rsid w:val="002A4320"/>
    <w:rsid w:val="002A49D8"/>
    <w:rsid w:val="002A4A20"/>
    <w:rsid w:val="002A4A2A"/>
    <w:rsid w:val="002A4F70"/>
    <w:rsid w:val="002A50B7"/>
    <w:rsid w:val="002A5486"/>
    <w:rsid w:val="002A5510"/>
    <w:rsid w:val="002A5949"/>
    <w:rsid w:val="002A5C0B"/>
    <w:rsid w:val="002A5E41"/>
    <w:rsid w:val="002A615F"/>
    <w:rsid w:val="002A6395"/>
    <w:rsid w:val="002A66EF"/>
    <w:rsid w:val="002A6819"/>
    <w:rsid w:val="002A6A1B"/>
    <w:rsid w:val="002A6B92"/>
    <w:rsid w:val="002A6EFA"/>
    <w:rsid w:val="002A6FBB"/>
    <w:rsid w:val="002A6FF6"/>
    <w:rsid w:val="002A7B9C"/>
    <w:rsid w:val="002A7C31"/>
    <w:rsid w:val="002B08EE"/>
    <w:rsid w:val="002B0A5E"/>
    <w:rsid w:val="002B0C59"/>
    <w:rsid w:val="002B0F3B"/>
    <w:rsid w:val="002B11D2"/>
    <w:rsid w:val="002B134E"/>
    <w:rsid w:val="002B1545"/>
    <w:rsid w:val="002B176C"/>
    <w:rsid w:val="002B19A8"/>
    <w:rsid w:val="002B1AB5"/>
    <w:rsid w:val="002B205E"/>
    <w:rsid w:val="002B242C"/>
    <w:rsid w:val="002B2430"/>
    <w:rsid w:val="002B2D40"/>
    <w:rsid w:val="002B2EE9"/>
    <w:rsid w:val="002B2F63"/>
    <w:rsid w:val="002B3786"/>
    <w:rsid w:val="002B3C03"/>
    <w:rsid w:val="002B3F33"/>
    <w:rsid w:val="002B4035"/>
    <w:rsid w:val="002B4973"/>
    <w:rsid w:val="002B4D52"/>
    <w:rsid w:val="002B4D61"/>
    <w:rsid w:val="002B4E24"/>
    <w:rsid w:val="002B50DF"/>
    <w:rsid w:val="002B55F3"/>
    <w:rsid w:val="002B56B5"/>
    <w:rsid w:val="002B5700"/>
    <w:rsid w:val="002B5807"/>
    <w:rsid w:val="002B5D54"/>
    <w:rsid w:val="002B5E62"/>
    <w:rsid w:val="002B60CB"/>
    <w:rsid w:val="002B61EE"/>
    <w:rsid w:val="002B6C5B"/>
    <w:rsid w:val="002B6C96"/>
    <w:rsid w:val="002B7278"/>
    <w:rsid w:val="002B7506"/>
    <w:rsid w:val="002B77C0"/>
    <w:rsid w:val="002B7ABD"/>
    <w:rsid w:val="002C0357"/>
    <w:rsid w:val="002C0395"/>
    <w:rsid w:val="002C0460"/>
    <w:rsid w:val="002C0695"/>
    <w:rsid w:val="002C0864"/>
    <w:rsid w:val="002C0BD6"/>
    <w:rsid w:val="002C0C1B"/>
    <w:rsid w:val="002C0C7B"/>
    <w:rsid w:val="002C0F0D"/>
    <w:rsid w:val="002C0FA6"/>
    <w:rsid w:val="002C11FE"/>
    <w:rsid w:val="002C1386"/>
    <w:rsid w:val="002C1500"/>
    <w:rsid w:val="002C169A"/>
    <w:rsid w:val="002C1A3C"/>
    <w:rsid w:val="002C1D46"/>
    <w:rsid w:val="002C1FCC"/>
    <w:rsid w:val="002C226A"/>
    <w:rsid w:val="002C2946"/>
    <w:rsid w:val="002C2B09"/>
    <w:rsid w:val="002C2B77"/>
    <w:rsid w:val="002C2CD4"/>
    <w:rsid w:val="002C3154"/>
    <w:rsid w:val="002C33AC"/>
    <w:rsid w:val="002C33BA"/>
    <w:rsid w:val="002C343F"/>
    <w:rsid w:val="002C3946"/>
    <w:rsid w:val="002C3BAA"/>
    <w:rsid w:val="002C3C16"/>
    <w:rsid w:val="002C3C9D"/>
    <w:rsid w:val="002C4084"/>
    <w:rsid w:val="002C42C3"/>
    <w:rsid w:val="002C42F7"/>
    <w:rsid w:val="002C4504"/>
    <w:rsid w:val="002C467E"/>
    <w:rsid w:val="002C52DB"/>
    <w:rsid w:val="002C5D1A"/>
    <w:rsid w:val="002C5ED9"/>
    <w:rsid w:val="002C5EE1"/>
    <w:rsid w:val="002C65A9"/>
    <w:rsid w:val="002C6954"/>
    <w:rsid w:val="002C7355"/>
    <w:rsid w:val="002C75CF"/>
    <w:rsid w:val="002C7B4F"/>
    <w:rsid w:val="002C7B91"/>
    <w:rsid w:val="002C7EB3"/>
    <w:rsid w:val="002C7F0A"/>
    <w:rsid w:val="002C7F8C"/>
    <w:rsid w:val="002D00B3"/>
    <w:rsid w:val="002D01B5"/>
    <w:rsid w:val="002D08B6"/>
    <w:rsid w:val="002D0AD1"/>
    <w:rsid w:val="002D0BFA"/>
    <w:rsid w:val="002D0E66"/>
    <w:rsid w:val="002D1000"/>
    <w:rsid w:val="002D17C4"/>
    <w:rsid w:val="002D1895"/>
    <w:rsid w:val="002D2248"/>
    <w:rsid w:val="002D22D9"/>
    <w:rsid w:val="002D22ED"/>
    <w:rsid w:val="002D2441"/>
    <w:rsid w:val="002D2A07"/>
    <w:rsid w:val="002D2D83"/>
    <w:rsid w:val="002D2F44"/>
    <w:rsid w:val="002D301D"/>
    <w:rsid w:val="002D3336"/>
    <w:rsid w:val="002D3512"/>
    <w:rsid w:val="002D3823"/>
    <w:rsid w:val="002D3AE9"/>
    <w:rsid w:val="002D3DDF"/>
    <w:rsid w:val="002D3E13"/>
    <w:rsid w:val="002D40E6"/>
    <w:rsid w:val="002D4635"/>
    <w:rsid w:val="002D4AB1"/>
    <w:rsid w:val="002D4EC5"/>
    <w:rsid w:val="002D4F48"/>
    <w:rsid w:val="002D5013"/>
    <w:rsid w:val="002D5055"/>
    <w:rsid w:val="002D522A"/>
    <w:rsid w:val="002D5248"/>
    <w:rsid w:val="002D5842"/>
    <w:rsid w:val="002D5AE5"/>
    <w:rsid w:val="002D5EEF"/>
    <w:rsid w:val="002D5FF5"/>
    <w:rsid w:val="002D6233"/>
    <w:rsid w:val="002D6EEB"/>
    <w:rsid w:val="002D7001"/>
    <w:rsid w:val="002D7002"/>
    <w:rsid w:val="002D706C"/>
    <w:rsid w:val="002D7258"/>
    <w:rsid w:val="002D758E"/>
    <w:rsid w:val="002D7B9E"/>
    <w:rsid w:val="002D7ECD"/>
    <w:rsid w:val="002E00AC"/>
    <w:rsid w:val="002E0476"/>
    <w:rsid w:val="002E0537"/>
    <w:rsid w:val="002E0607"/>
    <w:rsid w:val="002E096B"/>
    <w:rsid w:val="002E0AD1"/>
    <w:rsid w:val="002E0D11"/>
    <w:rsid w:val="002E0D8C"/>
    <w:rsid w:val="002E0F2D"/>
    <w:rsid w:val="002E12A5"/>
    <w:rsid w:val="002E1429"/>
    <w:rsid w:val="002E15EB"/>
    <w:rsid w:val="002E1856"/>
    <w:rsid w:val="002E18AF"/>
    <w:rsid w:val="002E1FC1"/>
    <w:rsid w:val="002E1FDB"/>
    <w:rsid w:val="002E20BB"/>
    <w:rsid w:val="002E21D6"/>
    <w:rsid w:val="002E22B4"/>
    <w:rsid w:val="002E2443"/>
    <w:rsid w:val="002E26CB"/>
    <w:rsid w:val="002E299A"/>
    <w:rsid w:val="002E3077"/>
    <w:rsid w:val="002E30A5"/>
    <w:rsid w:val="002E3124"/>
    <w:rsid w:val="002E32F2"/>
    <w:rsid w:val="002E3412"/>
    <w:rsid w:val="002E3423"/>
    <w:rsid w:val="002E375A"/>
    <w:rsid w:val="002E3BC2"/>
    <w:rsid w:val="002E4215"/>
    <w:rsid w:val="002E4443"/>
    <w:rsid w:val="002E4533"/>
    <w:rsid w:val="002E4E0B"/>
    <w:rsid w:val="002E4E25"/>
    <w:rsid w:val="002E50C1"/>
    <w:rsid w:val="002E50EC"/>
    <w:rsid w:val="002E53A0"/>
    <w:rsid w:val="002E550C"/>
    <w:rsid w:val="002E560A"/>
    <w:rsid w:val="002E5639"/>
    <w:rsid w:val="002E5843"/>
    <w:rsid w:val="002E5F37"/>
    <w:rsid w:val="002E61CE"/>
    <w:rsid w:val="002E6200"/>
    <w:rsid w:val="002E6479"/>
    <w:rsid w:val="002E691C"/>
    <w:rsid w:val="002E6C4A"/>
    <w:rsid w:val="002E6CAC"/>
    <w:rsid w:val="002E6CC6"/>
    <w:rsid w:val="002E6E5A"/>
    <w:rsid w:val="002E6F7C"/>
    <w:rsid w:val="002E71E6"/>
    <w:rsid w:val="002E748D"/>
    <w:rsid w:val="002E74E4"/>
    <w:rsid w:val="002E7780"/>
    <w:rsid w:val="002F0177"/>
    <w:rsid w:val="002F01AA"/>
    <w:rsid w:val="002F0A16"/>
    <w:rsid w:val="002F0A23"/>
    <w:rsid w:val="002F1025"/>
    <w:rsid w:val="002F125B"/>
    <w:rsid w:val="002F1393"/>
    <w:rsid w:val="002F18B9"/>
    <w:rsid w:val="002F1EF6"/>
    <w:rsid w:val="002F2101"/>
    <w:rsid w:val="002F2280"/>
    <w:rsid w:val="002F23F9"/>
    <w:rsid w:val="002F26FC"/>
    <w:rsid w:val="002F28B8"/>
    <w:rsid w:val="002F31B0"/>
    <w:rsid w:val="002F36E5"/>
    <w:rsid w:val="002F38EC"/>
    <w:rsid w:val="002F39E2"/>
    <w:rsid w:val="002F3F23"/>
    <w:rsid w:val="002F4196"/>
    <w:rsid w:val="002F422E"/>
    <w:rsid w:val="002F4577"/>
    <w:rsid w:val="002F4DB0"/>
    <w:rsid w:val="002F4F55"/>
    <w:rsid w:val="002F50CB"/>
    <w:rsid w:val="002F50EA"/>
    <w:rsid w:val="002F5441"/>
    <w:rsid w:val="002F54D7"/>
    <w:rsid w:val="002F5F80"/>
    <w:rsid w:val="002F60DE"/>
    <w:rsid w:val="002F626D"/>
    <w:rsid w:val="002F644B"/>
    <w:rsid w:val="002F67CD"/>
    <w:rsid w:val="002F73A6"/>
    <w:rsid w:val="002F790B"/>
    <w:rsid w:val="002F79DD"/>
    <w:rsid w:val="002F7AE1"/>
    <w:rsid w:val="002F7AF7"/>
    <w:rsid w:val="003003C4"/>
    <w:rsid w:val="00301493"/>
    <w:rsid w:val="00301DED"/>
    <w:rsid w:val="00301E25"/>
    <w:rsid w:val="00301E2B"/>
    <w:rsid w:val="003021B7"/>
    <w:rsid w:val="00302711"/>
    <w:rsid w:val="003029FA"/>
    <w:rsid w:val="00303059"/>
    <w:rsid w:val="00303431"/>
    <w:rsid w:val="0030344F"/>
    <w:rsid w:val="0030396D"/>
    <w:rsid w:val="00303AFB"/>
    <w:rsid w:val="00304004"/>
    <w:rsid w:val="00304195"/>
    <w:rsid w:val="003045F7"/>
    <w:rsid w:val="00304940"/>
    <w:rsid w:val="00304967"/>
    <w:rsid w:val="00304E7F"/>
    <w:rsid w:val="00305329"/>
    <w:rsid w:val="0030561C"/>
    <w:rsid w:val="00305D4C"/>
    <w:rsid w:val="0030628F"/>
    <w:rsid w:val="003065B4"/>
    <w:rsid w:val="0030690D"/>
    <w:rsid w:val="00306D57"/>
    <w:rsid w:val="0030727E"/>
    <w:rsid w:val="003074A6"/>
    <w:rsid w:val="003076C6"/>
    <w:rsid w:val="00307ED9"/>
    <w:rsid w:val="00307F81"/>
    <w:rsid w:val="003101B2"/>
    <w:rsid w:val="00310395"/>
    <w:rsid w:val="003105DF"/>
    <w:rsid w:val="00310804"/>
    <w:rsid w:val="00310883"/>
    <w:rsid w:val="00310A87"/>
    <w:rsid w:val="00310EE9"/>
    <w:rsid w:val="00310F53"/>
    <w:rsid w:val="00311010"/>
    <w:rsid w:val="0031151B"/>
    <w:rsid w:val="00311816"/>
    <w:rsid w:val="00311AF2"/>
    <w:rsid w:val="00311C24"/>
    <w:rsid w:val="00311E23"/>
    <w:rsid w:val="00312295"/>
    <w:rsid w:val="003130D6"/>
    <w:rsid w:val="003131D2"/>
    <w:rsid w:val="003133D1"/>
    <w:rsid w:val="003134E7"/>
    <w:rsid w:val="00313A3A"/>
    <w:rsid w:val="00313B6E"/>
    <w:rsid w:val="00313EFE"/>
    <w:rsid w:val="003141C1"/>
    <w:rsid w:val="003143E2"/>
    <w:rsid w:val="003144D1"/>
    <w:rsid w:val="00314699"/>
    <w:rsid w:val="003146C5"/>
    <w:rsid w:val="00314B7A"/>
    <w:rsid w:val="00314FB7"/>
    <w:rsid w:val="0031504E"/>
    <w:rsid w:val="0031519C"/>
    <w:rsid w:val="003152F1"/>
    <w:rsid w:val="0031567D"/>
    <w:rsid w:val="00315BDA"/>
    <w:rsid w:val="00315E50"/>
    <w:rsid w:val="00315E93"/>
    <w:rsid w:val="00316810"/>
    <w:rsid w:val="003168A3"/>
    <w:rsid w:val="00316A04"/>
    <w:rsid w:val="00316F22"/>
    <w:rsid w:val="00317B12"/>
    <w:rsid w:val="00317C3D"/>
    <w:rsid w:val="00317DE3"/>
    <w:rsid w:val="00317F3A"/>
    <w:rsid w:val="00320137"/>
    <w:rsid w:val="00320185"/>
    <w:rsid w:val="003201DB"/>
    <w:rsid w:val="0032040A"/>
    <w:rsid w:val="00320C83"/>
    <w:rsid w:val="00320DBF"/>
    <w:rsid w:val="00321384"/>
    <w:rsid w:val="003213B2"/>
    <w:rsid w:val="00321467"/>
    <w:rsid w:val="003216B4"/>
    <w:rsid w:val="0032199D"/>
    <w:rsid w:val="003220C9"/>
    <w:rsid w:val="00322203"/>
    <w:rsid w:val="0032226E"/>
    <w:rsid w:val="00322497"/>
    <w:rsid w:val="00322973"/>
    <w:rsid w:val="00322C03"/>
    <w:rsid w:val="00322C83"/>
    <w:rsid w:val="00323866"/>
    <w:rsid w:val="00323AD0"/>
    <w:rsid w:val="00323E44"/>
    <w:rsid w:val="003240BB"/>
    <w:rsid w:val="00324AEE"/>
    <w:rsid w:val="00324AFD"/>
    <w:rsid w:val="00324B3B"/>
    <w:rsid w:val="00325488"/>
    <w:rsid w:val="00325BEA"/>
    <w:rsid w:val="00325C3D"/>
    <w:rsid w:val="0032605C"/>
    <w:rsid w:val="003260D3"/>
    <w:rsid w:val="00326179"/>
    <w:rsid w:val="0032712D"/>
    <w:rsid w:val="0032744D"/>
    <w:rsid w:val="003276B7"/>
    <w:rsid w:val="003277B1"/>
    <w:rsid w:val="00327902"/>
    <w:rsid w:val="003279BC"/>
    <w:rsid w:val="00327A7B"/>
    <w:rsid w:val="003301C6"/>
    <w:rsid w:val="0033023E"/>
    <w:rsid w:val="00330D57"/>
    <w:rsid w:val="00331373"/>
    <w:rsid w:val="00331568"/>
    <w:rsid w:val="00331886"/>
    <w:rsid w:val="003318A1"/>
    <w:rsid w:val="00331965"/>
    <w:rsid w:val="00331C0C"/>
    <w:rsid w:val="00331DEE"/>
    <w:rsid w:val="0033226F"/>
    <w:rsid w:val="003332D3"/>
    <w:rsid w:val="00333313"/>
    <w:rsid w:val="00333425"/>
    <w:rsid w:val="00333D02"/>
    <w:rsid w:val="00333F1A"/>
    <w:rsid w:val="00333F64"/>
    <w:rsid w:val="00333F86"/>
    <w:rsid w:val="0033413E"/>
    <w:rsid w:val="0033427D"/>
    <w:rsid w:val="00334661"/>
    <w:rsid w:val="0033472A"/>
    <w:rsid w:val="003347A4"/>
    <w:rsid w:val="003348F7"/>
    <w:rsid w:val="00334AC3"/>
    <w:rsid w:val="00334B88"/>
    <w:rsid w:val="00334BF6"/>
    <w:rsid w:val="00334F56"/>
    <w:rsid w:val="00335175"/>
    <w:rsid w:val="003353B8"/>
    <w:rsid w:val="00335AD4"/>
    <w:rsid w:val="0033622D"/>
    <w:rsid w:val="0033628E"/>
    <w:rsid w:val="0033710D"/>
    <w:rsid w:val="00337429"/>
    <w:rsid w:val="00340030"/>
    <w:rsid w:val="0034012C"/>
    <w:rsid w:val="003402CC"/>
    <w:rsid w:val="0034045F"/>
    <w:rsid w:val="00340BA5"/>
    <w:rsid w:val="00340C4A"/>
    <w:rsid w:val="00340F4E"/>
    <w:rsid w:val="00341833"/>
    <w:rsid w:val="0034195D"/>
    <w:rsid w:val="00341A11"/>
    <w:rsid w:val="00341C74"/>
    <w:rsid w:val="00341FA0"/>
    <w:rsid w:val="003422B1"/>
    <w:rsid w:val="003424A3"/>
    <w:rsid w:val="00342D3B"/>
    <w:rsid w:val="00342E9E"/>
    <w:rsid w:val="00342EF0"/>
    <w:rsid w:val="00342FDC"/>
    <w:rsid w:val="00342FEC"/>
    <w:rsid w:val="00342FF1"/>
    <w:rsid w:val="0034344E"/>
    <w:rsid w:val="00343775"/>
    <w:rsid w:val="003437E5"/>
    <w:rsid w:val="00343CDD"/>
    <w:rsid w:val="0034407F"/>
    <w:rsid w:val="00344162"/>
    <w:rsid w:val="00344590"/>
    <w:rsid w:val="003445F4"/>
    <w:rsid w:val="003446C4"/>
    <w:rsid w:val="00344736"/>
    <w:rsid w:val="0034486D"/>
    <w:rsid w:val="00344E38"/>
    <w:rsid w:val="00344E39"/>
    <w:rsid w:val="00344EC6"/>
    <w:rsid w:val="0034514C"/>
    <w:rsid w:val="00345789"/>
    <w:rsid w:val="003458BF"/>
    <w:rsid w:val="00345A22"/>
    <w:rsid w:val="00345E2A"/>
    <w:rsid w:val="00345EBF"/>
    <w:rsid w:val="00346110"/>
    <w:rsid w:val="00346124"/>
    <w:rsid w:val="0034661F"/>
    <w:rsid w:val="003469E6"/>
    <w:rsid w:val="00346E65"/>
    <w:rsid w:val="00347041"/>
    <w:rsid w:val="003472F4"/>
    <w:rsid w:val="00347574"/>
    <w:rsid w:val="00347D2A"/>
    <w:rsid w:val="00347DEA"/>
    <w:rsid w:val="003501D5"/>
    <w:rsid w:val="003501E1"/>
    <w:rsid w:val="003504AB"/>
    <w:rsid w:val="003508AB"/>
    <w:rsid w:val="003508FA"/>
    <w:rsid w:val="00350DFF"/>
    <w:rsid w:val="00351025"/>
    <w:rsid w:val="003510CB"/>
    <w:rsid w:val="0035132A"/>
    <w:rsid w:val="00351957"/>
    <w:rsid w:val="00351B87"/>
    <w:rsid w:val="003524D1"/>
    <w:rsid w:val="003528F7"/>
    <w:rsid w:val="00352B70"/>
    <w:rsid w:val="00352C2B"/>
    <w:rsid w:val="00352CED"/>
    <w:rsid w:val="00353507"/>
    <w:rsid w:val="0035380B"/>
    <w:rsid w:val="00353CDF"/>
    <w:rsid w:val="00353D61"/>
    <w:rsid w:val="00353D69"/>
    <w:rsid w:val="00353E49"/>
    <w:rsid w:val="0035421B"/>
    <w:rsid w:val="00354278"/>
    <w:rsid w:val="003549EE"/>
    <w:rsid w:val="00354C9F"/>
    <w:rsid w:val="00355299"/>
    <w:rsid w:val="00355356"/>
    <w:rsid w:val="00355645"/>
    <w:rsid w:val="00355714"/>
    <w:rsid w:val="00355D54"/>
    <w:rsid w:val="00356141"/>
    <w:rsid w:val="00356186"/>
    <w:rsid w:val="003563E9"/>
    <w:rsid w:val="0035642A"/>
    <w:rsid w:val="0035653C"/>
    <w:rsid w:val="003569D1"/>
    <w:rsid w:val="00356BD9"/>
    <w:rsid w:val="00356D81"/>
    <w:rsid w:val="00357165"/>
    <w:rsid w:val="00357379"/>
    <w:rsid w:val="003573F5"/>
    <w:rsid w:val="00357405"/>
    <w:rsid w:val="00357575"/>
    <w:rsid w:val="00357702"/>
    <w:rsid w:val="003578A6"/>
    <w:rsid w:val="00357991"/>
    <w:rsid w:val="00360057"/>
    <w:rsid w:val="00360A03"/>
    <w:rsid w:val="00360CE0"/>
    <w:rsid w:val="00360ECC"/>
    <w:rsid w:val="003611AE"/>
    <w:rsid w:val="00361386"/>
    <w:rsid w:val="00361D44"/>
    <w:rsid w:val="00361E18"/>
    <w:rsid w:val="00362235"/>
    <w:rsid w:val="00362321"/>
    <w:rsid w:val="00362C8C"/>
    <w:rsid w:val="00362D0E"/>
    <w:rsid w:val="00362E5C"/>
    <w:rsid w:val="0036305D"/>
    <w:rsid w:val="0036316E"/>
    <w:rsid w:val="003633D9"/>
    <w:rsid w:val="0036379C"/>
    <w:rsid w:val="00363B9C"/>
    <w:rsid w:val="00363F7D"/>
    <w:rsid w:val="00363FA7"/>
    <w:rsid w:val="00364219"/>
    <w:rsid w:val="00364634"/>
    <w:rsid w:val="00364762"/>
    <w:rsid w:val="00364A05"/>
    <w:rsid w:val="00364B98"/>
    <w:rsid w:val="00364D93"/>
    <w:rsid w:val="00364E21"/>
    <w:rsid w:val="00365653"/>
    <w:rsid w:val="00365884"/>
    <w:rsid w:val="00365A7D"/>
    <w:rsid w:val="00365CCE"/>
    <w:rsid w:val="00365D26"/>
    <w:rsid w:val="00365ED7"/>
    <w:rsid w:val="0036646F"/>
    <w:rsid w:val="00366537"/>
    <w:rsid w:val="00366681"/>
    <w:rsid w:val="00366A79"/>
    <w:rsid w:val="00366B26"/>
    <w:rsid w:val="00366C14"/>
    <w:rsid w:val="003670B7"/>
    <w:rsid w:val="0036722B"/>
    <w:rsid w:val="003672C1"/>
    <w:rsid w:val="0036733D"/>
    <w:rsid w:val="00367E88"/>
    <w:rsid w:val="0037023F"/>
    <w:rsid w:val="0037043B"/>
    <w:rsid w:val="00370AAE"/>
    <w:rsid w:val="00370BE0"/>
    <w:rsid w:val="00370DD1"/>
    <w:rsid w:val="00370EBC"/>
    <w:rsid w:val="003710D5"/>
    <w:rsid w:val="0037147C"/>
    <w:rsid w:val="00371676"/>
    <w:rsid w:val="0037168C"/>
    <w:rsid w:val="00371C32"/>
    <w:rsid w:val="00372446"/>
    <w:rsid w:val="00372484"/>
    <w:rsid w:val="00372597"/>
    <w:rsid w:val="003727C2"/>
    <w:rsid w:val="0037288B"/>
    <w:rsid w:val="00372B3B"/>
    <w:rsid w:val="00372CE2"/>
    <w:rsid w:val="00372D11"/>
    <w:rsid w:val="003730D4"/>
    <w:rsid w:val="00373107"/>
    <w:rsid w:val="00373421"/>
    <w:rsid w:val="00373951"/>
    <w:rsid w:val="00373C60"/>
    <w:rsid w:val="0037472D"/>
    <w:rsid w:val="00374A75"/>
    <w:rsid w:val="00374C4F"/>
    <w:rsid w:val="00374EAC"/>
    <w:rsid w:val="003751A9"/>
    <w:rsid w:val="003752AA"/>
    <w:rsid w:val="003753C1"/>
    <w:rsid w:val="003754EF"/>
    <w:rsid w:val="003762EF"/>
    <w:rsid w:val="0037639A"/>
    <w:rsid w:val="0037642D"/>
    <w:rsid w:val="003765F7"/>
    <w:rsid w:val="00376990"/>
    <w:rsid w:val="00376ADE"/>
    <w:rsid w:val="00376B40"/>
    <w:rsid w:val="00376EBF"/>
    <w:rsid w:val="00377184"/>
    <w:rsid w:val="0037723C"/>
    <w:rsid w:val="003774BE"/>
    <w:rsid w:val="00377A6A"/>
    <w:rsid w:val="00377B6D"/>
    <w:rsid w:val="00377E22"/>
    <w:rsid w:val="00377F7D"/>
    <w:rsid w:val="003802ED"/>
    <w:rsid w:val="003802F6"/>
    <w:rsid w:val="0038051D"/>
    <w:rsid w:val="003806CC"/>
    <w:rsid w:val="00380D05"/>
    <w:rsid w:val="00380F0C"/>
    <w:rsid w:val="003810F2"/>
    <w:rsid w:val="00381559"/>
    <w:rsid w:val="0038158F"/>
    <w:rsid w:val="003819EE"/>
    <w:rsid w:val="00381BEE"/>
    <w:rsid w:val="00382370"/>
    <w:rsid w:val="0038250F"/>
    <w:rsid w:val="003828E6"/>
    <w:rsid w:val="0038296A"/>
    <w:rsid w:val="00382A92"/>
    <w:rsid w:val="00382B71"/>
    <w:rsid w:val="00382DDD"/>
    <w:rsid w:val="00383AF8"/>
    <w:rsid w:val="003841DF"/>
    <w:rsid w:val="00384440"/>
    <w:rsid w:val="003846E9"/>
    <w:rsid w:val="003846F9"/>
    <w:rsid w:val="00384B8B"/>
    <w:rsid w:val="00384C0A"/>
    <w:rsid w:val="00384C1D"/>
    <w:rsid w:val="00384F3C"/>
    <w:rsid w:val="00385329"/>
    <w:rsid w:val="003853BE"/>
    <w:rsid w:val="003853FD"/>
    <w:rsid w:val="0038557D"/>
    <w:rsid w:val="003856EB"/>
    <w:rsid w:val="00385848"/>
    <w:rsid w:val="00385BFA"/>
    <w:rsid w:val="00385C0E"/>
    <w:rsid w:val="0038629F"/>
    <w:rsid w:val="00386865"/>
    <w:rsid w:val="003868C8"/>
    <w:rsid w:val="00386984"/>
    <w:rsid w:val="00386CEB"/>
    <w:rsid w:val="00386DF7"/>
    <w:rsid w:val="0038702B"/>
    <w:rsid w:val="003879EE"/>
    <w:rsid w:val="00387A0D"/>
    <w:rsid w:val="00387A14"/>
    <w:rsid w:val="00387B65"/>
    <w:rsid w:val="00387BE8"/>
    <w:rsid w:val="00387C56"/>
    <w:rsid w:val="00390123"/>
    <w:rsid w:val="00390489"/>
    <w:rsid w:val="00390985"/>
    <w:rsid w:val="00391420"/>
    <w:rsid w:val="00391900"/>
    <w:rsid w:val="00391907"/>
    <w:rsid w:val="00391B75"/>
    <w:rsid w:val="00391C0C"/>
    <w:rsid w:val="00392073"/>
    <w:rsid w:val="003929D2"/>
    <w:rsid w:val="00392A7A"/>
    <w:rsid w:val="00392CD6"/>
    <w:rsid w:val="00393584"/>
    <w:rsid w:val="003937CE"/>
    <w:rsid w:val="00393C9D"/>
    <w:rsid w:val="00393CB8"/>
    <w:rsid w:val="00393F44"/>
    <w:rsid w:val="0039412B"/>
    <w:rsid w:val="00394638"/>
    <w:rsid w:val="00394B7D"/>
    <w:rsid w:val="00395719"/>
    <w:rsid w:val="003959B5"/>
    <w:rsid w:val="00395D0D"/>
    <w:rsid w:val="00395FEA"/>
    <w:rsid w:val="00396048"/>
    <w:rsid w:val="003963AC"/>
    <w:rsid w:val="00396908"/>
    <w:rsid w:val="0039771E"/>
    <w:rsid w:val="003A0142"/>
    <w:rsid w:val="003A03C1"/>
    <w:rsid w:val="003A047B"/>
    <w:rsid w:val="003A06FE"/>
    <w:rsid w:val="003A0C9C"/>
    <w:rsid w:val="003A0F92"/>
    <w:rsid w:val="003A11DE"/>
    <w:rsid w:val="003A1367"/>
    <w:rsid w:val="003A13A0"/>
    <w:rsid w:val="003A15F8"/>
    <w:rsid w:val="003A172B"/>
    <w:rsid w:val="003A188E"/>
    <w:rsid w:val="003A195E"/>
    <w:rsid w:val="003A1ACF"/>
    <w:rsid w:val="003A1BCC"/>
    <w:rsid w:val="003A1E41"/>
    <w:rsid w:val="003A23A4"/>
    <w:rsid w:val="003A2876"/>
    <w:rsid w:val="003A2914"/>
    <w:rsid w:val="003A2971"/>
    <w:rsid w:val="003A37BA"/>
    <w:rsid w:val="003A387B"/>
    <w:rsid w:val="003A39AF"/>
    <w:rsid w:val="003A39BB"/>
    <w:rsid w:val="003A3CC9"/>
    <w:rsid w:val="003A3F8F"/>
    <w:rsid w:val="003A4059"/>
    <w:rsid w:val="003A41DE"/>
    <w:rsid w:val="003A42E7"/>
    <w:rsid w:val="003A48F9"/>
    <w:rsid w:val="003A4E50"/>
    <w:rsid w:val="003A5149"/>
    <w:rsid w:val="003A5612"/>
    <w:rsid w:val="003A56E7"/>
    <w:rsid w:val="003A593B"/>
    <w:rsid w:val="003A595A"/>
    <w:rsid w:val="003A59C8"/>
    <w:rsid w:val="003A5A78"/>
    <w:rsid w:val="003A5B70"/>
    <w:rsid w:val="003A5E15"/>
    <w:rsid w:val="003A5FE9"/>
    <w:rsid w:val="003A67A4"/>
    <w:rsid w:val="003A6A29"/>
    <w:rsid w:val="003A6B9D"/>
    <w:rsid w:val="003A6DED"/>
    <w:rsid w:val="003A71C8"/>
    <w:rsid w:val="003A7327"/>
    <w:rsid w:val="003A7492"/>
    <w:rsid w:val="003A7B19"/>
    <w:rsid w:val="003A7DA5"/>
    <w:rsid w:val="003B0492"/>
    <w:rsid w:val="003B0605"/>
    <w:rsid w:val="003B06AE"/>
    <w:rsid w:val="003B0AC4"/>
    <w:rsid w:val="003B0B49"/>
    <w:rsid w:val="003B0BD9"/>
    <w:rsid w:val="003B0C0D"/>
    <w:rsid w:val="003B0E32"/>
    <w:rsid w:val="003B0F8B"/>
    <w:rsid w:val="003B1066"/>
    <w:rsid w:val="003B1271"/>
    <w:rsid w:val="003B13FA"/>
    <w:rsid w:val="003B14BA"/>
    <w:rsid w:val="003B198B"/>
    <w:rsid w:val="003B1CF9"/>
    <w:rsid w:val="003B281C"/>
    <w:rsid w:val="003B3014"/>
    <w:rsid w:val="003B3B81"/>
    <w:rsid w:val="003B434E"/>
    <w:rsid w:val="003B450E"/>
    <w:rsid w:val="003B45C2"/>
    <w:rsid w:val="003B497B"/>
    <w:rsid w:val="003B4A45"/>
    <w:rsid w:val="003B4B62"/>
    <w:rsid w:val="003B4C2D"/>
    <w:rsid w:val="003B4DE1"/>
    <w:rsid w:val="003B4E67"/>
    <w:rsid w:val="003B4EC2"/>
    <w:rsid w:val="003B507D"/>
    <w:rsid w:val="003B569E"/>
    <w:rsid w:val="003B5762"/>
    <w:rsid w:val="003B587D"/>
    <w:rsid w:val="003B5A66"/>
    <w:rsid w:val="003B5AFB"/>
    <w:rsid w:val="003B5D07"/>
    <w:rsid w:val="003B5EC1"/>
    <w:rsid w:val="003B5FDE"/>
    <w:rsid w:val="003B6321"/>
    <w:rsid w:val="003B6B30"/>
    <w:rsid w:val="003B6BBD"/>
    <w:rsid w:val="003B6EC7"/>
    <w:rsid w:val="003B6F25"/>
    <w:rsid w:val="003B6F38"/>
    <w:rsid w:val="003B7055"/>
    <w:rsid w:val="003B709D"/>
    <w:rsid w:val="003B7461"/>
    <w:rsid w:val="003B74AC"/>
    <w:rsid w:val="003B7707"/>
    <w:rsid w:val="003B7C79"/>
    <w:rsid w:val="003C032B"/>
    <w:rsid w:val="003C0432"/>
    <w:rsid w:val="003C0556"/>
    <w:rsid w:val="003C0A39"/>
    <w:rsid w:val="003C0F4C"/>
    <w:rsid w:val="003C0F90"/>
    <w:rsid w:val="003C11C8"/>
    <w:rsid w:val="003C13B2"/>
    <w:rsid w:val="003C154B"/>
    <w:rsid w:val="003C1764"/>
    <w:rsid w:val="003C2640"/>
    <w:rsid w:val="003C29D7"/>
    <w:rsid w:val="003C2AED"/>
    <w:rsid w:val="003C2C29"/>
    <w:rsid w:val="003C2CD9"/>
    <w:rsid w:val="003C3567"/>
    <w:rsid w:val="003C362A"/>
    <w:rsid w:val="003C371E"/>
    <w:rsid w:val="003C3731"/>
    <w:rsid w:val="003C3EAC"/>
    <w:rsid w:val="003C4055"/>
    <w:rsid w:val="003C4226"/>
    <w:rsid w:val="003C4666"/>
    <w:rsid w:val="003C4692"/>
    <w:rsid w:val="003C4F0B"/>
    <w:rsid w:val="003C4FC5"/>
    <w:rsid w:val="003C51CB"/>
    <w:rsid w:val="003C5380"/>
    <w:rsid w:val="003C58B1"/>
    <w:rsid w:val="003C5948"/>
    <w:rsid w:val="003C5FD5"/>
    <w:rsid w:val="003C5FF4"/>
    <w:rsid w:val="003C5FFD"/>
    <w:rsid w:val="003C6147"/>
    <w:rsid w:val="003C61F0"/>
    <w:rsid w:val="003C64F9"/>
    <w:rsid w:val="003C6DB5"/>
    <w:rsid w:val="003C709D"/>
    <w:rsid w:val="003C7388"/>
    <w:rsid w:val="003C7556"/>
    <w:rsid w:val="003C75FD"/>
    <w:rsid w:val="003C78C4"/>
    <w:rsid w:val="003C7940"/>
    <w:rsid w:val="003C7CEC"/>
    <w:rsid w:val="003C7F2A"/>
    <w:rsid w:val="003D00C8"/>
    <w:rsid w:val="003D020B"/>
    <w:rsid w:val="003D08F6"/>
    <w:rsid w:val="003D09BD"/>
    <w:rsid w:val="003D0A9E"/>
    <w:rsid w:val="003D11DD"/>
    <w:rsid w:val="003D1379"/>
    <w:rsid w:val="003D13E2"/>
    <w:rsid w:val="003D13E8"/>
    <w:rsid w:val="003D16CD"/>
    <w:rsid w:val="003D172B"/>
    <w:rsid w:val="003D181B"/>
    <w:rsid w:val="003D1932"/>
    <w:rsid w:val="003D21E1"/>
    <w:rsid w:val="003D23B1"/>
    <w:rsid w:val="003D24AA"/>
    <w:rsid w:val="003D24F9"/>
    <w:rsid w:val="003D2A0A"/>
    <w:rsid w:val="003D2ADB"/>
    <w:rsid w:val="003D2D16"/>
    <w:rsid w:val="003D344E"/>
    <w:rsid w:val="003D3850"/>
    <w:rsid w:val="003D3BE9"/>
    <w:rsid w:val="003D42C1"/>
    <w:rsid w:val="003D463D"/>
    <w:rsid w:val="003D479F"/>
    <w:rsid w:val="003D5413"/>
    <w:rsid w:val="003D5644"/>
    <w:rsid w:val="003D5752"/>
    <w:rsid w:val="003D5827"/>
    <w:rsid w:val="003D5A05"/>
    <w:rsid w:val="003D5C01"/>
    <w:rsid w:val="003D6321"/>
    <w:rsid w:val="003D6E7F"/>
    <w:rsid w:val="003D71B0"/>
    <w:rsid w:val="003D77A8"/>
    <w:rsid w:val="003D78E3"/>
    <w:rsid w:val="003D791E"/>
    <w:rsid w:val="003E0046"/>
    <w:rsid w:val="003E02B8"/>
    <w:rsid w:val="003E04D7"/>
    <w:rsid w:val="003E068D"/>
    <w:rsid w:val="003E0935"/>
    <w:rsid w:val="003E09A8"/>
    <w:rsid w:val="003E09C0"/>
    <w:rsid w:val="003E0B19"/>
    <w:rsid w:val="003E0C3B"/>
    <w:rsid w:val="003E0D81"/>
    <w:rsid w:val="003E0D93"/>
    <w:rsid w:val="003E0EC0"/>
    <w:rsid w:val="003E1695"/>
    <w:rsid w:val="003E17D0"/>
    <w:rsid w:val="003E1B04"/>
    <w:rsid w:val="003E1DC0"/>
    <w:rsid w:val="003E1F3B"/>
    <w:rsid w:val="003E2091"/>
    <w:rsid w:val="003E221B"/>
    <w:rsid w:val="003E2E1C"/>
    <w:rsid w:val="003E321F"/>
    <w:rsid w:val="003E332E"/>
    <w:rsid w:val="003E392A"/>
    <w:rsid w:val="003E3BF9"/>
    <w:rsid w:val="003E40E8"/>
    <w:rsid w:val="003E4250"/>
    <w:rsid w:val="003E43C6"/>
    <w:rsid w:val="003E4471"/>
    <w:rsid w:val="003E4732"/>
    <w:rsid w:val="003E51F7"/>
    <w:rsid w:val="003E5B96"/>
    <w:rsid w:val="003E5EE7"/>
    <w:rsid w:val="003E5F3C"/>
    <w:rsid w:val="003E6549"/>
    <w:rsid w:val="003E66E3"/>
    <w:rsid w:val="003E6825"/>
    <w:rsid w:val="003E6874"/>
    <w:rsid w:val="003E6F42"/>
    <w:rsid w:val="003E732C"/>
    <w:rsid w:val="003E74D9"/>
    <w:rsid w:val="003E76A1"/>
    <w:rsid w:val="003E7873"/>
    <w:rsid w:val="003E791F"/>
    <w:rsid w:val="003E7D92"/>
    <w:rsid w:val="003F0266"/>
    <w:rsid w:val="003F0357"/>
    <w:rsid w:val="003F0670"/>
    <w:rsid w:val="003F0D0C"/>
    <w:rsid w:val="003F1419"/>
    <w:rsid w:val="003F1524"/>
    <w:rsid w:val="003F1566"/>
    <w:rsid w:val="003F1AE2"/>
    <w:rsid w:val="003F23A6"/>
    <w:rsid w:val="003F262E"/>
    <w:rsid w:val="003F272F"/>
    <w:rsid w:val="003F27F9"/>
    <w:rsid w:val="003F2882"/>
    <w:rsid w:val="003F2908"/>
    <w:rsid w:val="003F2B24"/>
    <w:rsid w:val="003F2E57"/>
    <w:rsid w:val="003F30F0"/>
    <w:rsid w:val="003F3246"/>
    <w:rsid w:val="003F3571"/>
    <w:rsid w:val="003F3918"/>
    <w:rsid w:val="003F3E13"/>
    <w:rsid w:val="003F3FC6"/>
    <w:rsid w:val="003F4159"/>
    <w:rsid w:val="003F423F"/>
    <w:rsid w:val="003F494C"/>
    <w:rsid w:val="003F4B16"/>
    <w:rsid w:val="003F4CFA"/>
    <w:rsid w:val="003F546E"/>
    <w:rsid w:val="003F54F1"/>
    <w:rsid w:val="003F5523"/>
    <w:rsid w:val="003F56E2"/>
    <w:rsid w:val="003F5B8F"/>
    <w:rsid w:val="003F5C45"/>
    <w:rsid w:val="003F5F7F"/>
    <w:rsid w:val="003F6023"/>
    <w:rsid w:val="003F607B"/>
    <w:rsid w:val="003F6326"/>
    <w:rsid w:val="003F6BF4"/>
    <w:rsid w:val="003F6EBA"/>
    <w:rsid w:val="003F6EE8"/>
    <w:rsid w:val="003F6FCE"/>
    <w:rsid w:val="003F7E7A"/>
    <w:rsid w:val="003F7FFC"/>
    <w:rsid w:val="004001C1"/>
    <w:rsid w:val="004001D1"/>
    <w:rsid w:val="004003A8"/>
    <w:rsid w:val="00400550"/>
    <w:rsid w:val="004006AA"/>
    <w:rsid w:val="004008B8"/>
    <w:rsid w:val="00400A0C"/>
    <w:rsid w:val="00400F5D"/>
    <w:rsid w:val="0040106A"/>
    <w:rsid w:val="00401325"/>
    <w:rsid w:val="004018D0"/>
    <w:rsid w:val="00401C81"/>
    <w:rsid w:val="00402387"/>
    <w:rsid w:val="00402475"/>
    <w:rsid w:val="004024E2"/>
    <w:rsid w:val="00402561"/>
    <w:rsid w:val="00402889"/>
    <w:rsid w:val="0040293C"/>
    <w:rsid w:val="00402AE6"/>
    <w:rsid w:val="00402F60"/>
    <w:rsid w:val="004031BC"/>
    <w:rsid w:val="004032CB"/>
    <w:rsid w:val="00403844"/>
    <w:rsid w:val="004038EE"/>
    <w:rsid w:val="00404631"/>
    <w:rsid w:val="00404705"/>
    <w:rsid w:val="004049A8"/>
    <w:rsid w:val="00404EA5"/>
    <w:rsid w:val="00404ED9"/>
    <w:rsid w:val="0040633D"/>
    <w:rsid w:val="00406720"/>
    <w:rsid w:val="0040692E"/>
    <w:rsid w:val="00406C40"/>
    <w:rsid w:val="00406F5D"/>
    <w:rsid w:val="0040732A"/>
    <w:rsid w:val="004077AC"/>
    <w:rsid w:val="00407AC2"/>
    <w:rsid w:val="00407D51"/>
    <w:rsid w:val="00407EB4"/>
    <w:rsid w:val="004104F3"/>
    <w:rsid w:val="00411A39"/>
    <w:rsid w:val="00411A3E"/>
    <w:rsid w:val="00412597"/>
    <w:rsid w:val="00412FBB"/>
    <w:rsid w:val="0041304A"/>
    <w:rsid w:val="00413519"/>
    <w:rsid w:val="00413778"/>
    <w:rsid w:val="00413B1E"/>
    <w:rsid w:val="00413D12"/>
    <w:rsid w:val="0041435F"/>
    <w:rsid w:val="004146CD"/>
    <w:rsid w:val="00414767"/>
    <w:rsid w:val="00414E21"/>
    <w:rsid w:val="00414F05"/>
    <w:rsid w:val="0041501F"/>
    <w:rsid w:val="00415981"/>
    <w:rsid w:val="00415CC6"/>
    <w:rsid w:val="00415F20"/>
    <w:rsid w:val="00416292"/>
    <w:rsid w:val="00416791"/>
    <w:rsid w:val="00416956"/>
    <w:rsid w:val="00416D3D"/>
    <w:rsid w:val="00416D94"/>
    <w:rsid w:val="00417259"/>
    <w:rsid w:val="00417405"/>
    <w:rsid w:val="00417ACE"/>
    <w:rsid w:val="00417C3A"/>
    <w:rsid w:val="00417CCC"/>
    <w:rsid w:val="00417F5D"/>
    <w:rsid w:val="004206E3"/>
    <w:rsid w:val="004209FC"/>
    <w:rsid w:val="00420AC9"/>
    <w:rsid w:val="00420D88"/>
    <w:rsid w:val="00420F3C"/>
    <w:rsid w:val="004212A3"/>
    <w:rsid w:val="004213A2"/>
    <w:rsid w:val="0042159F"/>
    <w:rsid w:val="00421C86"/>
    <w:rsid w:val="00421CFD"/>
    <w:rsid w:val="00421D88"/>
    <w:rsid w:val="0042264A"/>
    <w:rsid w:val="004228BE"/>
    <w:rsid w:val="00422A2E"/>
    <w:rsid w:val="00422A6E"/>
    <w:rsid w:val="00422B68"/>
    <w:rsid w:val="00422F54"/>
    <w:rsid w:val="0042336A"/>
    <w:rsid w:val="00423676"/>
    <w:rsid w:val="004238BF"/>
    <w:rsid w:val="0042399E"/>
    <w:rsid w:val="00423B9A"/>
    <w:rsid w:val="00423D2D"/>
    <w:rsid w:val="0042438D"/>
    <w:rsid w:val="004245D0"/>
    <w:rsid w:val="00424634"/>
    <w:rsid w:val="00424654"/>
    <w:rsid w:val="004246BD"/>
    <w:rsid w:val="004248DD"/>
    <w:rsid w:val="00424B48"/>
    <w:rsid w:val="0042531C"/>
    <w:rsid w:val="00425471"/>
    <w:rsid w:val="0042573F"/>
    <w:rsid w:val="00425B33"/>
    <w:rsid w:val="00425E70"/>
    <w:rsid w:val="0042625A"/>
    <w:rsid w:val="004264E3"/>
    <w:rsid w:val="0042654F"/>
    <w:rsid w:val="00426D8B"/>
    <w:rsid w:val="00426EB6"/>
    <w:rsid w:val="00427128"/>
    <w:rsid w:val="004274D8"/>
    <w:rsid w:val="00427767"/>
    <w:rsid w:val="00427DFD"/>
    <w:rsid w:val="00427EF8"/>
    <w:rsid w:val="0043023C"/>
    <w:rsid w:val="004303D1"/>
    <w:rsid w:val="00430593"/>
    <w:rsid w:val="0043059F"/>
    <w:rsid w:val="0043076C"/>
    <w:rsid w:val="004307C2"/>
    <w:rsid w:val="00430880"/>
    <w:rsid w:val="004308F6"/>
    <w:rsid w:val="00430908"/>
    <w:rsid w:val="00430F4E"/>
    <w:rsid w:val="004312E8"/>
    <w:rsid w:val="004316CA"/>
    <w:rsid w:val="004317B0"/>
    <w:rsid w:val="00431BAD"/>
    <w:rsid w:val="00431C85"/>
    <w:rsid w:val="004325F1"/>
    <w:rsid w:val="004328D8"/>
    <w:rsid w:val="004328EC"/>
    <w:rsid w:val="00432A7F"/>
    <w:rsid w:val="00432EE9"/>
    <w:rsid w:val="00432FFA"/>
    <w:rsid w:val="0043327E"/>
    <w:rsid w:val="004335FF"/>
    <w:rsid w:val="0043374C"/>
    <w:rsid w:val="00433E09"/>
    <w:rsid w:val="004340FB"/>
    <w:rsid w:val="004341CC"/>
    <w:rsid w:val="00434494"/>
    <w:rsid w:val="004346CA"/>
    <w:rsid w:val="004347C5"/>
    <w:rsid w:val="00435924"/>
    <w:rsid w:val="00435AF3"/>
    <w:rsid w:val="00435E3F"/>
    <w:rsid w:val="00436468"/>
    <w:rsid w:val="004366CA"/>
    <w:rsid w:val="00436C1A"/>
    <w:rsid w:val="00436D2A"/>
    <w:rsid w:val="00436D3E"/>
    <w:rsid w:val="004370B4"/>
    <w:rsid w:val="004374F6"/>
    <w:rsid w:val="00437591"/>
    <w:rsid w:val="00437935"/>
    <w:rsid w:val="00437AA0"/>
    <w:rsid w:val="00437BDF"/>
    <w:rsid w:val="00437C76"/>
    <w:rsid w:val="00437EB0"/>
    <w:rsid w:val="00437F57"/>
    <w:rsid w:val="00437F5D"/>
    <w:rsid w:val="0044032A"/>
    <w:rsid w:val="00440546"/>
    <w:rsid w:val="00440565"/>
    <w:rsid w:val="00440651"/>
    <w:rsid w:val="00440A1C"/>
    <w:rsid w:val="00440A24"/>
    <w:rsid w:val="00440AF0"/>
    <w:rsid w:val="00440D77"/>
    <w:rsid w:val="00441059"/>
    <w:rsid w:val="00441193"/>
    <w:rsid w:val="00441371"/>
    <w:rsid w:val="00441B15"/>
    <w:rsid w:val="00441BCA"/>
    <w:rsid w:val="00441F20"/>
    <w:rsid w:val="00442405"/>
    <w:rsid w:val="00442D58"/>
    <w:rsid w:val="00442E4B"/>
    <w:rsid w:val="00442F6A"/>
    <w:rsid w:val="004432DD"/>
    <w:rsid w:val="00443812"/>
    <w:rsid w:val="00443CAC"/>
    <w:rsid w:val="004440CE"/>
    <w:rsid w:val="004443ED"/>
    <w:rsid w:val="00444587"/>
    <w:rsid w:val="00444A38"/>
    <w:rsid w:val="00444C21"/>
    <w:rsid w:val="00444E69"/>
    <w:rsid w:val="0044505A"/>
    <w:rsid w:val="004451AC"/>
    <w:rsid w:val="0044520D"/>
    <w:rsid w:val="004457FE"/>
    <w:rsid w:val="0044611C"/>
    <w:rsid w:val="004468AD"/>
    <w:rsid w:val="00446A33"/>
    <w:rsid w:val="00446E95"/>
    <w:rsid w:val="00446F0D"/>
    <w:rsid w:val="00447331"/>
    <w:rsid w:val="00447E6A"/>
    <w:rsid w:val="00447E74"/>
    <w:rsid w:val="00447FE4"/>
    <w:rsid w:val="004500F7"/>
    <w:rsid w:val="00450407"/>
    <w:rsid w:val="0045097D"/>
    <w:rsid w:val="004512D9"/>
    <w:rsid w:val="00451683"/>
    <w:rsid w:val="00451AE6"/>
    <w:rsid w:val="0045221B"/>
    <w:rsid w:val="004524CB"/>
    <w:rsid w:val="004525C4"/>
    <w:rsid w:val="004526A5"/>
    <w:rsid w:val="004527C2"/>
    <w:rsid w:val="00452B67"/>
    <w:rsid w:val="00452D57"/>
    <w:rsid w:val="00452F04"/>
    <w:rsid w:val="00453864"/>
    <w:rsid w:val="00453AAA"/>
    <w:rsid w:val="00453C28"/>
    <w:rsid w:val="00453E5A"/>
    <w:rsid w:val="00454119"/>
    <w:rsid w:val="0045421A"/>
    <w:rsid w:val="00454330"/>
    <w:rsid w:val="00454730"/>
    <w:rsid w:val="0045476E"/>
    <w:rsid w:val="0045485D"/>
    <w:rsid w:val="00454DD0"/>
    <w:rsid w:val="004551C8"/>
    <w:rsid w:val="00455BCB"/>
    <w:rsid w:val="0045629C"/>
    <w:rsid w:val="00456B0B"/>
    <w:rsid w:val="00456B2D"/>
    <w:rsid w:val="0045707D"/>
    <w:rsid w:val="004570C8"/>
    <w:rsid w:val="0045723C"/>
    <w:rsid w:val="00457467"/>
    <w:rsid w:val="0045773F"/>
    <w:rsid w:val="00457A7F"/>
    <w:rsid w:val="00457BAE"/>
    <w:rsid w:val="0046033D"/>
    <w:rsid w:val="0046059C"/>
    <w:rsid w:val="00460699"/>
    <w:rsid w:val="004606CC"/>
    <w:rsid w:val="00460DC9"/>
    <w:rsid w:val="00461C70"/>
    <w:rsid w:val="00461D38"/>
    <w:rsid w:val="00461E3B"/>
    <w:rsid w:val="0046216B"/>
    <w:rsid w:val="00462473"/>
    <w:rsid w:val="00462545"/>
    <w:rsid w:val="004627E5"/>
    <w:rsid w:val="00462F15"/>
    <w:rsid w:val="00462F94"/>
    <w:rsid w:val="00463029"/>
    <w:rsid w:val="00463438"/>
    <w:rsid w:val="0046385D"/>
    <w:rsid w:val="004644ED"/>
    <w:rsid w:val="00464595"/>
    <w:rsid w:val="004647C7"/>
    <w:rsid w:val="0046492E"/>
    <w:rsid w:val="00464B6E"/>
    <w:rsid w:val="00464BFA"/>
    <w:rsid w:val="00464ED1"/>
    <w:rsid w:val="004650A6"/>
    <w:rsid w:val="00465473"/>
    <w:rsid w:val="00465622"/>
    <w:rsid w:val="00465E21"/>
    <w:rsid w:val="00465FA1"/>
    <w:rsid w:val="004661A7"/>
    <w:rsid w:val="004662AE"/>
    <w:rsid w:val="004662CA"/>
    <w:rsid w:val="004665E8"/>
    <w:rsid w:val="00466B43"/>
    <w:rsid w:val="00466CCB"/>
    <w:rsid w:val="00466E62"/>
    <w:rsid w:val="004671E6"/>
    <w:rsid w:val="0046758D"/>
    <w:rsid w:val="004676EB"/>
    <w:rsid w:val="00467D5C"/>
    <w:rsid w:val="0047020E"/>
    <w:rsid w:val="00470977"/>
    <w:rsid w:val="0047102D"/>
    <w:rsid w:val="00471531"/>
    <w:rsid w:val="0047160A"/>
    <w:rsid w:val="00471656"/>
    <w:rsid w:val="00471895"/>
    <w:rsid w:val="004718A8"/>
    <w:rsid w:val="00471B2B"/>
    <w:rsid w:val="00471C8D"/>
    <w:rsid w:val="00471F06"/>
    <w:rsid w:val="0047213B"/>
    <w:rsid w:val="00472295"/>
    <w:rsid w:val="0047266F"/>
    <w:rsid w:val="00472734"/>
    <w:rsid w:val="00472838"/>
    <w:rsid w:val="00472928"/>
    <w:rsid w:val="00472936"/>
    <w:rsid w:val="00472CA3"/>
    <w:rsid w:val="004730E3"/>
    <w:rsid w:val="0047315D"/>
    <w:rsid w:val="004733D4"/>
    <w:rsid w:val="004737CC"/>
    <w:rsid w:val="00473854"/>
    <w:rsid w:val="00473D34"/>
    <w:rsid w:val="00473DD4"/>
    <w:rsid w:val="00473E96"/>
    <w:rsid w:val="00473F6F"/>
    <w:rsid w:val="0047439F"/>
    <w:rsid w:val="00474A2D"/>
    <w:rsid w:val="00474DBC"/>
    <w:rsid w:val="00474ECE"/>
    <w:rsid w:val="00475023"/>
    <w:rsid w:val="004758CF"/>
    <w:rsid w:val="00475A91"/>
    <w:rsid w:val="00475EB2"/>
    <w:rsid w:val="00475F19"/>
    <w:rsid w:val="00476248"/>
    <w:rsid w:val="00476266"/>
    <w:rsid w:val="0047685A"/>
    <w:rsid w:val="00476BB9"/>
    <w:rsid w:val="004771A3"/>
    <w:rsid w:val="00477474"/>
    <w:rsid w:val="00477617"/>
    <w:rsid w:val="004778C5"/>
    <w:rsid w:val="00477E92"/>
    <w:rsid w:val="00480031"/>
    <w:rsid w:val="004808E5"/>
    <w:rsid w:val="00480945"/>
    <w:rsid w:val="00480D24"/>
    <w:rsid w:val="004812B4"/>
    <w:rsid w:val="00481898"/>
    <w:rsid w:val="00481BBB"/>
    <w:rsid w:val="00482073"/>
    <w:rsid w:val="004820F0"/>
    <w:rsid w:val="0048230C"/>
    <w:rsid w:val="0048325C"/>
    <w:rsid w:val="00483663"/>
    <w:rsid w:val="00483690"/>
    <w:rsid w:val="00483B5C"/>
    <w:rsid w:val="00483D7A"/>
    <w:rsid w:val="00484194"/>
    <w:rsid w:val="004841D1"/>
    <w:rsid w:val="00484386"/>
    <w:rsid w:val="00484650"/>
    <w:rsid w:val="004849B4"/>
    <w:rsid w:val="00484A26"/>
    <w:rsid w:val="00484A41"/>
    <w:rsid w:val="00484A56"/>
    <w:rsid w:val="00484DBE"/>
    <w:rsid w:val="00485119"/>
    <w:rsid w:val="0048525B"/>
    <w:rsid w:val="004852B4"/>
    <w:rsid w:val="004852E4"/>
    <w:rsid w:val="004853D9"/>
    <w:rsid w:val="0048557D"/>
    <w:rsid w:val="00485593"/>
    <w:rsid w:val="00485984"/>
    <w:rsid w:val="00485C00"/>
    <w:rsid w:val="004860AF"/>
    <w:rsid w:val="004860C6"/>
    <w:rsid w:val="004862A0"/>
    <w:rsid w:val="004862B9"/>
    <w:rsid w:val="0048631C"/>
    <w:rsid w:val="00486612"/>
    <w:rsid w:val="00486644"/>
    <w:rsid w:val="00487037"/>
    <w:rsid w:val="00487746"/>
    <w:rsid w:val="00487877"/>
    <w:rsid w:val="00487C2F"/>
    <w:rsid w:val="00490486"/>
    <w:rsid w:val="0049096C"/>
    <w:rsid w:val="00490EC0"/>
    <w:rsid w:val="00490F03"/>
    <w:rsid w:val="004913A6"/>
    <w:rsid w:val="0049171B"/>
    <w:rsid w:val="00491774"/>
    <w:rsid w:val="00491821"/>
    <w:rsid w:val="004919FD"/>
    <w:rsid w:val="00491EBB"/>
    <w:rsid w:val="004921A1"/>
    <w:rsid w:val="0049248D"/>
    <w:rsid w:val="00492875"/>
    <w:rsid w:val="0049290C"/>
    <w:rsid w:val="0049297F"/>
    <w:rsid w:val="00492A3D"/>
    <w:rsid w:val="0049306E"/>
    <w:rsid w:val="0049307A"/>
    <w:rsid w:val="00493278"/>
    <w:rsid w:val="00493474"/>
    <w:rsid w:val="004936CC"/>
    <w:rsid w:val="0049378F"/>
    <w:rsid w:val="00493840"/>
    <w:rsid w:val="00493A15"/>
    <w:rsid w:val="00493A59"/>
    <w:rsid w:val="00493A8C"/>
    <w:rsid w:val="00494F7C"/>
    <w:rsid w:val="0049556D"/>
    <w:rsid w:val="004955BD"/>
    <w:rsid w:val="0049575C"/>
    <w:rsid w:val="004958D5"/>
    <w:rsid w:val="00495EF0"/>
    <w:rsid w:val="00495FF8"/>
    <w:rsid w:val="004965BA"/>
    <w:rsid w:val="004965D7"/>
    <w:rsid w:val="0049667C"/>
    <w:rsid w:val="00496961"/>
    <w:rsid w:val="00496AAA"/>
    <w:rsid w:val="00496C86"/>
    <w:rsid w:val="00496C89"/>
    <w:rsid w:val="00496D73"/>
    <w:rsid w:val="00496FEA"/>
    <w:rsid w:val="004972DF"/>
    <w:rsid w:val="0049732C"/>
    <w:rsid w:val="004973F4"/>
    <w:rsid w:val="004973F6"/>
    <w:rsid w:val="0049758A"/>
    <w:rsid w:val="00497740"/>
    <w:rsid w:val="004978D4"/>
    <w:rsid w:val="00497A34"/>
    <w:rsid w:val="00497B5A"/>
    <w:rsid w:val="004A0007"/>
    <w:rsid w:val="004A013D"/>
    <w:rsid w:val="004A0A4F"/>
    <w:rsid w:val="004A0A58"/>
    <w:rsid w:val="004A0CCA"/>
    <w:rsid w:val="004A0E42"/>
    <w:rsid w:val="004A0FC2"/>
    <w:rsid w:val="004A104A"/>
    <w:rsid w:val="004A1153"/>
    <w:rsid w:val="004A119A"/>
    <w:rsid w:val="004A13AF"/>
    <w:rsid w:val="004A1543"/>
    <w:rsid w:val="004A192F"/>
    <w:rsid w:val="004A1D7A"/>
    <w:rsid w:val="004A25AC"/>
    <w:rsid w:val="004A2A06"/>
    <w:rsid w:val="004A2BFD"/>
    <w:rsid w:val="004A2CC1"/>
    <w:rsid w:val="004A2DCB"/>
    <w:rsid w:val="004A31C2"/>
    <w:rsid w:val="004A32F5"/>
    <w:rsid w:val="004A36B1"/>
    <w:rsid w:val="004A374B"/>
    <w:rsid w:val="004A392E"/>
    <w:rsid w:val="004A3988"/>
    <w:rsid w:val="004A3D11"/>
    <w:rsid w:val="004A4129"/>
    <w:rsid w:val="004A48C8"/>
    <w:rsid w:val="004A4CDA"/>
    <w:rsid w:val="004A4ECD"/>
    <w:rsid w:val="004A52E8"/>
    <w:rsid w:val="004A5C22"/>
    <w:rsid w:val="004A5FE6"/>
    <w:rsid w:val="004A6B9E"/>
    <w:rsid w:val="004A6C80"/>
    <w:rsid w:val="004A75E7"/>
    <w:rsid w:val="004A79A5"/>
    <w:rsid w:val="004A7B4E"/>
    <w:rsid w:val="004A7CA6"/>
    <w:rsid w:val="004A7EC2"/>
    <w:rsid w:val="004B09B6"/>
    <w:rsid w:val="004B0C36"/>
    <w:rsid w:val="004B0C90"/>
    <w:rsid w:val="004B0DDA"/>
    <w:rsid w:val="004B0E41"/>
    <w:rsid w:val="004B0FA6"/>
    <w:rsid w:val="004B1039"/>
    <w:rsid w:val="004B15C9"/>
    <w:rsid w:val="004B161A"/>
    <w:rsid w:val="004B1B0B"/>
    <w:rsid w:val="004B1EF2"/>
    <w:rsid w:val="004B2031"/>
    <w:rsid w:val="004B2599"/>
    <w:rsid w:val="004B2880"/>
    <w:rsid w:val="004B29F9"/>
    <w:rsid w:val="004B2B22"/>
    <w:rsid w:val="004B2DAE"/>
    <w:rsid w:val="004B2E18"/>
    <w:rsid w:val="004B2F84"/>
    <w:rsid w:val="004B3092"/>
    <w:rsid w:val="004B3109"/>
    <w:rsid w:val="004B323D"/>
    <w:rsid w:val="004B388D"/>
    <w:rsid w:val="004B3DE3"/>
    <w:rsid w:val="004B3E31"/>
    <w:rsid w:val="004B40BF"/>
    <w:rsid w:val="004B427E"/>
    <w:rsid w:val="004B439B"/>
    <w:rsid w:val="004B4664"/>
    <w:rsid w:val="004B47CC"/>
    <w:rsid w:val="004B4AF0"/>
    <w:rsid w:val="004B4BAE"/>
    <w:rsid w:val="004B4C2E"/>
    <w:rsid w:val="004B5046"/>
    <w:rsid w:val="004B5417"/>
    <w:rsid w:val="004B5496"/>
    <w:rsid w:val="004B54BA"/>
    <w:rsid w:val="004B5DC6"/>
    <w:rsid w:val="004B5FED"/>
    <w:rsid w:val="004B6195"/>
    <w:rsid w:val="004B6365"/>
    <w:rsid w:val="004B642E"/>
    <w:rsid w:val="004B64EA"/>
    <w:rsid w:val="004B66AD"/>
    <w:rsid w:val="004B6C8A"/>
    <w:rsid w:val="004B6D61"/>
    <w:rsid w:val="004B6D71"/>
    <w:rsid w:val="004B6E9C"/>
    <w:rsid w:val="004B7176"/>
    <w:rsid w:val="004B7476"/>
    <w:rsid w:val="004B7D57"/>
    <w:rsid w:val="004C051F"/>
    <w:rsid w:val="004C05E8"/>
    <w:rsid w:val="004C069D"/>
    <w:rsid w:val="004C074A"/>
    <w:rsid w:val="004C08C7"/>
    <w:rsid w:val="004C0979"/>
    <w:rsid w:val="004C11E9"/>
    <w:rsid w:val="004C1292"/>
    <w:rsid w:val="004C13BC"/>
    <w:rsid w:val="004C1536"/>
    <w:rsid w:val="004C170B"/>
    <w:rsid w:val="004C1739"/>
    <w:rsid w:val="004C18D1"/>
    <w:rsid w:val="004C18D3"/>
    <w:rsid w:val="004C1DB7"/>
    <w:rsid w:val="004C2194"/>
    <w:rsid w:val="004C21EC"/>
    <w:rsid w:val="004C2615"/>
    <w:rsid w:val="004C275F"/>
    <w:rsid w:val="004C287B"/>
    <w:rsid w:val="004C2C91"/>
    <w:rsid w:val="004C2DE3"/>
    <w:rsid w:val="004C2F29"/>
    <w:rsid w:val="004C3350"/>
    <w:rsid w:val="004C3750"/>
    <w:rsid w:val="004C39E5"/>
    <w:rsid w:val="004C3AA9"/>
    <w:rsid w:val="004C3BB5"/>
    <w:rsid w:val="004C3D76"/>
    <w:rsid w:val="004C3D9B"/>
    <w:rsid w:val="004C4513"/>
    <w:rsid w:val="004C478C"/>
    <w:rsid w:val="004C4853"/>
    <w:rsid w:val="004C514E"/>
    <w:rsid w:val="004C5295"/>
    <w:rsid w:val="004C5406"/>
    <w:rsid w:val="004C5478"/>
    <w:rsid w:val="004C5633"/>
    <w:rsid w:val="004C622C"/>
    <w:rsid w:val="004C63A3"/>
    <w:rsid w:val="004C67F5"/>
    <w:rsid w:val="004C696C"/>
    <w:rsid w:val="004C7332"/>
    <w:rsid w:val="004C73FE"/>
    <w:rsid w:val="004C78CF"/>
    <w:rsid w:val="004C7AD0"/>
    <w:rsid w:val="004D017F"/>
    <w:rsid w:val="004D0397"/>
    <w:rsid w:val="004D0C9A"/>
    <w:rsid w:val="004D0E2D"/>
    <w:rsid w:val="004D0E68"/>
    <w:rsid w:val="004D1116"/>
    <w:rsid w:val="004D1361"/>
    <w:rsid w:val="004D1529"/>
    <w:rsid w:val="004D159E"/>
    <w:rsid w:val="004D160F"/>
    <w:rsid w:val="004D19B7"/>
    <w:rsid w:val="004D19C3"/>
    <w:rsid w:val="004D1D23"/>
    <w:rsid w:val="004D20FD"/>
    <w:rsid w:val="004D2460"/>
    <w:rsid w:val="004D2475"/>
    <w:rsid w:val="004D2493"/>
    <w:rsid w:val="004D27BC"/>
    <w:rsid w:val="004D2AD3"/>
    <w:rsid w:val="004D2B44"/>
    <w:rsid w:val="004D2C2A"/>
    <w:rsid w:val="004D32EA"/>
    <w:rsid w:val="004D34D6"/>
    <w:rsid w:val="004D35F6"/>
    <w:rsid w:val="004D38AF"/>
    <w:rsid w:val="004D38E1"/>
    <w:rsid w:val="004D3961"/>
    <w:rsid w:val="004D3C12"/>
    <w:rsid w:val="004D4740"/>
    <w:rsid w:val="004D47DD"/>
    <w:rsid w:val="004D4951"/>
    <w:rsid w:val="004D495A"/>
    <w:rsid w:val="004D4D36"/>
    <w:rsid w:val="004D4D80"/>
    <w:rsid w:val="004D4F37"/>
    <w:rsid w:val="004D4F9A"/>
    <w:rsid w:val="004D519F"/>
    <w:rsid w:val="004D53B7"/>
    <w:rsid w:val="004D554E"/>
    <w:rsid w:val="004D555E"/>
    <w:rsid w:val="004D5BBF"/>
    <w:rsid w:val="004D5D4C"/>
    <w:rsid w:val="004D5F2C"/>
    <w:rsid w:val="004D6A36"/>
    <w:rsid w:val="004D6AED"/>
    <w:rsid w:val="004D6D8B"/>
    <w:rsid w:val="004D73E5"/>
    <w:rsid w:val="004D79E3"/>
    <w:rsid w:val="004D7A4E"/>
    <w:rsid w:val="004D7B2E"/>
    <w:rsid w:val="004D7EFC"/>
    <w:rsid w:val="004D7F35"/>
    <w:rsid w:val="004E0101"/>
    <w:rsid w:val="004E0174"/>
    <w:rsid w:val="004E01A4"/>
    <w:rsid w:val="004E0227"/>
    <w:rsid w:val="004E0248"/>
    <w:rsid w:val="004E0295"/>
    <w:rsid w:val="004E03C0"/>
    <w:rsid w:val="004E04B3"/>
    <w:rsid w:val="004E07B4"/>
    <w:rsid w:val="004E0874"/>
    <w:rsid w:val="004E088C"/>
    <w:rsid w:val="004E1234"/>
    <w:rsid w:val="004E12B4"/>
    <w:rsid w:val="004E12D2"/>
    <w:rsid w:val="004E1774"/>
    <w:rsid w:val="004E19E1"/>
    <w:rsid w:val="004E1B95"/>
    <w:rsid w:val="004E1CBA"/>
    <w:rsid w:val="004E1EF7"/>
    <w:rsid w:val="004E1F97"/>
    <w:rsid w:val="004E2A99"/>
    <w:rsid w:val="004E2C28"/>
    <w:rsid w:val="004E2CB0"/>
    <w:rsid w:val="004E2F39"/>
    <w:rsid w:val="004E3073"/>
    <w:rsid w:val="004E3693"/>
    <w:rsid w:val="004E36E0"/>
    <w:rsid w:val="004E39E8"/>
    <w:rsid w:val="004E3A6C"/>
    <w:rsid w:val="004E3B21"/>
    <w:rsid w:val="004E3D22"/>
    <w:rsid w:val="004E3F0B"/>
    <w:rsid w:val="004E46D0"/>
    <w:rsid w:val="004E4D8C"/>
    <w:rsid w:val="004E5642"/>
    <w:rsid w:val="004E5644"/>
    <w:rsid w:val="004E5AE8"/>
    <w:rsid w:val="004E5F55"/>
    <w:rsid w:val="004E606B"/>
    <w:rsid w:val="004E6098"/>
    <w:rsid w:val="004E6906"/>
    <w:rsid w:val="004E6D37"/>
    <w:rsid w:val="004E6D5D"/>
    <w:rsid w:val="004E70D2"/>
    <w:rsid w:val="004E7230"/>
    <w:rsid w:val="004E7233"/>
    <w:rsid w:val="004E794B"/>
    <w:rsid w:val="004E7C84"/>
    <w:rsid w:val="004E7C9A"/>
    <w:rsid w:val="004E7DE4"/>
    <w:rsid w:val="004E7E48"/>
    <w:rsid w:val="004F0441"/>
    <w:rsid w:val="004F047F"/>
    <w:rsid w:val="004F12DA"/>
    <w:rsid w:val="004F136C"/>
    <w:rsid w:val="004F1AF5"/>
    <w:rsid w:val="004F1C2A"/>
    <w:rsid w:val="004F2538"/>
    <w:rsid w:val="004F2A0B"/>
    <w:rsid w:val="004F2E04"/>
    <w:rsid w:val="004F30D8"/>
    <w:rsid w:val="004F35CA"/>
    <w:rsid w:val="004F368C"/>
    <w:rsid w:val="004F3B43"/>
    <w:rsid w:val="004F4355"/>
    <w:rsid w:val="004F4425"/>
    <w:rsid w:val="004F44C1"/>
    <w:rsid w:val="004F4521"/>
    <w:rsid w:val="004F484A"/>
    <w:rsid w:val="004F49CD"/>
    <w:rsid w:val="004F4DF3"/>
    <w:rsid w:val="004F4E27"/>
    <w:rsid w:val="004F511F"/>
    <w:rsid w:val="004F52C8"/>
    <w:rsid w:val="004F5388"/>
    <w:rsid w:val="004F55C7"/>
    <w:rsid w:val="004F590F"/>
    <w:rsid w:val="004F5DDB"/>
    <w:rsid w:val="004F5EAF"/>
    <w:rsid w:val="004F6350"/>
    <w:rsid w:val="004F63B4"/>
    <w:rsid w:val="004F6942"/>
    <w:rsid w:val="004F6B19"/>
    <w:rsid w:val="004F6E06"/>
    <w:rsid w:val="004F70DD"/>
    <w:rsid w:val="004F72A9"/>
    <w:rsid w:val="004F73D3"/>
    <w:rsid w:val="004F77C4"/>
    <w:rsid w:val="004F7957"/>
    <w:rsid w:val="004F7A6E"/>
    <w:rsid w:val="004F7EA3"/>
    <w:rsid w:val="0050039C"/>
    <w:rsid w:val="00500AE7"/>
    <w:rsid w:val="00500C9F"/>
    <w:rsid w:val="00500E1F"/>
    <w:rsid w:val="00501121"/>
    <w:rsid w:val="005017E5"/>
    <w:rsid w:val="0050191B"/>
    <w:rsid w:val="005019BB"/>
    <w:rsid w:val="00501CAA"/>
    <w:rsid w:val="00501DFF"/>
    <w:rsid w:val="005021C0"/>
    <w:rsid w:val="005022A2"/>
    <w:rsid w:val="00502DA2"/>
    <w:rsid w:val="00502E06"/>
    <w:rsid w:val="00503FD2"/>
    <w:rsid w:val="00504253"/>
    <w:rsid w:val="0050427A"/>
    <w:rsid w:val="005045CC"/>
    <w:rsid w:val="0050507E"/>
    <w:rsid w:val="005051AF"/>
    <w:rsid w:val="00505A1B"/>
    <w:rsid w:val="00505D1B"/>
    <w:rsid w:val="00505F30"/>
    <w:rsid w:val="00506398"/>
    <w:rsid w:val="00506979"/>
    <w:rsid w:val="00506D3C"/>
    <w:rsid w:val="0050730C"/>
    <w:rsid w:val="00507367"/>
    <w:rsid w:val="005073DE"/>
    <w:rsid w:val="0050795F"/>
    <w:rsid w:val="00507A2D"/>
    <w:rsid w:val="005102AA"/>
    <w:rsid w:val="005104B8"/>
    <w:rsid w:val="00510EA2"/>
    <w:rsid w:val="00511003"/>
    <w:rsid w:val="00511314"/>
    <w:rsid w:val="005113D7"/>
    <w:rsid w:val="00511596"/>
    <w:rsid w:val="00511745"/>
    <w:rsid w:val="00511BBA"/>
    <w:rsid w:val="00511C02"/>
    <w:rsid w:val="005124C5"/>
    <w:rsid w:val="00512BDC"/>
    <w:rsid w:val="00512D2B"/>
    <w:rsid w:val="00512E1D"/>
    <w:rsid w:val="0051310F"/>
    <w:rsid w:val="0051346E"/>
    <w:rsid w:val="00513664"/>
    <w:rsid w:val="00513700"/>
    <w:rsid w:val="00513789"/>
    <w:rsid w:val="00513981"/>
    <w:rsid w:val="00513B73"/>
    <w:rsid w:val="00513DE2"/>
    <w:rsid w:val="00513F01"/>
    <w:rsid w:val="00513F78"/>
    <w:rsid w:val="0051406E"/>
    <w:rsid w:val="0051423C"/>
    <w:rsid w:val="0051427D"/>
    <w:rsid w:val="0051427F"/>
    <w:rsid w:val="005148DC"/>
    <w:rsid w:val="0051496E"/>
    <w:rsid w:val="005149CA"/>
    <w:rsid w:val="00514B7A"/>
    <w:rsid w:val="00514C79"/>
    <w:rsid w:val="00514EC4"/>
    <w:rsid w:val="0051503C"/>
    <w:rsid w:val="005150A6"/>
    <w:rsid w:val="00515137"/>
    <w:rsid w:val="005151E7"/>
    <w:rsid w:val="0051524E"/>
    <w:rsid w:val="00515503"/>
    <w:rsid w:val="00515635"/>
    <w:rsid w:val="0051586E"/>
    <w:rsid w:val="00515A52"/>
    <w:rsid w:val="005163D1"/>
    <w:rsid w:val="0051683D"/>
    <w:rsid w:val="005168AC"/>
    <w:rsid w:val="0051709D"/>
    <w:rsid w:val="005177D9"/>
    <w:rsid w:val="00517DAE"/>
    <w:rsid w:val="005200CB"/>
    <w:rsid w:val="005207E7"/>
    <w:rsid w:val="005209E8"/>
    <w:rsid w:val="00520E2E"/>
    <w:rsid w:val="00521567"/>
    <w:rsid w:val="00521669"/>
    <w:rsid w:val="005223E8"/>
    <w:rsid w:val="00522478"/>
    <w:rsid w:val="00522778"/>
    <w:rsid w:val="00522A8F"/>
    <w:rsid w:val="00522AC2"/>
    <w:rsid w:val="00522BA8"/>
    <w:rsid w:val="00522CEC"/>
    <w:rsid w:val="00522DA1"/>
    <w:rsid w:val="00523180"/>
    <w:rsid w:val="0052328F"/>
    <w:rsid w:val="005235D0"/>
    <w:rsid w:val="00523BA7"/>
    <w:rsid w:val="00523D41"/>
    <w:rsid w:val="00523F8E"/>
    <w:rsid w:val="00523F98"/>
    <w:rsid w:val="0052429A"/>
    <w:rsid w:val="00524485"/>
    <w:rsid w:val="0052534A"/>
    <w:rsid w:val="00525437"/>
    <w:rsid w:val="00525487"/>
    <w:rsid w:val="005255CC"/>
    <w:rsid w:val="005259D0"/>
    <w:rsid w:val="00525C79"/>
    <w:rsid w:val="00526202"/>
    <w:rsid w:val="0052643D"/>
    <w:rsid w:val="00526508"/>
    <w:rsid w:val="005266A3"/>
    <w:rsid w:val="00526A4C"/>
    <w:rsid w:val="00526E84"/>
    <w:rsid w:val="00527682"/>
    <w:rsid w:val="005277A3"/>
    <w:rsid w:val="005278FD"/>
    <w:rsid w:val="005279BF"/>
    <w:rsid w:val="005301EE"/>
    <w:rsid w:val="005304C6"/>
    <w:rsid w:val="005306DB"/>
    <w:rsid w:val="005307AA"/>
    <w:rsid w:val="00530C12"/>
    <w:rsid w:val="00530F70"/>
    <w:rsid w:val="00531497"/>
    <w:rsid w:val="005314BC"/>
    <w:rsid w:val="00531912"/>
    <w:rsid w:val="00531A8E"/>
    <w:rsid w:val="00531C9E"/>
    <w:rsid w:val="00531F63"/>
    <w:rsid w:val="005320CE"/>
    <w:rsid w:val="00532302"/>
    <w:rsid w:val="00532317"/>
    <w:rsid w:val="0053248E"/>
    <w:rsid w:val="0053304E"/>
    <w:rsid w:val="00533243"/>
    <w:rsid w:val="00533561"/>
    <w:rsid w:val="005338BC"/>
    <w:rsid w:val="00533F36"/>
    <w:rsid w:val="0053496C"/>
    <w:rsid w:val="00534D3B"/>
    <w:rsid w:val="00534D81"/>
    <w:rsid w:val="00534F2E"/>
    <w:rsid w:val="00535811"/>
    <w:rsid w:val="00535C69"/>
    <w:rsid w:val="00535CB0"/>
    <w:rsid w:val="00535E64"/>
    <w:rsid w:val="005362D2"/>
    <w:rsid w:val="00536548"/>
    <w:rsid w:val="00536DA7"/>
    <w:rsid w:val="005371A2"/>
    <w:rsid w:val="0053745B"/>
    <w:rsid w:val="0053781C"/>
    <w:rsid w:val="00537855"/>
    <w:rsid w:val="00537A16"/>
    <w:rsid w:val="00537C65"/>
    <w:rsid w:val="00537CFF"/>
    <w:rsid w:val="00537F86"/>
    <w:rsid w:val="005403F5"/>
    <w:rsid w:val="0054070F"/>
    <w:rsid w:val="00540788"/>
    <w:rsid w:val="00540861"/>
    <w:rsid w:val="00540878"/>
    <w:rsid w:val="00540C37"/>
    <w:rsid w:val="00540EE5"/>
    <w:rsid w:val="0054126E"/>
    <w:rsid w:val="0054134B"/>
    <w:rsid w:val="005413CF"/>
    <w:rsid w:val="005414D2"/>
    <w:rsid w:val="005416DA"/>
    <w:rsid w:val="0054170E"/>
    <w:rsid w:val="00541911"/>
    <w:rsid w:val="00541993"/>
    <w:rsid w:val="005419D2"/>
    <w:rsid w:val="00541A0E"/>
    <w:rsid w:val="00541B9A"/>
    <w:rsid w:val="0054204D"/>
    <w:rsid w:val="005420D2"/>
    <w:rsid w:val="00542418"/>
    <w:rsid w:val="0054256C"/>
    <w:rsid w:val="005428C1"/>
    <w:rsid w:val="00542A96"/>
    <w:rsid w:val="00542C82"/>
    <w:rsid w:val="00542EFE"/>
    <w:rsid w:val="00542F8A"/>
    <w:rsid w:val="0054313D"/>
    <w:rsid w:val="005432EE"/>
    <w:rsid w:val="0054346F"/>
    <w:rsid w:val="00543644"/>
    <w:rsid w:val="00543CAB"/>
    <w:rsid w:val="0054405E"/>
    <w:rsid w:val="005443CB"/>
    <w:rsid w:val="005445E0"/>
    <w:rsid w:val="005445F0"/>
    <w:rsid w:val="005448EC"/>
    <w:rsid w:val="00544B46"/>
    <w:rsid w:val="00544C9C"/>
    <w:rsid w:val="00544DD9"/>
    <w:rsid w:val="005455AD"/>
    <w:rsid w:val="00545608"/>
    <w:rsid w:val="005459B3"/>
    <w:rsid w:val="00545C8C"/>
    <w:rsid w:val="00546517"/>
    <w:rsid w:val="00546612"/>
    <w:rsid w:val="00546D5F"/>
    <w:rsid w:val="00547065"/>
    <w:rsid w:val="00547156"/>
    <w:rsid w:val="0054731D"/>
    <w:rsid w:val="0054757B"/>
    <w:rsid w:val="005478AA"/>
    <w:rsid w:val="00547AC2"/>
    <w:rsid w:val="00547BD5"/>
    <w:rsid w:val="005501E1"/>
    <w:rsid w:val="005502D8"/>
    <w:rsid w:val="00550314"/>
    <w:rsid w:val="005507A9"/>
    <w:rsid w:val="00550C4F"/>
    <w:rsid w:val="0055125F"/>
    <w:rsid w:val="0055138E"/>
    <w:rsid w:val="00551EBC"/>
    <w:rsid w:val="00551ED7"/>
    <w:rsid w:val="00551EF4"/>
    <w:rsid w:val="005520D5"/>
    <w:rsid w:val="0055263D"/>
    <w:rsid w:val="005527B7"/>
    <w:rsid w:val="005529D7"/>
    <w:rsid w:val="00552A09"/>
    <w:rsid w:val="005533A9"/>
    <w:rsid w:val="005534C9"/>
    <w:rsid w:val="0055378E"/>
    <w:rsid w:val="00553D0E"/>
    <w:rsid w:val="00553F68"/>
    <w:rsid w:val="0055426E"/>
    <w:rsid w:val="00554DA8"/>
    <w:rsid w:val="00554FD2"/>
    <w:rsid w:val="00555017"/>
    <w:rsid w:val="0055514D"/>
    <w:rsid w:val="005551DE"/>
    <w:rsid w:val="00555665"/>
    <w:rsid w:val="0055570A"/>
    <w:rsid w:val="00555763"/>
    <w:rsid w:val="00555877"/>
    <w:rsid w:val="00555A58"/>
    <w:rsid w:val="00555A5B"/>
    <w:rsid w:val="00556000"/>
    <w:rsid w:val="00556426"/>
    <w:rsid w:val="005564FB"/>
    <w:rsid w:val="005568E4"/>
    <w:rsid w:val="00556AAF"/>
    <w:rsid w:val="00556C55"/>
    <w:rsid w:val="00556C83"/>
    <w:rsid w:val="005570A0"/>
    <w:rsid w:val="0055740D"/>
    <w:rsid w:val="00557583"/>
    <w:rsid w:val="0055760B"/>
    <w:rsid w:val="005577C1"/>
    <w:rsid w:val="00557967"/>
    <w:rsid w:val="0056010A"/>
    <w:rsid w:val="00560375"/>
    <w:rsid w:val="00560440"/>
    <w:rsid w:val="00560494"/>
    <w:rsid w:val="00560498"/>
    <w:rsid w:val="0056080B"/>
    <w:rsid w:val="0056088A"/>
    <w:rsid w:val="00560C7B"/>
    <w:rsid w:val="00560F76"/>
    <w:rsid w:val="0056127A"/>
    <w:rsid w:val="0056144C"/>
    <w:rsid w:val="0056165B"/>
    <w:rsid w:val="0056178F"/>
    <w:rsid w:val="00561AE6"/>
    <w:rsid w:val="005620B6"/>
    <w:rsid w:val="0056243C"/>
    <w:rsid w:val="0056250F"/>
    <w:rsid w:val="00562629"/>
    <w:rsid w:val="005627C5"/>
    <w:rsid w:val="00562831"/>
    <w:rsid w:val="00562A67"/>
    <w:rsid w:val="00562A70"/>
    <w:rsid w:val="00562DA7"/>
    <w:rsid w:val="0056302C"/>
    <w:rsid w:val="0056313E"/>
    <w:rsid w:val="005635CB"/>
    <w:rsid w:val="00563797"/>
    <w:rsid w:val="00563C43"/>
    <w:rsid w:val="00563E7D"/>
    <w:rsid w:val="005641D1"/>
    <w:rsid w:val="00564D8C"/>
    <w:rsid w:val="00564E27"/>
    <w:rsid w:val="00565306"/>
    <w:rsid w:val="005654DB"/>
    <w:rsid w:val="00565766"/>
    <w:rsid w:val="005659BD"/>
    <w:rsid w:val="00565B0D"/>
    <w:rsid w:val="00565C10"/>
    <w:rsid w:val="0056603A"/>
    <w:rsid w:val="005661AD"/>
    <w:rsid w:val="005668EA"/>
    <w:rsid w:val="005672E2"/>
    <w:rsid w:val="00567634"/>
    <w:rsid w:val="005676DB"/>
    <w:rsid w:val="005678EA"/>
    <w:rsid w:val="00567B72"/>
    <w:rsid w:val="00567E7C"/>
    <w:rsid w:val="005701D6"/>
    <w:rsid w:val="00571089"/>
    <w:rsid w:val="005711A7"/>
    <w:rsid w:val="00571BCE"/>
    <w:rsid w:val="00571DF8"/>
    <w:rsid w:val="005722F7"/>
    <w:rsid w:val="00572313"/>
    <w:rsid w:val="005725E0"/>
    <w:rsid w:val="0057261A"/>
    <w:rsid w:val="0057270F"/>
    <w:rsid w:val="00572722"/>
    <w:rsid w:val="00572844"/>
    <w:rsid w:val="00572CC0"/>
    <w:rsid w:val="005732E6"/>
    <w:rsid w:val="0057341E"/>
    <w:rsid w:val="00573511"/>
    <w:rsid w:val="005737E0"/>
    <w:rsid w:val="005738F7"/>
    <w:rsid w:val="005745D5"/>
    <w:rsid w:val="00574716"/>
    <w:rsid w:val="0057491B"/>
    <w:rsid w:val="00574AC2"/>
    <w:rsid w:val="00574C36"/>
    <w:rsid w:val="005751A3"/>
    <w:rsid w:val="005757DA"/>
    <w:rsid w:val="00575B4B"/>
    <w:rsid w:val="00575DFE"/>
    <w:rsid w:val="005763D5"/>
    <w:rsid w:val="00576DC6"/>
    <w:rsid w:val="005773B2"/>
    <w:rsid w:val="0057781C"/>
    <w:rsid w:val="00577A86"/>
    <w:rsid w:val="00577B41"/>
    <w:rsid w:val="00577B51"/>
    <w:rsid w:val="00577B74"/>
    <w:rsid w:val="00577BBC"/>
    <w:rsid w:val="00577D93"/>
    <w:rsid w:val="00577E3D"/>
    <w:rsid w:val="005803D4"/>
    <w:rsid w:val="0058068C"/>
    <w:rsid w:val="005806A9"/>
    <w:rsid w:val="005809A2"/>
    <w:rsid w:val="00580D63"/>
    <w:rsid w:val="00581428"/>
    <w:rsid w:val="00581A39"/>
    <w:rsid w:val="00582E02"/>
    <w:rsid w:val="00583074"/>
    <w:rsid w:val="005830D6"/>
    <w:rsid w:val="005841AA"/>
    <w:rsid w:val="0058445E"/>
    <w:rsid w:val="005844DC"/>
    <w:rsid w:val="00584805"/>
    <w:rsid w:val="00584A36"/>
    <w:rsid w:val="00584F1F"/>
    <w:rsid w:val="0058515F"/>
    <w:rsid w:val="0058538D"/>
    <w:rsid w:val="005855FE"/>
    <w:rsid w:val="0058565F"/>
    <w:rsid w:val="00585DDE"/>
    <w:rsid w:val="00585E52"/>
    <w:rsid w:val="00586094"/>
    <w:rsid w:val="0058626B"/>
    <w:rsid w:val="00586570"/>
    <w:rsid w:val="0058660E"/>
    <w:rsid w:val="005866BF"/>
    <w:rsid w:val="005867C7"/>
    <w:rsid w:val="00586B77"/>
    <w:rsid w:val="00586B8C"/>
    <w:rsid w:val="00586E4E"/>
    <w:rsid w:val="00587318"/>
    <w:rsid w:val="0058736B"/>
    <w:rsid w:val="005874D1"/>
    <w:rsid w:val="005875E0"/>
    <w:rsid w:val="0058785F"/>
    <w:rsid w:val="00587AB0"/>
    <w:rsid w:val="00587B2B"/>
    <w:rsid w:val="00587CA0"/>
    <w:rsid w:val="00590033"/>
    <w:rsid w:val="005906A3"/>
    <w:rsid w:val="00590884"/>
    <w:rsid w:val="00591080"/>
    <w:rsid w:val="0059112F"/>
    <w:rsid w:val="005914FE"/>
    <w:rsid w:val="0059173F"/>
    <w:rsid w:val="0059179A"/>
    <w:rsid w:val="00591962"/>
    <w:rsid w:val="005919EC"/>
    <w:rsid w:val="00591A1E"/>
    <w:rsid w:val="00591FC7"/>
    <w:rsid w:val="0059314F"/>
    <w:rsid w:val="00593A9F"/>
    <w:rsid w:val="00593D09"/>
    <w:rsid w:val="00593FA4"/>
    <w:rsid w:val="005943F4"/>
    <w:rsid w:val="005946C8"/>
    <w:rsid w:val="00594A8A"/>
    <w:rsid w:val="00594AEE"/>
    <w:rsid w:val="00594EDA"/>
    <w:rsid w:val="0059500B"/>
    <w:rsid w:val="005955A7"/>
    <w:rsid w:val="00595A92"/>
    <w:rsid w:val="00595C18"/>
    <w:rsid w:val="00595D0E"/>
    <w:rsid w:val="00596167"/>
    <w:rsid w:val="0059683F"/>
    <w:rsid w:val="00596922"/>
    <w:rsid w:val="0059699C"/>
    <w:rsid w:val="005969D8"/>
    <w:rsid w:val="00596B41"/>
    <w:rsid w:val="00596B5B"/>
    <w:rsid w:val="00596D2F"/>
    <w:rsid w:val="005970D6"/>
    <w:rsid w:val="00597193"/>
    <w:rsid w:val="005973C6"/>
    <w:rsid w:val="00597465"/>
    <w:rsid w:val="0059749C"/>
    <w:rsid w:val="005979B9"/>
    <w:rsid w:val="00597B43"/>
    <w:rsid w:val="00597CA7"/>
    <w:rsid w:val="005A024D"/>
    <w:rsid w:val="005A050F"/>
    <w:rsid w:val="005A0805"/>
    <w:rsid w:val="005A1167"/>
    <w:rsid w:val="005A13A4"/>
    <w:rsid w:val="005A1456"/>
    <w:rsid w:val="005A157F"/>
    <w:rsid w:val="005A15F6"/>
    <w:rsid w:val="005A1A3B"/>
    <w:rsid w:val="005A1BDF"/>
    <w:rsid w:val="005A21B6"/>
    <w:rsid w:val="005A25D3"/>
    <w:rsid w:val="005A2970"/>
    <w:rsid w:val="005A2B70"/>
    <w:rsid w:val="005A2C03"/>
    <w:rsid w:val="005A2DD4"/>
    <w:rsid w:val="005A3662"/>
    <w:rsid w:val="005A3964"/>
    <w:rsid w:val="005A3ACD"/>
    <w:rsid w:val="005A4107"/>
    <w:rsid w:val="005A4552"/>
    <w:rsid w:val="005A4761"/>
    <w:rsid w:val="005A4B9B"/>
    <w:rsid w:val="005A4BF8"/>
    <w:rsid w:val="005A5469"/>
    <w:rsid w:val="005A5478"/>
    <w:rsid w:val="005A5538"/>
    <w:rsid w:val="005A5BCB"/>
    <w:rsid w:val="005A62DC"/>
    <w:rsid w:val="005A6831"/>
    <w:rsid w:val="005A6C50"/>
    <w:rsid w:val="005A7090"/>
    <w:rsid w:val="005A7241"/>
    <w:rsid w:val="005A732C"/>
    <w:rsid w:val="005A7347"/>
    <w:rsid w:val="005A749F"/>
    <w:rsid w:val="005A78BE"/>
    <w:rsid w:val="005A79AD"/>
    <w:rsid w:val="005A7CCB"/>
    <w:rsid w:val="005B016F"/>
    <w:rsid w:val="005B0B5C"/>
    <w:rsid w:val="005B0BC0"/>
    <w:rsid w:val="005B0F64"/>
    <w:rsid w:val="005B1517"/>
    <w:rsid w:val="005B1745"/>
    <w:rsid w:val="005B183A"/>
    <w:rsid w:val="005B2020"/>
    <w:rsid w:val="005B234A"/>
    <w:rsid w:val="005B2DD0"/>
    <w:rsid w:val="005B3159"/>
    <w:rsid w:val="005B34C0"/>
    <w:rsid w:val="005B34E7"/>
    <w:rsid w:val="005B36D3"/>
    <w:rsid w:val="005B390B"/>
    <w:rsid w:val="005B4125"/>
    <w:rsid w:val="005B41C3"/>
    <w:rsid w:val="005B42C4"/>
    <w:rsid w:val="005B478E"/>
    <w:rsid w:val="005B4D43"/>
    <w:rsid w:val="005B4D9B"/>
    <w:rsid w:val="005B5569"/>
    <w:rsid w:val="005B5A68"/>
    <w:rsid w:val="005B5AF8"/>
    <w:rsid w:val="005B5C8C"/>
    <w:rsid w:val="005B5E29"/>
    <w:rsid w:val="005B5EB9"/>
    <w:rsid w:val="005B611C"/>
    <w:rsid w:val="005B62E4"/>
    <w:rsid w:val="005B6457"/>
    <w:rsid w:val="005B6931"/>
    <w:rsid w:val="005B6A6C"/>
    <w:rsid w:val="005B6DF5"/>
    <w:rsid w:val="005B7194"/>
    <w:rsid w:val="005B7547"/>
    <w:rsid w:val="005B761C"/>
    <w:rsid w:val="005B763E"/>
    <w:rsid w:val="005B7C8D"/>
    <w:rsid w:val="005B7E72"/>
    <w:rsid w:val="005B7F65"/>
    <w:rsid w:val="005C0058"/>
    <w:rsid w:val="005C0303"/>
    <w:rsid w:val="005C040E"/>
    <w:rsid w:val="005C0A1B"/>
    <w:rsid w:val="005C0DC6"/>
    <w:rsid w:val="005C0F75"/>
    <w:rsid w:val="005C0FC2"/>
    <w:rsid w:val="005C1204"/>
    <w:rsid w:val="005C125A"/>
    <w:rsid w:val="005C15DC"/>
    <w:rsid w:val="005C1932"/>
    <w:rsid w:val="005C1A50"/>
    <w:rsid w:val="005C1F01"/>
    <w:rsid w:val="005C1F46"/>
    <w:rsid w:val="005C2F59"/>
    <w:rsid w:val="005C368F"/>
    <w:rsid w:val="005C39BE"/>
    <w:rsid w:val="005C3B5F"/>
    <w:rsid w:val="005C408B"/>
    <w:rsid w:val="005C431D"/>
    <w:rsid w:val="005C4459"/>
    <w:rsid w:val="005C4738"/>
    <w:rsid w:val="005C4A3F"/>
    <w:rsid w:val="005C4B45"/>
    <w:rsid w:val="005C4BD5"/>
    <w:rsid w:val="005C4DA7"/>
    <w:rsid w:val="005C5348"/>
    <w:rsid w:val="005C5543"/>
    <w:rsid w:val="005C56AC"/>
    <w:rsid w:val="005C5844"/>
    <w:rsid w:val="005C5A5D"/>
    <w:rsid w:val="005C5C22"/>
    <w:rsid w:val="005C5EF0"/>
    <w:rsid w:val="005C698E"/>
    <w:rsid w:val="005C6D15"/>
    <w:rsid w:val="005C6DC1"/>
    <w:rsid w:val="005C75D4"/>
    <w:rsid w:val="005C781D"/>
    <w:rsid w:val="005C7954"/>
    <w:rsid w:val="005D025D"/>
    <w:rsid w:val="005D05A9"/>
    <w:rsid w:val="005D068C"/>
    <w:rsid w:val="005D0799"/>
    <w:rsid w:val="005D0859"/>
    <w:rsid w:val="005D0B95"/>
    <w:rsid w:val="005D0C81"/>
    <w:rsid w:val="005D0F07"/>
    <w:rsid w:val="005D1211"/>
    <w:rsid w:val="005D133A"/>
    <w:rsid w:val="005D18B0"/>
    <w:rsid w:val="005D1970"/>
    <w:rsid w:val="005D1A26"/>
    <w:rsid w:val="005D1A79"/>
    <w:rsid w:val="005D1A8C"/>
    <w:rsid w:val="005D1CE1"/>
    <w:rsid w:val="005D2131"/>
    <w:rsid w:val="005D22EF"/>
    <w:rsid w:val="005D27C8"/>
    <w:rsid w:val="005D2977"/>
    <w:rsid w:val="005D2C21"/>
    <w:rsid w:val="005D3359"/>
    <w:rsid w:val="005D405A"/>
    <w:rsid w:val="005D44FA"/>
    <w:rsid w:val="005D49EA"/>
    <w:rsid w:val="005D4B6E"/>
    <w:rsid w:val="005D4CBA"/>
    <w:rsid w:val="005D4D17"/>
    <w:rsid w:val="005D505D"/>
    <w:rsid w:val="005D545F"/>
    <w:rsid w:val="005D547A"/>
    <w:rsid w:val="005D5A14"/>
    <w:rsid w:val="005D5CB1"/>
    <w:rsid w:val="005D5F04"/>
    <w:rsid w:val="005D5FFA"/>
    <w:rsid w:val="005D67A7"/>
    <w:rsid w:val="005D6C9F"/>
    <w:rsid w:val="005D6D9B"/>
    <w:rsid w:val="005D6ED4"/>
    <w:rsid w:val="005D6F7D"/>
    <w:rsid w:val="005D76CD"/>
    <w:rsid w:val="005D7C66"/>
    <w:rsid w:val="005D7DAB"/>
    <w:rsid w:val="005D7DB6"/>
    <w:rsid w:val="005E0038"/>
    <w:rsid w:val="005E03A8"/>
    <w:rsid w:val="005E0848"/>
    <w:rsid w:val="005E098F"/>
    <w:rsid w:val="005E0ACA"/>
    <w:rsid w:val="005E0B4F"/>
    <w:rsid w:val="005E0C98"/>
    <w:rsid w:val="005E0CF1"/>
    <w:rsid w:val="005E0E80"/>
    <w:rsid w:val="005E1555"/>
    <w:rsid w:val="005E1C4C"/>
    <w:rsid w:val="005E1D63"/>
    <w:rsid w:val="005E1DA8"/>
    <w:rsid w:val="005E1F51"/>
    <w:rsid w:val="005E24E4"/>
    <w:rsid w:val="005E2592"/>
    <w:rsid w:val="005E2698"/>
    <w:rsid w:val="005E2AD5"/>
    <w:rsid w:val="005E3051"/>
    <w:rsid w:val="005E3177"/>
    <w:rsid w:val="005E3505"/>
    <w:rsid w:val="005E3777"/>
    <w:rsid w:val="005E3836"/>
    <w:rsid w:val="005E4248"/>
    <w:rsid w:val="005E4435"/>
    <w:rsid w:val="005E462D"/>
    <w:rsid w:val="005E4A3F"/>
    <w:rsid w:val="005E4FFF"/>
    <w:rsid w:val="005E522C"/>
    <w:rsid w:val="005E56B3"/>
    <w:rsid w:val="005E6179"/>
    <w:rsid w:val="005E6225"/>
    <w:rsid w:val="005E664C"/>
    <w:rsid w:val="005E6C21"/>
    <w:rsid w:val="005E6DB5"/>
    <w:rsid w:val="005E718B"/>
    <w:rsid w:val="005E7692"/>
    <w:rsid w:val="005E76F2"/>
    <w:rsid w:val="005E7742"/>
    <w:rsid w:val="005E7B02"/>
    <w:rsid w:val="005F02B9"/>
    <w:rsid w:val="005F0696"/>
    <w:rsid w:val="005F06F4"/>
    <w:rsid w:val="005F0C85"/>
    <w:rsid w:val="005F0E80"/>
    <w:rsid w:val="005F0EF8"/>
    <w:rsid w:val="005F1752"/>
    <w:rsid w:val="005F17EA"/>
    <w:rsid w:val="005F1F96"/>
    <w:rsid w:val="005F2387"/>
    <w:rsid w:val="005F2577"/>
    <w:rsid w:val="005F2A36"/>
    <w:rsid w:val="005F2BE3"/>
    <w:rsid w:val="005F2DB8"/>
    <w:rsid w:val="005F3250"/>
    <w:rsid w:val="005F3581"/>
    <w:rsid w:val="005F36C0"/>
    <w:rsid w:val="005F3770"/>
    <w:rsid w:val="005F396C"/>
    <w:rsid w:val="005F3985"/>
    <w:rsid w:val="005F3C50"/>
    <w:rsid w:val="005F3D80"/>
    <w:rsid w:val="005F3E34"/>
    <w:rsid w:val="005F3F78"/>
    <w:rsid w:val="005F445C"/>
    <w:rsid w:val="005F44D6"/>
    <w:rsid w:val="005F49A0"/>
    <w:rsid w:val="005F4B37"/>
    <w:rsid w:val="005F4BD6"/>
    <w:rsid w:val="005F4CC0"/>
    <w:rsid w:val="005F4D83"/>
    <w:rsid w:val="005F50FF"/>
    <w:rsid w:val="005F517E"/>
    <w:rsid w:val="005F5B55"/>
    <w:rsid w:val="005F5B5E"/>
    <w:rsid w:val="005F5D12"/>
    <w:rsid w:val="005F5E6E"/>
    <w:rsid w:val="005F5F31"/>
    <w:rsid w:val="005F634E"/>
    <w:rsid w:val="005F6386"/>
    <w:rsid w:val="005F650B"/>
    <w:rsid w:val="005F66ED"/>
    <w:rsid w:val="005F69B0"/>
    <w:rsid w:val="005F6C18"/>
    <w:rsid w:val="005F6D9F"/>
    <w:rsid w:val="005F6EE2"/>
    <w:rsid w:val="005F757F"/>
    <w:rsid w:val="005F7714"/>
    <w:rsid w:val="005F7A7E"/>
    <w:rsid w:val="00600078"/>
    <w:rsid w:val="0060013E"/>
    <w:rsid w:val="0060031B"/>
    <w:rsid w:val="0060089C"/>
    <w:rsid w:val="00600A21"/>
    <w:rsid w:val="00600A8F"/>
    <w:rsid w:val="00600C0C"/>
    <w:rsid w:val="00600C3D"/>
    <w:rsid w:val="00600C53"/>
    <w:rsid w:val="00600CEF"/>
    <w:rsid w:val="0060126B"/>
    <w:rsid w:val="0060133C"/>
    <w:rsid w:val="0060155E"/>
    <w:rsid w:val="00601834"/>
    <w:rsid w:val="00601B27"/>
    <w:rsid w:val="00601CE7"/>
    <w:rsid w:val="00601F54"/>
    <w:rsid w:val="00601F8B"/>
    <w:rsid w:val="00602349"/>
    <w:rsid w:val="0060288D"/>
    <w:rsid w:val="00602A31"/>
    <w:rsid w:val="00602EAD"/>
    <w:rsid w:val="006033CB"/>
    <w:rsid w:val="0060359B"/>
    <w:rsid w:val="00603828"/>
    <w:rsid w:val="00603B37"/>
    <w:rsid w:val="00603B65"/>
    <w:rsid w:val="006041D3"/>
    <w:rsid w:val="0060446D"/>
    <w:rsid w:val="00604514"/>
    <w:rsid w:val="006046DB"/>
    <w:rsid w:val="0060471F"/>
    <w:rsid w:val="006048B7"/>
    <w:rsid w:val="006048E6"/>
    <w:rsid w:val="00604AAD"/>
    <w:rsid w:val="00604B61"/>
    <w:rsid w:val="00604BA5"/>
    <w:rsid w:val="00604D34"/>
    <w:rsid w:val="00605000"/>
    <w:rsid w:val="0060508B"/>
    <w:rsid w:val="006051DC"/>
    <w:rsid w:val="00605480"/>
    <w:rsid w:val="006056BA"/>
    <w:rsid w:val="00605738"/>
    <w:rsid w:val="0060577F"/>
    <w:rsid w:val="00605C2A"/>
    <w:rsid w:val="00605FBB"/>
    <w:rsid w:val="006060A4"/>
    <w:rsid w:val="00606A34"/>
    <w:rsid w:val="00606A6C"/>
    <w:rsid w:val="00606C2B"/>
    <w:rsid w:val="00606F73"/>
    <w:rsid w:val="00607268"/>
    <w:rsid w:val="006072A2"/>
    <w:rsid w:val="006072FF"/>
    <w:rsid w:val="006076EA"/>
    <w:rsid w:val="00607800"/>
    <w:rsid w:val="006103E5"/>
    <w:rsid w:val="006104E0"/>
    <w:rsid w:val="0061053F"/>
    <w:rsid w:val="006107B9"/>
    <w:rsid w:val="00610AC4"/>
    <w:rsid w:val="00610C02"/>
    <w:rsid w:val="006118DC"/>
    <w:rsid w:val="00611F21"/>
    <w:rsid w:val="0061231E"/>
    <w:rsid w:val="00612B11"/>
    <w:rsid w:val="00612D22"/>
    <w:rsid w:val="006130D7"/>
    <w:rsid w:val="0061320C"/>
    <w:rsid w:val="00613343"/>
    <w:rsid w:val="0061346C"/>
    <w:rsid w:val="00613A34"/>
    <w:rsid w:val="00613BBA"/>
    <w:rsid w:val="00613CDA"/>
    <w:rsid w:val="00614023"/>
    <w:rsid w:val="00614125"/>
    <w:rsid w:val="00614268"/>
    <w:rsid w:val="006148B8"/>
    <w:rsid w:val="00614924"/>
    <w:rsid w:val="0061499C"/>
    <w:rsid w:val="00614CAD"/>
    <w:rsid w:val="00614CAE"/>
    <w:rsid w:val="00615049"/>
    <w:rsid w:val="00615252"/>
    <w:rsid w:val="0061533D"/>
    <w:rsid w:val="00615604"/>
    <w:rsid w:val="00616081"/>
    <w:rsid w:val="00616178"/>
    <w:rsid w:val="00616377"/>
    <w:rsid w:val="006164E6"/>
    <w:rsid w:val="006166B1"/>
    <w:rsid w:val="00616872"/>
    <w:rsid w:val="006168A6"/>
    <w:rsid w:val="00616B3D"/>
    <w:rsid w:val="00616C33"/>
    <w:rsid w:val="00616C52"/>
    <w:rsid w:val="00616E4D"/>
    <w:rsid w:val="006173E1"/>
    <w:rsid w:val="00617583"/>
    <w:rsid w:val="00620194"/>
    <w:rsid w:val="006207B0"/>
    <w:rsid w:val="00620DFA"/>
    <w:rsid w:val="0062124E"/>
    <w:rsid w:val="00621464"/>
    <w:rsid w:val="00621536"/>
    <w:rsid w:val="00621726"/>
    <w:rsid w:val="0062179F"/>
    <w:rsid w:val="00621CFC"/>
    <w:rsid w:val="00622016"/>
    <w:rsid w:val="0062205F"/>
    <w:rsid w:val="006223A5"/>
    <w:rsid w:val="0062245D"/>
    <w:rsid w:val="006227C0"/>
    <w:rsid w:val="00622C48"/>
    <w:rsid w:val="00622DE8"/>
    <w:rsid w:val="00622EA1"/>
    <w:rsid w:val="006232DF"/>
    <w:rsid w:val="0062350C"/>
    <w:rsid w:val="00623F5D"/>
    <w:rsid w:val="00624127"/>
    <w:rsid w:val="006243E5"/>
    <w:rsid w:val="00624571"/>
    <w:rsid w:val="00624699"/>
    <w:rsid w:val="00624875"/>
    <w:rsid w:val="00624DEB"/>
    <w:rsid w:val="00624E6E"/>
    <w:rsid w:val="0062554E"/>
    <w:rsid w:val="0062563D"/>
    <w:rsid w:val="006257D9"/>
    <w:rsid w:val="0062590A"/>
    <w:rsid w:val="00625F5F"/>
    <w:rsid w:val="00626777"/>
    <w:rsid w:val="00626C6F"/>
    <w:rsid w:val="00626FDF"/>
    <w:rsid w:val="0062720C"/>
    <w:rsid w:val="0062731A"/>
    <w:rsid w:val="006276C4"/>
    <w:rsid w:val="006278A7"/>
    <w:rsid w:val="00627A19"/>
    <w:rsid w:val="00627BB7"/>
    <w:rsid w:val="00627D64"/>
    <w:rsid w:val="00627F32"/>
    <w:rsid w:val="00627F35"/>
    <w:rsid w:val="0063025A"/>
    <w:rsid w:val="006305FB"/>
    <w:rsid w:val="006306C9"/>
    <w:rsid w:val="00630B0A"/>
    <w:rsid w:val="006312A4"/>
    <w:rsid w:val="006312F1"/>
    <w:rsid w:val="00631461"/>
    <w:rsid w:val="006315F4"/>
    <w:rsid w:val="00631743"/>
    <w:rsid w:val="006317D2"/>
    <w:rsid w:val="00631940"/>
    <w:rsid w:val="00631A77"/>
    <w:rsid w:val="00631ADE"/>
    <w:rsid w:val="00631B67"/>
    <w:rsid w:val="00631BF3"/>
    <w:rsid w:val="00631E05"/>
    <w:rsid w:val="00631E6E"/>
    <w:rsid w:val="00632199"/>
    <w:rsid w:val="0063219E"/>
    <w:rsid w:val="006325BE"/>
    <w:rsid w:val="00632B60"/>
    <w:rsid w:val="00632C7A"/>
    <w:rsid w:val="00632DDE"/>
    <w:rsid w:val="00633137"/>
    <w:rsid w:val="00633174"/>
    <w:rsid w:val="00633434"/>
    <w:rsid w:val="00633608"/>
    <w:rsid w:val="00633AF9"/>
    <w:rsid w:val="00633B91"/>
    <w:rsid w:val="00633C64"/>
    <w:rsid w:val="00633E57"/>
    <w:rsid w:val="006340CD"/>
    <w:rsid w:val="0063421C"/>
    <w:rsid w:val="00634F94"/>
    <w:rsid w:val="00635001"/>
    <w:rsid w:val="00635023"/>
    <w:rsid w:val="006351AD"/>
    <w:rsid w:val="006353F7"/>
    <w:rsid w:val="006355BC"/>
    <w:rsid w:val="006356D4"/>
    <w:rsid w:val="0063573B"/>
    <w:rsid w:val="006357CE"/>
    <w:rsid w:val="00635C26"/>
    <w:rsid w:val="00635EA9"/>
    <w:rsid w:val="00635F67"/>
    <w:rsid w:val="00636057"/>
    <w:rsid w:val="006363D0"/>
    <w:rsid w:val="00636636"/>
    <w:rsid w:val="0063682F"/>
    <w:rsid w:val="0063691F"/>
    <w:rsid w:val="00636EF5"/>
    <w:rsid w:val="006371D0"/>
    <w:rsid w:val="006372DF"/>
    <w:rsid w:val="00637456"/>
    <w:rsid w:val="006374DC"/>
    <w:rsid w:val="006374E9"/>
    <w:rsid w:val="00637572"/>
    <w:rsid w:val="0063760C"/>
    <w:rsid w:val="006377E4"/>
    <w:rsid w:val="00637BCC"/>
    <w:rsid w:val="00637D59"/>
    <w:rsid w:val="00637DA8"/>
    <w:rsid w:val="00640080"/>
    <w:rsid w:val="00640117"/>
    <w:rsid w:val="006405A1"/>
    <w:rsid w:val="006405C6"/>
    <w:rsid w:val="00640738"/>
    <w:rsid w:val="006409F3"/>
    <w:rsid w:val="00640A44"/>
    <w:rsid w:val="00640E5D"/>
    <w:rsid w:val="00640EDB"/>
    <w:rsid w:val="00641752"/>
    <w:rsid w:val="00641DAC"/>
    <w:rsid w:val="006425E8"/>
    <w:rsid w:val="0064267B"/>
    <w:rsid w:val="00642AC6"/>
    <w:rsid w:val="00642F3A"/>
    <w:rsid w:val="0064319E"/>
    <w:rsid w:val="006435F9"/>
    <w:rsid w:val="006436FB"/>
    <w:rsid w:val="0064380A"/>
    <w:rsid w:val="00643E42"/>
    <w:rsid w:val="00644077"/>
    <w:rsid w:val="00644B1B"/>
    <w:rsid w:val="00645037"/>
    <w:rsid w:val="006450B4"/>
    <w:rsid w:val="00645102"/>
    <w:rsid w:val="0064525F"/>
    <w:rsid w:val="006453F6"/>
    <w:rsid w:val="0064589B"/>
    <w:rsid w:val="006465FC"/>
    <w:rsid w:val="006467F3"/>
    <w:rsid w:val="00646BD8"/>
    <w:rsid w:val="00646D18"/>
    <w:rsid w:val="00646D1A"/>
    <w:rsid w:val="00646D5B"/>
    <w:rsid w:val="00646DAD"/>
    <w:rsid w:val="006474DB"/>
    <w:rsid w:val="00647526"/>
    <w:rsid w:val="0064768E"/>
    <w:rsid w:val="00647A95"/>
    <w:rsid w:val="00647B37"/>
    <w:rsid w:val="00647F7F"/>
    <w:rsid w:val="0065084E"/>
    <w:rsid w:val="00650E77"/>
    <w:rsid w:val="00650FF9"/>
    <w:rsid w:val="0065100E"/>
    <w:rsid w:val="0065142F"/>
    <w:rsid w:val="006517D3"/>
    <w:rsid w:val="00651D77"/>
    <w:rsid w:val="00651D8B"/>
    <w:rsid w:val="00651E1F"/>
    <w:rsid w:val="00651F09"/>
    <w:rsid w:val="0065207F"/>
    <w:rsid w:val="006522A5"/>
    <w:rsid w:val="0065233A"/>
    <w:rsid w:val="006523B0"/>
    <w:rsid w:val="0065284C"/>
    <w:rsid w:val="00652DB5"/>
    <w:rsid w:val="00653142"/>
    <w:rsid w:val="006534BE"/>
    <w:rsid w:val="0065371F"/>
    <w:rsid w:val="00653CFE"/>
    <w:rsid w:val="006543CE"/>
    <w:rsid w:val="00654B65"/>
    <w:rsid w:val="00654CD7"/>
    <w:rsid w:val="00654D55"/>
    <w:rsid w:val="006550A2"/>
    <w:rsid w:val="00656544"/>
    <w:rsid w:val="00656910"/>
    <w:rsid w:val="00656AD1"/>
    <w:rsid w:val="00656ADA"/>
    <w:rsid w:val="00656B25"/>
    <w:rsid w:val="00656FA9"/>
    <w:rsid w:val="0065723C"/>
    <w:rsid w:val="006575B9"/>
    <w:rsid w:val="00657BD3"/>
    <w:rsid w:val="00657D4B"/>
    <w:rsid w:val="00660057"/>
    <w:rsid w:val="0066054D"/>
    <w:rsid w:val="00660F54"/>
    <w:rsid w:val="0066119E"/>
    <w:rsid w:val="006612D5"/>
    <w:rsid w:val="00661650"/>
    <w:rsid w:val="00661679"/>
    <w:rsid w:val="0066188A"/>
    <w:rsid w:val="0066195F"/>
    <w:rsid w:val="00661D61"/>
    <w:rsid w:val="006621AB"/>
    <w:rsid w:val="00662615"/>
    <w:rsid w:val="0066288D"/>
    <w:rsid w:val="006628EF"/>
    <w:rsid w:val="0066311F"/>
    <w:rsid w:val="0066317D"/>
    <w:rsid w:val="006635F8"/>
    <w:rsid w:val="00663B0E"/>
    <w:rsid w:val="00663DE3"/>
    <w:rsid w:val="00663F22"/>
    <w:rsid w:val="0066417A"/>
    <w:rsid w:val="00664420"/>
    <w:rsid w:val="00664435"/>
    <w:rsid w:val="00664C02"/>
    <w:rsid w:val="00664C2C"/>
    <w:rsid w:val="00664F4C"/>
    <w:rsid w:val="0066503E"/>
    <w:rsid w:val="00665190"/>
    <w:rsid w:val="006659AB"/>
    <w:rsid w:val="00665DDA"/>
    <w:rsid w:val="006660F3"/>
    <w:rsid w:val="00666238"/>
    <w:rsid w:val="00666267"/>
    <w:rsid w:val="0066636A"/>
    <w:rsid w:val="00666BC0"/>
    <w:rsid w:val="00666D17"/>
    <w:rsid w:val="00666D52"/>
    <w:rsid w:val="006673A2"/>
    <w:rsid w:val="006674E7"/>
    <w:rsid w:val="00667512"/>
    <w:rsid w:val="006675CE"/>
    <w:rsid w:val="00667953"/>
    <w:rsid w:val="00667A15"/>
    <w:rsid w:val="00667B38"/>
    <w:rsid w:val="00667ED7"/>
    <w:rsid w:val="0067023F"/>
    <w:rsid w:val="00670358"/>
    <w:rsid w:val="00670382"/>
    <w:rsid w:val="00670388"/>
    <w:rsid w:val="0067049A"/>
    <w:rsid w:val="006705C1"/>
    <w:rsid w:val="0067073D"/>
    <w:rsid w:val="006708A8"/>
    <w:rsid w:val="00670913"/>
    <w:rsid w:val="00670B9B"/>
    <w:rsid w:val="00670CBB"/>
    <w:rsid w:val="00670E49"/>
    <w:rsid w:val="00671098"/>
    <w:rsid w:val="006710AB"/>
    <w:rsid w:val="00671180"/>
    <w:rsid w:val="006716ED"/>
    <w:rsid w:val="00671B3F"/>
    <w:rsid w:val="00671BE5"/>
    <w:rsid w:val="00671D66"/>
    <w:rsid w:val="006721C6"/>
    <w:rsid w:val="006728BB"/>
    <w:rsid w:val="00672907"/>
    <w:rsid w:val="00672A22"/>
    <w:rsid w:val="006733C4"/>
    <w:rsid w:val="006736BB"/>
    <w:rsid w:val="0067386E"/>
    <w:rsid w:val="00673AE1"/>
    <w:rsid w:val="00673BD6"/>
    <w:rsid w:val="00674326"/>
    <w:rsid w:val="00674634"/>
    <w:rsid w:val="006746FC"/>
    <w:rsid w:val="0067494E"/>
    <w:rsid w:val="00675554"/>
    <w:rsid w:val="00675623"/>
    <w:rsid w:val="00675C95"/>
    <w:rsid w:val="006760A1"/>
    <w:rsid w:val="00676227"/>
    <w:rsid w:val="00676308"/>
    <w:rsid w:val="006764CB"/>
    <w:rsid w:val="0067664C"/>
    <w:rsid w:val="006767AC"/>
    <w:rsid w:val="00676CB0"/>
    <w:rsid w:val="006770B7"/>
    <w:rsid w:val="00677225"/>
    <w:rsid w:val="00677314"/>
    <w:rsid w:val="00677603"/>
    <w:rsid w:val="00677B51"/>
    <w:rsid w:val="006801DC"/>
    <w:rsid w:val="0068036C"/>
    <w:rsid w:val="0068064C"/>
    <w:rsid w:val="00680ACD"/>
    <w:rsid w:val="00680D55"/>
    <w:rsid w:val="00681089"/>
    <w:rsid w:val="0068159A"/>
    <w:rsid w:val="006817BF"/>
    <w:rsid w:val="006817DF"/>
    <w:rsid w:val="00681D74"/>
    <w:rsid w:val="00681ED5"/>
    <w:rsid w:val="0068279A"/>
    <w:rsid w:val="006829C9"/>
    <w:rsid w:val="006829E8"/>
    <w:rsid w:val="00682D1C"/>
    <w:rsid w:val="00683C28"/>
    <w:rsid w:val="00683C67"/>
    <w:rsid w:val="00683D13"/>
    <w:rsid w:val="00683ECB"/>
    <w:rsid w:val="00684576"/>
    <w:rsid w:val="00684BB3"/>
    <w:rsid w:val="00685232"/>
    <w:rsid w:val="00685453"/>
    <w:rsid w:val="00685651"/>
    <w:rsid w:val="006858A4"/>
    <w:rsid w:val="00685AB4"/>
    <w:rsid w:val="00685C8B"/>
    <w:rsid w:val="00685E1F"/>
    <w:rsid w:val="006866C9"/>
    <w:rsid w:val="00686D35"/>
    <w:rsid w:val="006873C6"/>
    <w:rsid w:val="0068748E"/>
    <w:rsid w:val="00687A56"/>
    <w:rsid w:val="00687DE6"/>
    <w:rsid w:val="00687ED1"/>
    <w:rsid w:val="00690BA6"/>
    <w:rsid w:val="00690C90"/>
    <w:rsid w:val="00690E1E"/>
    <w:rsid w:val="00690F0E"/>
    <w:rsid w:val="00691BD9"/>
    <w:rsid w:val="00691ED2"/>
    <w:rsid w:val="00692027"/>
    <w:rsid w:val="00692074"/>
    <w:rsid w:val="0069227C"/>
    <w:rsid w:val="00692602"/>
    <w:rsid w:val="0069277B"/>
    <w:rsid w:val="00692A1A"/>
    <w:rsid w:val="00692D82"/>
    <w:rsid w:val="00693226"/>
    <w:rsid w:val="00693697"/>
    <w:rsid w:val="00693880"/>
    <w:rsid w:val="00693E3C"/>
    <w:rsid w:val="00693FBE"/>
    <w:rsid w:val="00694423"/>
    <w:rsid w:val="00694702"/>
    <w:rsid w:val="006948DC"/>
    <w:rsid w:val="00694A16"/>
    <w:rsid w:val="00694B72"/>
    <w:rsid w:val="00694BFA"/>
    <w:rsid w:val="00694D21"/>
    <w:rsid w:val="00695390"/>
    <w:rsid w:val="0069574F"/>
    <w:rsid w:val="00695BAC"/>
    <w:rsid w:val="00695C38"/>
    <w:rsid w:val="006961A8"/>
    <w:rsid w:val="00696607"/>
    <w:rsid w:val="00696A36"/>
    <w:rsid w:val="00696AD0"/>
    <w:rsid w:val="00696D06"/>
    <w:rsid w:val="00696D95"/>
    <w:rsid w:val="006971A5"/>
    <w:rsid w:val="0069731C"/>
    <w:rsid w:val="006976D6"/>
    <w:rsid w:val="00697747"/>
    <w:rsid w:val="00697943"/>
    <w:rsid w:val="00697AE2"/>
    <w:rsid w:val="006A050F"/>
    <w:rsid w:val="006A08DB"/>
    <w:rsid w:val="006A0A8B"/>
    <w:rsid w:val="006A0B96"/>
    <w:rsid w:val="006A0C97"/>
    <w:rsid w:val="006A0D8C"/>
    <w:rsid w:val="006A1513"/>
    <w:rsid w:val="006A15F8"/>
    <w:rsid w:val="006A1A27"/>
    <w:rsid w:val="006A248F"/>
    <w:rsid w:val="006A24A3"/>
    <w:rsid w:val="006A286C"/>
    <w:rsid w:val="006A2985"/>
    <w:rsid w:val="006A2B59"/>
    <w:rsid w:val="006A319B"/>
    <w:rsid w:val="006A3855"/>
    <w:rsid w:val="006A3A7A"/>
    <w:rsid w:val="006A3B80"/>
    <w:rsid w:val="006A3D7E"/>
    <w:rsid w:val="006A40EA"/>
    <w:rsid w:val="006A427B"/>
    <w:rsid w:val="006A4720"/>
    <w:rsid w:val="006A4928"/>
    <w:rsid w:val="006A4AD4"/>
    <w:rsid w:val="006A4B18"/>
    <w:rsid w:val="006A4BC4"/>
    <w:rsid w:val="006A4DB6"/>
    <w:rsid w:val="006A4E9C"/>
    <w:rsid w:val="006A4F5F"/>
    <w:rsid w:val="006A51F2"/>
    <w:rsid w:val="006A53A0"/>
    <w:rsid w:val="006A5422"/>
    <w:rsid w:val="006A55E2"/>
    <w:rsid w:val="006A5619"/>
    <w:rsid w:val="006A5817"/>
    <w:rsid w:val="006A5A88"/>
    <w:rsid w:val="006A5F4F"/>
    <w:rsid w:val="006A650B"/>
    <w:rsid w:val="006A69C5"/>
    <w:rsid w:val="006A6A73"/>
    <w:rsid w:val="006A6AA9"/>
    <w:rsid w:val="006A6D9F"/>
    <w:rsid w:val="006A6E45"/>
    <w:rsid w:val="006A72F0"/>
    <w:rsid w:val="006A760B"/>
    <w:rsid w:val="006A7633"/>
    <w:rsid w:val="006A769A"/>
    <w:rsid w:val="006A77DF"/>
    <w:rsid w:val="006A78A3"/>
    <w:rsid w:val="006A7AA5"/>
    <w:rsid w:val="006B0235"/>
    <w:rsid w:val="006B0C9F"/>
    <w:rsid w:val="006B0E01"/>
    <w:rsid w:val="006B0EA4"/>
    <w:rsid w:val="006B1503"/>
    <w:rsid w:val="006B1CA9"/>
    <w:rsid w:val="006B1CFD"/>
    <w:rsid w:val="006B1D5B"/>
    <w:rsid w:val="006B215F"/>
    <w:rsid w:val="006B2368"/>
    <w:rsid w:val="006B26A1"/>
    <w:rsid w:val="006B3225"/>
    <w:rsid w:val="006B3413"/>
    <w:rsid w:val="006B34DB"/>
    <w:rsid w:val="006B36B7"/>
    <w:rsid w:val="006B39E4"/>
    <w:rsid w:val="006B423C"/>
    <w:rsid w:val="006B449B"/>
    <w:rsid w:val="006B4EC1"/>
    <w:rsid w:val="006B4FB6"/>
    <w:rsid w:val="006B5081"/>
    <w:rsid w:val="006B535E"/>
    <w:rsid w:val="006B5688"/>
    <w:rsid w:val="006B5A63"/>
    <w:rsid w:val="006B5DA0"/>
    <w:rsid w:val="006B62A6"/>
    <w:rsid w:val="006B675F"/>
    <w:rsid w:val="006B68D0"/>
    <w:rsid w:val="006B697B"/>
    <w:rsid w:val="006B6E1E"/>
    <w:rsid w:val="006B6F19"/>
    <w:rsid w:val="006B7541"/>
    <w:rsid w:val="006B75FD"/>
    <w:rsid w:val="006B7BA5"/>
    <w:rsid w:val="006B7E6A"/>
    <w:rsid w:val="006C04C8"/>
    <w:rsid w:val="006C0A11"/>
    <w:rsid w:val="006C104F"/>
    <w:rsid w:val="006C19B9"/>
    <w:rsid w:val="006C1CB4"/>
    <w:rsid w:val="006C1E17"/>
    <w:rsid w:val="006C1E67"/>
    <w:rsid w:val="006C1E8E"/>
    <w:rsid w:val="006C1FDB"/>
    <w:rsid w:val="006C2324"/>
    <w:rsid w:val="006C2353"/>
    <w:rsid w:val="006C239F"/>
    <w:rsid w:val="006C23AA"/>
    <w:rsid w:val="006C23FF"/>
    <w:rsid w:val="006C265A"/>
    <w:rsid w:val="006C265B"/>
    <w:rsid w:val="006C276F"/>
    <w:rsid w:val="006C2995"/>
    <w:rsid w:val="006C2A2F"/>
    <w:rsid w:val="006C2D6F"/>
    <w:rsid w:val="006C2E46"/>
    <w:rsid w:val="006C306F"/>
    <w:rsid w:val="006C3797"/>
    <w:rsid w:val="006C3896"/>
    <w:rsid w:val="006C39DB"/>
    <w:rsid w:val="006C435D"/>
    <w:rsid w:val="006C44B4"/>
    <w:rsid w:val="006C484D"/>
    <w:rsid w:val="006C4A10"/>
    <w:rsid w:val="006C4A5D"/>
    <w:rsid w:val="006C61B1"/>
    <w:rsid w:val="006C63DE"/>
    <w:rsid w:val="006C66A0"/>
    <w:rsid w:val="006C6B18"/>
    <w:rsid w:val="006C6B48"/>
    <w:rsid w:val="006C71EB"/>
    <w:rsid w:val="006C7314"/>
    <w:rsid w:val="006C79BD"/>
    <w:rsid w:val="006C7C88"/>
    <w:rsid w:val="006D008E"/>
    <w:rsid w:val="006D03D5"/>
    <w:rsid w:val="006D0D2E"/>
    <w:rsid w:val="006D0EE9"/>
    <w:rsid w:val="006D1584"/>
    <w:rsid w:val="006D1642"/>
    <w:rsid w:val="006D16C4"/>
    <w:rsid w:val="006D201A"/>
    <w:rsid w:val="006D22C3"/>
    <w:rsid w:val="006D2438"/>
    <w:rsid w:val="006D2845"/>
    <w:rsid w:val="006D2D18"/>
    <w:rsid w:val="006D3758"/>
    <w:rsid w:val="006D3760"/>
    <w:rsid w:val="006D3DD7"/>
    <w:rsid w:val="006D408A"/>
    <w:rsid w:val="006D4313"/>
    <w:rsid w:val="006D45C1"/>
    <w:rsid w:val="006D45C5"/>
    <w:rsid w:val="006D4E5A"/>
    <w:rsid w:val="006D4FB8"/>
    <w:rsid w:val="006D54B5"/>
    <w:rsid w:val="006D5A1D"/>
    <w:rsid w:val="006D5C96"/>
    <w:rsid w:val="006D5DFA"/>
    <w:rsid w:val="006D616E"/>
    <w:rsid w:val="006D6182"/>
    <w:rsid w:val="006D6B82"/>
    <w:rsid w:val="006D6EE9"/>
    <w:rsid w:val="006D700F"/>
    <w:rsid w:val="006D736D"/>
    <w:rsid w:val="006D7700"/>
    <w:rsid w:val="006D787C"/>
    <w:rsid w:val="006D78B6"/>
    <w:rsid w:val="006E00F3"/>
    <w:rsid w:val="006E0334"/>
    <w:rsid w:val="006E07A3"/>
    <w:rsid w:val="006E07BB"/>
    <w:rsid w:val="006E0BA7"/>
    <w:rsid w:val="006E0EB1"/>
    <w:rsid w:val="006E12F8"/>
    <w:rsid w:val="006E1915"/>
    <w:rsid w:val="006E2162"/>
    <w:rsid w:val="006E283E"/>
    <w:rsid w:val="006E2980"/>
    <w:rsid w:val="006E29D1"/>
    <w:rsid w:val="006E2ACB"/>
    <w:rsid w:val="006E2E61"/>
    <w:rsid w:val="006E2E8A"/>
    <w:rsid w:val="006E31EA"/>
    <w:rsid w:val="006E34CB"/>
    <w:rsid w:val="006E3669"/>
    <w:rsid w:val="006E3BDB"/>
    <w:rsid w:val="006E3E12"/>
    <w:rsid w:val="006E4116"/>
    <w:rsid w:val="006E440C"/>
    <w:rsid w:val="006E46DE"/>
    <w:rsid w:val="006E46ED"/>
    <w:rsid w:val="006E543A"/>
    <w:rsid w:val="006E5625"/>
    <w:rsid w:val="006E5B12"/>
    <w:rsid w:val="006E5C49"/>
    <w:rsid w:val="006E63C5"/>
    <w:rsid w:val="006E6477"/>
    <w:rsid w:val="006E6522"/>
    <w:rsid w:val="006E658E"/>
    <w:rsid w:val="006E65B8"/>
    <w:rsid w:val="006E67AE"/>
    <w:rsid w:val="006E6D3C"/>
    <w:rsid w:val="006E7757"/>
    <w:rsid w:val="006E7BE5"/>
    <w:rsid w:val="006F0335"/>
    <w:rsid w:val="006F04BA"/>
    <w:rsid w:val="006F0653"/>
    <w:rsid w:val="006F16D8"/>
    <w:rsid w:val="006F1B7F"/>
    <w:rsid w:val="006F20EE"/>
    <w:rsid w:val="006F2406"/>
    <w:rsid w:val="006F2442"/>
    <w:rsid w:val="006F2B2F"/>
    <w:rsid w:val="006F302F"/>
    <w:rsid w:val="006F32EA"/>
    <w:rsid w:val="006F3AC5"/>
    <w:rsid w:val="006F3C8A"/>
    <w:rsid w:val="006F3D5B"/>
    <w:rsid w:val="006F3F26"/>
    <w:rsid w:val="006F457A"/>
    <w:rsid w:val="006F460E"/>
    <w:rsid w:val="006F485F"/>
    <w:rsid w:val="006F4870"/>
    <w:rsid w:val="006F4912"/>
    <w:rsid w:val="006F5290"/>
    <w:rsid w:val="006F59E5"/>
    <w:rsid w:val="006F5ADE"/>
    <w:rsid w:val="006F616D"/>
    <w:rsid w:val="006F6340"/>
    <w:rsid w:val="006F6555"/>
    <w:rsid w:val="006F6585"/>
    <w:rsid w:val="006F6608"/>
    <w:rsid w:val="006F6616"/>
    <w:rsid w:val="006F6F68"/>
    <w:rsid w:val="006F7185"/>
    <w:rsid w:val="006F7A32"/>
    <w:rsid w:val="006F7AAF"/>
    <w:rsid w:val="0070046F"/>
    <w:rsid w:val="007017EE"/>
    <w:rsid w:val="00701893"/>
    <w:rsid w:val="00701A83"/>
    <w:rsid w:val="00701F3F"/>
    <w:rsid w:val="007021A1"/>
    <w:rsid w:val="00702B14"/>
    <w:rsid w:val="0070302E"/>
    <w:rsid w:val="0070365B"/>
    <w:rsid w:val="007036F0"/>
    <w:rsid w:val="0070384A"/>
    <w:rsid w:val="0070391B"/>
    <w:rsid w:val="00703C37"/>
    <w:rsid w:val="00703CCA"/>
    <w:rsid w:val="00703F91"/>
    <w:rsid w:val="007040F5"/>
    <w:rsid w:val="00704119"/>
    <w:rsid w:val="007041AF"/>
    <w:rsid w:val="00704FCA"/>
    <w:rsid w:val="0070517A"/>
    <w:rsid w:val="0070524C"/>
    <w:rsid w:val="00706234"/>
    <w:rsid w:val="00706251"/>
    <w:rsid w:val="0070626E"/>
    <w:rsid w:val="007063BE"/>
    <w:rsid w:val="007063E8"/>
    <w:rsid w:val="007066BD"/>
    <w:rsid w:val="00706A92"/>
    <w:rsid w:val="00706C1A"/>
    <w:rsid w:val="00706EAA"/>
    <w:rsid w:val="0070744A"/>
    <w:rsid w:val="00707563"/>
    <w:rsid w:val="00707B5A"/>
    <w:rsid w:val="00707CCC"/>
    <w:rsid w:val="007101C7"/>
    <w:rsid w:val="00710895"/>
    <w:rsid w:val="00710A95"/>
    <w:rsid w:val="00710B0C"/>
    <w:rsid w:val="00710E4B"/>
    <w:rsid w:val="0071123C"/>
    <w:rsid w:val="0071137A"/>
    <w:rsid w:val="0071147D"/>
    <w:rsid w:val="00711528"/>
    <w:rsid w:val="00711572"/>
    <w:rsid w:val="00711595"/>
    <w:rsid w:val="00711AD4"/>
    <w:rsid w:val="00711D7E"/>
    <w:rsid w:val="00711D85"/>
    <w:rsid w:val="007120FB"/>
    <w:rsid w:val="00712186"/>
    <w:rsid w:val="00713109"/>
    <w:rsid w:val="007135C5"/>
    <w:rsid w:val="007136E5"/>
    <w:rsid w:val="007137CB"/>
    <w:rsid w:val="00713DB5"/>
    <w:rsid w:val="00714234"/>
    <w:rsid w:val="007145E5"/>
    <w:rsid w:val="00714738"/>
    <w:rsid w:val="00714BB3"/>
    <w:rsid w:val="00714DC2"/>
    <w:rsid w:val="00714DC6"/>
    <w:rsid w:val="00714FEF"/>
    <w:rsid w:val="00715919"/>
    <w:rsid w:val="00715C18"/>
    <w:rsid w:val="00715E08"/>
    <w:rsid w:val="00716187"/>
    <w:rsid w:val="00716545"/>
    <w:rsid w:val="007166AA"/>
    <w:rsid w:val="0071686E"/>
    <w:rsid w:val="007169CF"/>
    <w:rsid w:val="007169DA"/>
    <w:rsid w:val="007169E8"/>
    <w:rsid w:val="00716EB7"/>
    <w:rsid w:val="0071709D"/>
    <w:rsid w:val="0071733F"/>
    <w:rsid w:val="00717636"/>
    <w:rsid w:val="007202A1"/>
    <w:rsid w:val="0072035D"/>
    <w:rsid w:val="00720492"/>
    <w:rsid w:val="007204A5"/>
    <w:rsid w:val="00720724"/>
    <w:rsid w:val="0072087A"/>
    <w:rsid w:val="00720D79"/>
    <w:rsid w:val="00720E12"/>
    <w:rsid w:val="00721164"/>
    <w:rsid w:val="0072131A"/>
    <w:rsid w:val="007213A4"/>
    <w:rsid w:val="00721B64"/>
    <w:rsid w:val="00721C2C"/>
    <w:rsid w:val="00721C56"/>
    <w:rsid w:val="00721E1C"/>
    <w:rsid w:val="0072205B"/>
    <w:rsid w:val="00722129"/>
    <w:rsid w:val="007221D0"/>
    <w:rsid w:val="007221FB"/>
    <w:rsid w:val="00722308"/>
    <w:rsid w:val="00722330"/>
    <w:rsid w:val="007223DD"/>
    <w:rsid w:val="0072294A"/>
    <w:rsid w:val="00722A86"/>
    <w:rsid w:val="00722EBF"/>
    <w:rsid w:val="00723628"/>
    <w:rsid w:val="00724106"/>
    <w:rsid w:val="007244D1"/>
    <w:rsid w:val="007244E9"/>
    <w:rsid w:val="00724506"/>
    <w:rsid w:val="007245D5"/>
    <w:rsid w:val="0072472B"/>
    <w:rsid w:val="00724A38"/>
    <w:rsid w:val="00724B83"/>
    <w:rsid w:val="00724DBC"/>
    <w:rsid w:val="00724E6D"/>
    <w:rsid w:val="00725202"/>
    <w:rsid w:val="007256B7"/>
    <w:rsid w:val="00725790"/>
    <w:rsid w:val="00725D80"/>
    <w:rsid w:val="00725FEC"/>
    <w:rsid w:val="00726100"/>
    <w:rsid w:val="0072682C"/>
    <w:rsid w:val="00726DAD"/>
    <w:rsid w:val="00726E81"/>
    <w:rsid w:val="00726F1F"/>
    <w:rsid w:val="00727637"/>
    <w:rsid w:val="00727C9E"/>
    <w:rsid w:val="00727E1E"/>
    <w:rsid w:val="00727EFD"/>
    <w:rsid w:val="00730112"/>
    <w:rsid w:val="0073063B"/>
    <w:rsid w:val="00731301"/>
    <w:rsid w:val="0073173E"/>
    <w:rsid w:val="007319E4"/>
    <w:rsid w:val="00731D1C"/>
    <w:rsid w:val="00731E17"/>
    <w:rsid w:val="007322DD"/>
    <w:rsid w:val="0073259A"/>
    <w:rsid w:val="007326F8"/>
    <w:rsid w:val="007327E2"/>
    <w:rsid w:val="00732ABD"/>
    <w:rsid w:val="00732B87"/>
    <w:rsid w:val="00732F48"/>
    <w:rsid w:val="007333CD"/>
    <w:rsid w:val="00733502"/>
    <w:rsid w:val="00733B14"/>
    <w:rsid w:val="0073416E"/>
    <w:rsid w:val="00734740"/>
    <w:rsid w:val="00734772"/>
    <w:rsid w:val="00734891"/>
    <w:rsid w:val="00734B61"/>
    <w:rsid w:val="00734B89"/>
    <w:rsid w:val="00734BAD"/>
    <w:rsid w:val="0073516A"/>
    <w:rsid w:val="007352A1"/>
    <w:rsid w:val="00735586"/>
    <w:rsid w:val="007355B6"/>
    <w:rsid w:val="0073590F"/>
    <w:rsid w:val="00735F57"/>
    <w:rsid w:val="0073608C"/>
    <w:rsid w:val="0073645F"/>
    <w:rsid w:val="0073687A"/>
    <w:rsid w:val="00736E8F"/>
    <w:rsid w:val="00737295"/>
    <w:rsid w:val="007374E0"/>
    <w:rsid w:val="00737C26"/>
    <w:rsid w:val="00737EBB"/>
    <w:rsid w:val="0074001E"/>
    <w:rsid w:val="007400AA"/>
    <w:rsid w:val="007401FA"/>
    <w:rsid w:val="0074077B"/>
    <w:rsid w:val="00740ACF"/>
    <w:rsid w:val="00740BC2"/>
    <w:rsid w:val="00740C21"/>
    <w:rsid w:val="00740D48"/>
    <w:rsid w:val="00740E5B"/>
    <w:rsid w:val="0074120F"/>
    <w:rsid w:val="007413CB"/>
    <w:rsid w:val="0074141E"/>
    <w:rsid w:val="00741423"/>
    <w:rsid w:val="00741875"/>
    <w:rsid w:val="00741A1F"/>
    <w:rsid w:val="00741A71"/>
    <w:rsid w:val="00742230"/>
    <w:rsid w:val="00742629"/>
    <w:rsid w:val="00742820"/>
    <w:rsid w:val="00742B91"/>
    <w:rsid w:val="00742D38"/>
    <w:rsid w:val="00742F06"/>
    <w:rsid w:val="0074316A"/>
    <w:rsid w:val="0074352F"/>
    <w:rsid w:val="00744303"/>
    <w:rsid w:val="007443AB"/>
    <w:rsid w:val="007443C0"/>
    <w:rsid w:val="00744503"/>
    <w:rsid w:val="007445BB"/>
    <w:rsid w:val="00744955"/>
    <w:rsid w:val="00744A5B"/>
    <w:rsid w:val="00744EAE"/>
    <w:rsid w:val="00745485"/>
    <w:rsid w:val="007456A9"/>
    <w:rsid w:val="00745748"/>
    <w:rsid w:val="007458FA"/>
    <w:rsid w:val="00745957"/>
    <w:rsid w:val="00745A48"/>
    <w:rsid w:val="00745A59"/>
    <w:rsid w:val="00745CFA"/>
    <w:rsid w:val="0074608B"/>
    <w:rsid w:val="00746116"/>
    <w:rsid w:val="007464CB"/>
    <w:rsid w:val="00746963"/>
    <w:rsid w:val="007471E5"/>
    <w:rsid w:val="00747310"/>
    <w:rsid w:val="007473BC"/>
    <w:rsid w:val="007474BF"/>
    <w:rsid w:val="00747593"/>
    <w:rsid w:val="00747739"/>
    <w:rsid w:val="00747A2C"/>
    <w:rsid w:val="00747A55"/>
    <w:rsid w:val="00747C66"/>
    <w:rsid w:val="00747D70"/>
    <w:rsid w:val="00747E71"/>
    <w:rsid w:val="00750783"/>
    <w:rsid w:val="00750CD7"/>
    <w:rsid w:val="0075119E"/>
    <w:rsid w:val="0075174D"/>
    <w:rsid w:val="00751BCC"/>
    <w:rsid w:val="0075203B"/>
    <w:rsid w:val="007520E7"/>
    <w:rsid w:val="007526AE"/>
    <w:rsid w:val="00752A2B"/>
    <w:rsid w:val="00752DAB"/>
    <w:rsid w:val="00752EBE"/>
    <w:rsid w:val="0075321D"/>
    <w:rsid w:val="007534B0"/>
    <w:rsid w:val="0075369B"/>
    <w:rsid w:val="007539E9"/>
    <w:rsid w:val="00753A66"/>
    <w:rsid w:val="00753AEF"/>
    <w:rsid w:val="00753F64"/>
    <w:rsid w:val="00754030"/>
    <w:rsid w:val="007544C3"/>
    <w:rsid w:val="00754D00"/>
    <w:rsid w:val="00754EB8"/>
    <w:rsid w:val="00754FFC"/>
    <w:rsid w:val="0075529A"/>
    <w:rsid w:val="007555D7"/>
    <w:rsid w:val="00755907"/>
    <w:rsid w:val="00755DEE"/>
    <w:rsid w:val="00756026"/>
    <w:rsid w:val="007565A3"/>
    <w:rsid w:val="007565AA"/>
    <w:rsid w:val="00756626"/>
    <w:rsid w:val="00756721"/>
    <w:rsid w:val="0075681A"/>
    <w:rsid w:val="00756961"/>
    <w:rsid w:val="007572FF"/>
    <w:rsid w:val="00757597"/>
    <w:rsid w:val="00757757"/>
    <w:rsid w:val="0075784E"/>
    <w:rsid w:val="00757BC8"/>
    <w:rsid w:val="00757D86"/>
    <w:rsid w:val="00757ED9"/>
    <w:rsid w:val="00757EF5"/>
    <w:rsid w:val="007600C5"/>
    <w:rsid w:val="00760820"/>
    <w:rsid w:val="00760EF4"/>
    <w:rsid w:val="00761004"/>
    <w:rsid w:val="00761156"/>
    <w:rsid w:val="0076142F"/>
    <w:rsid w:val="00761829"/>
    <w:rsid w:val="00761DD1"/>
    <w:rsid w:val="00761E29"/>
    <w:rsid w:val="00761FED"/>
    <w:rsid w:val="007622D1"/>
    <w:rsid w:val="00763393"/>
    <w:rsid w:val="00763B0B"/>
    <w:rsid w:val="00763BBB"/>
    <w:rsid w:val="0076434B"/>
    <w:rsid w:val="0076448D"/>
    <w:rsid w:val="007644C4"/>
    <w:rsid w:val="0076466A"/>
    <w:rsid w:val="007647A4"/>
    <w:rsid w:val="007648EA"/>
    <w:rsid w:val="00764F76"/>
    <w:rsid w:val="00765139"/>
    <w:rsid w:val="00765A2E"/>
    <w:rsid w:val="00765C56"/>
    <w:rsid w:val="00765FB7"/>
    <w:rsid w:val="00765FEF"/>
    <w:rsid w:val="007661C7"/>
    <w:rsid w:val="007664D3"/>
    <w:rsid w:val="0076670A"/>
    <w:rsid w:val="00766D3F"/>
    <w:rsid w:val="00766FE7"/>
    <w:rsid w:val="007670DC"/>
    <w:rsid w:val="00767304"/>
    <w:rsid w:val="00767348"/>
    <w:rsid w:val="00767BB0"/>
    <w:rsid w:val="00767C30"/>
    <w:rsid w:val="00770228"/>
    <w:rsid w:val="0077067B"/>
    <w:rsid w:val="007706CD"/>
    <w:rsid w:val="00770D2B"/>
    <w:rsid w:val="00770EBD"/>
    <w:rsid w:val="00770F92"/>
    <w:rsid w:val="00771306"/>
    <w:rsid w:val="00771591"/>
    <w:rsid w:val="00771857"/>
    <w:rsid w:val="00772121"/>
    <w:rsid w:val="00772781"/>
    <w:rsid w:val="007727BE"/>
    <w:rsid w:val="00773055"/>
    <w:rsid w:val="00773491"/>
    <w:rsid w:val="00773655"/>
    <w:rsid w:val="00773C1E"/>
    <w:rsid w:val="0077415A"/>
    <w:rsid w:val="0077444B"/>
    <w:rsid w:val="00774520"/>
    <w:rsid w:val="00774965"/>
    <w:rsid w:val="00774AB7"/>
    <w:rsid w:val="00774BDC"/>
    <w:rsid w:val="00775070"/>
    <w:rsid w:val="0077551F"/>
    <w:rsid w:val="007756FB"/>
    <w:rsid w:val="00775842"/>
    <w:rsid w:val="00776215"/>
    <w:rsid w:val="007763AF"/>
    <w:rsid w:val="00776624"/>
    <w:rsid w:val="00776DED"/>
    <w:rsid w:val="00776F61"/>
    <w:rsid w:val="00776FD5"/>
    <w:rsid w:val="0077701A"/>
    <w:rsid w:val="007773B5"/>
    <w:rsid w:val="00777C01"/>
    <w:rsid w:val="00777E02"/>
    <w:rsid w:val="007802FF"/>
    <w:rsid w:val="007804ED"/>
    <w:rsid w:val="0078053F"/>
    <w:rsid w:val="00780911"/>
    <w:rsid w:val="00780CA2"/>
    <w:rsid w:val="00780CE7"/>
    <w:rsid w:val="007810A4"/>
    <w:rsid w:val="007810CF"/>
    <w:rsid w:val="0078124A"/>
    <w:rsid w:val="007812C3"/>
    <w:rsid w:val="00781979"/>
    <w:rsid w:val="00781E44"/>
    <w:rsid w:val="00781E7E"/>
    <w:rsid w:val="00781F66"/>
    <w:rsid w:val="00782006"/>
    <w:rsid w:val="00782241"/>
    <w:rsid w:val="00782292"/>
    <w:rsid w:val="007822FA"/>
    <w:rsid w:val="00782593"/>
    <w:rsid w:val="0078268D"/>
    <w:rsid w:val="007827FE"/>
    <w:rsid w:val="00782B05"/>
    <w:rsid w:val="00782F67"/>
    <w:rsid w:val="00782FD9"/>
    <w:rsid w:val="007835C6"/>
    <w:rsid w:val="007835EC"/>
    <w:rsid w:val="007836AC"/>
    <w:rsid w:val="00783CC2"/>
    <w:rsid w:val="00783F4A"/>
    <w:rsid w:val="00783F8E"/>
    <w:rsid w:val="00783FA2"/>
    <w:rsid w:val="007841FA"/>
    <w:rsid w:val="00784C15"/>
    <w:rsid w:val="0078546A"/>
    <w:rsid w:val="007855E0"/>
    <w:rsid w:val="0078562D"/>
    <w:rsid w:val="00785F25"/>
    <w:rsid w:val="00786132"/>
    <w:rsid w:val="00786221"/>
    <w:rsid w:val="00786411"/>
    <w:rsid w:val="0078683E"/>
    <w:rsid w:val="007869BF"/>
    <w:rsid w:val="00786DBA"/>
    <w:rsid w:val="00786DC2"/>
    <w:rsid w:val="00787A8B"/>
    <w:rsid w:val="00787E29"/>
    <w:rsid w:val="0079020F"/>
    <w:rsid w:val="007905FB"/>
    <w:rsid w:val="007906A0"/>
    <w:rsid w:val="00790875"/>
    <w:rsid w:val="00790B96"/>
    <w:rsid w:val="00790C78"/>
    <w:rsid w:val="00791201"/>
    <w:rsid w:val="007913F0"/>
    <w:rsid w:val="00791592"/>
    <w:rsid w:val="00791AA5"/>
    <w:rsid w:val="00791AA6"/>
    <w:rsid w:val="00791D81"/>
    <w:rsid w:val="00791E70"/>
    <w:rsid w:val="0079208C"/>
    <w:rsid w:val="00792456"/>
    <w:rsid w:val="0079265D"/>
    <w:rsid w:val="007926CF"/>
    <w:rsid w:val="00792889"/>
    <w:rsid w:val="00792B2F"/>
    <w:rsid w:val="00792C35"/>
    <w:rsid w:val="00792C6B"/>
    <w:rsid w:val="00792DB0"/>
    <w:rsid w:val="00792E03"/>
    <w:rsid w:val="00793172"/>
    <w:rsid w:val="0079355C"/>
    <w:rsid w:val="007940ED"/>
    <w:rsid w:val="00794615"/>
    <w:rsid w:val="007948EE"/>
    <w:rsid w:val="00794931"/>
    <w:rsid w:val="00794995"/>
    <w:rsid w:val="00794B52"/>
    <w:rsid w:val="00794BEC"/>
    <w:rsid w:val="007957D7"/>
    <w:rsid w:val="00795AAB"/>
    <w:rsid w:val="00796045"/>
    <w:rsid w:val="00796071"/>
    <w:rsid w:val="0079610A"/>
    <w:rsid w:val="007969B7"/>
    <w:rsid w:val="00796BDE"/>
    <w:rsid w:val="00796EC4"/>
    <w:rsid w:val="00797526"/>
    <w:rsid w:val="007976DD"/>
    <w:rsid w:val="0079790D"/>
    <w:rsid w:val="00797ACB"/>
    <w:rsid w:val="00797BCF"/>
    <w:rsid w:val="00797D9A"/>
    <w:rsid w:val="00797F6F"/>
    <w:rsid w:val="007A0157"/>
    <w:rsid w:val="007A0332"/>
    <w:rsid w:val="007A0691"/>
    <w:rsid w:val="007A0797"/>
    <w:rsid w:val="007A0AFF"/>
    <w:rsid w:val="007A0E22"/>
    <w:rsid w:val="007A100F"/>
    <w:rsid w:val="007A14A7"/>
    <w:rsid w:val="007A1775"/>
    <w:rsid w:val="007A2181"/>
    <w:rsid w:val="007A22B3"/>
    <w:rsid w:val="007A22CB"/>
    <w:rsid w:val="007A2779"/>
    <w:rsid w:val="007A2B25"/>
    <w:rsid w:val="007A2EA1"/>
    <w:rsid w:val="007A31B3"/>
    <w:rsid w:val="007A35ED"/>
    <w:rsid w:val="007A384D"/>
    <w:rsid w:val="007A39A3"/>
    <w:rsid w:val="007A3A44"/>
    <w:rsid w:val="007A3D5E"/>
    <w:rsid w:val="007A402D"/>
    <w:rsid w:val="007A4439"/>
    <w:rsid w:val="007A45A1"/>
    <w:rsid w:val="007A4A29"/>
    <w:rsid w:val="007A4E4F"/>
    <w:rsid w:val="007A51EC"/>
    <w:rsid w:val="007A528C"/>
    <w:rsid w:val="007A53D7"/>
    <w:rsid w:val="007A54AD"/>
    <w:rsid w:val="007A57D1"/>
    <w:rsid w:val="007A595E"/>
    <w:rsid w:val="007A5A57"/>
    <w:rsid w:val="007A5C86"/>
    <w:rsid w:val="007A5CB6"/>
    <w:rsid w:val="007A6005"/>
    <w:rsid w:val="007A611D"/>
    <w:rsid w:val="007A614A"/>
    <w:rsid w:val="007A6181"/>
    <w:rsid w:val="007A65B9"/>
    <w:rsid w:val="007A6810"/>
    <w:rsid w:val="007A6821"/>
    <w:rsid w:val="007A718D"/>
    <w:rsid w:val="007A72FE"/>
    <w:rsid w:val="007A7C14"/>
    <w:rsid w:val="007B01FF"/>
    <w:rsid w:val="007B0428"/>
    <w:rsid w:val="007B0683"/>
    <w:rsid w:val="007B085C"/>
    <w:rsid w:val="007B085D"/>
    <w:rsid w:val="007B09BF"/>
    <w:rsid w:val="007B0C58"/>
    <w:rsid w:val="007B109C"/>
    <w:rsid w:val="007B1257"/>
    <w:rsid w:val="007B138F"/>
    <w:rsid w:val="007B13A3"/>
    <w:rsid w:val="007B1406"/>
    <w:rsid w:val="007B1BA9"/>
    <w:rsid w:val="007B1C8A"/>
    <w:rsid w:val="007B1E65"/>
    <w:rsid w:val="007B1EC0"/>
    <w:rsid w:val="007B22BD"/>
    <w:rsid w:val="007B252D"/>
    <w:rsid w:val="007B2A52"/>
    <w:rsid w:val="007B2BD0"/>
    <w:rsid w:val="007B2FAF"/>
    <w:rsid w:val="007B3403"/>
    <w:rsid w:val="007B368B"/>
    <w:rsid w:val="007B37B3"/>
    <w:rsid w:val="007B402C"/>
    <w:rsid w:val="007B4076"/>
    <w:rsid w:val="007B44EA"/>
    <w:rsid w:val="007B45EE"/>
    <w:rsid w:val="007B49F6"/>
    <w:rsid w:val="007B4E30"/>
    <w:rsid w:val="007B5517"/>
    <w:rsid w:val="007B5A60"/>
    <w:rsid w:val="007B5BB9"/>
    <w:rsid w:val="007B5BD0"/>
    <w:rsid w:val="007B60F2"/>
    <w:rsid w:val="007B6645"/>
    <w:rsid w:val="007B68A0"/>
    <w:rsid w:val="007B6DAB"/>
    <w:rsid w:val="007B6EAF"/>
    <w:rsid w:val="007B7186"/>
    <w:rsid w:val="007B788F"/>
    <w:rsid w:val="007B7970"/>
    <w:rsid w:val="007B7C35"/>
    <w:rsid w:val="007B7F6D"/>
    <w:rsid w:val="007C06A6"/>
    <w:rsid w:val="007C070F"/>
    <w:rsid w:val="007C0B52"/>
    <w:rsid w:val="007C1042"/>
    <w:rsid w:val="007C1050"/>
    <w:rsid w:val="007C1901"/>
    <w:rsid w:val="007C1961"/>
    <w:rsid w:val="007C1FF9"/>
    <w:rsid w:val="007C2074"/>
    <w:rsid w:val="007C2341"/>
    <w:rsid w:val="007C26EB"/>
    <w:rsid w:val="007C28BF"/>
    <w:rsid w:val="007C294A"/>
    <w:rsid w:val="007C2AEE"/>
    <w:rsid w:val="007C2CDA"/>
    <w:rsid w:val="007C307A"/>
    <w:rsid w:val="007C31D2"/>
    <w:rsid w:val="007C31FF"/>
    <w:rsid w:val="007C3486"/>
    <w:rsid w:val="007C34BE"/>
    <w:rsid w:val="007C3565"/>
    <w:rsid w:val="007C39A6"/>
    <w:rsid w:val="007C3AFC"/>
    <w:rsid w:val="007C3EF0"/>
    <w:rsid w:val="007C432D"/>
    <w:rsid w:val="007C439F"/>
    <w:rsid w:val="007C43F3"/>
    <w:rsid w:val="007C44C9"/>
    <w:rsid w:val="007C454D"/>
    <w:rsid w:val="007C4B41"/>
    <w:rsid w:val="007C4DBE"/>
    <w:rsid w:val="007C5475"/>
    <w:rsid w:val="007C56BC"/>
    <w:rsid w:val="007C5A73"/>
    <w:rsid w:val="007C5B05"/>
    <w:rsid w:val="007C5CA2"/>
    <w:rsid w:val="007C625C"/>
    <w:rsid w:val="007C6273"/>
    <w:rsid w:val="007C699A"/>
    <w:rsid w:val="007C6D11"/>
    <w:rsid w:val="007C74FB"/>
    <w:rsid w:val="007C7931"/>
    <w:rsid w:val="007C7990"/>
    <w:rsid w:val="007C7B24"/>
    <w:rsid w:val="007C7D85"/>
    <w:rsid w:val="007C7DB6"/>
    <w:rsid w:val="007C7E44"/>
    <w:rsid w:val="007D042F"/>
    <w:rsid w:val="007D04B8"/>
    <w:rsid w:val="007D056B"/>
    <w:rsid w:val="007D056D"/>
    <w:rsid w:val="007D0A3E"/>
    <w:rsid w:val="007D0EBB"/>
    <w:rsid w:val="007D0FE6"/>
    <w:rsid w:val="007D1400"/>
    <w:rsid w:val="007D1A62"/>
    <w:rsid w:val="007D1BCC"/>
    <w:rsid w:val="007D20EE"/>
    <w:rsid w:val="007D2232"/>
    <w:rsid w:val="007D25CF"/>
    <w:rsid w:val="007D2796"/>
    <w:rsid w:val="007D287A"/>
    <w:rsid w:val="007D312E"/>
    <w:rsid w:val="007D3BB9"/>
    <w:rsid w:val="007D40D1"/>
    <w:rsid w:val="007D4125"/>
    <w:rsid w:val="007D41C4"/>
    <w:rsid w:val="007D45EC"/>
    <w:rsid w:val="007D480E"/>
    <w:rsid w:val="007D48D1"/>
    <w:rsid w:val="007D4D91"/>
    <w:rsid w:val="007D4F3C"/>
    <w:rsid w:val="007D5395"/>
    <w:rsid w:val="007D540E"/>
    <w:rsid w:val="007D5633"/>
    <w:rsid w:val="007D5645"/>
    <w:rsid w:val="007D58D6"/>
    <w:rsid w:val="007D5ABA"/>
    <w:rsid w:val="007D5CCD"/>
    <w:rsid w:val="007D607E"/>
    <w:rsid w:val="007D6211"/>
    <w:rsid w:val="007D63FE"/>
    <w:rsid w:val="007D6A6A"/>
    <w:rsid w:val="007D6F13"/>
    <w:rsid w:val="007D6F55"/>
    <w:rsid w:val="007D7020"/>
    <w:rsid w:val="007D71CC"/>
    <w:rsid w:val="007E0476"/>
    <w:rsid w:val="007E048F"/>
    <w:rsid w:val="007E0740"/>
    <w:rsid w:val="007E0A29"/>
    <w:rsid w:val="007E0B5C"/>
    <w:rsid w:val="007E0C77"/>
    <w:rsid w:val="007E0FC8"/>
    <w:rsid w:val="007E118C"/>
    <w:rsid w:val="007E1255"/>
    <w:rsid w:val="007E12A6"/>
    <w:rsid w:val="007E1681"/>
    <w:rsid w:val="007E1874"/>
    <w:rsid w:val="007E1BC3"/>
    <w:rsid w:val="007E1C7D"/>
    <w:rsid w:val="007E1E9F"/>
    <w:rsid w:val="007E29C4"/>
    <w:rsid w:val="007E2C69"/>
    <w:rsid w:val="007E2C6F"/>
    <w:rsid w:val="007E2D60"/>
    <w:rsid w:val="007E30C4"/>
    <w:rsid w:val="007E31A7"/>
    <w:rsid w:val="007E35D5"/>
    <w:rsid w:val="007E39A3"/>
    <w:rsid w:val="007E3D38"/>
    <w:rsid w:val="007E3F25"/>
    <w:rsid w:val="007E3FCA"/>
    <w:rsid w:val="007E4261"/>
    <w:rsid w:val="007E4266"/>
    <w:rsid w:val="007E4295"/>
    <w:rsid w:val="007E4B26"/>
    <w:rsid w:val="007E4EF3"/>
    <w:rsid w:val="007E5227"/>
    <w:rsid w:val="007E5797"/>
    <w:rsid w:val="007E5BF3"/>
    <w:rsid w:val="007E5DB3"/>
    <w:rsid w:val="007E5DD6"/>
    <w:rsid w:val="007E5DF4"/>
    <w:rsid w:val="007E5E4D"/>
    <w:rsid w:val="007E5FEB"/>
    <w:rsid w:val="007E61D8"/>
    <w:rsid w:val="007E66AA"/>
    <w:rsid w:val="007E69C5"/>
    <w:rsid w:val="007E6FBB"/>
    <w:rsid w:val="007E71D9"/>
    <w:rsid w:val="007E7330"/>
    <w:rsid w:val="007E73FB"/>
    <w:rsid w:val="007E74B6"/>
    <w:rsid w:val="007E763C"/>
    <w:rsid w:val="007E765F"/>
    <w:rsid w:val="007E7672"/>
    <w:rsid w:val="007E7BB1"/>
    <w:rsid w:val="007F05B2"/>
    <w:rsid w:val="007F05CE"/>
    <w:rsid w:val="007F0898"/>
    <w:rsid w:val="007F0A4D"/>
    <w:rsid w:val="007F1055"/>
    <w:rsid w:val="007F175B"/>
    <w:rsid w:val="007F1799"/>
    <w:rsid w:val="007F1A1B"/>
    <w:rsid w:val="007F1AA5"/>
    <w:rsid w:val="007F1AC7"/>
    <w:rsid w:val="007F1C26"/>
    <w:rsid w:val="007F1D47"/>
    <w:rsid w:val="007F1E28"/>
    <w:rsid w:val="007F239D"/>
    <w:rsid w:val="007F28F1"/>
    <w:rsid w:val="007F2BAA"/>
    <w:rsid w:val="007F2F19"/>
    <w:rsid w:val="007F3005"/>
    <w:rsid w:val="007F30F4"/>
    <w:rsid w:val="007F3463"/>
    <w:rsid w:val="007F3A09"/>
    <w:rsid w:val="007F3A31"/>
    <w:rsid w:val="007F3DD2"/>
    <w:rsid w:val="007F4BE5"/>
    <w:rsid w:val="007F5248"/>
    <w:rsid w:val="007F54B1"/>
    <w:rsid w:val="007F599B"/>
    <w:rsid w:val="007F5DB1"/>
    <w:rsid w:val="007F615F"/>
    <w:rsid w:val="007F62B3"/>
    <w:rsid w:val="007F64A4"/>
    <w:rsid w:val="007F69D9"/>
    <w:rsid w:val="007F6D31"/>
    <w:rsid w:val="007F6F60"/>
    <w:rsid w:val="007F780D"/>
    <w:rsid w:val="007F7E1A"/>
    <w:rsid w:val="007F7FE5"/>
    <w:rsid w:val="008006B1"/>
    <w:rsid w:val="008006F4"/>
    <w:rsid w:val="008009DC"/>
    <w:rsid w:val="008009F7"/>
    <w:rsid w:val="00800D26"/>
    <w:rsid w:val="008011F7"/>
    <w:rsid w:val="008013A9"/>
    <w:rsid w:val="00801762"/>
    <w:rsid w:val="00801A43"/>
    <w:rsid w:val="00801B54"/>
    <w:rsid w:val="00802133"/>
    <w:rsid w:val="008021CB"/>
    <w:rsid w:val="008023D5"/>
    <w:rsid w:val="00802C35"/>
    <w:rsid w:val="00802E91"/>
    <w:rsid w:val="00802F27"/>
    <w:rsid w:val="0080378D"/>
    <w:rsid w:val="0080397E"/>
    <w:rsid w:val="00803A41"/>
    <w:rsid w:val="00803BDE"/>
    <w:rsid w:val="00803C30"/>
    <w:rsid w:val="00803CC5"/>
    <w:rsid w:val="00803DD4"/>
    <w:rsid w:val="0080400D"/>
    <w:rsid w:val="00804355"/>
    <w:rsid w:val="00804D21"/>
    <w:rsid w:val="00805199"/>
    <w:rsid w:val="0080526F"/>
    <w:rsid w:val="008053A9"/>
    <w:rsid w:val="008054F7"/>
    <w:rsid w:val="0080565D"/>
    <w:rsid w:val="0080568D"/>
    <w:rsid w:val="00805725"/>
    <w:rsid w:val="00805A25"/>
    <w:rsid w:val="00805D32"/>
    <w:rsid w:val="00805DFD"/>
    <w:rsid w:val="008064DB"/>
    <w:rsid w:val="008066D6"/>
    <w:rsid w:val="00806CAC"/>
    <w:rsid w:val="00807931"/>
    <w:rsid w:val="00807A1C"/>
    <w:rsid w:val="00807FA5"/>
    <w:rsid w:val="00810394"/>
    <w:rsid w:val="008104AA"/>
    <w:rsid w:val="008107BB"/>
    <w:rsid w:val="00810912"/>
    <w:rsid w:val="00811AFF"/>
    <w:rsid w:val="008124C7"/>
    <w:rsid w:val="00812D45"/>
    <w:rsid w:val="00812F20"/>
    <w:rsid w:val="0081321E"/>
    <w:rsid w:val="0081334E"/>
    <w:rsid w:val="00813A8D"/>
    <w:rsid w:val="00813DFC"/>
    <w:rsid w:val="008147B2"/>
    <w:rsid w:val="00814983"/>
    <w:rsid w:val="00814C89"/>
    <w:rsid w:val="00814ED0"/>
    <w:rsid w:val="00815127"/>
    <w:rsid w:val="008156CD"/>
    <w:rsid w:val="008158AE"/>
    <w:rsid w:val="008159D8"/>
    <w:rsid w:val="00815D6F"/>
    <w:rsid w:val="00815F0D"/>
    <w:rsid w:val="00815F37"/>
    <w:rsid w:val="00816369"/>
    <w:rsid w:val="00816634"/>
    <w:rsid w:val="00816A48"/>
    <w:rsid w:val="00816F09"/>
    <w:rsid w:val="00817C87"/>
    <w:rsid w:val="00820132"/>
    <w:rsid w:val="00820235"/>
    <w:rsid w:val="008202BC"/>
    <w:rsid w:val="00820338"/>
    <w:rsid w:val="0082034C"/>
    <w:rsid w:val="008204BF"/>
    <w:rsid w:val="00820B16"/>
    <w:rsid w:val="00821678"/>
    <w:rsid w:val="008216EA"/>
    <w:rsid w:val="00821A92"/>
    <w:rsid w:val="00821BF4"/>
    <w:rsid w:val="0082201F"/>
    <w:rsid w:val="00822062"/>
    <w:rsid w:val="00822564"/>
    <w:rsid w:val="00822847"/>
    <w:rsid w:val="00823A7E"/>
    <w:rsid w:val="00823B89"/>
    <w:rsid w:val="00823C65"/>
    <w:rsid w:val="00823F67"/>
    <w:rsid w:val="0082432B"/>
    <w:rsid w:val="00824385"/>
    <w:rsid w:val="008245AF"/>
    <w:rsid w:val="00824693"/>
    <w:rsid w:val="00824A91"/>
    <w:rsid w:val="00824CF3"/>
    <w:rsid w:val="00824DC2"/>
    <w:rsid w:val="00824DCB"/>
    <w:rsid w:val="008251AF"/>
    <w:rsid w:val="008251C3"/>
    <w:rsid w:val="008251CF"/>
    <w:rsid w:val="00825232"/>
    <w:rsid w:val="0082524F"/>
    <w:rsid w:val="0082538E"/>
    <w:rsid w:val="008254E0"/>
    <w:rsid w:val="00825C3D"/>
    <w:rsid w:val="00826A6B"/>
    <w:rsid w:val="00826FC7"/>
    <w:rsid w:val="00826FDA"/>
    <w:rsid w:val="008276E7"/>
    <w:rsid w:val="00827E85"/>
    <w:rsid w:val="00830873"/>
    <w:rsid w:val="00830C6C"/>
    <w:rsid w:val="00830D2A"/>
    <w:rsid w:val="00831205"/>
    <w:rsid w:val="008312EE"/>
    <w:rsid w:val="0083130E"/>
    <w:rsid w:val="008318CE"/>
    <w:rsid w:val="00831A43"/>
    <w:rsid w:val="00831CDE"/>
    <w:rsid w:val="0083208F"/>
    <w:rsid w:val="00832286"/>
    <w:rsid w:val="008323B6"/>
    <w:rsid w:val="00833568"/>
    <w:rsid w:val="00833637"/>
    <w:rsid w:val="00833F0D"/>
    <w:rsid w:val="00833F91"/>
    <w:rsid w:val="00834074"/>
    <w:rsid w:val="008343BB"/>
    <w:rsid w:val="00834405"/>
    <w:rsid w:val="00834434"/>
    <w:rsid w:val="00834808"/>
    <w:rsid w:val="00834C3C"/>
    <w:rsid w:val="00834CEF"/>
    <w:rsid w:val="00834D3F"/>
    <w:rsid w:val="00834D81"/>
    <w:rsid w:val="00834EA5"/>
    <w:rsid w:val="00835533"/>
    <w:rsid w:val="00835699"/>
    <w:rsid w:val="008364D9"/>
    <w:rsid w:val="008365A6"/>
    <w:rsid w:val="008365B8"/>
    <w:rsid w:val="0083668B"/>
    <w:rsid w:val="00836DBE"/>
    <w:rsid w:val="00836E7B"/>
    <w:rsid w:val="00836E9E"/>
    <w:rsid w:val="00837675"/>
    <w:rsid w:val="00837BDB"/>
    <w:rsid w:val="00837D71"/>
    <w:rsid w:val="00837D79"/>
    <w:rsid w:val="0084008A"/>
    <w:rsid w:val="008400D8"/>
    <w:rsid w:val="00840111"/>
    <w:rsid w:val="008402A4"/>
    <w:rsid w:val="008411C9"/>
    <w:rsid w:val="008411CD"/>
    <w:rsid w:val="00841C4E"/>
    <w:rsid w:val="00841C76"/>
    <w:rsid w:val="0084202A"/>
    <w:rsid w:val="00842532"/>
    <w:rsid w:val="00842E41"/>
    <w:rsid w:val="00842FDD"/>
    <w:rsid w:val="00843561"/>
    <w:rsid w:val="00843658"/>
    <w:rsid w:val="00843D4B"/>
    <w:rsid w:val="00843EAE"/>
    <w:rsid w:val="008441E9"/>
    <w:rsid w:val="008442A9"/>
    <w:rsid w:val="0084455D"/>
    <w:rsid w:val="008445C5"/>
    <w:rsid w:val="0084463F"/>
    <w:rsid w:val="0084475C"/>
    <w:rsid w:val="0084511D"/>
    <w:rsid w:val="008451B1"/>
    <w:rsid w:val="00845320"/>
    <w:rsid w:val="0084557D"/>
    <w:rsid w:val="008458A6"/>
    <w:rsid w:val="00845974"/>
    <w:rsid w:val="00845A8D"/>
    <w:rsid w:val="008462E8"/>
    <w:rsid w:val="00846D3E"/>
    <w:rsid w:val="00847192"/>
    <w:rsid w:val="0084735D"/>
    <w:rsid w:val="008476B2"/>
    <w:rsid w:val="008478E6"/>
    <w:rsid w:val="00847A36"/>
    <w:rsid w:val="00847F21"/>
    <w:rsid w:val="00847F83"/>
    <w:rsid w:val="0085001D"/>
    <w:rsid w:val="00850112"/>
    <w:rsid w:val="008504EC"/>
    <w:rsid w:val="00850CF0"/>
    <w:rsid w:val="00851168"/>
    <w:rsid w:val="0085144A"/>
    <w:rsid w:val="00851CFD"/>
    <w:rsid w:val="00851F72"/>
    <w:rsid w:val="00851FE6"/>
    <w:rsid w:val="008520E3"/>
    <w:rsid w:val="008520F6"/>
    <w:rsid w:val="008520FE"/>
    <w:rsid w:val="0085219A"/>
    <w:rsid w:val="0085272B"/>
    <w:rsid w:val="00852946"/>
    <w:rsid w:val="0085298F"/>
    <w:rsid w:val="00852A72"/>
    <w:rsid w:val="00852F21"/>
    <w:rsid w:val="00853269"/>
    <w:rsid w:val="00853521"/>
    <w:rsid w:val="008535FF"/>
    <w:rsid w:val="008538C2"/>
    <w:rsid w:val="00853C29"/>
    <w:rsid w:val="00853C72"/>
    <w:rsid w:val="00853E59"/>
    <w:rsid w:val="00854ACA"/>
    <w:rsid w:val="00854CF2"/>
    <w:rsid w:val="00855008"/>
    <w:rsid w:val="0085507B"/>
    <w:rsid w:val="0085581A"/>
    <w:rsid w:val="00855886"/>
    <w:rsid w:val="008559FE"/>
    <w:rsid w:val="008563F8"/>
    <w:rsid w:val="008565CE"/>
    <w:rsid w:val="00856825"/>
    <w:rsid w:val="0085686D"/>
    <w:rsid w:val="0085690E"/>
    <w:rsid w:val="00856BA3"/>
    <w:rsid w:val="00856D69"/>
    <w:rsid w:val="00857589"/>
    <w:rsid w:val="00857612"/>
    <w:rsid w:val="00857666"/>
    <w:rsid w:val="00857984"/>
    <w:rsid w:val="00857C83"/>
    <w:rsid w:val="00857D9D"/>
    <w:rsid w:val="00860120"/>
    <w:rsid w:val="008601A9"/>
    <w:rsid w:val="0086076C"/>
    <w:rsid w:val="00860794"/>
    <w:rsid w:val="008609A7"/>
    <w:rsid w:val="00860B30"/>
    <w:rsid w:val="00860CB5"/>
    <w:rsid w:val="00860CC1"/>
    <w:rsid w:val="00860EA3"/>
    <w:rsid w:val="0086135F"/>
    <w:rsid w:val="00861374"/>
    <w:rsid w:val="008615E4"/>
    <w:rsid w:val="0086170E"/>
    <w:rsid w:val="00861880"/>
    <w:rsid w:val="00861F26"/>
    <w:rsid w:val="0086205F"/>
    <w:rsid w:val="00862087"/>
    <w:rsid w:val="008621A6"/>
    <w:rsid w:val="008625ED"/>
    <w:rsid w:val="008626A3"/>
    <w:rsid w:val="008626BC"/>
    <w:rsid w:val="00862A50"/>
    <w:rsid w:val="00862BED"/>
    <w:rsid w:val="008637D1"/>
    <w:rsid w:val="00864049"/>
    <w:rsid w:val="00864083"/>
    <w:rsid w:val="00864107"/>
    <w:rsid w:val="008641A4"/>
    <w:rsid w:val="008642B5"/>
    <w:rsid w:val="00864534"/>
    <w:rsid w:val="008647D7"/>
    <w:rsid w:val="008648EC"/>
    <w:rsid w:val="00864E1D"/>
    <w:rsid w:val="00865526"/>
    <w:rsid w:val="0086564B"/>
    <w:rsid w:val="00865740"/>
    <w:rsid w:val="008657F3"/>
    <w:rsid w:val="0086580F"/>
    <w:rsid w:val="008658B0"/>
    <w:rsid w:val="008658BB"/>
    <w:rsid w:val="0086600F"/>
    <w:rsid w:val="0086662C"/>
    <w:rsid w:val="00866A25"/>
    <w:rsid w:val="00866BED"/>
    <w:rsid w:val="00866C09"/>
    <w:rsid w:val="00866C7E"/>
    <w:rsid w:val="00867D39"/>
    <w:rsid w:val="00867F7E"/>
    <w:rsid w:val="00867F80"/>
    <w:rsid w:val="00870059"/>
    <w:rsid w:val="0087058C"/>
    <w:rsid w:val="00870A05"/>
    <w:rsid w:val="008719F2"/>
    <w:rsid w:val="00871F75"/>
    <w:rsid w:val="00871F79"/>
    <w:rsid w:val="008721A3"/>
    <w:rsid w:val="008721E7"/>
    <w:rsid w:val="00872466"/>
    <w:rsid w:val="008724CC"/>
    <w:rsid w:val="00872AFF"/>
    <w:rsid w:val="00872B24"/>
    <w:rsid w:val="00872BF9"/>
    <w:rsid w:val="00872C72"/>
    <w:rsid w:val="0087339D"/>
    <w:rsid w:val="008733DB"/>
    <w:rsid w:val="0087406B"/>
    <w:rsid w:val="0087421E"/>
    <w:rsid w:val="008744B7"/>
    <w:rsid w:val="008748C2"/>
    <w:rsid w:val="008749B5"/>
    <w:rsid w:val="00874F42"/>
    <w:rsid w:val="008752C7"/>
    <w:rsid w:val="0087532A"/>
    <w:rsid w:val="0087545E"/>
    <w:rsid w:val="00875499"/>
    <w:rsid w:val="008755D6"/>
    <w:rsid w:val="008756CB"/>
    <w:rsid w:val="00875BEB"/>
    <w:rsid w:val="00875E4B"/>
    <w:rsid w:val="00875E80"/>
    <w:rsid w:val="00875F16"/>
    <w:rsid w:val="00875F23"/>
    <w:rsid w:val="00876118"/>
    <w:rsid w:val="00876754"/>
    <w:rsid w:val="00876C80"/>
    <w:rsid w:val="0087724F"/>
    <w:rsid w:val="0087742A"/>
    <w:rsid w:val="008775FE"/>
    <w:rsid w:val="00877910"/>
    <w:rsid w:val="00877E49"/>
    <w:rsid w:val="008809CC"/>
    <w:rsid w:val="00880C06"/>
    <w:rsid w:val="00881098"/>
    <w:rsid w:val="00881219"/>
    <w:rsid w:val="008820E6"/>
    <w:rsid w:val="00882230"/>
    <w:rsid w:val="0088232B"/>
    <w:rsid w:val="00882448"/>
    <w:rsid w:val="008826DD"/>
    <w:rsid w:val="00883153"/>
    <w:rsid w:val="0088330B"/>
    <w:rsid w:val="00883D2A"/>
    <w:rsid w:val="008842FE"/>
    <w:rsid w:val="0088436A"/>
    <w:rsid w:val="008848B6"/>
    <w:rsid w:val="00884BA5"/>
    <w:rsid w:val="00884DA5"/>
    <w:rsid w:val="0088543F"/>
    <w:rsid w:val="00885513"/>
    <w:rsid w:val="008858EE"/>
    <w:rsid w:val="00885B02"/>
    <w:rsid w:val="00885C7D"/>
    <w:rsid w:val="00885D0F"/>
    <w:rsid w:val="00885F64"/>
    <w:rsid w:val="00886056"/>
    <w:rsid w:val="00886491"/>
    <w:rsid w:val="00886669"/>
    <w:rsid w:val="008867C1"/>
    <w:rsid w:val="00886A09"/>
    <w:rsid w:val="00886AAC"/>
    <w:rsid w:val="00886B59"/>
    <w:rsid w:val="00886C27"/>
    <w:rsid w:val="008870DF"/>
    <w:rsid w:val="00887387"/>
    <w:rsid w:val="008879AA"/>
    <w:rsid w:val="00890032"/>
    <w:rsid w:val="00890057"/>
    <w:rsid w:val="0089024B"/>
    <w:rsid w:val="008902A9"/>
    <w:rsid w:val="008906BF"/>
    <w:rsid w:val="008908FB"/>
    <w:rsid w:val="00890B17"/>
    <w:rsid w:val="00890C12"/>
    <w:rsid w:val="00890DE0"/>
    <w:rsid w:val="00890EA9"/>
    <w:rsid w:val="0089111C"/>
    <w:rsid w:val="00891482"/>
    <w:rsid w:val="0089156B"/>
    <w:rsid w:val="00891F03"/>
    <w:rsid w:val="00892012"/>
    <w:rsid w:val="008920FC"/>
    <w:rsid w:val="00892495"/>
    <w:rsid w:val="00892595"/>
    <w:rsid w:val="008926AD"/>
    <w:rsid w:val="00892720"/>
    <w:rsid w:val="00892A65"/>
    <w:rsid w:val="00892BF9"/>
    <w:rsid w:val="0089311E"/>
    <w:rsid w:val="008931BD"/>
    <w:rsid w:val="0089382E"/>
    <w:rsid w:val="00893847"/>
    <w:rsid w:val="00893A4F"/>
    <w:rsid w:val="00893ABF"/>
    <w:rsid w:val="00893B26"/>
    <w:rsid w:val="008941B6"/>
    <w:rsid w:val="00894415"/>
    <w:rsid w:val="0089464C"/>
    <w:rsid w:val="00894AD9"/>
    <w:rsid w:val="00894CC7"/>
    <w:rsid w:val="00895036"/>
    <w:rsid w:val="008950C4"/>
    <w:rsid w:val="008951AE"/>
    <w:rsid w:val="00895319"/>
    <w:rsid w:val="0089571D"/>
    <w:rsid w:val="00895915"/>
    <w:rsid w:val="00895A65"/>
    <w:rsid w:val="00895D73"/>
    <w:rsid w:val="00895DBB"/>
    <w:rsid w:val="00895E8F"/>
    <w:rsid w:val="008960AA"/>
    <w:rsid w:val="0089619A"/>
    <w:rsid w:val="008966FB"/>
    <w:rsid w:val="00896CEC"/>
    <w:rsid w:val="00896F47"/>
    <w:rsid w:val="00896F88"/>
    <w:rsid w:val="008970FF"/>
    <w:rsid w:val="008973C3"/>
    <w:rsid w:val="0089758E"/>
    <w:rsid w:val="008977DC"/>
    <w:rsid w:val="008978CC"/>
    <w:rsid w:val="00897C28"/>
    <w:rsid w:val="008A0405"/>
    <w:rsid w:val="008A08A4"/>
    <w:rsid w:val="008A0A42"/>
    <w:rsid w:val="008A0B10"/>
    <w:rsid w:val="008A139C"/>
    <w:rsid w:val="008A189E"/>
    <w:rsid w:val="008A1B81"/>
    <w:rsid w:val="008A1BDF"/>
    <w:rsid w:val="008A1F4F"/>
    <w:rsid w:val="008A2097"/>
    <w:rsid w:val="008A213D"/>
    <w:rsid w:val="008A2222"/>
    <w:rsid w:val="008A2289"/>
    <w:rsid w:val="008A24E4"/>
    <w:rsid w:val="008A2694"/>
    <w:rsid w:val="008A2C0B"/>
    <w:rsid w:val="008A2D66"/>
    <w:rsid w:val="008A316C"/>
    <w:rsid w:val="008A32DF"/>
    <w:rsid w:val="008A33A6"/>
    <w:rsid w:val="008A35BF"/>
    <w:rsid w:val="008A3664"/>
    <w:rsid w:val="008A36E9"/>
    <w:rsid w:val="008A37F7"/>
    <w:rsid w:val="008A3DA6"/>
    <w:rsid w:val="008A3DBF"/>
    <w:rsid w:val="008A3E89"/>
    <w:rsid w:val="008A40AF"/>
    <w:rsid w:val="008A453C"/>
    <w:rsid w:val="008A4962"/>
    <w:rsid w:val="008A5066"/>
    <w:rsid w:val="008A5885"/>
    <w:rsid w:val="008A5D1D"/>
    <w:rsid w:val="008A5F90"/>
    <w:rsid w:val="008A60E8"/>
    <w:rsid w:val="008A62BA"/>
    <w:rsid w:val="008A66DB"/>
    <w:rsid w:val="008A674A"/>
    <w:rsid w:val="008A68E6"/>
    <w:rsid w:val="008A6A0D"/>
    <w:rsid w:val="008A6BC9"/>
    <w:rsid w:val="008A6BED"/>
    <w:rsid w:val="008B05A6"/>
    <w:rsid w:val="008B06E0"/>
    <w:rsid w:val="008B0AC5"/>
    <w:rsid w:val="008B0C06"/>
    <w:rsid w:val="008B0D34"/>
    <w:rsid w:val="008B12AD"/>
    <w:rsid w:val="008B160F"/>
    <w:rsid w:val="008B1831"/>
    <w:rsid w:val="008B19EF"/>
    <w:rsid w:val="008B2499"/>
    <w:rsid w:val="008B2B48"/>
    <w:rsid w:val="008B2D1A"/>
    <w:rsid w:val="008B2DC9"/>
    <w:rsid w:val="008B3119"/>
    <w:rsid w:val="008B32BD"/>
    <w:rsid w:val="008B32CA"/>
    <w:rsid w:val="008B3331"/>
    <w:rsid w:val="008B3704"/>
    <w:rsid w:val="008B3A25"/>
    <w:rsid w:val="008B3A68"/>
    <w:rsid w:val="008B3AC9"/>
    <w:rsid w:val="008B3DDE"/>
    <w:rsid w:val="008B3EC4"/>
    <w:rsid w:val="008B4128"/>
    <w:rsid w:val="008B4299"/>
    <w:rsid w:val="008B43B7"/>
    <w:rsid w:val="008B43CF"/>
    <w:rsid w:val="008B490E"/>
    <w:rsid w:val="008B4A43"/>
    <w:rsid w:val="008B4AB0"/>
    <w:rsid w:val="008B4E94"/>
    <w:rsid w:val="008B5106"/>
    <w:rsid w:val="008B5319"/>
    <w:rsid w:val="008B5C50"/>
    <w:rsid w:val="008B5CF3"/>
    <w:rsid w:val="008B5E77"/>
    <w:rsid w:val="008B676E"/>
    <w:rsid w:val="008B6831"/>
    <w:rsid w:val="008B68D6"/>
    <w:rsid w:val="008B6A97"/>
    <w:rsid w:val="008B6BBD"/>
    <w:rsid w:val="008B716A"/>
    <w:rsid w:val="008B72F4"/>
    <w:rsid w:val="008B7D28"/>
    <w:rsid w:val="008B7E2C"/>
    <w:rsid w:val="008C08F0"/>
    <w:rsid w:val="008C0B02"/>
    <w:rsid w:val="008C0BEE"/>
    <w:rsid w:val="008C0CC4"/>
    <w:rsid w:val="008C0F4C"/>
    <w:rsid w:val="008C125D"/>
    <w:rsid w:val="008C14CD"/>
    <w:rsid w:val="008C17DA"/>
    <w:rsid w:val="008C17E8"/>
    <w:rsid w:val="008C1BF4"/>
    <w:rsid w:val="008C1E6B"/>
    <w:rsid w:val="008C26E5"/>
    <w:rsid w:val="008C2820"/>
    <w:rsid w:val="008C286D"/>
    <w:rsid w:val="008C3030"/>
    <w:rsid w:val="008C3091"/>
    <w:rsid w:val="008C33C2"/>
    <w:rsid w:val="008C361A"/>
    <w:rsid w:val="008C3A66"/>
    <w:rsid w:val="008C3ED1"/>
    <w:rsid w:val="008C3FF1"/>
    <w:rsid w:val="008C42D5"/>
    <w:rsid w:val="008C4A7F"/>
    <w:rsid w:val="008C4B6E"/>
    <w:rsid w:val="008C4D35"/>
    <w:rsid w:val="008C5085"/>
    <w:rsid w:val="008C50CE"/>
    <w:rsid w:val="008C53CB"/>
    <w:rsid w:val="008C53EF"/>
    <w:rsid w:val="008C56CC"/>
    <w:rsid w:val="008C5C6B"/>
    <w:rsid w:val="008C60DA"/>
    <w:rsid w:val="008C64D8"/>
    <w:rsid w:val="008C6741"/>
    <w:rsid w:val="008C6AE8"/>
    <w:rsid w:val="008C6BF9"/>
    <w:rsid w:val="008C6CF6"/>
    <w:rsid w:val="008C6D91"/>
    <w:rsid w:val="008C7123"/>
    <w:rsid w:val="008C73B2"/>
    <w:rsid w:val="008C75A9"/>
    <w:rsid w:val="008C7795"/>
    <w:rsid w:val="008C77AC"/>
    <w:rsid w:val="008C7F85"/>
    <w:rsid w:val="008D0092"/>
    <w:rsid w:val="008D0528"/>
    <w:rsid w:val="008D062D"/>
    <w:rsid w:val="008D0A2A"/>
    <w:rsid w:val="008D0D84"/>
    <w:rsid w:val="008D0F50"/>
    <w:rsid w:val="008D110B"/>
    <w:rsid w:val="008D131A"/>
    <w:rsid w:val="008D1519"/>
    <w:rsid w:val="008D1C23"/>
    <w:rsid w:val="008D2016"/>
    <w:rsid w:val="008D26E1"/>
    <w:rsid w:val="008D2B95"/>
    <w:rsid w:val="008D2C95"/>
    <w:rsid w:val="008D2CC2"/>
    <w:rsid w:val="008D31A3"/>
    <w:rsid w:val="008D3472"/>
    <w:rsid w:val="008D3786"/>
    <w:rsid w:val="008D396F"/>
    <w:rsid w:val="008D39E5"/>
    <w:rsid w:val="008D3B03"/>
    <w:rsid w:val="008D3B53"/>
    <w:rsid w:val="008D3ED0"/>
    <w:rsid w:val="008D4462"/>
    <w:rsid w:val="008D4481"/>
    <w:rsid w:val="008D49FB"/>
    <w:rsid w:val="008D4B8B"/>
    <w:rsid w:val="008D4EED"/>
    <w:rsid w:val="008D519D"/>
    <w:rsid w:val="008D565C"/>
    <w:rsid w:val="008D5C44"/>
    <w:rsid w:val="008D63E7"/>
    <w:rsid w:val="008D6A69"/>
    <w:rsid w:val="008D6BA3"/>
    <w:rsid w:val="008D6DF6"/>
    <w:rsid w:val="008D7055"/>
    <w:rsid w:val="008D725D"/>
    <w:rsid w:val="008D75D6"/>
    <w:rsid w:val="008D7848"/>
    <w:rsid w:val="008D7988"/>
    <w:rsid w:val="008D79AF"/>
    <w:rsid w:val="008D7C32"/>
    <w:rsid w:val="008E09E1"/>
    <w:rsid w:val="008E0A87"/>
    <w:rsid w:val="008E0B85"/>
    <w:rsid w:val="008E0C77"/>
    <w:rsid w:val="008E0E1C"/>
    <w:rsid w:val="008E1180"/>
    <w:rsid w:val="008E1583"/>
    <w:rsid w:val="008E1778"/>
    <w:rsid w:val="008E1BC2"/>
    <w:rsid w:val="008E1C18"/>
    <w:rsid w:val="008E1DDE"/>
    <w:rsid w:val="008E1EE2"/>
    <w:rsid w:val="008E1F8F"/>
    <w:rsid w:val="008E249E"/>
    <w:rsid w:val="008E278D"/>
    <w:rsid w:val="008E2857"/>
    <w:rsid w:val="008E2996"/>
    <w:rsid w:val="008E2B15"/>
    <w:rsid w:val="008E32F7"/>
    <w:rsid w:val="008E35C9"/>
    <w:rsid w:val="008E38C4"/>
    <w:rsid w:val="008E3D77"/>
    <w:rsid w:val="008E3E29"/>
    <w:rsid w:val="008E3E40"/>
    <w:rsid w:val="008E3EA7"/>
    <w:rsid w:val="008E3F60"/>
    <w:rsid w:val="008E3F8B"/>
    <w:rsid w:val="008E40F2"/>
    <w:rsid w:val="008E4270"/>
    <w:rsid w:val="008E4504"/>
    <w:rsid w:val="008E4921"/>
    <w:rsid w:val="008E4CFE"/>
    <w:rsid w:val="008E5339"/>
    <w:rsid w:val="008E540A"/>
    <w:rsid w:val="008E5967"/>
    <w:rsid w:val="008E5968"/>
    <w:rsid w:val="008E5AEA"/>
    <w:rsid w:val="008E5B2B"/>
    <w:rsid w:val="008E5BB9"/>
    <w:rsid w:val="008E630B"/>
    <w:rsid w:val="008E6864"/>
    <w:rsid w:val="008E6906"/>
    <w:rsid w:val="008E6AB4"/>
    <w:rsid w:val="008E6B8A"/>
    <w:rsid w:val="008E6C79"/>
    <w:rsid w:val="008E7084"/>
    <w:rsid w:val="008E7185"/>
    <w:rsid w:val="008E7354"/>
    <w:rsid w:val="008E754D"/>
    <w:rsid w:val="008E7556"/>
    <w:rsid w:val="008E7C15"/>
    <w:rsid w:val="008F0254"/>
    <w:rsid w:val="008F0577"/>
    <w:rsid w:val="008F09BD"/>
    <w:rsid w:val="008F0E17"/>
    <w:rsid w:val="008F16E4"/>
    <w:rsid w:val="008F1F4D"/>
    <w:rsid w:val="008F1FF8"/>
    <w:rsid w:val="008F2237"/>
    <w:rsid w:val="008F2316"/>
    <w:rsid w:val="008F26BD"/>
    <w:rsid w:val="008F26DE"/>
    <w:rsid w:val="008F2989"/>
    <w:rsid w:val="008F29DB"/>
    <w:rsid w:val="008F2B26"/>
    <w:rsid w:val="008F2DD8"/>
    <w:rsid w:val="008F2F07"/>
    <w:rsid w:val="008F2F7F"/>
    <w:rsid w:val="008F2FE7"/>
    <w:rsid w:val="008F36C1"/>
    <w:rsid w:val="008F3974"/>
    <w:rsid w:val="008F3DBF"/>
    <w:rsid w:val="008F40EA"/>
    <w:rsid w:val="008F4104"/>
    <w:rsid w:val="008F4316"/>
    <w:rsid w:val="008F4532"/>
    <w:rsid w:val="008F4548"/>
    <w:rsid w:val="008F47E0"/>
    <w:rsid w:val="008F4AF5"/>
    <w:rsid w:val="008F4B34"/>
    <w:rsid w:val="008F50BA"/>
    <w:rsid w:val="008F545F"/>
    <w:rsid w:val="008F587A"/>
    <w:rsid w:val="008F58D8"/>
    <w:rsid w:val="008F58E4"/>
    <w:rsid w:val="008F5E1C"/>
    <w:rsid w:val="008F635A"/>
    <w:rsid w:val="008F641E"/>
    <w:rsid w:val="008F66AB"/>
    <w:rsid w:val="008F66CC"/>
    <w:rsid w:val="008F6980"/>
    <w:rsid w:val="008F7774"/>
    <w:rsid w:val="008F792D"/>
    <w:rsid w:val="008F7B31"/>
    <w:rsid w:val="009000CC"/>
    <w:rsid w:val="009003A9"/>
    <w:rsid w:val="009006C0"/>
    <w:rsid w:val="00900784"/>
    <w:rsid w:val="00900931"/>
    <w:rsid w:val="009009C9"/>
    <w:rsid w:val="00901573"/>
    <w:rsid w:val="00901857"/>
    <w:rsid w:val="0090228F"/>
    <w:rsid w:val="00902332"/>
    <w:rsid w:val="009023CB"/>
    <w:rsid w:val="009026D0"/>
    <w:rsid w:val="009026DD"/>
    <w:rsid w:val="00902C93"/>
    <w:rsid w:val="00902D35"/>
    <w:rsid w:val="0090376C"/>
    <w:rsid w:val="00904692"/>
    <w:rsid w:val="00904BD9"/>
    <w:rsid w:val="00904EBF"/>
    <w:rsid w:val="00904F8C"/>
    <w:rsid w:val="009051B2"/>
    <w:rsid w:val="0090540C"/>
    <w:rsid w:val="00905806"/>
    <w:rsid w:val="00905901"/>
    <w:rsid w:val="00905AF9"/>
    <w:rsid w:val="00905C16"/>
    <w:rsid w:val="00905C7B"/>
    <w:rsid w:val="00905E68"/>
    <w:rsid w:val="00905EB9"/>
    <w:rsid w:val="00906421"/>
    <w:rsid w:val="00906AEC"/>
    <w:rsid w:val="00906EBE"/>
    <w:rsid w:val="00906F9F"/>
    <w:rsid w:val="00907129"/>
    <w:rsid w:val="009071CB"/>
    <w:rsid w:val="00907572"/>
    <w:rsid w:val="00907726"/>
    <w:rsid w:val="00907AAF"/>
    <w:rsid w:val="00907ADC"/>
    <w:rsid w:val="00907D2B"/>
    <w:rsid w:val="00910182"/>
    <w:rsid w:val="009101E4"/>
    <w:rsid w:val="009106AC"/>
    <w:rsid w:val="00910A00"/>
    <w:rsid w:val="00911650"/>
    <w:rsid w:val="00911F7C"/>
    <w:rsid w:val="00911F91"/>
    <w:rsid w:val="009121C4"/>
    <w:rsid w:val="0091223C"/>
    <w:rsid w:val="00912EF5"/>
    <w:rsid w:val="00913153"/>
    <w:rsid w:val="00913516"/>
    <w:rsid w:val="009135F6"/>
    <w:rsid w:val="00913610"/>
    <w:rsid w:val="00913936"/>
    <w:rsid w:val="009139C9"/>
    <w:rsid w:val="00913F1B"/>
    <w:rsid w:val="009140F4"/>
    <w:rsid w:val="0091415D"/>
    <w:rsid w:val="00914185"/>
    <w:rsid w:val="00914323"/>
    <w:rsid w:val="0091450C"/>
    <w:rsid w:val="00914555"/>
    <w:rsid w:val="00914722"/>
    <w:rsid w:val="00914725"/>
    <w:rsid w:val="00914825"/>
    <w:rsid w:val="00914827"/>
    <w:rsid w:val="0091491C"/>
    <w:rsid w:val="009151B0"/>
    <w:rsid w:val="009151C7"/>
    <w:rsid w:val="009154E2"/>
    <w:rsid w:val="009155BA"/>
    <w:rsid w:val="00915676"/>
    <w:rsid w:val="009158E6"/>
    <w:rsid w:val="00915F66"/>
    <w:rsid w:val="0091647C"/>
    <w:rsid w:val="0091693F"/>
    <w:rsid w:val="00916966"/>
    <w:rsid w:val="009169F7"/>
    <w:rsid w:val="00916E51"/>
    <w:rsid w:val="009170CD"/>
    <w:rsid w:val="00917139"/>
    <w:rsid w:val="00917475"/>
    <w:rsid w:val="00917E13"/>
    <w:rsid w:val="009201F6"/>
    <w:rsid w:val="0092024C"/>
    <w:rsid w:val="009203A3"/>
    <w:rsid w:val="00921034"/>
    <w:rsid w:val="00921541"/>
    <w:rsid w:val="00921568"/>
    <w:rsid w:val="0092168F"/>
    <w:rsid w:val="00921B2E"/>
    <w:rsid w:val="00921CCE"/>
    <w:rsid w:val="009227DB"/>
    <w:rsid w:val="00922D1C"/>
    <w:rsid w:val="00923C82"/>
    <w:rsid w:val="00923F68"/>
    <w:rsid w:val="009242C7"/>
    <w:rsid w:val="00924647"/>
    <w:rsid w:val="00924AF6"/>
    <w:rsid w:val="00924F79"/>
    <w:rsid w:val="00925094"/>
    <w:rsid w:val="00925182"/>
    <w:rsid w:val="00925A55"/>
    <w:rsid w:val="00925E79"/>
    <w:rsid w:val="00925ED8"/>
    <w:rsid w:val="00925EFD"/>
    <w:rsid w:val="009261D5"/>
    <w:rsid w:val="009263A4"/>
    <w:rsid w:val="00926717"/>
    <w:rsid w:val="00926B8F"/>
    <w:rsid w:val="00926C5A"/>
    <w:rsid w:val="00926F8E"/>
    <w:rsid w:val="0092771D"/>
    <w:rsid w:val="009278D8"/>
    <w:rsid w:val="00927BA7"/>
    <w:rsid w:val="00927C90"/>
    <w:rsid w:val="00930740"/>
    <w:rsid w:val="00930E68"/>
    <w:rsid w:val="009310F6"/>
    <w:rsid w:val="00931186"/>
    <w:rsid w:val="0093125D"/>
    <w:rsid w:val="009312AB"/>
    <w:rsid w:val="009312DB"/>
    <w:rsid w:val="00931345"/>
    <w:rsid w:val="00931369"/>
    <w:rsid w:val="00931698"/>
    <w:rsid w:val="00931941"/>
    <w:rsid w:val="009319C5"/>
    <w:rsid w:val="00931C6F"/>
    <w:rsid w:val="00931E62"/>
    <w:rsid w:val="00931EEE"/>
    <w:rsid w:val="00931FA3"/>
    <w:rsid w:val="009320EB"/>
    <w:rsid w:val="009325BD"/>
    <w:rsid w:val="0093289A"/>
    <w:rsid w:val="00932932"/>
    <w:rsid w:val="00932A41"/>
    <w:rsid w:val="0093304F"/>
    <w:rsid w:val="00933283"/>
    <w:rsid w:val="009339B4"/>
    <w:rsid w:val="00933BDC"/>
    <w:rsid w:val="00933DA8"/>
    <w:rsid w:val="009342F8"/>
    <w:rsid w:val="009343C9"/>
    <w:rsid w:val="00934409"/>
    <w:rsid w:val="0093490E"/>
    <w:rsid w:val="00934AFA"/>
    <w:rsid w:val="00934D27"/>
    <w:rsid w:val="00934E6B"/>
    <w:rsid w:val="00935556"/>
    <w:rsid w:val="00935701"/>
    <w:rsid w:val="00935CFF"/>
    <w:rsid w:val="00936D05"/>
    <w:rsid w:val="00936FBA"/>
    <w:rsid w:val="00937075"/>
    <w:rsid w:val="0093711D"/>
    <w:rsid w:val="0093723B"/>
    <w:rsid w:val="009373DA"/>
    <w:rsid w:val="009373F5"/>
    <w:rsid w:val="009374E6"/>
    <w:rsid w:val="0093769F"/>
    <w:rsid w:val="009377EC"/>
    <w:rsid w:val="009379E6"/>
    <w:rsid w:val="00937D00"/>
    <w:rsid w:val="00937D64"/>
    <w:rsid w:val="00937E98"/>
    <w:rsid w:val="00937EF6"/>
    <w:rsid w:val="009403A6"/>
    <w:rsid w:val="00940405"/>
    <w:rsid w:val="00940436"/>
    <w:rsid w:val="0094045A"/>
    <w:rsid w:val="00940605"/>
    <w:rsid w:val="00940A80"/>
    <w:rsid w:val="00940B42"/>
    <w:rsid w:val="00940D19"/>
    <w:rsid w:val="00940E1B"/>
    <w:rsid w:val="00940F35"/>
    <w:rsid w:val="009412C3"/>
    <w:rsid w:val="009412DF"/>
    <w:rsid w:val="00941B58"/>
    <w:rsid w:val="00941BCE"/>
    <w:rsid w:val="00941F10"/>
    <w:rsid w:val="0094219C"/>
    <w:rsid w:val="009428B0"/>
    <w:rsid w:val="009428FC"/>
    <w:rsid w:val="00942A17"/>
    <w:rsid w:val="00942EAD"/>
    <w:rsid w:val="009441B4"/>
    <w:rsid w:val="00944356"/>
    <w:rsid w:val="009444FA"/>
    <w:rsid w:val="009449EE"/>
    <w:rsid w:val="00944BB3"/>
    <w:rsid w:val="00944D8C"/>
    <w:rsid w:val="009453AE"/>
    <w:rsid w:val="00945488"/>
    <w:rsid w:val="009454C0"/>
    <w:rsid w:val="009456A4"/>
    <w:rsid w:val="009456A5"/>
    <w:rsid w:val="00945779"/>
    <w:rsid w:val="009458AE"/>
    <w:rsid w:val="00945E8A"/>
    <w:rsid w:val="00945FCA"/>
    <w:rsid w:val="0094617A"/>
    <w:rsid w:val="00946384"/>
    <w:rsid w:val="0094681F"/>
    <w:rsid w:val="00946964"/>
    <w:rsid w:val="00946D54"/>
    <w:rsid w:val="00946EB0"/>
    <w:rsid w:val="00946F78"/>
    <w:rsid w:val="0094722B"/>
    <w:rsid w:val="009474A6"/>
    <w:rsid w:val="00947640"/>
    <w:rsid w:val="009476FD"/>
    <w:rsid w:val="009478F9"/>
    <w:rsid w:val="00947959"/>
    <w:rsid w:val="00947D13"/>
    <w:rsid w:val="00950ABB"/>
    <w:rsid w:val="00950DBD"/>
    <w:rsid w:val="00950EAC"/>
    <w:rsid w:val="00951157"/>
    <w:rsid w:val="00951329"/>
    <w:rsid w:val="00951426"/>
    <w:rsid w:val="00951473"/>
    <w:rsid w:val="00951CD1"/>
    <w:rsid w:val="009521BC"/>
    <w:rsid w:val="009522BE"/>
    <w:rsid w:val="00952694"/>
    <w:rsid w:val="00952849"/>
    <w:rsid w:val="00952AF2"/>
    <w:rsid w:val="00952C0D"/>
    <w:rsid w:val="00952E6D"/>
    <w:rsid w:val="00952F41"/>
    <w:rsid w:val="00953CEF"/>
    <w:rsid w:val="00953FC9"/>
    <w:rsid w:val="0095401D"/>
    <w:rsid w:val="0095424A"/>
    <w:rsid w:val="0095457B"/>
    <w:rsid w:val="009546FF"/>
    <w:rsid w:val="00954720"/>
    <w:rsid w:val="009547B5"/>
    <w:rsid w:val="0095496C"/>
    <w:rsid w:val="009549CD"/>
    <w:rsid w:val="00954CBB"/>
    <w:rsid w:val="00955136"/>
    <w:rsid w:val="009553AC"/>
    <w:rsid w:val="0095591A"/>
    <w:rsid w:val="00955DC9"/>
    <w:rsid w:val="00955E6D"/>
    <w:rsid w:val="009560F7"/>
    <w:rsid w:val="009561EF"/>
    <w:rsid w:val="0095687B"/>
    <w:rsid w:val="009569B0"/>
    <w:rsid w:val="00956CE5"/>
    <w:rsid w:val="00956E45"/>
    <w:rsid w:val="00957057"/>
    <w:rsid w:val="009570E9"/>
    <w:rsid w:val="0096045C"/>
    <w:rsid w:val="009604DD"/>
    <w:rsid w:val="0096061C"/>
    <w:rsid w:val="0096066B"/>
    <w:rsid w:val="009608C8"/>
    <w:rsid w:val="009609DB"/>
    <w:rsid w:val="00960C37"/>
    <w:rsid w:val="009610AC"/>
    <w:rsid w:val="00961184"/>
    <w:rsid w:val="0096138A"/>
    <w:rsid w:val="009617C4"/>
    <w:rsid w:val="00961F96"/>
    <w:rsid w:val="009620E4"/>
    <w:rsid w:val="00962164"/>
    <w:rsid w:val="00962894"/>
    <w:rsid w:val="00962A18"/>
    <w:rsid w:val="009634B7"/>
    <w:rsid w:val="0096382F"/>
    <w:rsid w:val="00963B88"/>
    <w:rsid w:val="0096431E"/>
    <w:rsid w:val="009644EE"/>
    <w:rsid w:val="00964BEB"/>
    <w:rsid w:val="00964C3E"/>
    <w:rsid w:val="00964CEC"/>
    <w:rsid w:val="00964CF3"/>
    <w:rsid w:val="00965168"/>
    <w:rsid w:val="00965890"/>
    <w:rsid w:val="00965988"/>
    <w:rsid w:val="00965BCA"/>
    <w:rsid w:val="00965C68"/>
    <w:rsid w:val="009664AA"/>
    <w:rsid w:val="009666C4"/>
    <w:rsid w:val="00966A22"/>
    <w:rsid w:val="00966E35"/>
    <w:rsid w:val="00967090"/>
    <w:rsid w:val="00967442"/>
    <w:rsid w:val="00967B93"/>
    <w:rsid w:val="00967D73"/>
    <w:rsid w:val="00967D96"/>
    <w:rsid w:val="00967DDB"/>
    <w:rsid w:val="00967F9C"/>
    <w:rsid w:val="009702FC"/>
    <w:rsid w:val="00970A18"/>
    <w:rsid w:val="00970C9E"/>
    <w:rsid w:val="00970DE7"/>
    <w:rsid w:val="00971038"/>
    <w:rsid w:val="009713AD"/>
    <w:rsid w:val="009714F7"/>
    <w:rsid w:val="0097153F"/>
    <w:rsid w:val="009718D9"/>
    <w:rsid w:val="00971B08"/>
    <w:rsid w:val="00971D46"/>
    <w:rsid w:val="00972369"/>
    <w:rsid w:val="00972660"/>
    <w:rsid w:val="0097288E"/>
    <w:rsid w:val="0097296B"/>
    <w:rsid w:val="00972B1F"/>
    <w:rsid w:val="00972BF2"/>
    <w:rsid w:val="00972DCB"/>
    <w:rsid w:val="00972E28"/>
    <w:rsid w:val="00972FAF"/>
    <w:rsid w:val="0097336B"/>
    <w:rsid w:val="009734C4"/>
    <w:rsid w:val="00973983"/>
    <w:rsid w:val="00973A0B"/>
    <w:rsid w:val="00973ABF"/>
    <w:rsid w:val="00973BDF"/>
    <w:rsid w:val="00973F06"/>
    <w:rsid w:val="00973F4A"/>
    <w:rsid w:val="00974131"/>
    <w:rsid w:val="0097440B"/>
    <w:rsid w:val="00974AE2"/>
    <w:rsid w:val="00974CF5"/>
    <w:rsid w:val="00974DBE"/>
    <w:rsid w:val="00974F20"/>
    <w:rsid w:val="00975223"/>
    <w:rsid w:val="0097522F"/>
    <w:rsid w:val="0097528A"/>
    <w:rsid w:val="00975305"/>
    <w:rsid w:val="00975544"/>
    <w:rsid w:val="00976338"/>
    <w:rsid w:val="0097661B"/>
    <w:rsid w:val="009767F8"/>
    <w:rsid w:val="00976B33"/>
    <w:rsid w:val="00976BBD"/>
    <w:rsid w:val="009770C7"/>
    <w:rsid w:val="00977341"/>
    <w:rsid w:val="00977F3F"/>
    <w:rsid w:val="0098000D"/>
    <w:rsid w:val="009804DD"/>
    <w:rsid w:val="0098058D"/>
    <w:rsid w:val="00980663"/>
    <w:rsid w:val="00980B1E"/>
    <w:rsid w:val="00981103"/>
    <w:rsid w:val="0098110A"/>
    <w:rsid w:val="0098146C"/>
    <w:rsid w:val="0098189E"/>
    <w:rsid w:val="009823F6"/>
    <w:rsid w:val="009825E2"/>
    <w:rsid w:val="009826FE"/>
    <w:rsid w:val="009827DB"/>
    <w:rsid w:val="009828FD"/>
    <w:rsid w:val="00982EEF"/>
    <w:rsid w:val="00983232"/>
    <w:rsid w:val="009839A2"/>
    <w:rsid w:val="00983A0C"/>
    <w:rsid w:val="00983B49"/>
    <w:rsid w:val="00983C6D"/>
    <w:rsid w:val="009840DF"/>
    <w:rsid w:val="00984752"/>
    <w:rsid w:val="00984AE7"/>
    <w:rsid w:val="00984F60"/>
    <w:rsid w:val="00985242"/>
    <w:rsid w:val="009857CF"/>
    <w:rsid w:val="00985875"/>
    <w:rsid w:val="00985E9B"/>
    <w:rsid w:val="00985F08"/>
    <w:rsid w:val="00985F23"/>
    <w:rsid w:val="00986146"/>
    <w:rsid w:val="0098678C"/>
    <w:rsid w:val="009867B7"/>
    <w:rsid w:val="00986A81"/>
    <w:rsid w:val="00986F77"/>
    <w:rsid w:val="00987020"/>
    <w:rsid w:val="009870B2"/>
    <w:rsid w:val="00987116"/>
    <w:rsid w:val="00987832"/>
    <w:rsid w:val="009878D4"/>
    <w:rsid w:val="00987A89"/>
    <w:rsid w:val="00987D9E"/>
    <w:rsid w:val="00987F29"/>
    <w:rsid w:val="00990001"/>
    <w:rsid w:val="00990058"/>
    <w:rsid w:val="00990DF8"/>
    <w:rsid w:val="00990F4A"/>
    <w:rsid w:val="009913F4"/>
    <w:rsid w:val="0099146C"/>
    <w:rsid w:val="00991816"/>
    <w:rsid w:val="009918B5"/>
    <w:rsid w:val="00991DC9"/>
    <w:rsid w:val="00991E24"/>
    <w:rsid w:val="00992310"/>
    <w:rsid w:val="00992561"/>
    <w:rsid w:val="009925E4"/>
    <w:rsid w:val="009926E0"/>
    <w:rsid w:val="0099281D"/>
    <w:rsid w:val="00992C1F"/>
    <w:rsid w:val="00992CFE"/>
    <w:rsid w:val="00992EE5"/>
    <w:rsid w:val="00993051"/>
    <w:rsid w:val="00993159"/>
    <w:rsid w:val="00993427"/>
    <w:rsid w:val="00993880"/>
    <w:rsid w:val="00993B01"/>
    <w:rsid w:val="00993D42"/>
    <w:rsid w:val="00993F00"/>
    <w:rsid w:val="00994159"/>
    <w:rsid w:val="00994CBE"/>
    <w:rsid w:val="00994D5F"/>
    <w:rsid w:val="00994DA0"/>
    <w:rsid w:val="00994E61"/>
    <w:rsid w:val="009954C4"/>
    <w:rsid w:val="00995670"/>
    <w:rsid w:val="009957E4"/>
    <w:rsid w:val="00995AD2"/>
    <w:rsid w:val="00995B0D"/>
    <w:rsid w:val="00995C3C"/>
    <w:rsid w:val="00995D55"/>
    <w:rsid w:val="00996043"/>
    <w:rsid w:val="00996925"/>
    <w:rsid w:val="00996DC4"/>
    <w:rsid w:val="00996E1C"/>
    <w:rsid w:val="00997010"/>
    <w:rsid w:val="009978B1"/>
    <w:rsid w:val="0099791A"/>
    <w:rsid w:val="00997FFD"/>
    <w:rsid w:val="009A0285"/>
    <w:rsid w:val="009A0520"/>
    <w:rsid w:val="009A09A9"/>
    <w:rsid w:val="009A0A54"/>
    <w:rsid w:val="009A0B03"/>
    <w:rsid w:val="009A11B7"/>
    <w:rsid w:val="009A1325"/>
    <w:rsid w:val="009A1875"/>
    <w:rsid w:val="009A1B09"/>
    <w:rsid w:val="009A1DB7"/>
    <w:rsid w:val="009A1FF7"/>
    <w:rsid w:val="009A2147"/>
    <w:rsid w:val="009A22A8"/>
    <w:rsid w:val="009A22B0"/>
    <w:rsid w:val="009A239C"/>
    <w:rsid w:val="009A23DC"/>
    <w:rsid w:val="009A27B6"/>
    <w:rsid w:val="009A291D"/>
    <w:rsid w:val="009A299D"/>
    <w:rsid w:val="009A2B1A"/>
    <w:rsid w:val="009A2DCE"/>
    <w:rsid w:val="009A313F"/>
    <w:rsid w:val="009A31CE"/>
    <w:rsid w:val="009A3462"/>
    <w:rsid w:val="009A3763"/>
    <w:rsid w:val="009A3909"/>
    <w:rsid w:val="009A3A13"/>
    <w:rsid w:val="009A3A33"/>
    <w:rsid w:val="009A3A53"/>
    <w:rsid w:val="009A3F15"/>
    <w:rsid w:val="009A41F2"/>
    <w:rsid w:val="009A4552"/>
    <w:rsid w:val="009A4719"/>
    <w:rsid w:val="009A47B1"/>
    <w:rsid w:val="009A47D3"/>
    <w:rsid w:val="009A4940"/>
    <w:rsid w:val="009A4ED0"/>
    <w:rsid w:val="009A5006"/>
    <w:rsid w:val="009A50CC"/>
    <w:rsid w:val="009A55AE"/>
    <w:rsid w:val="009A5921"/>
    <w:rsid w:val="009A5960"/>
    <w:rsid w:val="009A5B1C"/>
    <w:rsid w:val="009A5B9B"/>
    <w:rsid w:val="009A5E05"/>
    <w:rsid w:val="009A6100"/>
    <w:rsid w:val="009A65D0"/>
    <w:rsid w:val="009A6751"/>
    <w:rsid w:val="009A70B8"/>
    <w:rsid w:val="009A722F"/>
    <w:rsid w:val="009A7403"/>
    <w:rsid w:val="009A7430"/>
    <w:rsid w:val="009A7582"/>
    <w:rsid w:val="009A758C"/>
    <w:rsid w:val="009A768D"/>
    <w:rsid w:val="009A79C7"/>
    <w:rsid w:val="009B02B6"/>
    <w:rsid w:val="009B08B1"/>
    <w:rsid w:val="009B0A00"/>
    <w:rsid w:val="009B0AC0"/>
    <w:rsid w:val="009B112F"/>
    <w:rsid w:val="009B19B7"/>
    <w:rsid w:val="009B1A7C"/>
    <w:rsid w:val="009B1F8D"/>
    <w:rsid w:val="009B20EA"/>
    <w:rsid w:val="009B2679"/>
    <w:rsid w:val="009B278C"/>
    <w:rsid w:val="009B2962"/>
    <w:rsid w:val="009B2B68"/>
    <w:rsid w:val="009B2D19"/>
    <w:rsid w:val="009B2D73"/>
    <w:rsid w:val="009B2EEE"/>
    <w:rsid w:val="009B2FCE"/>
    <w:rsid w:val="009B3221"/>
    <w:rsid w:val="009B3389"/>
    <w:rsid w:val="009B33EA"/>
    <w:rsid w:val="009B3545"/>
    <w:rsid w:val="009B354D"/>
    <w:rsid w:val="009B355B"/>
    <w:rsid w:val="009B37BC"/>
    <w:rsid w:val="009B3833"/>
    <w:rsid w:val="009B3FB8"/>
    <w:rsid w:val="009B4960"/>
    <w:rsid w:val="009B4AD4"/>
    <w:rsid w:val="009B50E0"/>
    <w:rsid w:val="009B5106"/>
    <w:rsid w:val="009B525E"/>
    <w:rsid w:val="009B531C"/>
    <w:rsid w:val="009B533C"/>
    <w:rsid w:val="009B536D"/>
    <w:rsid w:val="009B5565"/>
    <w:rsid w:val="009B5575"/>
    <w:rsid w:val="009B583A"/>
    <w:rsid w:val="009B59EB"/>
    <w:rsid w:val="009B5A13"/>
    <w:rsid w:val="009B5A19"/>
    <w:rsid w:val="009B5A80"/>
    <w:rsid w:val="009B5AF2"/>
    <w:rsid w:val="009B6053"/>
    <w:rsid w:val="009B6117"/>
    <w:rsid w:val="009B622C"/>
    <w:rsid w:val="009B65A5"/>
    <w:rsid w:val="009B670F"/>
    <w:rsid w:val="009B673E"/>
    <w:rsid w:val="009B6ADD"/>
    <w:rsid w:val="009B6AFF"/>
    <w:rsid w:val="009B6C0C"/>
    <w:rsid w:val="009B7099"/>
    <w:rsid w:val="009B720F"/>
    <w:rsid w:val="009B72B8"/>
    <w:rsid w:val="009B76AF"/>
    <w:rsid w:val="009B77A8"/>
    <w:rsid w:val="009B78CA"/>
    <w:rsid w:val="009B7A9E"/>
    <w:rsid w:val="009B7AF8"/>
    <w:rsid w:val="009B7D98"/>
    <w:rsid w:val="009B7E95"/>
    <w:rsid w:val="009C04BB"/>
    <w:rsid w:val="009C06FE"/>
    <w:rsid w:val="009C10C5"/>
    <w:rsid w:val="009C116A"/>
    <w:rsid w:val="009C120E"/>
    <w:rsid w:val="009C124C"/>
    <w:rsid w:val="009C148D"/>
    <w:rsid w:val="009C17AD"/>
    <w:rsid w:val="009C1EBC"/>
    <w:rsid w:val="009C224C"/>
    <w:rsid w:val="009C2A92"/>
    <w:rsid w:val="009C2C52"/>
    <w:rsid w:val="009C2EBA"/>
    <w:rsid w:val="009C321A"/>
    <w:rsid w:val="009C33DD"/>
    <w:rsid w:val="009C39E3"/>
    <w:rsid w:val="009C39F0"/>
    <w:rsid w:val="009C3ABD"/>
    <w:rsid w:val="009C41FB"/>
    <w:rsid w:val="009C42B8"/>
    <w:rsid w:val="009C483C"/>
    <w:rsid w:val="009C4896"/>
    <w:rsid w:val="009C4C3C"/>
    <w:rsid w:val="009C4CE7"/>
    <w:rsid w:val="009C4DCE"/>
    <w:rsid w:val="009C4EB4"/>
    <w:rsid w:val="009C5253"/>
    <w:rsid w:val="009C53C6"/>
    <w:rsid w:val="009C5755"/>
    <w:rsid w:val="009C5A6C"/>
    <w:rsid w:val="009C61DB"/>
    <w:rsid w:val="009C65A4"/>
    <w:rsid w:val="009C6BC7"/>
    <w:rsid w:val="009C6DCF"/>
    <w:rsid w:val="009C6F7A"/>
    <w:rsid w:val="009C77BC"/>
    <w:rsid w:val="009C7A3A"/>
    <w:rsid w:val="009C7EA0"/>
    <w:rsid w:val="009D00C4"/>
    <w:rsid w:val="009D0326"/>
    <w:rsid w:val="009D0490"/>
    <w:rsid w:val="009D0696"/>
    <w:rsid w:val="009D1A74"/>
    <w:rsid w:val="009D1AC4"/>
    <w:rsid w:val="009D1B3A"/>
    <w:rsid w:val="009D1F2D"/>
    <w:rsid w:val="009D2328"/>
    <w:rsid w:val="009D24BC"/>
    <w:rsid w:val="009D29BD"/>
    <w:rsid w:val="009D2FB0"/>
    <w:rsid w:val="009D3266"/>
    <w:rsid w:val="009D3448"/>
    <w:rsid w:val="009D3663"/>
    <w:rsid w:val="009D38DF"/>
    <w:rsid w:val="009D3990"/>
    <w:rsid w:val="009D3C3E"/>
    <w:rsid w:val="009D3C68"/>
    <w:rsid w:val="009D3CA6"/>
    <w:rsid w:val="009D3D8A"/>
    <w:rsid w:val="009D40C6"/>
    <w:rsid w:val="009D43BB"/>
    <w:rsid w:val="009D4647"/>
    <w:rsid w:val="009D4915"/>
    <w:rsid w:val="009D4D24"/>
    <w:rsid w:val="009D4D61"/>
    <w:rsid w:val="009D53C5"/>
    <w:rsid w:val="009D5482"/>
    <w:rsid w:val="009D54F8"/>
    <w:rsid w:val="009D55AB"/>
    <w:rsid w:val="009D5A84"/>
    <w:rsid w:val="009D5CE1"/>
    <w:rsid w:val="009D695A"/>
    <w:rsid w:val="009D6B00"/>
    <w:rsid w:val="009D6EE5"/>
    <w:rsid w:val="009D702B"/>
    <w:rsid w:val="009D7064"/>
    <w:rsid w:val="009D70E4"/>
    <w:rsid w:val="009D7168"/>
    <w:rsid w:val="009D751B"/>
    <w:rsid w:val="009E074C"/>
    <w:rsid w:val="009E086F"/>
    <w:rsid w:val="009E0882"/>
    <w:rsid w:val="009E105D"/>
    <w:rsid w:val="009E16A9"/>
    <w:rsid w:val="009E174E"/>
    <w:rsid w:val="009E1C05"/>
    <w:rsid w:val="009E1E9E"/>
    <w:rsid w:val="009E1F98"/>
    <w:rsid w:val="009E22EA"/>
    <w:rsid w:val="009E25D8"/>
    <w:rsid w:val="009E2657"/>
    <w:rsid w:val="009E2789"/>
    <w:rsid w:val="009E2B64"/>
    <w:rsid w:val="009E2DE0"/>
    <w:rsid w:val="009E2F99"/>
    <w:rsid w:val="009E317D"/>
    <w:rsid w:val="009E322F"/>
    <w:rsid w:val="009E328B"/>
    <w:rsid w:val="009E397E"/>
    <w:rsid w:val="009E3E17"/>
    <w:rsid w:val="009E43F3"/>
    <w:rsid w:val="009E4F95"/>
    <w:rsid w:val="009E521B"/>
    <w:rsid w:val="009E5254"/>
    <w:rsid w:val="009E54B5"/>
    <w:rsid w:val="009E558E"/>
    <w:rsid w:val="009E591C"/>
    <w:rsid w:val="009E5B36"/>
    <w:rsid w:val="009E5B50"/>
    <w:rsid w:val="009E5C3E"/>
    <w:rsid w:val="009E679E"/>
    <w:rsid w:val="009E6828"/>
    <w:rsid w:val="009E696F"/>
    <w:rsid w:val="009E6F63"/>
    <w:rsid w:val="009E7AAE"/>
    <w:rsid w:val="009E7E93"/>
    <w:rsid w:val="009F013A"/>
    <w:rsid w:val="009F0345"/>
    <w:rsid w:val="009F03B1"/>
    <w:rsid w:val="009F044C"/>
    <w:rsid w:val="009F05E6"/>
    <w:rsid w:val="009F06F2"/>
    <w:rsid w:val="009F09A1"/>
    <w:rsid w:val="009F0F6A"/>
    <w:rsid w:val="009F1298"/>
    <w:rsid w:val="009F1473"/>
    <w:rsid w:val="009F1519"/>
    <w:rsid w:val="009F189E"/>
    <w:rsid w:val="009F1E16"/>
    <w:rsid w:val="009F20A3"/>
    <w:rsid w:val="009F22E0"/>
    <w:rsid w:val="009F250B"/>
    <w:rsid w:val="009F2A15"/>
    <w:rsid w:val="009F2E89"/>
    <w:rsid w:val="009F3168"/>
    <w:rsid w:val="009F345B"/>
    <w:rsid w:val="009F36F9"/>
    <w:rsid w:val="009F384B"/>
    <w:rsid w:val="009F3A59"/>
    <w:rsid w:val="009F3EE3"/>
    <w:rsid w:val="009F4034"/>
    <w:rsid w:val="009F42B4"/>
    <w:rsid w:val="009F43F9"/>
    <w:rsid w:val="009F4799"/>
    <w:rsid w:val="009F49A6"/>
    <w:rsid w:val="009F4B09"/>
    <w:rsid w:val="009F4E51"/>
    <w:rsid w:val="009F579C"/>
    <w:rsid w:val="009F5A8B"/>
    <w:rsid w:val="009F5DD2"/>
    <w:rsid w:val="009F636B"/>
    <w:rsid w:val="009F64D4"/>
    <w:rsid w:val="009F65F1"/>
    <w:rsid w:val="009F66D6"/>
    <w:rsid w:val="009F6CA3"/>
    <w:rsid w:val="009F7411"/>
    <w:rsid w:val="009F7A30"/>
    <w:rsid w:val="009F7ACA"/>
    <w:rsid w:val="009F7F71"/>
    <w:rsid w:val="00A0007F"/>
    <w:rsid w:val="00A00274"/>
    <w:rsid w:val="00A00943"/>
    <w:rsid w:val="00A010C4"/>
    <w:rsid w:val="00A01428"/>
    <w:rsid w:val="00A0174E"/>
    <w:rsid w:val="00A018D4"/>
    <w:rsid w:val="00A018DF"/>
    <w:rsid w:val="00A01CF2"/>
    <w:rsid w:val="00A02098"/>
    <w:rsid w:val="00A02160"/>
    <w:rsid w:val="00A023E7"/>
    <w:rsid w:val="00A0344F"/>
    <w:rsid w:val="00A038CE"/>
    <w:rsid w:val="00A03CD2"/>
    <w:rsid w:val="00A04945"/>
    <w:rsid w:val="00A04BFB"/>
    <w:rsid w:val="00A04CA8"/>
    <w:rsid w:val="00A04CCC"/>
    <w:rsid w:val="00A04D18"/>
    <w:rsid w:val="00A04DF8"/>
    <w:rsid w:val="00A04F3E"/>
    <w:rsid w:val="00A04F52"/>
    <w:rsid w:val="00A05439"/>
    <w:rsid w:val="00A05977"/>
    <w:rsid w:val="00A05B69"/>
    <w:rsid w:val="00A05D1B"/>
    <w:rsid w:val="00A05F80"/>
    <w:rsid w:val="00A0609D"/>
    <w:rsid w:val="00A062B6"/>
    <w:rsid w:val="00A062D3"/>
    <w:rsid w:val="00A062F6"/>
    <w:rsid w:val="00A06835"/>
    <w:rsid w:val="00A069D3"/>
    <w:rsid w:val="00A06F71"/>
    <w:rsid w:val="00A074C8"/>
    <w:rsid w:val="00A0787F"/>
    <w:rsid w:val="00A103FE"/>
    <w:rsid w:val="00A1051C"/>
    <w:rsid w:val="00A1056C"/>
    <w:rsid w:val="00A10A2E"/>
    <w:rsid w:val="00A10BFD"/>
    <w:rsid w:val="00A10C90"/>
    <w:rsid w:val="00A1134D"/>
    <w:rsid w:val="00A1137E"/>
    <w:rsid w:val="00A11382"/>
    <w:rsid w:val="00A11528"/>
    <w:rsid w:val="00A11612"/>
    <w:rsid w:val="00A11649"/>
    <w:rsid w:val="00A11814"/>
    <w:rsid w:val="00A11A6C"/>
    <w:rsid w:val="00A11D17"/>
    <w:rsid w:val="00A11F2A"/>
    <w:rsid w:val="00A1201D"/>
    <w:rsid w:val="00A12099"/>
    <w:rsid w:val="00A125E8"/>
    <w:rsid w:val="00A1277C"/>
    <w:rsid w:val="00A1279C"/>
    <w:rsid w:val="00A12824"/>
    <w:rsid w:val="00A12969"/>
    <w:rsid w:val="00A1297B"/>
    <w:rsid w:val="00A12A33"/>
    <w:rsid w:val="00A12BFB"/>
    <w:rsid w:val="00A132D0"/>
    <w:rsid w:val="00A13300"/>
    <w:rsid w:val="00A13B6A"/>
    <w:rsid w:val="00A13F31"/>
    <w:rsid w:val="00A141B1"/>
    <w:rsid w:val="00A14377"/>
    <w:rsid w:val="00A143C4"/>
    <w:rsid w:val="00A1444D"/>
    <w:rsid w:val="00A14475"/>
    <w:rsid w:val="00A144E5"/>
    <w:rsid w:val="00A14956"/>
    <w:rsid w:val="00A152C4"/>
    <w:rsid w:val="00A15312"/>
    <w:rsid w:val="00A15393"/>
    <w:rsid w:val="00A153D1"/>
    <w:rsid w:val="00A153DB"/>
    <w:rsid w:val="00A15887"/>
    <w:rsid w:val="00A15CB4"/>
    <w:rsid w:val="00A15F4D"/>
    <w:rsid w:val="00A16B9D"/>
    <w:rsid w:val="00A16DE5"/>
    <w:rsid w:val="00A16E93"/>
    <w:rsid w:val="00A16E9A"/>
    <w:rsid w:val="00A171C5"/>
    <w:rsid w:val="00A1795B"/>
    <w:rsid w:val="00A179FD"/>
    <w:rsid w:val="00A17B21"/>
    <w:rsid w:val="00A17F4B"/>
    <w:rsid w:val="00A2021D"/>
    <w:rsid w:val="00A20387"/>
    <w:rsid w:val="00A20499"/>
    <w:rsid w:val="00A208F9"/>
    <w:rsid w:val="00A20907"/>
    <w:rsid w:val="00A20944"/>
    <w:rsid w:val="00A20A30"/>
    <w:rsid w:val="00A20EA2"/>
    <w:rsid w:val="00A20FB3"/>
    <w:rsid w:val="00A2150A"/>
    <w:rsid w:val="00A2187A"/>
    <w:rsid w:val="00A21DA3"/>
    <w:rsid w:val="00A2204C"/>
    <w:rsid w:val="00A224AA"/>
    <w:rsid w:val="00A22D87"/>
    <w:rsid w:val="00A23040"/>
    <w:rsid w:val="00A23082"/>
    <w:rsid w:val="00A24406"/>
    <w:rsid w:val="00A2456B"/>
    <w:rsid w:val="00A24572"/>
    <w:rsid w:val="00A24EE6"/>
    <w:rsid w:val="00A25303"/>
    <w:rsid w:val="00A25B74"/>
    <w:rsid w:val="00A25C24"/>
    <w:rsid w:val="00A25D42"/>
    <w:rsid w:val="00A260D8"/>
    <w:rsid w:val="00A26302"/>
    <w:rsid w:val="00A26319"/>
    <w:rsid w:val="00A2633A"/>
    <w:rsid w:val="00A26892"/>
    <w:rsid w:val="00A2762A"/>
    <w:rsid w:val="00A2769B"/>
    <w:rsid w:val="00A27921"/>
    <w:rsid w:val="00A27D1E"/>
    <w:rsid w:val="00A27E47"/>
    <w:rsid w:val="00A3081E"/>
    <w:rsid w:val="00A30869"/>
    <w:rsid w:val="00A30957"/>
    <w:rsid w:val="00A30985"/>
    <w:rsid w:val="00A30BDB"/>
    <w:rsid w:val="00A30C34"/>
    <w:rsid w:val="00A31196"/>
    <w:rsid w:val="00A31827"/>
    <w:rsid w:val="00A31AD5"/>
    <w:rsid w:val="00A31C11"/>
    <w:rsid w:val="00A3206D"/>
    <w:rsid w:val="00A32A47"/>
    <w:rsid w:val="00A32C45"/>
    <w:rsid w:val="00A32F44"/>
    <w:rsid w:val="00A32F80"/>
    <w:rsid w:val="00A33647"/>
    <w:rsid w:val="00A33A14"/>
    <w:rsid w:val="00A33F31"/>
    <w:rsid w:val="00A33F61"/>
    <w:rsid w:val="00A33F96"/>
    <w:rsid w:val="00A345B1"/>
    <w:rsid w:val="00A34706"/>
    <w:rsid w:val="00A34C82"/>
    <w:rsid w:val="00A350C7"/>
    <w:rsid w:val="00A354B0"/>
    <w:rsid w:val="00A35810"/>
    <w:rsid w:val="00A35973"/>
    <w:rsid w:val="00A359C9"/>
    <w:rsid w:val="00A35D47"/>
    <w:rsid w:val="00A35EE6"/>
    <w:rsid w:val="00A360BB"/>
    <w:rsid w:val="00A367A6"/>
    <w:rsid w:val="00A36831"/>
    <w:rsid w:val="00A36ADC"/>
    <w:rsid w:val="00A36D20"/>
    <w:rsid w:val="00A36E9D"/>
    <w:rsid w:val="00A37070"/>
    <w:rsid w:val="00A3737C"/>
    <w:rsid w:val="00A3758D"/>
    <w:rsid w:val="00A37B34"/>
    <w:rsid w:val="00A37F05"/>
    <w:rsid w:val="00A37F97"/>
    <w:rsid w:val="00A401E3"/>
    <w:rsid w:val="00A4057A"/>
    <w:rsid w:val="00A4064C"/>
    <w:rsid w:val="00A40866"/>
    <w:rsid w:val="00A40A0B"/>
    <w:rsid w:val="00A4112F"/>
    <w:rsid w:val="00A41417"/>
    <w:rsid w:val="00A4164A"/>
    <w:rsid w:val="00A41777"/>
    <w:rsid w:val="00A41BFF"/>
    <w:rsid w:val="00A41CAC"/>
    <w:rsid w:val="00A41E48"/>
    <w:rsid w:val="00A42217"/>
    <w:rsid w:val="00A42AB6"/>
    <w:rsid w:val="00A42BB7"/>
    <w:rsid w:val="00A43032"/>
    <w:rsid w:val="00A4313A"/>
    <w:rsid w:val="00A440BC"/>
    <w:rsid w:val="00A442D6"/>
    <w:rsid w:val="00A443D4"/>
    <w:rsid w:val="00A44646"/>
    <w:rsid w:val="00A44683"/>
    <w:rsid w:val="00A449AA"/>
    <w:rsid w:val="00A44C5B"/>
    <w:rsid w:val="00A44FB5"/>
    <w:rsid w:val="00A451F8"/>
    <w:rsid w:val="00A45456"/>
    <w:rsid w:val="00A454A4"/>
    <w:rsid w:val="00A454BB"/>
    <w:rsid w:val="00A45628"/>
    <w:rsid w:val="00A45AF9"/>
    <w:rsid w:val="00A45B23"/>
    <w:rsid w:val="00A45D4B"/>
    <w:rsid w:val="00A45EBF"/>
    <w:rsid w:val="00A46532"/>
    <w:rsid w:val="00A46772"/>
    <w:rsid w:val="00A46F7B"/>
    <w:rsid w:val="00A47320"/>
    <w:rsid w:val="00A47551"/>
    <w:rsid w:val="00A47D0B"/>
    <w:rsid w:val="00A47D9A"/>
    <w:rsid w:val="00A47EA0"/>
    <w:rsid w:val="00A505CB"/>
    <w:rsid w:val="00A508AF"/>
    <w:rsid w:val="00A508C0"/>
    <w:rsid w:val="00A50B41"/>
    <w:rsid w:val="00A50C7D"/>
    <w:rsid w:val="00A50DC5"/>
    <w:rsid w:val="00A51001"/>
    <w:rsid w:val="00A515B4"/>
    <w:rsid w:val="00A51C6A"/>
    <w:rsid w:val="00A51D90"/>
    <w:rsid w:val="00A526AC"/>
    <w:rsid w:val="00A52ABF"/>
    <w:rsid w:val="00A52ADA"/>
    <w:rsid w:val="00A52BAE"/>
    <w:rsid w:val="00A52C86"/>
    <w:rsid w:val="00A52D7D"/>
    <w:rsid w:val="00A52E73"/>
    <w:rsid w:val="00A53006"/>
    <w:rsid w:val="00A53C46"/>
    <w:rsid w:val="00A53C85"/>
    <w:rsid w:val="00A53C9D"/>
    <w:rsid w:val="00A53DCC"/>
    <w:rsid w:val="00A53E95"/>
    <w:rsid w:val="00A54523"/>
    <w:rsid w:val="00A54843"/>
    <w:rsid w:val="00A54BB9"/>
    <w:rsid w:val="00A54CCC"/>
    <w:rsid w:val="00A54CCD"/>
    <w:rsid w:val="00A54CCF"/>
    <w:rsid w:val="00A554F0"/>
    <w:rsid w:val="00A559C7"/>
    <w:rsid w:val="00A55D93"/>
    <w:rsid w:val="00A561B5"/>
    <w:rsid w:val="00A561F6"/>
    <w:rsid w:val="00A5634B"/>
    <w:rsid w:val="00A567D5"/>
    <w:rsid w:val="00A56E55"/>
    <w:rsid w:val="00A56E8E"/>
    <w:rsid w:val="00A57416"/>
    <w:rsid w:val="00A574CF"/>
    <w:rsid w:val="00A576CF"/>
    <w:rsid w:val="00A57746"/>
    <w:rsid w:val="00A578B8"/>
    <w:rsid w:val="00A57F88"/>
    <w:rsid w:val="00A57FB2"/>
    <w:rsid w:val="00A60444"/>
    <w:rsid w:val="00A6080A"/>
    <w:rsid w:val="00A60910"/>
    <w:rsid w:val="00A60912"/>
    <w:rsid w:val="00A60925"/>
    <w:rsid w:val="00A60A22"/>
    <w:rsid w:val="00A60AC8"/>
    <w:rsid w:val="00A60BC2"/>
    <w:rsid w:val="00A60C82"/>
    <w:rsid w:val="00A60D49"/>
    <w:rsid w:val="00A60FD2"/>
    <w:rsid w:val="00A611A9"/>
    <w:rsid w:val="00A61240"/>
    <w:rsid w:val="00A613CF"/>
    <w:rsid w:val="00A61663"/>
    <w:rsid w:val="00A6168C"/>
    <w:rsid w:val="00A61B76"/>
    <w:rsid w:val="00A61EF2"/>
    <w:rsid w:val="00A61FC9"/>
    <w:rsid w:val="00A62027"/>
    <w:rsid w:val="00A62550"/>
    <w:rsid w:val="00A62567"/>
    <w:rsid w:val="00A62662"/>
    <w:rsid w:val="00A627B8"/>
    <w:rsid w:val="00A62B01"/>
    <w:rsid w:val="00A62B55"/>
    <w:rsid w:val="00A62C09"/>
    <w:rsid w:val="00A63430"/>
    <w:rsid w:val="00A639DD"/>
    <w:rsid w:val="00A63DD9"/>
    <w:rsid w:val="00A63E2F"/>
    <w:rsid w:val="00A63F36"/>
    <w:rsid w:val="00A643CD"/>
    <w:rsid w:val="00A64760"/>
    <w:rsid w:val="00A64833"/>
    <w:rsid w:val="00A64A0C"/>
    <w:rsid w:val="00A64C1D"/>
    <w:rsid w:val="00A64CB1"/>
    <w:rsid w:val="00A64D02"/>
    <w:rsid w:val="00A64F04"/>
    <w:rsid w:val="00A653A8"/>
    <w:rsid w:val="00A65702"/>
    <w:rsid w:val="00A659D5"/>
    <w:rsid w:val="00A659FB"/>
    <w:rsid w:val="00A65AB9"/>
    <w:rsid w:val="00A65F7A"/>
    <w:rsid w:val="00A665DF"/>
    <w:rsid w:val="00A66B03"/>
    <w:rsid w:val="00A66CF0"/>
    <w:rsid w:val="00A66F88"/>
    <w:rsid w:val="00A6719E"/>
    <w:rsid w:val="00A6734B"/>
    <w:rsid w:val="00A675D7"/>
    <w:rsid w:val="00A67C7C"/>
    <w:rsid w:val="00A70105"/>
    <w:rsid w:val="00A702ED"/>
    <w:rsid w:val="00A7048E"/>
    <w:rsid w:val="00A71034"/>
    <w:rsid w:val="00A71063"/>
    <w:rsid w:val="00A71687"/>
    <w:rsid w:val="00A72431"/>
    <w:rsid w:val="00A727BE"/>
    <w:rsid w:val="00A729F3"/>
    <w:rsid w:val="00A7351E"/>
    <w:rsid w:val="00A735FF"/>
    <w:rsid w:val="00A73A2D"/>
    <w:rsid w:val="00A73BBF"/>
    <w:rsid w:val="00A73D72"/>
    <w:rsid w:val="00A73E91"/>
    <w:rsid w:val="00A73ED5"/>
    <w:rsid w:val="00A73EEE"/>
    <w:rsid w:val="00A74010"/>
    <w:rsid w:val="00A74D07"/>
    <w:rsid w:val="00A756B3"/>
    <w:rsid w:val="00A757BB"/>
    <w:rsid w:val="00A75C51"/>
    <w:rsid w:val="00A75E13"/>
    <w:rsid w:val="00A75E5D"/>
    <w:rsid w:val="00A75E67"/>
    <w:rsid w:val="00A7667C"/>
    <w:rsid w:val="00A76799"/>
    <w:rsid w:val="00A76B3C"/>
    <w:rsid w:val="00A76C90"/>
    <w:rsid w:val="00A76DC8"/>
    <w:rsid w:val="00A76F93"/>
    <w:rsid w:val="00A77601"/>
    <w:rsid w:val="00A778D8"/>
    <w:rsid w:val="00A779F6"/>
    <w:rsid w:val="00A77B33"/>
    <w:rsid w:val="00A77C16"/>
    <w:rsid w:val="00A77FBD"/>
    <w:rsid w:val="00A77FF1"/>
    <w:rsid w:val="00A806B3"/>
    <w:rsid w:val="00A807BE"/>
    <w:rsid w:val="00A80818"/>
    <w:rsid w:val="00A80946"/>
    <w:rsid w:val="00A80AAD"/>
    <w:rsid w:val="00A80D00"/>
    <w:rsid w:val="00A8194A"/>
    <w:rsid w:val="00A81A42"/>
    <w:rsid w:val="00A81D1E"/>
    <w:rsid w:val="00A81E0D"/>
    <w:rsid w:val="00A81FA9"/>
    <w:rsid w:val="00A82633"/>
    <w:rsid w:val="00A82886"/>
    <w:rsid w:val="00A82AE0"/>
    <w:rsid w:val="00A82B3D"/>
    <w:rsid w:val="00A82C16"/>
    <w:rsid w:val="00A82F45"/>
    <w:rsid w:val="00A82FBA"/>
    <w:rsid w:val="00A82FCE"/>
    <w:rsid w:val="00A8346D"/>
    <w:rsid w:val="00A83487"/>
    <w:rsid w:val="00A838B3"/>
    <w:rsid w:val="00A839B1"/>
    <w:rsid w:val="00A83BB5"/>
    <w:rsid w:val="00A84017"/>
    <w:rsid w:val="00A84319"/>
    <w:rsid w:val="00A84641"/>
    <w:rsid w:val="00A84989"/>
    <w:rsid w:val="00A84BBE"/>
    <w:rsid w:val="00A84D30"/>
    <w:rsid w:val="00A8517A"/>
    <w:rsid w:val="00A853C1"/>
    <w:rsid w:val="00A856AA"/>
    <w:rsid w:val="00A8590E"/>
    <w:rsid w:val="00A860FB"/>
    <w:rsid w:val="00A86156"/>
    <w:rsid w:val="00A865B3"/>
    <w:rsid w:val="00A868E7"/>
    <w:rsid w:val="00A86A22"/>
    <w:rsid w:val="00A86BAA"/>
    <w:rsid w:val="00A86D7C"/>
    <w:rsid w:val="00A872D8"/>
    <w:rsid w:val="00A878FB"/>
    <w:rsid w:val="00A87D4B"/>
    <w:rsid w:val="00A87E71"/>
    <w:rsid w:val="00A900A1"/>
    <w:rsid w:val="00A90199"/>
    <w:rsid w:val="00A9082B"/>
    <w:rsid w:val="00A90ACC"/>
    <w:rsid w:val="00A90B36"/>
    <w:rsid w:val="00A90C7F"/>
    <w:rsid w:val="00A90DE3"/>
    <w:rsid w:val="00A90DE4"/>
    <w:rsid w:val="00A90E79"/>
    <w:rsid w:val="00A91899"/>
    <w:rsid w:val="00A919C7"/>
    <w:rsid w:val="00A91EC4"/>
    <w:rsid w:val="00A92082"/>
    <w:rsid w:val="00A92343"/>
    <w:rsid w:val="00A9262E"/>
    <w:rsid w:val="00A926E2"/>
    <w:rsid w:val="00A92749"/>
    <w:rsid w:val="00A9283C"/>
    <w:rsid w:val="00A928E5"/>
    <w:rsid w:val="00A931E6"/>
    <w:rsid w:val="00A93978"/>
    <w:rsid w:val="00A93979"/>
    <w:rsid w:val="00A93C7F"/>
    <w:rsid w:val="00A93D19"/>
    <w:rsid w:val="00A93E6D"/>
    <w:rsid w:val="00A94005"/>
    <w:rsid w:val="00A941A9"/>
    <w:rsid w:val="00A94454"/>
    <w:rsid w:val="00A9464C"/>
    <w:rsid w:val="00A94859"/>
    <w:rsid w:val="00A94C2C"/>
    <w:rsid w:val="00A94D20"/>
    <w:rsid w:val="00A9558B"/>
    <w:rsid w:val="00A9567B"/>
    <w:rsid w:val="00A95713"/>
    <w:rsid w:val="00A95786"/>
    <w:rsid w:val="00A959E4"/>
    <w:rsid w:val="00A95BAD"/>
    <w:rsid w:val="00A95DB4"/>
    <w:rsid w:val="00A95E96"/>
    <w:rsid w:val="00A96188"/>
    <w:rsid w:val="00A962A2"/>
    <w:rsid w:val="00A963AD"/>
    <w:rsid w:val="00A96D71"/>
    <w:rsid w:val="00A96E1F"/>
    <w:rsid w:val="00A96F1C"/>
    <w:rsid w:val="00A96F2F"/>
    <w:rsid w:val="00A977F5"/>
    <w:rsid w:val="00A97B22"/>
    <w:rsid w:val="00A97BFD"/>
    <w:rsid w:val="00A97D3F"/>
    <w:rsid w:val="00A97E98"/>
    <w:rsid w:val="00AA047F"/>
    <w:rsid w:val="00AA04A7"/>
    <w:rsid w:val="00AA05A6"/>
    <w:rsid w:val="00AA10D1"/>
    <w:rsid w:val="00AA1494"/>
    <w:rsid w:val="00AA1930"/>
    <w:rsid w:val="00AA1C59"/>
    <w:rsid w:val="00AA1DA1"/>
    <w:rsid w:val="00AA1DE3"/>
    <w:rsid w:val="00AA2591"/>
    <w:rsid w:val="00AA314F"/>
    <w:rsid w:val="00AA31B0"/>
    <w:rsid w:val="00AA351C"/>
    <w:rsid w:val="00AA3725"/>
    <w:rsid w:val="00AA3A69"/>
    <w:rsid w:val="00AA4175"/>
    <w:rsid w:val="00AA464D"/>
    <w:rsid w:val="00AA4673"/>
    <w:rsid w:val="00AA470A"/>
    <w:rsid w:val="00AA4B5D"/>
    <w:rsid w:val="00AA5969"/>
    <w:rsid w:val="00AA5BE6"/>
    <w:rsid w:val="00AA5E13"/>
    <w:rsid w:val="00AA5F7B"/>
    <w:rsid w:val="00AA61E3"/>
    <w:rsid w:val="00AA62C7"/>
    <w:rsid w:val="00AA660F"/>
    <w:rsid w:val="00AA6BF2"/>
    <w:rsid w:val="00AA6CB9"/>
    <w:rsid w:val="00AA6FC3"/>
    <w:rsid w:val="00AA71B6"/>
    <w:rsid w:val="00AA74B9"/>
    <w:rsid w:val="00AA78F4"/>
    <w:rsid w:val="00AA7A5E"/>
    <w:rsid w:val="00AB00D1"/>
    <w:rsid w:val="00AB0501"/>
    <w:rsid w:val="00AB075D"/>
    <w:rsid w:val="00AB0889"/>
    <w:rsid w:val="00AB0D64"/>
    <w:rsid w:val="00AB0F0C"/>
    <w:rsid w:val="00AB1B8A"/>
    <w:rsid w:val="00AB1CE6"/>
    <w:rsid w:val="00AB2331"/>
    <w:rsid w:val="00AB25AC"/>
    <w:rsid w:val="00AB2881"/>
    <w:rsid w:val="00AB310A"/>
    <w:rsid w:val="00AB31B5"/>
    <w:rsid w:val="00AB33B3"/>
    <w:rsid w:val="00AB3411"/>
    <w:rsid w:val="00AB3A65"/>
    <w:rsid w:val="00AB3BA5"/>
    <w:rsid w:val="00AB3DEE"/>
    <w:rsid w:val="00AB43ED"/>
    <w:rsid w:val="00AB47FD"/>
    <w:rsid w:val="00AB501F"/>
    <w:rsid w:val="00AB508E"/>
    <w:rsid w:val="00AB50D4"/>
    <w:rsid w:val="00AB5680"/>
    <w:rsid w:val="00AB571B"/>
    <w:rsid w:val="00AB59F9"/>
    <w:rsid w:val="00AB600F"/>
    <w:rsid w:val="00AB6591"/>
    <w:rsid w:val="00AB6CDD"/>
    <w:rsid w:val="00AB7194"/>
    <w:rsid w:val="00AB7382"/>
    <w:rsid w:val="00AB73CF"/>
    <w:rsid w:val="00AB744D"/>
    <w:rsid w:val="00AB7661"/>
    <w:rsid w:val="00AB7743"/>
    <w:rsid w:val="00AB7C3D"/>
    <w:rsid w:val="00AC06B6"/>
    <w:rsid w:val="00AC0DD0"/>
    <w:rsid w:val="00AC10C0"/>
    <w:rsid w:val="00AC170B"/>
    <w:rsid w:val="00AC1A42"/>
    <w:rsid w:val="00AC1B06"/>
    <w:rsid w:val="00AC1C24"/>
    <w:rsid w:val="00AC1C77"/>
    <w:rsid w:val="00AC1D8B"/>
    <w:rsid w:val="00AC2113"/>
    <w:rsid w:val="00AC2678"/>
    <w:rsid w:val="00AC2D5E"/>
    <w:rsid w:val="00AC2F17"/>
    <w:rsid w:val="00AC3085"/>
    <w:rsid w:val="00AC38DD"/>
    <w:rsid w:val="00AC3BDD"/>
    <w:rsid w:val="00AC3F32"/>
    <w:rsid w:val="00AC44B8"/>
    <w:rsid w:val="00AC4944"/>
    <w:rsid w:val="00AC4A8E"/>
    <w:rsid w:val="00AC4DD3"/>
    <w:rsid w:val="00AC4E1F"/>
    <w:rsid w:val="00AC50FC"/>
    <w:rsid w:val="00AC66E9"/>
    <w:rsid w:val="00AC6A96"/>
    <w:rsid w:val="00AC6B21"/>
    <w:rsid w:val="00AC6C24"/>
    <w:rsid w:val="00AC70BB"/>
    <w:rsid w:val="00AC72C5"/>
    <w:rsid w:val="00AC7329"/>
    <w:rsid w:val="00AC76B5"/>
    <w:rsid w:val="00AC7B26"/>
    <w:rsid w:val="00AD0035"/>
    <w:rsid w:val="00AD0E2F"/>
    <w:rsid w:val="00AD1059"/>
    <w:rsid w:val="00AD1350"/>
    <w:rsid w:val="00AD1545"/>
    <w:rsid w:val="00AD1747"/>
    <w:rsid w:val="00AD2505"/>
    <w:rsid w:val="00AD2796"/>
    <w:rsid w:val="00AD27B9"/>
    <w:rsid w:val="00AD2D8D"/>
    <w:rsid w:val="00AD3C1D"/>
    <w:rsid w:val="00AD4878"/>
    <w:rsid w:val="00AD4B37"/>
    <w:rsid w:val="00AD4C8D"/>
    <w:rsid w:val="00AD4CBF"/>
    <w:rsid w:val="00AD4DCD"/>
    <w:rsid w:val="00AD4E08"/>
    <w:rsid w:val="00AD5164"/>
    <w:rsid w:val="00AD5219"/>
    <w:rsid w:val="00AD57B5"/>
    <w:rsid w:val="00AD599B"/>
    <w:rsid w:val="00AD59EB"/>
    <w:rsid w:val="00AD5DC6"/>
    <w:rsid w:val="00AD6493"/>
    <w:rsid w:val="00AD65CD"/>
    <w:rsid w:val="00AD6979"/>
    <w:rsid w:val="00AD6A22"/>
    <w:rsid w:val="00AD703E"/>
    <w:rsid w:val="00AD710A"/>
    <w:rsid w:val="00AD741F"/>
    <w:rsid w:val="00AD77C7"/>
    <w:rsid w:val="00AD7E3E"/>
    <w:rsid w:val="00AE030B"/>
    <w:rsid w:val="00AE0D4B"/>
    <w:rsid w:val="00AE135A"/>
    <w:rsid w:val="00AE13F3"/>
    <w:rsid w:val="00AE15B5"/>
    <w:rsid w:val="00AE1938"/>
    <w:rsid w:val="00AE1D4A"/>
    <w:rsid w:val="00AE1E66"/>
    <w:rsid w:val="00AE1FD3"/>
    <w:rsid w:val="00AE210D"/>
    <w:rsid w:val="00AE2295"/>
    <w:rsid w:val="00AE2651"/>
    <w:rsid w:val="00AE268F"/>
    <w:rsid w:val="00AE2CEB"/>
    <w:rsid w:val="00AE2D0A"/>
    <w:rsid w:val="00AE2E71"/>
    <w:rsid w:val="00AE304B"/>
    <w:rsid w:val="00AE315D"/>
    <w:rsid w:val="00AE3B32"/>
    <w:rsid w:val="00AE3D31"/>
    <w:rsid w:val="00AE400A"/>
    <w:rsid w:val="00AE403F"/>
    <w:rsid w:val="00AE46EA"/>
    <w:rsid w:val="00AE4B92"/>
    <w:rsid w:val="00AE5500"/>
    <w:rsid w:val="00AE57B2"/>
    <w:rsid w:val="00AE5EEB"/>
    <w:rsid w:val="00AE6780"/>
    <w:rsid w:val="00AE6936"/>
    <w:rsid w:val="00AE75CD"/>
    <w:rsid w:val="00AE79D7"/>
    <w:rsid w:val="00AF0009"/>
    <w:rsid w:val="00AF002E"/>
    <w:rsid w:val="00AF011B"/>
    <w:rsid w:val="00AF0267"/>
    <w:rsid w:val="00AF04E9"/>
    <w:rsid w:val="00AF0714"/>
    <w:rsid w:val="00AF1113"/>
    <w:rsid w:val="00AF113B"/>
    <w:rsid w:val="00AF12DC"/>
    <w:rsid w:val="00AF1BB0"/>
    <w:rsid w:val="00AF1BDD"/>
    <w:rsid w:val="00AF2091"/>
    <w:rsid w:val="00AF26CD"/>
    <w:rsid w:val="00AF29D0"/>
    <w:rsid w:val="00AF2E7C"/>
    <w:rsid w:val="00AF318A"/>
    <w:rsid w:val="00AF37A9"/>
    <w:rsid w:val="00AF3D08"/>
    <w:rsid w:val="00AF3E49"/>
    <w:rsid w:val="00AF3E6C"/>
    <w:rsid w:val="00AF411C"/>
    <w:rsid w:val="00AF42BF"/>
    <w:rsid w:val="00AF465B"/>
    <w:rsid w:val="00AF46FF"/>
    <w:rsid w:val="00AF4C7B"/>
    <w:rsid w:val="00AF4E12"/>
    <w:rsid w:val="00AF50EA"/>
    <w:rsid w:val="00AF53FD"/>
    <w:rsid w:val="00AF56A7"/>
    <w:rsid w:val="00AF5C88"/>
    <w:rsid w:val="00AF5F01"/>
    <w:rsid w:val="00AF5F70"/>
    <w:rsid w:val="00AF6108"/>
    <w:rsid w:val="00AF61C2"/>
    <w:rsid w:val="00AF6371"/>
    <w:rsid w:val="00AF659D"/>
    <w:rsid w:val="00AF6BF9"/>
    <w:rsid w:val="00AF6C16"/>
    <w:rsid w:val="00AF6CB2"/>
    <w:rsid w:val="00AF7227"/>
    <w:rsid w:val="00AF727C"/>
    <w:rsid w:val="00AF72AE"/>
    <w:rsid w:val="00AF72B4"/>
    <w:rsid w:val="00AF77C9"/>
    <w:rsid w:val="00AF78B4"/>
    <w:rsid w:val="00AF78E0"/>
    <w:rsid w:val="00AF7DA5"/>
    <w:rsid w:val="00AF7EB4"/>
    <w:rsid w:val="00AF7F82"/>
    <w:rsid w:val="00B003BA"/>
    <w:rsid w:val="00B00BF0"/>
    <w:rsid w:val="00B00CEE"/>
    <w:rsid w:val="00B00DFF"/>
    <w:rsid w:val="00B00ED8"/>
    <w:rsid w:val="00B01F4F"/>
    <w:rsid w:val="00B02074"/>
    <w:rsid w:val="00B0239E"/>
    <w:rsid w:val="00B027E5"/>
    <w:rsid w:val="00B02872"/>
    <w:rsid w:val="00B02AAA"/>
    <w:rsid w:val="00B02BA1"/>
    <w:rsid w:val="00B0316A"/>
    <w:rsid w:val="00B03555"/>
    <w:rsid w:val="00B035B5"/>
    <w:rsid w:val="00B03861"/>
    <w:rsid w:val="00B03C73"/>
    <w:rsid w:val="00B03CD6"/>
    <w:rsid w:val="00B03D4A"/>
    <w:rsid w:val="00B03D69"/>
    <w:rsid w:val="00B03F58"/>
    <w:rsid w:val="00B03FA2"/>
    <w:rsid w:val="00B03FE0"/>
    <w:rsid w:val="00B04634"/>
    <w:rsid w:val="00B0495B"/>
    <w:rsid w:val="00B04A17"/>
    <w:rsid w:val="00B04B12"/>
    <w:rsid w:val="00B04DD5"/>
    <w:rsid w:val="00B0502A"/>
    <w:rsid w:val="00B050AA"/>
    <w:rsid w:val="00B052B4"/>
    <w:rsid w:val="00B053C6"/>
    <w:rsid w:val="00B053DB"/>
    <w:rsid w:val="00B0540C"/>
    <w:rsid w:val="00B05425"/>
    <w:rsid w:val="00B057CD"/>
    <w:rsid w:val="00B0582F"/>
    <w:rsid w:val="00B05853"/>
    <w:rsid w:val="00B05EFF"/>
    <w:rsid w:val="00B061AD"/>
    <w:rsid w:val="00B061D9"/>
    <w:rsid w:val="00B06420"/>
    <w:rsid w:val="00B06B65"/>
    <w:rsid w:val="00B06BC1"/>
    <w:rsid w:val="00B06F86"/>
    <w:rsid w:val="00B070AD"/>
    <w:rsid w:val="00B0788A"/>
    <w:rsid w:val="00B07D55"/>
    <w:rsid w:val="00B07F3C"/>
    <w:rsid w:val="00B10049"/>
    <w:rsid w:val="00B10300"/>
    <w:rsid w:val="00B105E0"/>
    <w:rsid w:val="00B10D4F"/>
    <w:rsid w:val="00B11047"/>
    <w:rsid w:val="00B1139D"/>
    <w:rsid w:val="00B11808"/>
    <w:rsid w:val="00B119AF"/>
    <w:rsid w:val="00B11F6B"/>
    <w:rsid w:val="00B12554"/>
    <w:rsid w:val="00B12C59"/>
    <w:rsid w:val="00B1333D"/>
    <w:rsid w:val="00B13B40"/>
    <w:rsid w:val="00B13C04"/>
    <w:rsid w:val="00B14276"/>
    <w:rsid w:val="00B143E0"/>
    <w:rsid w:val="00B146F1"/>
    <w:rsid w:val="00B149CD"/>
    <w:rsid w:val="00B14DA4"/>
    <w:rsid w:val="00B15167"/>
    <w:rsid w:val="00B151BA"/>
    <w:rsid w:val="00B155B7"/>
    <w:rsid w:val="00B1569E"/>
    <w:rsid w:val="00B159D9"/>
    <w:rsid w:val="00B15D66"/>
    <w:rsid w:val="00B15ED2"/>
    <w:rsid w:val="00B15F47"/>
    <w:rsid w:val="00B15F9B"/>
    <w:rsid w:val="00B1614B"/>
    <w:rsid w:val="00B1616A"/>
    <w:rsid w:val="00B16407"/>
    <w:rsid w:val="00B17376"/>
    <w:rsid w:val="00B17699"/>
    <w:rsid w:val="00B1787B"/>
    <w:rsid w:val="00B17B7A"/>
    <w:rsid w:val="00B17D57"/>
    <w:rsid w:val="00B2003A"/>
    <w:rsid w:val="00B203DE"/>
    <w:rsid w:val="00B20432"/>
    <w:rsid w:val="00B20500"/>
    <w:rsid w:val="00B205CD"/>
    <w:rsid w:val="00B2067D"/>
    <w:rsid w:val="00B2089F"/>
    <w:rsid w:val="00B20923"/>
    <w:rsid w:val="00B20977"/>
    <w:rsid w:val="00B20F3B"/>
    <w:rsid w:val="00B21E5E"/>
    <w:rsid w:val="00B21E91"/>
    <w:rsid w:val="00B22383"/>
    <w:rsid w:val="00B22F90"/>
    <w:rsid w:val="00B23137"/>
    <w:rsid w:val="00B23409"/>
    <w:rsid w:val="00B2348B"/>
    <w:rsid w:val="00B23684"/>
    <w:rsid w:val="00B237C9"/>
    <w:rsid w:val="00B23F52"/>
    <w:rsid w:val="00B23FF8"/>
    <w:rsid w:val="00B245EB"/>
    <w:rsid w:val="00B24C26"/>
    <w:rsid w:val="00B24D69"/>
    <w:rsid w:val="00B25193"/>
    <w:rsid w:val="00B253C5"/>
    <w:rsid w:val="00B2567E"/>
    <w:rsid w:val="00B2584C"/>
    <w:rsid w:val="00B2587F"/>
    <w:rsid w:val="00B25FA6"/>
    <w:rsid w:val="00B26035"/>
    <w:rsid w:val="00B264A3"/>
    <w:rsid w:val="00B265DD"/>
    <w:rsid w:val="00B269F8"/>
    <w:rsid w:val="00B26FA2"/>
    <w:rsid w:val="00B271F5"/>
    <w:rsid w:val="00B272C6"/>
    <w:rsid w:val="00B275B4"/>
    <w:rsid w:val="00B27BA2"/>
    <w:rsid w:val="00B27CD5"/>
    <w:rsid w:val="00B300D7"/>
    <w:rsid w:val="00B300DE"/>
    <w:rsid w:val="00B30160"/>
    <w:rsid w:val="00B303A6"/>
    <w:rsid w:val="00B30612"/>
    <w:rsid w:val="00B307DC"/>
    <w:rsid w:val="00B30B3F"/>
    <w:rsid w:val="00B30F18"/>
    <w:rsid w:val="00B31032"/>
    <w:rsid w:val="00B31314"/>
    <w:rsid w:val="00B31668"/>
    <w:rsid w:val="00B3169D"/>
    <w:rsid w:val="00B31CF2"/>
    <w:rsid w:val="00B31E55"/>
    <w:rsid w:val="00B31EAC"/>
    <w:rsid w:val="00B32725"/>
    <w:rsid w:val="00B32D45"/>
    <w:rsid w:val="00B32DB9"/>
    <w:rsid w:val="00B32F28"/>
    <w:rsid w:val="00B32F66"/>
    <w:rsid w:val="00B32FF2"/>
    <w:rsid w:val="00B33092"/>
    <w:rsid w:val="00B3349A"/>
    <w:rsid w:val="00B334D5"/>
    <w:rsid w:val="00B3355D"/>
    <w:rsid w:val="00B3368F"/>
    <w:rsid w:val="00B33C24"/>
    <w:rsid w:val="00B3401F"/>
    <w:rsid w:val="00B34052"/>
    <w:rsid w:val="00B34261"/>
    <w:rsid w:val="00B345D3"/>
    <w:rsid w:val="00B348E8"/>
    <w:rsid w:val="00B350B8"/>
    <w:rsid w:val="00B353AE"/>
    <w:rsid w:val="00B35703"/>
    <w:rsid w:val="00B35B10"/>
    <w:rsid w:val="00B35EB7"/>
    <w:rsid w:val="00B3616A"/>
    <w:rsid w:val="00B36481"/>
    <w:rsid w:val="00B36F12"/>
    <w:rsid w:val="00B374AD"/>
    <w:rsid w:val="00B375BD"/>
    <w:rsid w:val="00B37B59"/>
    <w:rsid w:val="00B37C8A"/>
    <w:rsid w:val="00B37F6B"/>
    <w:rsid w:val="00B4012F"/>
    <w:rsid w:val="00B40348"/>
    <w:rsid w:val="00B405D3"/>
    <w:rsid w:val="00B4096B"/>
    <w:rsid w:val="00B40E79"/>
    <w:rsid w:val="00B41BD9"/>
    <w:rsid w:val="00B41F30"/>
    <w:rsid w:val="00B4231C"/>
    <w:rsid w:val="00B42498"/>
    <w:rsid w:val="00B42F2B"/>
    <w:rsid w:val="00B431B7"/>
    <w:rsid w:val="00B4338D"/>
    <w:rsid w:val="00B436C2"/>
    <w:rsid w:val="00B4375D"/>
    <w:rsid w:val="00B439C4"/>
    <w:rsid w:val="00B43E16"/>
    <w:rsid w:val="00B43F30"/>
    <w:rsid w:val="00B44531"/>
    <w:rsid w:val="00B44543"/>
    <w:rsid w:val="00B44682"/>
    <w:rsid w:val="00B44815"/>
    <w:rsid w:val="00B44B06"/>
    <w:rsid w:val="00B44D47"/>
    <w:rsid w:val="00B44F45"/>
    <w:rsid w:val="00B44FDD"/>
    <w:rsid w:val="00B452A3"/>
    <w:rsid w:val="00B4538B"/>
    <w:rsid w:val="00B4562B"/>
    <w:rsid w:val="00B456EE"/>
    <w:rsid w:val="00B4583E"/>
    <w:rsid w:val="00B45AA3"/>
    <w:rsid w:val="00B45B4A"/>
    <w:rsid w:val="00B45B6C"/>
    <w:rsid w:val="00B45BD2"/>
    <w:rsid w:val="00B45F53"/>
    <w:rsid w:val="00B4609C"/>
    <w:rsid w:val="00B467FC"/>
    <w:rsid w:val="00B4685D"/>
    <w:rsid w:val="00B468D2"/>
    <w:rsid w:val="00B468E8"/>
    <w:rsid w:val="00B46B30"/>
    <w:rsid w:val="00B46DDE"/>
    <w:rsid w:val="00B46E14"/>
    <w:rsid w:val="00B4736E"/>
    <w:rsid w:val="00B47BCC"/>
    <w:rsid w:val="00B47EEC"/>
    <w:rsid w:val="00B503ED"/>
    <w:rsid w:val="00B5085D"/>
    <w:rsid w:val="00B50870"/>
    <w:rsid w:val="00B50BAB"/>
    <w:rsid w:val="00B50D78"/>
    <w:rsid w:val="00B510C4"/>
    <w:rsid w:val="00B5149A"/>
    <w:rsid w:val="00B51731"/>
    <w:rsid w:val="00B51A30"/>
    <w:rsid w:val="00B51C31"/>
    <w:rsid w:val="00B51DEC"/>
    <w:rsid w:val="00B524AA"/>
    <w:rsid w:val="00B52895"/>
    <w:rsid w:val="00B52956"/>
    <w:rsid w:val="00B52CD1"/>
    <w:rsid w:val="00B52D19"/>
    <w:rsid w:val="00B531F4"/>
    <w:rsid w:val="00B537EE"/>
    <w:rsid w:val="00B53988"/>
    <w:rsid w:val="00B543EA"/>
    <w:rsid w:val="00B54A7C"/>
    <w:rsid w:val="00B54EC5"/>
    <w:rsid w:val="00B55106"/>
    <w:rsid w:val="00B55277"/>
    <w:rsid w:val="00B552F1"/>
    <w:rsid w:val="00B5536A"/>
    <w:rsid w:val="00B55CF2"/>
    <w:rsid w:val="00B56130"/>
    <w:rsid w:val="00B563FF"/>
    <w:rsid w:val="00B5643A"/>
    <w:rsid w:val="00B564BA"/>
    <w:rsid w:val="00B569AB"/>
    <w:rsid w:val="00B56DBF"/>
    <w:rsid w:val="00B574E7"/>
    <w:rsid w:val="00B57617"/>
    <w:rsid w:val="00B57957"/>
    <w:rsid w:val="00B579EB"/>
    <w:rsid w:val="00B57D00"/>
    <w:rsid w:val="00B6008B"/>
    <w:rsid w:val="00B60299"/>
    <w:rsid w:val="00B60423"/>
    <w:rsid w:val="00B6052D"/>
    <w:rsid w:val="00B60541"/>
    <w:rsid w:val="00B60547"/>
    <w:rsid w:val="00B60730"/>
    <w:rsid w:val="00B60BBC"/>
    <w:rsid w:val="00B60E42"/>
    <w:rsid w:val="00B60ECC"/>
    <w:rsid w:val="00B61880"/>
    <w:rsid w:val="00B6193C"/>
    <w:rsid w:val="00B61A91"/>
    <w:rsid w:val="00B61B12"/>
    <w:rsid w:val="00B61B4B"/>
    <w:rsid w:val="00B61DA1"/>
    <w:rsid w:val="00B61F77"/>
    <w:rsid w:val="00B6204A"/>
    <w:rsid w:val="00B621ED"/>
    <w:rsid w:val="00B62204"/>
    <w:rsid w:val="00B622B8"/>
    <w:rsid w:val="00B628BE"/>
    <w:rsid w:val="00B63046"/>
    <w:rsid w:val="00B63183"/>
    <w:rsid w:val="00B632F0"/>
    <w:rsid w:val="00B6369B"/>
    <w:rsid w:val="00B636C9"/>
    <w:rsid w:val="00B63851"/>
    <w:rsid w:val="00B63B65"/>
    <w:rsid w:val="00B63FA0"/>
    <w:rsid w:val="00B642B7"/>
    <w:rsid w:val="00B645F8"/>
    <w:rsid w:val="00B647BE"/>
    <w:rsid w:val="00B6483C"/>
    <w:rsid w:val="00B64EEA"/>
    <w:rsid w:val="00B64FB7"/>
    <w:rsid w:val="00B651D0"/>
    <w:rsid w:val="00B652B3"/>
    <w:rsid w:val="00B65408"/>
    <w:rsid w:val="00B65786"/>
    <w:rsid w:val="00B65833"/>
    <w:rsid w:val="00B65966"/>
    <w:rsid w:val="00B65BA6"/>
    <w:rsid w:val="00B65D0C"/>
    <w:rsid w:val="00B65F2F"/>
    <w:rsid w:val="00B668DB"/>
    <w:rsid w:val="00B66AD9"/>
    <w:rsid w:val="00B66B1A"/>
    <w:rsid w:val="00B66D39"/>
    <w:rsid w:val="00B66F10"/>
    <w:rsid w:val="00B6711C"/>
    <w:rsid w:val="00B6729F"/>
    <w:rsid w:val="00B6755D"/>
    <w:rsid w:val="00B677FA"/>
    <w:rsid w:val="00B67A4F"/>
    <w:rsid w:val="00B67AAB"/>
    <w:rsid w:val="00B701B3"/>
    <w:rsid w:val="00B70AE5"/>
    <w:rsid w:val="00B70B46"/>
    <w:rsid w:val="00B7114F"/>
    <w:rsid w:val="00B7117F"/>
    <w:rsid w:val="00B71348"/>
    <w:rsid w:val="00B713A5"/>
    <w:rsid w:val="00B71A6E"/>
    <w:rsid w:val="00B72054"/>
    <w:rsid w:val="00B72AC0"/>
    <w:rsid w:val="00B73232"/>
    <w:rsid w:val="00B735C5"/>
    <w:rsid w:val="00B73C71"/>
    <w:rsid w:val="00B73CE1"/>
    <w:rsid w:val="00B73E28"/>
    <w:rsid w:val="00B7404D"/>
    <w:rsid w:val="00B74146"/>
    <w:rsid w:val="00B74190"/>
    <w:rsid w:val="00B7439B"/>
    <w:rsid w:val="00B7447E"/>
    <w:rsid w:val="00B74B0D"/>
    <w:rsid w:val="00B74B64"/>
    <w:rsid w:val="00B74B6B"/>
    <w:rsid w:val="00B74D12"/>
    <w:rsid w:val="00B74EA1"/>
    <w:rsid w:val="00B75031"/>
    <w:rsid w:val="00B750D7"/>
    <w:rsid w:val="00B75C66"/>
    <w:rsid w:val="00B75F84"/>
    <w:rsid w:val="00B7688C"/>
    <w:rsid w:val="00B76E4A"/>
    <w:rsid w:val="00B76F54"/>
    <w:rsid w:val="00B77054"/>
    <w:rsid w:val="00B775A0"/>
    <w:rsid w:val="00B77DEE"/>
    <w:rsid w:val="00B77DF0"/>
    <w:rsid w:val="00B77E59"/>
    <w:rsid w:val="00B80159"/>
    <w:rsid w:val="00B80366"/>
    <w:rsid w:val="00B8052F"/>
    <w:rsid w:val="00B80621"/>
    <w:rsid w:val="00B80695"/>
    <w:rsid w:val="00B80F3B"/>
    <w:rsid w:val="00B80F53"/>
    <w:rsid w:val="00B8112C"/>
    <w:rsid w:val="00B812B2"/>
    <w:rsid w:val="00B813C1"/>
    <w:rsid w:val="00B818D4"/>
    <w:rsid w:val="00B8190D"/>
    <w:rsid w:val="00B82430"/>
    <w:rsid w:val="00B8244A"/>
    <w:rsid w:val="00B8248A"/>
    <w:rsid w:val="00B8262A"/>
    <w:rsid w:val="00B82B13"/>
    <w:rsid w:val="00B82F1C"/>
    <w:rsid w:val="00B83869"/>
    <w:rsid w:val="00B839AC"/>
    <w:rsid w:val="00B83DE9"/>
    <w:rsid w:val="00B83ECF"/>
    <w:rsid w:val="00B84624"/>
    <w:rsid w:val="00B846F0"/>
    <w:rsid w:val="00B847A4"/>
    <w:rsid w:val="00B848AE"/>
    <w:rsid w:val="00B84AFA"/>
    <w:rsid w:val="00B8513B"/>
    <w:rsid w:val="00B85157"/>
    <w:rsid w:val="00B851DB"/>
    <w:rsid w:val="00B8527C"/>
    <w:rsid w:val="00B852A0"/>
    <w:rsid w:val="00B852DD"/>
    <w:rsid w:val="00B854F9"/>
    <w:rsid w:val="00B855EB"/>
    <w:rsid w:val="00B85647"/>
    <w:rsid w:val="00B85949"/>
    <w:rsid w:val="00B85B78"/>
    <w:rsid w:val="00B85C5F"/>
    <w:rsid w:val="00B85CBB"/>
    <w:rsid w:val="00B85D7F"/>
    <w:rsid w:val="00B85D95"/>
    <w:rsid w:val="00B85E30"/>
    <w:rsid w:val="00B86127"/>
    <w:rsid w:val="00B86162"/>
    <w:rsid w:val="00B864A6"/>
    <w:rsid w:val="00B86505"/>
    <w:rsid w:val="00B86919"/>
    <w:rsid w:val="00B8697D"/>
    <w:rsid w:val="00B86B46"/>
    <w:rsid w:val="00B86E2F"/>
    <w:rsid w:val="00B86FAE"/>
    <w:rsid w:val="00B871DD"/>
    <w:rsid w:val="00B871E2"/>
    <w:rsid w:val="00B8737A"/>
    <w:rsid w:val="00B8756D"/>
    <w:rsid w:val="00B87B66"/>
    <w:rsid w:val="00B9046D"/>
    <w:rsid w:val="00B90517"/>
    <w:rsid w:val="00B9075E"/>
    <w:rsid w:val="00B908B1"/>
    <w:rsid w:val="00B90BB6"/>
    <w:rsid w:val="00B90CD2"/>
    <w:rsid w:val="00B90D2A"/>
    <w:rsid w:val="00B90FE7"/>
    <w:rsid w:val="00B91159"/>
    <w:rsid w:val="00B91253"/>
    <w:rsid w:val="00B91398"/>
    <w:rsid w:val="00B91677"/>
    <w:rsid w:val="00B91960"/>
    <w:rsid w:val="00B91BDC"/>
    <w:rsid w:val="00B91CE4"/>
    <w:rsid w:val="00B92DD6"/>
    <w:rsid w:val="00B932B4"/>
    <w:rsid w:val="00B93335"/>
    <w:rsid w:val="00B9344F"/>
    <w:rsid w:val="00B937F1"/>
    <w:rsid w:val="00B93D11"/>
    <w:rsid w:val="00B9426C"/>
    <w:rsid w:val="00B94813"/>
    <w:rsid w:val="00B94B1A"/>
    <w:rsid w:val="00B94C00"/>
    <w:rsid w:val="00B94E21"/>
    <w:rsid w:val="00B94EAB"/>
    <w:rsid w:val="00B9526C"/>
    <w:rsid w:val="00B955DB"/>
    <w:rsid w:val="00B95B1B"/>
    <w:rsid w:val="00B95F73"/>
    <w:rsid w:val="00B95FAD"/>
    <w:rsid w:val="00B9628B"/>
    <w:rsid w:val="00B9672E"/>
    <w:rsid w:val="00B96784"/>
    <w:rsid w:val="00B967BB"/>
    <w:rsid w:val="00B9686D"/>
    <w:rsid w:val="00B96DE9"/>
    <w:rsid w:val="00B972D0"/>
    <w:rsid w:val="00B978CA"/>
    <w:rsid w:val="00B97CB1"/>
    <w:rsid w:val="00B97DEC"/>
    <w:rsid w:val="00B97EAF"/>
    <w:rsid w:val="00BA012B"/>
    <w:rsid w:val="00BA0584"/>
    <w:rsid w:val="00BA09E4"/>
    <w:rsid w:val="00BA0E68"/>
    <w:rsid w:val="00BA1172"/>
    <w:rsid w:val="00BA1394"/>
    <w:rsid w:val="00BA15A8"/>
    <w:rsid w:val="00BA160F"/>
    <w:rsid w:val="00BA1744"/>
    <w:rsid w:val="00BA1829"/>
    <w:rsid w:val="00BA2359"/>
    <w:rsid w:val="00BA2EDB"/>
    <w:rsid w:val="00BA2F96"/>
    <w:rsid w:val="00BA2FA9"/>
    <w:rsid w:val="00BA302F"/>
    <w:rsid w:val="00BA34E6"/>
    <w:rsid w:val="00BA3943"/>
    <w:rsid w:val="00BA3E53"/>
    <w:rsid w:val="00BA3E54"/>
    <w:rsid w:val="00BA42A6"/>
    <w:rsid w:val="00BA5372"/>
    <w:rsid w:val="00BA5376"/>
    <w:rsid w:val="00BA539A"/>
    <w:rsid w:val="00BA542E"/>
    <w:rsid w:val="00BA63DD"/>
    <w:rsid w:val="00BA6A1C"/>
    <w:rsid w:val="00BA6D96"/>
    <w:rsid w:val="00BA6EC1"/>
    <w:rsid w:val="00BA7022"/>
    <w:rsid w:val="00BA736C"/>
    <w:rsid w:val="00BA758A"/>
    <w:rsid w:val="00BA789E"/>
    <w:rsid w:val="00BA7BC6"/>
    <w:rsid w:val="00BB0124"/>
    <w:rsid w:val="00BB0387"/>
    <w:rsid w:val="00BB0515"/>
    <w:rsid w:val="00BB063F"/>
    <w:rsid w:val="00BB07C3"/>
    <w:rsid w:val="00BB087E"/>
    <w:rsid w:val="00BB09BF"/>
    <w:rsid w:val="00BB0B50"/>
    <w:rsid w:val="00BB180D"/>
    <w:rsid w:val="00BB1B2A"/>
    <w:rsid w:val="00BB1C25"/>
    <w:rsid w:val="00BB1C70"/>
    <w:rsid w:val="00BB1E3E"/>
    <w:rsid w:val="00BB234D"/>
    <w:rsid w:val="00BB2747"/>
    <w:rsid w:val="00BB2915"/>
    <w:rsid w:val="00BB29FD"/>
    <w:rsid w:val="00BB350E"/>
    <w:rsid w:val="00BB39FA"/>
    <w:rsid w:val="00BB3CF4"/>
    <w:rsid w:val="00BB41D2"/>
    <w:rsid w:val="00BB4A2E"/>
    <w:rsid w:val="00BB4C9B"/>
    <w:rsid w:val="00BB529D"/>
    <w:rsid w:val="00BB53CD"/>
    <w:rsid w:val="00BB5618"/>
    <w:rsid w:val="00BB5622"/>
    <w:rsid w:val="00BB56BE"/>
    <w:rsid w:val="00BB5803"/>
    <w:rsid w:val="00BB59BB"/>
    <w:rsid w:val="00BB5F51"/>
    <w:rsid w:val="00BB6039"/>
    <w:rsid w:val="00BB6507"/>
    <w:rsid w:val="00BB6538"/>
    <w:rsid w:val="00BB67CA"/>
    <w:rsid w:val="00BB6B73"/>
    <w:rsid w:val="00BB6EA9"/>
    <w:rsid w:val="00BB6F06"/>
    <w:rsid w:val="00BB7000"/>
    <w:rsid w:val="00BB704A"/>
    <w:rsid w:val="00BB776D"/>
    <w:rsid w:val="00BB7C65"/>
    <w:rsid w:val="00BB7EE1"/>
    <w:rsid w:val="00BC020E"/>
    <w:rsid w:val="00BC086B"/>
    <w:rsid w:val="00BC0FE2"/>
    <w:rsid w:val="00BC12B0"/>
    <w:rsid w:val="00BC1CEB"/>
    <w:rsid w:val="00BC1ED9"/>
    <w:rsid w:val="00BC1F38"/>
    <w:rsid w:val="00BC21B7"/>
    <w:rsid w:val="00BC24B4"/>
    <w:rsid w:val="00BC2AD1"/>
    <w:rsid w:val="00BC2B21"/>
    <w:rsid w:val="00BC2DA0"/>
    <w:rsid w:val="00BC2E5C"/>
    <w:rsid w:val="00BC31D5"/>
    <w:rsid w:val="00BC359F"/>
    <w:rsid w:val="00BC3D78"/>
    <w:rsid w:val="00BC3E04"/>
    <w:rsid w:val="00BC42FE"/>
    <w:rsid w:val="00BC45BF"/>
    <w:rsid w:val="00BC45ED"/>
    <w:rsid w:val="00BC4A9B"/>
    <w:rsid w:val="00BC4B26"/>
    <w:rsid w:val="00BC4BBF"/>
    <w:rsid w:val="00BC4C27"/>
    <w:rsid w:val="00BC4E35"/>
    <w:rsid w:val="00BC530B"/>
    <w:rsid w:val="00BC5835"/>
    <w:rsid w:val="00BC59E1"/>
    <w:rsid w:val="00BC5BAA"/>
    <w:rsid w:val="00BC6429"/>
    <w:rsid w:val="00BC64B8"/>
    <w:rsid w:val="00BC7053"/>
    <w:rsid w:val="00BC71C6"/>
    <w:rsid w:val="00BC73F8"/>
    <w:rsid w:val="00BC75B0"/>
    <w:rsid w:val="00BC7A31"/>
    <w:rsid w:val="00BC7A79"/>
    <w:rsid w:val="00BC7BFF"/>
    <w:rsid w:val="00BC7FB2"/>
    <w:rsid w:val="00BD02BD"/>
    <w:rsid w:val="00BD034B"/>
    <w:rsid w:val="00BD08AD"/>
    <w:rsid w:val="00BD0E57"/>
    <w:rsid w:val="00BD0F28"/>
    <w:rsid w:val="00BD1418"/>
    <w:rsid w:val="00BD1744"/>
    <w:rsid w:val="00BD1EA7"/>
    <w:rsid w:val="00BD1EEC"/>
    <w:rsid w:val="00BD2482"/>
    <w:rsid w:val="00BD2D84"/>
    <w:rsid w:val="00BD2E8E"/>
    <w:rsid w:val="00BD36A5"/>
    <w:rsid w:val="00BD3749"/>
    <w:rsid w:val="00BD3781"/>
    <w:rsid w:val="00BD3D68"/>
    <w:rsid w:val="00BD3D90"/>
    <w:rsid w:val="00BD3E03"/>
    <w:rsid w:val="00BD3EFE"/>
    <w:rsid w:val="00BD402C"/>
    <w:rsid w:val="00BD40E8"/>
    <w:rsid w:val="00BD43F4"/>
    <w:rsid w:val="00BD4B8D"/>
    <w:rsid w:val="00BD4C5B"/>
    <w:rsid w:val="00BD4C71"/>
    <w:rsid w:val="00BD4D00"/>
    <w:rsid w:val="00BD4F40"/>
    <w:rsid w:val="00BD5FE1"/>
    <w:rsid w:val="00BD6368"/>
    <w:rsid w:val="00BD6402"/>
    <w:rsid w:val="00BD69D9"/>
    <w:rsid w:val="00BD69FF"/>
    <w:rsid w:val="00BD6C6E"/>
    <w:rsid w:val="00BD6D24"/>
    <w:rsid w:val="00BD6DAB"/>
    <w:rsid w:val="00BD70A5"/>
    <w:rsid w:val="00BD711B"/>
    <w:rsid w:val="00BD76AE"/>
    <w:rsid w:val="00BE0391"/>
    <w:rsid w:val="00BE0DD0"/>
    <w:rsid w:val="00BE0EDC"/>
    <w:rsid w:val="00BE115A"/>
    <w:rsid w:val="00BE121D"/>
    <w:rsid w:val="00BE16E7"/>
    <w:rsid w:val="00BE1BE1"/>
    <w:rsid w:val="00BE20F0"/>
    <w:rsid w:val="00BE21E9"/>
    <w:rsid w:val="00BE2434"/>
    <w:rsid w:val="00BE24F3"/>
    <w:rsid w:val="00BE2588"/>
    <w:rsid w:val="00BE2B75"/>
    <w:rsid w:val="00BE2C0A"/>
    <w:rsid w:val="00BE2C7E"/>
    <w:rsid w:val="00BE2EA3"/>
    <w:rsid w:val="00BE2ECC"/>
    <w:rsid w:val="00BE3054"/>
    <w:rsid w:val="00BE33C3"/>
    <w:rsid w:val="00BE348A"/>
    <w:rsid w:val="00BE34AE"/>
    <w:rsid w:val="00BE3619"/>
    <w:rsid w:val="00BE3704"/>
    <w:rsid w:val="00BE3B86"/>
    <w:rsid w:val="00BE3F92"/>
    <w:rsid w:val="00BE41C8"/>
    <w:rsid w:val="00BE442F"/>
    <w:rsid w:val="00BE479F"/>
    <w:rsid w:val="00BE49C7"/>
    <w:rsid w:val="00BE512C"/>
    <w:rsid w:val="00BE5C76"/>
    <w:rsid w:val="00BE5D77"/>
    <w:rsid w:val="00BE623B"/>
    <w:rsid w:val="00BE65C6"/>
    <w:rsid w:val="00BE6893"/>
    <w:rsid w:val="00BE6985"/>
    <w:rsid w:val="00BE6AEA"/>
    <w:rsid w:val="00BE6D64"/>
    <w:rsid w:val="00BE76C5"/>
    <w:rsid w:val="00BE76CA"/>
    <w:rsid w:val="00BE7C01"/>
    <w:rsid w:val="00BE7D40"/>
    <w:rsid w:val="00BF03E8"/>
    <w:rsid w:val="00BF069D"/>
    <w:rsid w:val="00BF074A"/>
    <w:rsid w:val="00BF09CC"/>
    <w:rsid w:val="00BF0A74"/>
    <w:rsid w:val="00BF0BD5"/>
    <w:rsid w:val="00BF0DB1"/>
    <w:rsid w:val="00BF0F3E"/>
    <w:rsid w:val="00BF0F92"/>
    <w:rsid w:val="00BF0FB7"/>
    <w:rsid w:val="00BF104D"/>
    <w:rsid w:val="00BF121B"/>
    <w:rsid w:val="00BF129E"/>
    <w:rsid w:val="00BF139C"/>
    <w:rsid w:val="00BF13A3"/>
    <w:rsid w:val="00BF1480"/>
    <w:rsid w:val="00BF1657"/>
    <w:rsid w:val="00BF17CE"/>
    <w:rsid w:val="00BF1864"/>
    <w:rsid w:val="00BF1DDA"/>
    <w:rsid w:val="00BF2054"/>
    <w:rsid w:val="00BF27F3"/>
    <w:rsid w:val="00BF29DD"/>
    <w:rsid w:val="00BF2B92"/>
    <w:rsid w:val="00BF2CCF"/>
    <w:rsid w:val="00BF2E1E"/>
    <w:rsid w:val="00BF36EF"/>
    <w:rsid w:val="00BF3801"/>
    <w:rsid w:val="00BF3969"/>
    <w:rsid w:val="00BF3EFC"/>
    <w:rsid w:val="00BF400C"/>
    <w:rsid w:val="00BF4101"/>
    <w:rsid w:val="00BF41DE"/>
    <w:rsid w:val="00BF4262"/>
    <w:rsid w:val="00BF427B"/>
    <w:rsid w:val="00BF475C"/>
    <w:rsid w:val="00BF4B57"/>
    <w:rsid w:val="00BF4FD4"/>
    <w:rsid w:val="00BF51BB"/>
    <w:rsid w:val="00BF526E"/>
    <w:rsid w:val="00BF52B7"/>
    <w:rsid w:val="00BF5349"/>
    <w:rsid w:val="00BF5562"/>
    <w:rsid w:val="00BF57AA"/>
    <w:rsid w:val="00BF5857"/>
    <w:rsid w:val="00BF587A"/>
    <w:rsid w:val="00BF5B41"/>
    <w:rsid w:val="00BF5D1D"/>
    <w:rsid w:val="00BF5F7F"/>
    <w:rsid w:val="00BF6842"/>
    <w:rsid w:val="00BF690F"/>
    <w:rsid w:val="00BF6BC4"/>
    <w:rsid w:val="00BF6ED0"/>
    <w:rsid w:val="00BF6FAF"/>
    <w:rsid w:val="00BF6FB5"/>
    <w:rsid w:val="00BF742C"/>
    <w:rsid w:val="00BF7D27"/>
    <w:rsid w:val="00C000C1"/>
    <w:rsid w:val="00C0015D"/>
    <w:rsid w:val="00C00295"/>
    <w:rsid w:val="00C0029D"/>
    <w:rsid w:val="00C00442"/>
    <w:rsid w:val="00C00590"/>
    <w:rsid w:val="00C00D46"/>
    <w:rsid w:val="00C00F1A"/>
    <w:rsid w:val="00C00F71"/>
    <w:rsid w:val="00C00FE5"/>
    <w:rsid w:val="00C014F3"/>
    <w:rsid w:val="00C015DA"/>
    <w:rsid w:val="00C016E7"/>
    <w:rsid w:val="00C02011"/>
    <w:rsid w:val="00C0217C"/>
    <w:rsid w:val="00C02240"/>
    <w:rsid w:val="00C024CC"/>
    <w:rsid w:val="00C025B6"/>
    <w:rsid w:val="00C027B8"/>
    <w:rsid w:val="00C02C64"/>
    <w:rsid w:val="00C02CA3"/>
    <w:rsid w:val="00C02E07"/>
    <w:rsid w:val="00C032D6"/>
    <w:rsid w:val="00C03313"/>
    <w:rsid w:val="00C033EF"/>
    <w:rsid w:val="00C035B8"/>
    <w:rsid w:val="00C03706"/>
    <w:rsid w:val="00C0374C"/>
    <w:rsid w:val="00C037C4"/>
    <w:rsid w:val="00C039BB"/>
    <w:rsid w:val="00C03D7D"/>
    <w:rsid w:val="00C03FF2"/>
    <w:rsid w:val="00C0418F"/>
    <w:rsid w:val="00C04918"/>
    <w:rsid w:val="00C04A47"/>
    <w:rsid w:val="00C04CF9"/>
    <w:rsid w:val="00C051D8"/>
    <w:rsid w:val="00C05A9B"/>
    <w:rsid w:val="00C05B83"/>
    <w:rsid w:val="00C05D78"/>
    <w:rsid w:val="00C05E2D"/>
    <w:rsid w:val="00C05F10"/>
    <w:rsid w:val="00C06067"/>
    <w:rsid w:val="00C06125"/>
    <w:rsid w:val="00C06277"/>
    <w:rsid w:val="00C063B2"/>
    <w:rsid w:val="00C067AB"/>
    <w:rsid w:val="00C06A35"/>
    <w:rsid w:val="00C06B13"/>
    <w:rsid w:val="00C06B6E"/>
    <w:rsid w:val="00C07066"/>
    <w:rsid w:val="00C07075"/>
    <w:rsid w:val="00C072AC"/>
    <w:rsid w:val="00C0770F"/>
    <w:rsid w:val="00C07833"/>
    <w:rsid w:val="00C07D18"/>
    <w:rsid w:val="00C07F81"/>
    <w:rsid w:val="00C1010F"/>
    <w:rsid w:val="00C10385"/>
    <w:rsid w:val="00C10415"/>
    <w:rsid w:val="00C108CB"/>
    <w:rsid w:val="00C108E4"/>
    <w:rsid w:val="00C10AF1"/>
    <w:rsid w:val="00C10D33"/>
    <w:rsid w:val="00C10E3A"/>
    <w:rsid w:val="00C10F35"/>
    <w:rsid w:val="00C114CE"/>
    <w:rsid w:val="00C11651"/>
    <w:rsid w:val="00C11695"/>
    <w:rsid w:val="00C118CD"/>
    <w:rsid w:val="00C119DD"/>
    <w:rsid w:val="00C11AAB"/>
    <w:rsid w:val="00C11D6F"/>
    <w:rsid w:val="00C11EED"/>
    <w:rsid w:val="00C1230D"/>
    <w:rsid w:val="00C12697"/>
    <w:rsid w:val="00C1285C"/>
    <w:rsid w:val="00C1297D"/>
    <w:rsid w:val="00C129FE"/>
    <w:rsid w:val="00C12D2C"/>
    <w:rsid w:val="00C1300D"/>
    <w:rsid w:val="00C1309E"/>
    <w:rsid w:val="00C131C8"/>
    <w:rsid w:val="00C13243"/>
    <w:rsid w:val="00C1370B"/>
    <w:rsid w:val="00C13BF9"/>
    <w:rsid w:val="00C14BE6"/>
    <w:rsid w:val="00C14D2C"/>
    <w:rsid w:val="00C14FF2"/>
    <w:rsid w:val="00C15237"/>
    <w:rsid w:val="00C15364"/>
    <w:rsid w:val="00C153E9"/>
    <w:rsid w:val="00C15599"/>
    <w:rsid w:val="00C1584C"/>
    <w:rsid w:val="00C158F5"/>
    <w:rsid w:val="00C15A05"/>
    <w:rsid w:val="00C15F04"/>
    <w:rsid w:val="00C161E5"/>
    <w:rsid w:val="00C16446"/>
    <w:rsid w:val="00C164FE"/>
    <w:rsid w:val="00C165B0"/>
    <w:rsid w:val="00C1661F"/>
    <w:rsid w:val="00C1666E"/>
    <w:rsid w:val="00C16694"/>
    <w:rsid w:val="00C17255"/>
    <w:rsid w:val="00C17487"/>
    <w:rsid w:val="00C178EB"/>
    <w:rsid w:val="00C17929"/>
    <w:rsid w:val="00C17FC4"/>
    <w:rsid w:val="00C17FF8"/>
    <w:rsid w:val="00C204E3"/>
    <w:rsid w:val="00C20C2B"/>
    <w:rsid w:val="00C20C8A"/>
    <w:rsid w:val="00C21046"/>
    <w:rsid w:val="00C216B9"/>
    <w:rsid w:val="00C216F1"/>
    <w:rsid w:val="00C21C3A"/>
    <w:rsid w:val="00C21CBA"/>
    <w:rsid w:val="00C21EE5"/>
    <w:rsid w:val="00C21FEF"/>
    <w:rsid w:val="00C221BA"/>
    <w:rsid w:val="00C22417"/>
    <w:rsid w:val="00C226BA"/>
    <w:rsid w:val="00C2283E"/>
    <w:rsid w:val="00C22934"/>
    <w:rsid w:val="00C22B50"/>
    <w:rsid w:val="00C23151"/>
    <w:rsid w:val="00C23170"/>
    <w:rsid w:val="00C236A2"/>
    <w:rsid w:val="00C23CA1"/>
    <w:rsid w:val="00C23D2C"/>
    <w:rsid w:val="00C23D6E"/>
    <w:rsid w:val="00C23DDF"/>
    <w:rsid w:val="00C2418D"/>
    <w:rsid w:val="00C24265"/>
    <w:rsid w:val="00C2436B"/>
    <w:rsid w:val="00C24AAE"/>
    <w:rsid w:val="00C24BDD"/>
    <w:rsid w:val="00C24E80"/>
    <w:rsid w:val="00C25131"/>
    <w:rsid w:val="00C25E4F"/>
    <w:rsid w:val="00C26BCF"/>
    <w:rsid w:val="00C26EF1"/>
    <w:rsid w:val="00C27150"/>
    <w:rsid w:val="00C27197"/>
    <w:rsid w:val="00C273C0"/>
    <w:rsid w:val="00C276FA"/>
    <w:rsid w:val="00C2787C"/>
    <w:rsid w:val="00C27B81"/>
    <w:rsid w:val="00C27D46"/>
    <w:rsid w:val="00C27D7F"/>
    <w:rsid w:val="00C27DD9"/>
    <w:rsid w:val="00C3000A"/>
    <w:rsid w:val="00C30881"/>
    <w:rsid w:val="00C309D6"/>
    <w:rsid w:val="00C30A13"/>
    <w:rsid w:val="00C30A67"/>
    <w:rsid w:val="00C310C5"/>
    <w:rsid w:val="00C31524"/>
    <w:rsid w:val="00C31918"/>
    <w:rsid w:val="00C31A8D"/>
    <w:rsid w:val="00C31CA7"/>
    <w:rsid w:val="00C322D9"/>
    <w:rsid w:val="00C32BA1"/>
    <w:rsid w:val="00C33088"/>
    <w:rsid w:val="00C331D4"/>
    <w:rsid w:val="00C33521"/>
    <w:rsid w:val="00C33660"/>
    <w:rsid w:val="00C337EE"/>
    <w:rsid w:val="00C33A73"/>
    <w:rsid w:val="00C33AA3"/>
    <w:rsid w:val="00C33AD2"/>
    <w:rsid w:val="00C33BDE"/>
    <w:rsid w:val="00C33DAB"/>
    <w:rsid w:val="00C33FFB"/>
    <w:rsid w:val="00C3422A"/>
    <w:rsid w:val="00C34310"/>
    <w:rsid w:val="00C3468E"/>
    <w:rsid w:val="00C3489E"/>
    <w:rsid w:val="00C352FD"/>
    <w:rsid w:val="00C353BB"/>
    <w:rsid w:val="00C3559D"/>
    <w:rsid w:val="00C35BC1"/>
    <w:rsid w:val="00C360F4"/>
    <w:rsid w:val="00C366F9"/>
    <w:rsid w:val="00C367B0"/>
    <w:rsid w:val="00C36A4D"/>
    <w:rsid w:val="00C370E3"/>
    <w:rsid w:val="00C37109"/>
    <w:rsid w:val="00C37973"/>
    <w:rsid w:val="00C37B39"/>
    <w:rsid w:val="00C400E4"/>
    <w:rsid w:val="00C400FF"/>
    <w:rsid w:val="00C401CF"/>
    <w:rsid w:val="00C40B05"/>
    <w:rsid w:val="00C40E17"/>
    <w:rsid w:val="00C40E91"/>
    <w:rsid w:val="00C41587"/>
    <w:rsid w:val="00C417BB"/>
    <w:rsid w:val="00C42070"/>
    <w:rsid w:val="00C420B1"/>
    <w:rsid w:val="00C426F4"/>
    <w:rsid w:val="00C42D13"/>
    <w:rsid w:val="00C434C7"/>
    <w:rsid w:val="00C434F2"/>
    <w:rsid w:val="00C43601"/>
    <w:rsid w:val="00C43617"/>
    <w:rsid w:val="00C43943"/>
    <w:rsid w:val="00C43A1E"/>
    <w:rsid w:val="00C43A7A"/>
    <w:rsid w:val="00C43BFF"/>
    <w:rsid w:val="00C43CA1"/>
    <w:rsid w:val="00C43EB0"/>
    <w:rsid w:val="00C442A1"/>
    <w:rsid w:val="00C44406"/>
    <w:rsid w:val="00C4442E"/>
    <w:rsid w:val="00C44677"/>
    <w:rsid w:val="00C4479B"/>
    <w:rsid w:val="00C44A18"/>
    <w:rsid w:val="00C45542"/>
    <w:rsid w:val="00C45910"/>
    <w:rsid w:val="00C45954"/>
    <w:rsid w:val="00C45961"/>
    <w:rsid w:val="00C45965"/>
    <w:rsid w:val="00C45A4F"/>
    <w:rsid w:val="00C45DD9"/>
    <w:rsid w:val="00C45E96"/>
    <w:rsid w:val="00C4666E"/>
    <w:rsid w:val="00C4676A"/>
    <w:rsid w:val="00C46AC8"/>
    <w:rsid w:val="00C46D0A"/>
    <w:rsid w:val="00C46D74"/>
    <w:rsid w:val="00C46FC5"/>
    <w:rsid w:val="00C46FF5"/>
    <w:rsid w:val="00C47674"/>
    <w:rsid w:val="00C4795C"/>
    <w:rsid w:val="00C47987"/>
    <w:rsid w:val="00C47BE9"/>
    <w:rsid w:val="00C47D29"/>
    <w:rsid w:val="00C47E3E"/>
    <w:rsid w:val="00C50101"/>
    <w:rsid w:val="00C5017D"/>
    <w:rsid w:val="00C50349"/>
    <w:rsid w:val="00C50525"/>
    <w:rsid w:val="00C5090D"/>
    <w:rsid w:val="00C50B65"/>
    <w:rsid w:val="00C50BCB"/>
    <w:rsid w:val="00C51332"/>
    <w:rsid w:val="00C5157F"/>
    <w:rsid w:val="00C51634"/>
    <w:rsid w:val="00C51920"/>
    <w:rsid w:val="00C51B32"/>
    <w:rsid w:val="00C51C04"/>
    <w:rsid w:val="00C51C75"/>
    <w:rsid w:val="00C52189"/>
    <w:rsid w:val="00C52254"/>
    <w:rsid w:val="00C52622"/>
    <w:rsid w:val="00C52AC7"/>
    <w:rsid w:val="00C52D70"/>
    <w:rsid w:val="00C52DE6"/>
    <w:rsid w:val="00C5306D"/>
    <w:rsid w:val="00C530CB"/>
    <w:rsid w:val="00C53182"/>
    <w:rsid w:val="00C53218"/>
    <w:rsid w:val="00C5367D"/>
    <w:rsid w:val="00C537E3"/>
    <w:rsid w:val="00C538C7"/>
    <w:rsid w:val="00C5392B"/>
    <w:rsid w:val="00C53A26"/>
    <w:rsid w:val="00C53A8C"/>
    <w:rsid w:val="00C53C90"/>
    <w:rsid w:val="00C53D0F"/>
    <w:rsid w:val="00C53DC1"/>
    <w:rsid w:val="00C5444A"/>
    <w:rsid w:val="00C54487"/>
    <w:rsid w:val="00C5466A"/>
    <w:rsid w:val="00C547C0"/>
    <w:rsid w:val="00C54CDD"/>
    <w:rsid w:val="00C54DA7"/>
    <w:rsid w:val="00C54ECA"/>
    <w:rsid w:val="00C55699"/>
    <w:rsid w:val="00C55777"/>
    <w:rsid w:val="00C56015"/>
    <w:rsid w:val="00C56414"/>
    <w:rsid w:val="00C56440"/>
    <w:rsid w:val="00C564E1"/>
    <w:rsid w:val="00C56653"/>
    <w:rsid w:val="00C56824"/>
    <w:rsid w:val="00C56872"/>
    <w:rsid w:val="00C56AD6"/>
    <w:rsid w:val="00C56BD6"/>
    <w:rsid w:val="00C56E68"/>
    <w:rsid w:val="00C57064"/>
    <w:rsid w:val="00C570EE"/>
    <w:rsid w:val="00C573C2"/>
    <w:rsid w:val="00C576CF"/>
    <w:rsid w:val="00C57927"/>
    <w:rsid w:val="00C60725"/>
    <w:rsid w:val="00C60972"/>
    <w:rsid w:val="00C60DDF"/>
    <w:rsid w:val="00C6105B"/>
    <w:rsid w:val="00C612B7"/>
    <w:rsid w:val="00C6146D"/>
    <w:rsid w:val="00C61FA5"/>
    <w:rsid w:val="00C620F0"/>
    <w:rsid w:val="00C6218B"/>
    <w:rsid w:val="00C6220C"/>
    <w:rsid w:val="00C6223B"/>
    <w:rsid w:val="00C62947"/>
    <w:rsid w:val="00C62C9A"/>
    <w:rsid w:val="00C6302D"/>
    <w:rsid w:val="00C6309F"/>
    <w:rsid w:val="00C630F0"/>
    <w:rsid w:val="00C63922"/>
    <w:rsid w:val="00C640E7"/>
    <w:rsid w:val="00C6448F"/>
    <w:rsid w:val="00C64669"/>
    <w:rsid w:val="00C64960"/>
    <w:rsid w:val="00C6519A"/>
    <w:rsid w:val="00C651FD"/>
    <w:rsid w:val="00C65232"/>
    <w:rsid w:val="00C652CB"/>
    <w:rsid w:val="00C6535C"/>
    <w:rsid w:val="00C65533"/>
    <w:rsid w:val="00C6598C"/>
    <w:rsid w:val="00C65AB0"/>
    <w:rsid w:val="00C65BCD"/>
    <w:rsid w:val="00C66075"/>
    <w:rsid w:val="00C662FC"/>
    <w:rsid w:val="00C6709D"/>
    <w:rsid w:val="00C6717B"/>
    <w:rsid w:val="00C679E7"/>
    <w:rsid w:val="00C67C03"/>
    <w:rsid w:val="00C70464"/>
    <w:rsid w:val="00C706CC"/>
    <w:rsid w:val="00C708CB"/>
    <w:rsid w:val="00C70998"/>
    <w:rsid w:val="00C70C6E"/>
    <w:rsid w:val="00C70CF5"/>
    <w:rsid w:val="00C71230"/>
    <w:rsid w:val="00C7139E"/>
    <w:rsid w:val="00C718B1"/>
    <w:rsid w:val="00C71E34"/>
    <w:rsid w:val="00C71EE0"/>
    <w:rsid w:val="00C71F78"/>
    <w:rsid w:val="00C726FD"/>
    <w:rsid w:val="00C72CE6"/>
    <w:rsid w:val="00C72E72"/>
    <w:rsid w:val="00C7307E"/>
    <w:rsid w:val="00C73546"/>
    <w:rsid w:val="00C7354A"/>
    <w:rsid w:val="00C73987"/>
    <w:rsid w:val="00C73B4D"/>
    <w:rsid w:val="00C73D67"/>
    <w:rsid w:val="00C73E62"/>
    <w:rsid w:val="00C73E94"/>
    <w:rsid w:val="00C73EAB"/>
    <w:rsid w:val="00C74329"/>
    <w:rsid w:val="00C74623"/>
    <w:rsid w:val="00C74B28"/>
    <w:rsid w:val="00C74BEE"/>
    <w:rsid w:val="00C74C30"/>
    <w:rsid w:val="00C74E99"/>
    <w:rsid w:val="00C7516B"/>
    <w:rsid w:val="00C751B0"/>
    <w:rsid w:val="00C75406"/>
    <w:rsid w:val="00C755B9"/>
    <w:rsid w:val="00C75833"/>
    <w:rsid w:val="00C75A22"/>
    <w:rsid w:val="00C75CE1"/>
    <w:rsid w:val="00C760B4"/>
    <w:rsid w:val="00C76923"/>
    <w:rsid w:val="00C770E6"/>
    <w:rsid w:val="00C771A5"/>
    <w:rsid w:val="00C771F9"/>
    <w:rsid w:val="00C773E2"/>
    <w:rsid w:val="00C8004B"/>
    <w:rsid w:val="00C80094"/>
    <w:rsid w:val="00C80544"/>
    <w:rsid w:val="00C8067E"/>
    <w:rsid w:val="00C806EB"/>
    <w:rsid w:val="00C807DB"/>
    <w:rsid w:val="00C80993"/>
    <w:rsid w:val="00C80CD3"/>
    <w:rsid w:val="00C812D0"/>
    <w:rsid w:val="00C818D3"/>
    <w:rsid w:val="00C81EAB"/>
    <w:rsid w:val="00C820EA"/>
    <w:rsid w:val="00C82256"/>
    <w:rsid w:val="00C822DF"/>
    <w:rsid w:val="00C82617"/>
    <w:rsid w:val="00C828D0"/>
    <w:rsid w:val="00C829BA"/>
    <w:rsid w:val="00C82A44"/>
    <w:rsid w:val="00C82FBF"/>
    <w:rsid w:val="00C83533"/>
    <w:rsid w:val="00C836B4"/>
    <w:rsid w:val="00C83930"/>
    <w:rsid w:val="00C83AC6"/>
    <w:rsid w:val="00C84116"/>
    <w:rsid w:val="00C841DD"/>
    <w:rsid w:val="00C84338"/>
    <w:rsid w:val="00C84969"/>
    <w:rsid w:val="00C84AD7"/>
    <w:rsid w:val="00C84B19"/>
    <w:rsid w:val="00C84C1D"/>
    <w:rsid w:val="00C85013"/>
    <w:rsid w:val="00C852B3"/>
    <w:rsid w:val="00C85355"/>
    <w:rsid w:val="00C8537D"/>
    <w:rsid w:val="00C85667"/>
    <w:rsid w:val="00C85D85"/>
    <w:rsid w:val="00C85E1D"/>
    <w:rsid w:val="00C86937"/>
    <w:rsid w:val="00C86C0C"/>
    <w:rsid w:val="00C87039"/>
    <w:rsid w:val="00C8773A"/>
    <w:rsid w:val="00C877A4"/>
    <w:rsid w:val="00C9030B"/>
    <w:rsid w:val="00C9033F"/>
    <w:rsid w:val="00C90799"/>
    <w:rsid w:val="00C90A30"/>
    <w:rsid w:val="00C90A98"/>
    <w:rsid w:val="00C90D57"/>
    <w:rsid w:val="00C90F20"/>
    <w:rsid w:val="00C914AF"/>
    <w:rsid w:val="00C91C4D"/>
    <w:rsid w:val="00C92A66"/>
    <w:rsid w:val="00C92FD6"/>
    <w:rsid w:val="00C93147"/>
    <w:rsid w:val="00C93213"/>
    <w:rsid w:val="00C93246"/>
    <w:rsid w:val="00C935FB"/>
    <w:rsid w:val="00C93BD4"/>
    <w:rsid w:val="00C93DD6"/>
    <w:rsid w:val="00C94032"/>
    <w:rsid w:val="00C940C9"/>
    <w:rsid w:val="00C94160"/>
    <w:rsid w:val="00C942B2"/>
    <w:rsid w:val="00C94456"/>
    <w:rsid w:val="00C94595"/>
    <w:rsid w:val="00C9490C"/>
    <w:rsid w:val="00C94AB2"/>
    <w:rsid w:val="00C94EAD"/>
    <w:rsid w:val="00C953E4"/>
    <w:rsid w:val="00C95A38"/>
    <w:rsid w:val="00C9684A"/>
    <w:rsid w:val="00C96BF3"/>
    <w:rsid w:val="00C97317"/>
    <w:rsid w:val="00C9731D"/>
    <w:rsid w:val="00C97683"/>
    <w:rsid w:val="00C97B04"/>
    <w:rsid w:val="00C97BED"/>
    <w:rsid w:val="00C97E00"/>
    <w:rsid w:val="00C97FA0"/>
    <w:rsid w:val="00CA0022"/>
    <w:rsid w:val="00CA0086"/>
    <w:rsid w:val="00CA0B51"/>
    <w:rsid w:val="00CA0B60"/>
    <w:rsid w:val="00CA0C02"/>
    <w:rsid w:val="00CA0DFF"/>
    <w:rsid w:val="00CA1101"/>
    <w:rsid w:val="00CA155E"/>
    <w:rsid w:val="00CA172F"/>
    <w:rsid w:val="00CA1B3D"/>
    <w:rsid w:val="00CA1D32"/>
    <w:rsid w:val="00CA299E"/>
    <w:rsid w:val="00CA2B79"/>
    <w:rsid w:val="00CA3962"/>
    <w:rsid w:val="00CA3AE7"/>
    <w:rsid w:val="00CA3E4B"/>
    <w:rsid w:val="00CA4364"/>
    <w:rsid w:val="00CA4406"/>
    <w:rsid w:val="00CA459E"/>
    <w:rsid w:val="00CA4696"/>
    <w:rsid w:val="00CA4AFE"/>
    <w:rsid w:val="00CA4B19"/>
    <w:rsid w:val="00CA4B25"/>
    <w:rsid w:val="00CA53B5"/>
    <w:rsid w:val="00CA53C9"/>
    <w:rsid w:val="00CA583D"/>
    <w:rsid w:val="00CA584B"/>
    <w:rsid w:val="00CA5EE2"/>
    <w:rsid w:val="00CA6252"/>
    <w:rsid w:val="00CA6D73"/>
    <w:rsid w:val="00CA6DEA"/>
    <w:rsid w:val="00CA6E78"/>
    <w:rsid w:val="00CA6F30"/>
    <w:rsid w:val="00CA6F51"/>
    <w:rsid w:val="00CA7036"/>
    <w:rsid w:val="00CA70EA"/>
    <w:rsid w:val="00CA7D1E"/>
    <w:rsid w:val="00CA7EB3"/>
    <w:rsid w:val="00CA7ED1"/>
    <w:rsid w:val="00CA7EF0"/>
    <w:rsid w:val="00CB0380"/>
    <w:rsid w:val="00CB03A8"/>
    <w:rsid w:val="00CB03FD"/>
    <w:rsid w:val="00CB0594"/>
    <w:rsid w:val="00CB0A94"/>
    <w:rsid w:val="00CB0AA0"/>
    <w:rsid w:val="00CB0BDB"/>
    <w:rsid w:val="00CB0CAF"/>
    <w:rsid w:val="00CB10F6"/>
    <w:rsid w:val="00CB1B24"/>
    <w:rsid w:val="00CB1B48"/>
    <w:rsid w:val="00CB1CFE"/>
    <w:rsid w:val="00CB1FB7"/>
    <w:rsid w:val="00CB2693"/>
    <w:rsid w:val="00CB26C4"/>
    <w:rsid w:val="00CB27F9"/>
    <w:rsid w:val="00CB2908"/>
    <w:rsid w:val="00CB2DBF"/>
    <w:rsid w:val="00CB35AA"/>
    <w:rsid w:val="00CB37E5"/>
    <w:rsid w:val="00CB4312"/>
    <w:rsid w:val="00CB47A8"/>
    <w:rsid w:val="00CB4A46"/>
    <w:rsid w:val="00CB55B9"/>
    <w:rsid w:val="00CB5637"/>
    <w:rsid w:val="00CB5691"/>
    <w:rsid w:val="00CB577B"/>
    <w:rsid w:val="00CB5A8C"/>
    <w:rsid w:val="00CB5D1D"/>
    <w:rsid w:val="00CB5D7F"/>
    <w:rsid w:val="00CB615D"/>
    <w:rsid w:val="00CB6790"/>
    <w:rsid w:val="00CB69D9"/>
    <w:rsid w:val="00CB6F2D"/>
    <w:rsid w:val="00CB7CF1"/>
    <w:rsid w:val="00CB7DDA"/>
    <w:rsid w:val="00CC027E"/>
    <w:rsid w:val="00CC050C"/>
    <w:rsid w:val="00CC1300"/>
    <w:rsid w:val="00CC1DD8"/>
    <w:rsid w:val="00CC1E89"/>
    <w:rsid w:val="00CC1F9A"/>
    <w:rsid w:val="00CC22A1"/>
    <w:rsid w:val="00CC2532"/>
    <w:rsid w:val="00CC25E4"/>
    <w:rsid w:val="00CC2A51"/>
    <w:rsid w:val="00CC2DD9"/>
    <w:rsid w:val="00CC2FD6"/>
    <w:rsid w:val="00CC301D"/>
    <w:rsid w:val="00CC336C"/>
    <w:rsid w:val="00CC338D"/>
    <w:rsid w:val="00CC354A"/>
    <w:rsid w:val="00CC3A8C"/>
    <w:rsid w:val="00CC3C7C"/>
    <w:rsid w:val="00CC437A"/>
    <w:rsid w:val="00CC4540"/>
    <w:rsid w:val="00CC4924"/>
    <w:rsid w:val="00CC4B77"/>
    <w:rsid w:val="00CC4FEC"/>
    <w:rsid w:val="00CC5008"/>
    <w:rsid w:val="00CC50B7"/>
    <w:rsid w:val="00CC5213"/>
    <w:rsid w:val="00CC5516"/>
    <w:rsid w:val="00CC57D7"/>
    <w:rsid w:val="00CC589F"/>
    <w:rsid w:val="00CC5DF5"/>
    <w:rsid w:val="00CC63DA"/>
    <w:rsid w:val="00CC6883"/>
    <w:rsid w:val="00CC6A50"/>
    <w:rsid w:val="00CC7082"/>
    <w:rsid w:val="00CC7095"/>
    <w:rsid w:val="00CC752C"/>
    <w:rsid w:val="00CC77CF"/>
    <w:rsid w:val="00CC794E"/>
    <w:rsid w:val="00CC7CCF"/>
    <w:rsid w:val="00CC7D27"/>
    <w:rsid w:val="00CD014D"/>
    <w:rsid w:val="00CD0176"/>
    <w:rsid w:val="00CD0284"/>
    <w:rsid w:val="00CD03E9"/>
    <w:rsid w:val="00CD05DF"/>
    <w:rsid w:val="00CD08BF"/>
    <w:rsid w:val="00CD09BA"/>
    <w:rsid w:val="00CD0E33"/>
    <w:rsid w:val="00CD10D3"/>
    <w:rsid w:val="00CD127E"/>
    <w:rsid w:val="00CD1438"/>
    <w:rsid w:val="00CD1589"/>
    <w:rsid w:val="00CD1B70"/>
    <w:rsid w:val="00CD1BCD"/>
    <w:rsid w:val="00CD1D53"/>
    <w:rsid w:val="00CD1DCD"/>
    <w:rsid w:val="00CD21F0"/>
    <w:rsid w:val="00CD223E"/>
    <w:rsid w:val="00CD2258"/>
    <w:rsid w:val="00CD2488"/>
    <w:rsid w:val="00CD2BCF"/>
    <w:rsid w:val="00CD3267"/>
    <w:rsid w:val="00CD33CE"/>
    <w:rsid w:val="00CD33CF"/>
    <w:rsid w:val="00CD33E8"/>
    <w:rsid w:val="00CD34C5"/>
    <w:rsid w:val="00CD3541"/>
    <w:rsid w:val="00CD3606"/>
    <w:rsid w:val="00CD38CB"/>
    <w:rsid w:val="00CD3970"/>
    <w:rsid w:val="00CD3C0E"/>
    <w:rsid w:val="00CD3C40"/>
    <w:rsid w:val="00CD3ED8"/>
    <w:rsid w:val="00CD4084"/>
    <w:rsid w:val="00CD4946"/>
    <w:rsid w:val="00CD4C97"/>
    <w:rsid w:val="00CD4CA7"/>
    <w:rsid w:val="00CD4DA3"/>
    <w:rsid w:val="00CD4DC2"/>
    <w:rsid w:val="00CD5419"/>
    <w:rsid w:val="00CD58B0"/>
    <w:rsid w:val="00CD58D9"/>
    <w:rsid w:val="00CD591A"/>
    <w:rsid w:val="00CD5D04"/>
    <w:rsid w:val="00CD5E16"/>
    <w:rsid w:val="00CD643C"/>
    <w:rsid w:val="00CD6489"/>
    <w:rsid w:val="00CD6548"/>
    <w:rsid w:val="00CD6562"/>
    <w:rsid w:val="00CD6809"/>
    <w:rsid w:val="00CD70BF"/>
    <w:rsid w:val="00CD755D"/>
    <w:rsid w:val="00CD7616"/>
    <w:rsid w:val="00CD7A33"/>
    <w:rsid w:val="00CD7F8F"/>
    <w:rsid w:val="00CE0335"/>
    <w:rsid w:val="00CE0649"/>
    <w:rsid w:val="00CE0691"/>
    <w:rsid w:val="00CE082C"/>
    <w:rsid w:val="00CE0BD5"/>
    <w:rsid w:val="00CE0C85"/>
    <w:rsid w:val="00CE0EF1"/>
    <w:rsid w:val="00CE13E4"/>
    <w:rsid w:val="00CE15C1"/>
    <w:rsid w:val="00CE15F8"/>
    <w:rsid w:val="00CE1854"/>
    <w:rsid w:val="00CE1AA6"/>
    <w:rsid w:val="00CE1C61"/>
    <w:rsid w:val="00CE2107"/>
    <w:rsid w:val="00CE23AA"/>
    <w:rsid w:val="00CE2BB6"/>
    <w:rsid w:val="00CE2C9D"/>
    <w:rsid w:val="00CE2D30"/>
    <w:rsid w:val="00CE2FB3"/>
    <w:rsid w:val="00CE32D5"/>
    <w:rsid w:val="00CE3559"/>
    <w:rsid w:val="00CE35F5"/>
    <w:rsid w:val="00CE3600"/>
    <w:rsid w:val="00CE38E1"/>
    <w:rsid w:val="00CE3A5E"/>
    <w:rsid w:val="00CE3C10"/>
    <w:rsid w:val="00CE3FC4"/>
    <w:rsid w:val="00CE41DE"/>
    <w:rsid w:val="00CE435D"/>
    <w:rsid w:val="00CE457D"/>
    <w:rsid w:val="00CE47EB"/>
    <w:rsid w:val="00CE4A4B"/>
    <w:rsid w:val="00CE4BEC"/>
    <w:rsid w:val="00CE4FA6"/>
    <w:rsid w:val="00CE5016"/>
    <w:rsid w:val="00CE5042"/>
    <w:rsid w:val="00CE550A"/>
    <w:rsid w:val="00CE5661"/>
    <w:rsid w:val="00CE5A0C"/>
    <w:rsid w:val="00CE6067"/>
    <w:rsid w:val="00CE6462"/>
    <w:rsid w:val="00CE657C"/>
    <w:rsid w:val="00CE65F4"/>
    <w:rsid w:val="00CE6A3E"/>
    <w:rsid w:val="00CE6DED"/>
    <w:rsid w:val="00CE6EFE"/>
    <w:rsid w:val="00CE6F49"/>
    <w:rsid w:val="00CE6FDD"/>
    <w:rsid w:val="00CE7045"/>
    <w:rsid w:val="00CE7159"/>
    <w:rsid w:val="00CE74E9"/>
    <w:rsid w:val="00CE76B5"/>
    <w:rsid w:val="00CE7711"/>
    <w:rsid w:val="00CE7731"/>
    <w:rsid w:val="00CE7A98"/>
    <w:rsid w:val="00CE7E90"/>
    <w:rsid w:val="00CE7F77"/>
    <w:rsid w:val="00CF01F1"/>
    <w:rsid w:val="00CF088F"/>
    <w:rsid w:val="00CF08F5"/>
    <w:rsid w:val="00CF09A2"/>
    <w:rsid w:val="00CF0A23"/>
    <w:rsid w:val="00CF10A3"/>
    <w:rsid w:val="00CF10B8"/>
    <w:rsid w:val="00CF161E"/>
    <w:rsid w:val="00CF1F39"/>
    <w:rsid w:val="00CF1FD0"/>
    <w:rsid w:val="00CF2045"/>
    <w:rsid w:val="00CF2281"/>
    <w:rsid w:val="00CF2325"/>
    <w:rsid w:val="00CF2756"/>
    <w:rsid w:val="00CF2D07"/>
    <w:rsid w:val="00CF2D91"/>
    <w:rsid w:val="00CF2EA9"/>
    <w:rsid w:val="00CF318D"/>
    <w:rsid w:val="00CF31CA"/>
    <w:rsid w:val="00CF31E3"/>
    <w:rsid w:val="00CF32FC"/>
    <w:rsid w:val="00CF3AAB"/>
    <w:rsid w:val="00CF3BF1"/>
    <w:rsid w:val="00CF3CAC"/>
    <w:rsid w:val="00CF3F20"/>
    <w:rsid w:val="00CF42F9"/>
    <w:rsid w:val="00CF47B6"/>
    <w:rsid w:val="00CF482E"/>
    <w:rsid w:val="00CF4851"/>
    <w:rsid w:val="00CF4B4D"/>
    <w:rsid w:val="00CF4B71"/>
    <w:rsid w:val="00CF4DC8"/>
    <w:rsid w:val="00CF4E9F"/>
    <w:rsid w:val="00CF529B"/>
    <w:rsid w:val="00CF5718"/>
    <w:rsid w:val="00CF5A2A"/>
    <w:rsid w:val="00CF5C92"/>
    <w:rsid w:val="00CF5DA2"/>
    <w:rsid w:val="00CF5DBF"/>
    <w:rsid w:val="00CF6178"/>
    <w:rsid w:val="00CF6CAE"/>
    <w:rsid w:val="00CF71B1"/>
    <w:rsid w:val="00CF7766"/>
    <w:rsid w:val="00CF7975"/>
    <w:rsid w:val="00CF799A"/>
    <w:rsid w:val="00CF7ABE"/>
    <w:rsid w:val="00CF7CC1"/>
    <w:rsid w:val="00CF7EBB"/>
    <w:rsid w:val="00D000DF"/>
    <w:rsid w:val="00D008CC"/>
    <w:rsid w:val="00D00E51"/>
    <w:rsid w:val="00D01B03"/>
    <w:rsid w:val="00D01B21"/>
    <w:rsid w:val="00D01C34"/>
    <w:rsid w:val="00D0219F"/>
    <w:rsid w:val="00D02438"/>
    <w:rsid w:val="00D02892"/>
    <w:rsid w:val="00D02974"/>
    <w:rsid w:val="00D02F95"/>
    <w:rsid w:val="00D03020"/>
    <w:rsid w:val="00D030CE"/>
    <w:rsid w:val="00D03264"/>
    <w:rsid w:val="00D032A3"/>
    <w:rsid w:val="00D034C1"/>
    <w:rsid w:val="00D03EF4"/>
    <w:rsid w:val="00D03F7A"/>
    <w:rsid w:val="00D04317"/>
    <w:rsid w:val="00D04399"/>
    <w:rsid w:val="00D04900"/>
    <w:rsid w:val="00D0499E"/>
    <w:rsid w:val="00D04D2F"/>
    <w:rsid w:val="00D04FFC"/>
    <w:rsid w:val="00D05027"/>
    <w:rsid w:val="00D050A5"/>
    <w:rsid w:val="00D05196"/>
    <w:rsid w:val="00D051BC"/>
    <w:rsid w:val="00D054E8"/>
    <w:rsid w:val="00D0575B"/>
    <w:rsid w:val="00D057F5"/>
    <w:rsid w:val="00D05BE7"/>
    <w:rsid w:val="00D05DCC"/>
    <w:rsid w:val="00D06000"/>
    <w:rsid w:val="00D064C1"/>
    <w:rsid w:val="00D06796"/>
    <w:rsid w:val="00D06D3E"/>
    <w:rsid w:val="00D072D2"/>
    <w:rsid w:val="00D10097"/>
    <w:rsid w:val="00D10AA6"/>
    <w:rsid w:val="00D10D37"/>
    <w:rsid w:val="00D10F56"/>
    <w:rsid w:val="00D10F5B"/>
    <w:rsid w:val="00D11028"/>
    <w:rsid w:val="00D11342"/>
    <w:rsid w:val="00D12033"/>
    <w:rsid w:val="00D12148"/>
    <w:rsid w:val="00D1239D"/>
    <w:rsid w:val="00D1263B"/>
    <w:rsid w:val="00D12704"/>
    <w:rsid w:val="00D1279C"/>
    <w:rsid w:val="00D129C4"/>
    <w:rsid w:val="00D12D18"/>
    <w:rsid w:val="00D13514"/>
    <w:rsid w:val="00D13643"/>
    <w:rsid w:val="00D13B50"/>
    <w:rsid w:val="00D13B7A"/>
    <w:rsid w:val="00D13F75"/>
    <w:rsid w:val="00D142E5"/>
    <w:rsid w:val="00D1434E"/>
    <w:rsid w:val="00D1445F"/>
    <w:rsid w:val="00D144B9"/>
    <w:rsid w:val="00D14C58"/>
    <w:rsid w:val="00D1523F"/>
    <w:rsid w:val="00D15247"/>
    <w:rsid w:val="00D15322"/>
    <w:rsid w:val="00D155AF"/>
    <w:rsid w:val="00D1560E"/>
    <w:rsid w:val="00D157F9"/>
    <w:rsid w:val="00D15A51"/>
    <w:rsid w:val="00D15BAD"/>
    <w:rsid w:val="00D15DB6"/>
    <w:rsid w:val="00D15FC3"/>
    <w:rsid w:val="00D1613A"/>
    <w:rsid w:val="00D162A2"/>
    <w:rsid w:val="00D1677B"/>
    <w:rsid w:val="00D16A99"/>
    <w:rsid w:val="00D16BA2"/>
    <w:rsid w:val="00D1752A"/>
    <w:rsid w:val="00D17580"/>
    <w:rsid w:val="00D1793E"/>
    <w:rsid w:val="00D17A24"/>
    <w:rsid w:val="00D17DB2"/>
    <w:rsid w:val="00D20CBC"/>
    <w:rsid w:val="00D21023"/>
    <w:rsid w:val="00D216B8"/>
    <w:rsid w:val="00D21DA8"/>
    <w:rsid w:val="00D21DEB"/>
    <w:rsid w:val="00D221ED"/>
    <w:rsid w:val="00D2238B"/>
    <w:rsid w:val="00D2241F"/>
    <w:rsid w:val="00D22811"/>
    <w:rsid w:val="00D22824"/>
    <w:rsid w:val="00D2290C"/>
    <w:rsid w:val="00D22E76"/>
    <w:rsid w:val="00D23104"/>
    <w:rsid w:val="00D238CC"/>
    <w:rsid w:val="00D24299"/>
    <w:rsid w:val="00D247DD"/>
    <w:rsid w:val="00D2489B"/>
    <w:rsid w:val="00D248E2"/>
    <w:rsid w:val="00D24937"/>
    <w:rsid w:val="00D24A0E"/>
    <w:rsid w:val="00D24B39"/>
    <w:rsid w:val="00D24B94"/>
    <w:rsid w:val="00D24C43"/>
    <w:rsid w:val="00D250BD"/>
    <w:rsid w:val="00D2512D"/>
    <w:rsid w:val="00D25918"/>
    <w:rsid w:val="00D25B97"/>
    <w:rsid w:val="00D25BC1"/>
    <w:rsid w:val="00D25F4A"/>
    <w:rsid w:val="00D25F51"/>
    <w:rsid w:val="00D25FFC"/>
    <w:rsid w:val="00D26190"/>
    <w:rsid w:val="00D261CF"/>
    <w:rsid w:val="00D26789"/>
    <w:rsid w:val="00D2687F"/>
    <w:rsid w:val="00D26938"/>
    <w:rsid w:val="00D26968"/>
    <w:rsid w:val="00D26997"/>
    <w:rsid w:val="00D269F4"/>
    <w:rsid w:val="00D26FA8"/>
    <w:rsid w:val="00D27175"/>
    <w:rsid w:val="00D271AB"/>
    <w:rsid w:val="00D27369"/>
    <w:rsid w:val="00D275FD"/>
    <w:rsid w:val="00D277B0"/>
    <w:rsid w:val="00D27906"/>
    <w:rsid w:val="00D27A25"/>
    <w:rsid w:val="00D27B37"/>
    <w:rsid w:val="00D27EFF"/>
    <w:rsid w:val="00D3014A"/>
    <w:rsid w:val="00D3065F"/>
    <w:rsid w:val="00D30709"/>
    <w:rsid w:val="00D30B03"/>
    <w:rsid w:val="00D30BBC"/>
    <w:rsid w:val="00D30EAC"/>
    <w:rsid w:val="00D311F7"/>
    <w:rsid w:val="00D316B8"/>
    <w:rsid w:val="00D31DDF"/>
    <w:rsid w:val="00D31E3A"/>
    <w:rsid w:val="00D320BD"/>
    <w:rsid w:val="00D32523"/>
    <w:rsid w:val="00D3268B"/>
    <w:rsid w:val="00D32798"/>
    <w:rsid w:val="00D327F2"/>
    <w:rsid w:val="00D3291F"/>
    <w:rsid w:val="00D3315D"/>
    <w:rsid w:val="00D33AE1"/>
    <w:rsid w:val="00D34053"/>
    <w:rsid w:val="00D3450D"/>
    <w:rsid w:val="00D347A0"/>
    <w:rsid w:val="00D3487A"/>
    <w:rsid w:val="00D34CBB"/>
    <w:rsid w:val="00D34FC1"/>
    <w:rsid w:val="00D35264"/>
    <w:rsid w:val="00D356D0"/>
    <w:rsid w:val="00D35716"/>
    <w:rsid w:val="00D35872"/>
    <w:rsid w:val="00D3589D"/>
    <w:rsid w:val="00D35979"/>
    <w:rsid w:val="00D35AB8"/>
    <w:rsid w:val="00D35BCC"/>
    <w:rsid w:val="00D35FBF"/>
    <w:rsid w:val="00D366E1"/>
    <w:rsid w:val="00D369E6"/>
    <w:rsid w:val="00D36D78"/>
    <w:rsid w:val="00D37773"/>
    <w:rsid w:val="00D37CDF"/>
    <w:rsid w:val="00D37DC2"/>
    <w:rsid w:val="00D40373"/>
    <w:rsid w:val="00D403EA"/>
    <w:rsid w:val="00D4044E"/>
    <w:rsid w:val="00D4049E"/>
    <w:rsid w:val="00D40565"/>
    <w:rsid w:val="00D405E8"/>
    <w:rsid w:val="00D40C3A"/>
    <w:rsid w:val="00D40D0D"/>
    <w:rsid w:val="00D411B3"/>
    <w:rsid w:val="00D41EB4"/>
    <w:rsid w:val="00D41F9A"/>
    <w:rsid w:val="00D42277"/>
    <w:rsid w:val="00D4272E"/>
    <w:rsid w:val="00D42A7A"/>
    <w:rsid w:val="00D42B41"/>
    <w:rsid w:val="00D42D70"/>
    <w:rsid w:val="00D43047"/>
    <w:rsid w:val="00D430CE"/>
    <w:rsid w:val="00D4313F"/>
    <w:rsid w:val="00D43436"/>
    <w:rsid w:val="00D43C8E"/>
    <w:rsid w:val="00D43DE3"/>
    <w:rsid w:val="00D44364"/>
    <w:rsid w:val="00D4436C"/>
    <w:rsid w:val="00D443A3"/>
    <w:rsid w:val="00D446C7"/>
    <w:rsid w:val="00D44D43"/>
    <w:rsid w:val="00D458C8"/>
    <w:rsid w:val="00D4600F"/>
    <w:rsid w:val="00D4637D"/>
    <w:rsid w:val="00D468A0"/>
    <w:rsid w:val="00D468D3"/>
    <w:rsid w:val="00D46A79"/>
    <w:rsid w:val="00D46C11"/>
    <w:rsid w:val="00D46C88"/>
    <w:rsid w:val="00D4703E"/>
    <w:rsid w:val="00D47128"/>
    <w:rsid w:val="00D47BAF"/>
    <w:rsid w:val="00D47DF4"/>
    <w:rsid w:val="00D47FDB"/>
    <w:rsid w:val="00D508FA"/>
    <w:rsid w:val="00D50B04"/>
    <w:rsid w:val="00D50D93"/>
    <w:rsid w:val="00D50F8B"/>
    <w:rsid w:val="00D510B6"/>
    <w:rsid w:val="00D51568"/>
    <w:rsid w:val="00D51795"/>
    <w:rsid w:val="00D51975"/>
    <w:rsid w:val="00D5217D"/>
    <w:rsid w:val="00D5219C"/>
    <w:rsid w:val="00D5250E"/>
    <w:rsid w:val="00D529C8"/>
    <w:rsid w:val="00D52AC4"/>
    <w:rsid w:val="00D52C2A"/>
    <w:rsid w:val="00D52E2B"/>
    <w:rsid w:val="00D52E87"/>
    <w:rsid w:val="00D533B1"/>
    <w:rsid w:val="00D53650"/>
    <w:rsid w:val="00D53910"/>
    <w:rsid w:val="00D53F0F"/>
    <w:rsid w:val="00D53F60"/>
    <w:rsid w:val="00D53F98"/>
    <w:rsid w:val="00D53FBE"/>
    <w:rsid w:val="00D54145"/>
    <w:rsid w:val="00D54169"/>
    <w:rsid w:val="00D544BD"/>
    <w:rsid w:val="00D545A8"/>
    <w:rsid w:val="00D546FB"/>
    <w:rsid w:val="00D5478B"/>
    <w:rsid w:val="00D54A95"/>
    <w:rsid w:val="00D54BCF"/>
    <w:rsid w:val="00D54C7D"/>
    <w:rsid w:val="00D54EED"/>
    <w:rsid w:val="00D55057"/>
    <w:rsid w:val="00D550E2"/>
    <w:rsid w:val="00D55610"/>
    <w:rsid w:val="00D560A8"/>
    <w:rsid w:val="00D56158"/>
    <w:rsid w:val="00D561C2"/>
    <w:rsid w:val="00D56285"/>
    <w:rsid w:val="00D56379"/>
    <w:rsid w:val="00D5640B"/>
    <w:rsid w:val="00D565A6"/>
    <w:rsid w:val="00D568EB"/>
    <w:rsid w:val="00D56CCA"/>
    <w:rsid w:val="00D56F25"/>
    <w:rsid w:val="00D57452"/>
    <w:rsid w:val="00D5789E"/>
    <w:rsid w:val="00D57FED"/>
    <w:rsid w:val="00D6010F"/>
    <w:rsid w:val="00D6048B"/>
    <w:rsid w:val="00D60518"/>
    <w:rsid w:val="00D60CB7"/>
    <w:rsid w:val="00D61227"/>
    <w:rsid w:val="00D61279"/>
    <w:rsid w:val="00D61280"/>
    <w:rsid w:val="00D612DD"/>
    <w:rsid w:val="00D61434"/>
    <w:rsid w:val="00D61482"/>
    <w:rsid w:val="00D616D7"/>
    <w:rsid w:val="00D619A8"/>
    <w:rsid w:val="00D61D6C"/>
    <w:rsid w:val="00D6238D"/>
    <w:rsid w:val="00D624DC"/>
    <w:rsid w:val="00D624EA"/>
    <w:rsid w:val="00D62B5F"/>
    <w:rsid w:val="00D62C49"/>
    <w:rsid w:val="00D62E4D"/>
    <w:rsid w:val="00D63550"/>
    <w:rsid w:val="00D636E7"/>
    <w:rsid w:val="00D639E8"/>
    <w:rsid w:val="00D642E5"/>
    <w:rsid w:val="00D64DE0"/>
    <w:rsid w:val="00D65263"/>
    <w:rsid w:val="00D653D4"/>
    <w:rsid w:val="00D6540E"/>
    <w:rsid w:val="00D65973"/>
    <w:rsid w:val="00D65A98"/>
    <w:rsid w:val="00D6651C"/>
    <w:rsid w:val="00D6692D"/>
    <w:rsid w:val="00D66952"/>
    <w:rsid w:val="00D66B47"/>
    <w:rsid w:val="00D66F28"/>
    <w:rsid w:val="00D66F4E"/>
    <w:rsid w:val="00D678C7"/>
    <w:rsid w:val="00D67988"/>
    <w:rsid w:val="00D67D0F"/>
    <w:rsid w:val="00D7022F"/>
    <w:rsid w:val="00D7027F"/>
    <w:rsid w:val="00D703D4"/>
    <w:rsid w:val="00D70645"/>
    <w:rsid w:val="00D70E21"/>
    <w:rsid w:val="00D70E2F"/>
    <w:rsid w:val="00D714E6"/>
    <w:rsid w:val="00D716C4"/>
    <w:rsid w:val="00D718E2"/>
    <w:rsid w:val="00D71B05"/>
    <w:rsid w:val="00D71B49"/>
    <w:rsid w:val="00D7236D"/>
    <w:rsid w:val="00D726FA"/>
    <w:rsid w:val="00D72A96"/>
    <w:rsid w:val="00D72BEC"/>
    <w:rsid w:val="00D72CA2"/>
    <w:rsid w:val="00D72E22"/>
    <w:rsid w:val="00D72E78"/>
    <w:rsid w:val="00D73124"/>
    <w:rsid w:val="00D73152"/>
    <w:rsid w:val="00D73894"/>
    <w:rsid w:val="00D73976"/>
    <w:rsid w:val="00D73D1B"/>
    <w:rsid w:val="00D73EA2"/>
    <w:rsid w:val="00D73F30"/>
    <w:rsid w:val="00D742C9"/>
    <w:rsid w:val="00D742D0"/>
    <w:rsid w:val="00D7437F"/>
    <w:rsid w:val="00D74763"/>
    <w:rsid w:val="00D749B6"/>
    <w:rsid w:val="00D74B58"/>
    <w:rsid w:val="00D74B66"/>
    <w:rsid w:val="00D74DDC"/>
    <w:rsid w:val="00D75459"/>
    <w:rsid w:val="00D759F5"/>
    <w:rsid w:val="00D75BA8"/>
    <w:rsid w:val="00D75EC6"/>
    <w:rsid w:val="00D75EF0"/>
    <w:rsid w:val="00D76369"/>
    <w:rsid w:val="00D76469"/>
    <w:rsid w:val="00D76904"/>
    <w:rsid w:val="00D76A30"/>
    <w:rsid w:val="00D76B6F"/>
    <w:rsid w:val="00D76BFF"/>
    <w:rsid w:val="00D76E31"/>
    <w:rsid w:val="00D76F8C"/>
    <w:rsid w:val="00D773DF"/>
    <w:rsid w:val="00D7746A"/>
    <w:rsid w:val="00D77AB2"/>
    <w:rsid w:val="00D77F54"/>
    <w:rsid w:val="00D80006"/>
    <w:rsid w:val="00D80282"/>
    <w:rsid w:val="00D807ED"/>
    <w:rsid w:val="00D80A62"/>
    <w:rsid w:val="00D80B1B"/>
    <w:rsid w:val="00D80E77"/>
    <w:rsid w:val="00D8127A"/>
    <w:rsid w:val="00D814E5"/>
    <w:rsid w:val="00D8179E"/>
    <w:rsid w:val="00D81DF8"/>
    <w:rsid w:val="00D826B2"/>
    <w:rsid w:val="00D82B0C"/>
    <w:rsid w:val="00D82E30"/>
    <w:rsid w:val="00D82F8E"/>
    <w:rsid w:val="00D83E96"/>
    <w:rsid w:val="00D842B5"/>
    <w:rsid w:val="00D844CB"/>
    <w:rsid w:val="00D8468E"/>
    <w:rsid w:val="00D849F8"/>
    <w:rsid w:val="00D84C77"/>
    <w:rsid w:val="00D8502F"/>
    <w:rsid w:val="00D85097"/>
    <w:rsid w:val="00D853B2"/>
    <w:rsid w:val="00D85456"/>
    <w:rsid w:val="00D856EA"/>
    <w:rsid w:val="00D859C0"/>
    <w:rsid w:val="00D85A57"/>
    <w:rsid w:val="00D85D30"/>
    <w:rsid w:val="00D8620E"/>
    <w:rsid w:val="00D86417"/>
    <w:rsid w:val="00D8678F"/>
    <w:rsid w:val="00D868FE"/>
    <w:rsid w:val="00D86A44"/>
    <w:rsid w:val="00D86A84"/>
    <w:rsid w:val="00D873AF"/>
    <w:rsid w:val="00D87458"/>
    <w:rsid w:val="00D87AC6"/>
    <w:rsid w:val="00D87B28"/>
    <w:rsid w:val="00D87CB5"/>
    <w:rsid w:val="00D90237"/>
    <w:rsid w:val="00D904F2"/>
    <w:rsid w:val="00D906CC"/>
    <w:rsid w:val="00D9089A"/>
    <w:rsid w:val="00D90F7F"/>
    <w:rsid w:val="00D9124A"/>
    <w:rsid w:val="00D9125F"/>
    <w:rsid w:val="00D91315"/>
    <w:rsid w:val="00D9147E"/>
    <w:rsid w:val="00D91E99"/>
    <w:rsid w:val="00D91EB7"/>
    <w:rsid w:val="00D91F6B"/>
    <w:rsid w:val="00D921E4"/>
    <w:rsid w:val="00D92440"/>
    <w:rsid w:val="00D9248D"/>
    <w:rsid w:val="00D92812"/>
    <w:rsid w:val="00D929D3"/>
    <w:rsid w:val="00D92FDD"/>
    <w:rsid w:val="00D932B7"/>
    <w:rsid w:val="00D932ED"/>
    <w:rsid w:val="00D93560"/>
    <w:rsid w:val="00D93A00"/>
    <w:rsid w:val="00D93BAE"/>
    <w:rsid w:val="00D942BA"/>
    <w:rsid w:val="00D94C1F"/>
    <w:rsid w:val="00D94D89"/>
    <w:rsid w:val="00D94EB5"/>
    <w:rsid w:val="00D94FF6"/>
    <w:rsid w:val="00D951B8"/>
    <w:rsid w:val="00D954B5"/>
    <w:rsid w:val="00D95E41"/>
    <w:rsid w:val="00D9645A"/>
    <w:rsid w:val="00D96FF4"/>
    <w:rsid w:val="00D9743B"/>
    <w:rsid w:val="00D9753B"/>
    <w:rsid w:val="00D9753D"/>
    <w:rsid w:val="00D9765A"/>
    <w:rsid w:val="00D97D08"/>
    <w:rsid w:val="00DA00CA"/>
    <w:rsid w:val="00DA04D5"/>
    <w:rsid w:val="00DA07FA"/>
    <w:rsid w:val="00DA1435"/>
    <w:rsid w:val="00DA1708"/>
    <w:rsid w:val="00DA1B79"/>
    <w:rsid w:val="00DA1CA4"/>
    <w:rsid w:val="00DA1FA2"/>
    <w:rsid w:val="00DA1FFF"/>
    <w:rsid w:val="00DA223E"/>
    <w:rsid w:val="00DA23E9"/>
    <w:rsid w:val="00DA2B10"/>
    <w:rsid w:val="00DA31EA"/>
    <w:rsid w:val="00DA3624"/>
    <w:rsid w:val="00DA3CD3"/>
    <w:rsid w:val="00DA480E"/>
    <w:rsid w:val="00DA4B3F"/>
    <w:rsid w:val="00DA4BC1"/>
    <w:rsid w:val="00DA4C3C"/>
    <w:rsid w:val="00DA5835"/>
    <w:rsid w:val="00DA59FF"/>
    <w:rsid w:val="00DA5E94"/>
    <w:rsid w:val="00DA5ED0"/>
    <w:rsid w:val="00DA5FAA"/>
    <w:rsid w:val="00DA61D1"/>
    <w:rsid w:val="00DA63D6"/>
    <w:rsid w:val="00DA65F6"/>
    <w:rsid w:val="00DA67A5"/>
    <w:rsid w:val="00DA6E11"/>
    <w:rsid w:val="00DA7463"/>
    <w:rsid w:val="00DA7603"/>
    <w:rsid w:val="00DA770A"/>
    <w:rsid w:val="00DA7910"/>
    <w:rsid w:val="00DA7E4E"/>
    <w:rsid w:val="00DB00FD"/>
    <w:rsid w:val="00DB0296"/>
    <w:rsid w:val="00DB04A5"/>
    <w:rsid w:val="00DB0CD8"/>
    <w:rsid w:val="00DB0D8D"/>
    <w:rsid w:val="00DB0EDA"/>
    <w:rsid w:val="00DB11A0"/>
    <w:rsid w:val="00DB11DE"/>
    <w:rsid w:val="00DB15FD"/>
    <w:rsid w:val="00DB17D9"/>
    <w:rsid w:val="00DB24B1"/>
    <w:rsid w:val="00DB288A"/>
    <w:rsid w:val="00DB28CF"/>
    <w:rsid w:val="00DB33D3"/>
    <w:rsid w:val="00DB3693"/>
    <w:rsid w:val="00DB36B1"/>
    <w:rsid w:val="00DB3840"/>
    <w:rsid w:val="00DB3DE6"/>
    <w:rsid w:val="00DB3F8D"/>
    <w:rsid w:val="00DB40F1"/>
    <w:rsid w:val="00DB413A"/>
    <w:rsid w:val="00DB43F4"/>
    <w:rsid w:val="00DB45F8"/>
    <w:rsid w:val="00DB4A76"/>
    <w:rsid w:val="00DB4CFB"/>
    <w:rsid w:val="00DB5056"/>
    <w:rsid w:val="00DB53CB"/>
    <w:rsid w:val="00DB5779"/>
    <w:rsid w:val="00DB5C06"/>
    <w:rsid w:val="00DB5FD7"/>
    <w:rsid w:val="00DB6158"/>
    <w:rsid w:val="00DB651F"/>
    <w:rsid w:val="00DB67DF"/>
    <w:rsid w:val="00DB6BC0"/>
    <w:rsid w:val="00DB6EA3"/>
    <w:rsid w:val="00DB6EF2"/>
    <w:rsid w:val="00DB6F42"/>
    <w:rsid w:val="00DB700F"/>
    <w:rsid w:val="00DB7325"/>
    <w:rsid w:val="00DB744F"/>
    <w:rsid w:val="00DB75D2"/>
    <w:rsid w:val="00DB767E"/>
    <w:rsid w:val="00DC0397"/>
    <w:rsid w:val="00DC0468"/>
    <w:rsid w:val="00DC05A9"/>
    <w:rsid w:val="00DC05BA"/>
    <w:rsid w:val="00DC098A"/>
    <w:rsid w:val="00DC09CB"/>
    <w:rsid w:val="00DC0AD1"/>
    <w:rsid w:val="00DC0DC4"/>
    <w:rsid w:val="00DC0E25"/>
    <w:rsid w:val="00DC0E76"/>
    <w:rsid w:val="00DC19D3"/>
    <w:rsid w:val="00DC1B9C"/>
    <w:rsid w:val="00DC1D1D"/>
    <w:rsid w:val="00DC1FCD"/>
    <w:rsid w:val="00DC235B"/>
    <w:rsid w:val="00DC2B1C"/>
    <w:rsid w:val="00DC2B8B"/>
    <w:rsid w:val="00DC2C36"/>
    <w:rsid w:val="00DC2D43"/>
    <w:rsid w:val="00DC33C9"/>
    <w:rsid w:val="00DC3669"/>
    <w:rsid w:val="00DC3AD1"/>
    <w:rsid w:val="00DC3BCE"/>
    <w:rsid w:val="00DC3E25"/>
    <w:rsid w:val="00DC3EBE"/>
    <w:rsid w:val="00DC418E"/>
    <w:rsid w:val="00DC4608"/>
    <w:rsid w:val="00DC46C6"/>
    <w:rsid w:val="00DC4A0B"/>
    <w:rsid w:val="00DC4D0D"/>
    <w:rsid w:val="00DC522B"/>
    <w:rsid w:val="00DC5590"/>
    <w:rsid w:val="00DC5C8D"/>
    <w:rsid w:val="00DC5EEF"/>
    <w:rsid w:val="00DC61CD"/>
    <w:rsid w:val="00DC63CE"/>
    <w:rsid w:val="00DC67FA"/>
    <w:rsid w:val="00DC6A15"/>
    <w:rsid w:val="00DC6B1B"/>
    <w:rsid w:val="00DC6F63"/>
    <w:rsid w:val="00DC6F7B"/>
    <w:rsid w:val="00DC7245"/>
    <w:rsid w:val="00DC74E1"/>
    <w:rsid w:val="00DC752B"/>
    <w:rsid w:val="00DC768C"/>
    <w:rsid w:val="00DC76D2"/>
    <w:rsid w:val="00DC7D4A"/>
    <w:rsid w:val="00DC7F4F"/>
    <w:rsid w:val="00DD0467"/>
    <w:rsid w:val="00DD06B3"/>
    <w:rsid w:val="00DD0A82"/>
    <w:rsid w:val="00DD0AF8"/>
    <w:rsid w:val="00DD0EC3"/>
    <w:rsid w:val="00DD11CF"/>
    <w:rsid w:val="00DD1450"/>
    <w:rsid w:val="00DD158F"/>
    <w:rsid w:val="00DD15A5"/>
    <w:rsid w:val="00DD167B"/>
    <w:rsid w:val="00DD16B8"/>
    <w:rsid w:val="00DD1D0F"/>
    <w:rsid w:val="00DD257D"/>
    <w:rsid w:val="00DD26C1"/>
    <w:rsid w:val="00DD2853"/>
    <w:rsid w:val="00DD2B12"/>
    <w:rsid w:val="00DD2B36"/>
    <w:rsid w:val="00DD3028"/>
    <w:rsid w:val="00DD3259"/>
    <w:rsid w:val="00DD33B9"/>
    <w:rsid w:val="00DD34CE"/>
    <w:rsid w:val="00DD35B4"/>
    <w:rsid w:val="00DD391A"/>
    <w:rsid w:val="00DD395B"/>
    <w:rsid w:val="00DD398C"/>
    <w:rsid w:val="00DD3A90"/>
    <w:rsid w:val="00DD3B32"/>
    <w:rsid w:val="00DD3EBB"/>
    <w:rsid w:val="00DD401D"/>
    <w:rsid w:val="00DD43AD"/>
    <w:rsid w:val="00DD47E9"/>
    <w:rsid w:val="00DD48B8"/>
    <w:rsid w:val="00DD49CF"/>
    <w:rsid w:val="00DD4AA4"/>
    <w:rsid w:val="00DD5276"/>
    <w:rsid w:val="00DD52CB"/>
    <w:rsid w:val="00DD5335"/>
    <w:rsid w:val="00DD548D"/>
    <w:rsid w:val="00DD59FB"/>
    <w:rsid w:val="00DD5F85"/>
    <w:rsid w:val="00DD624E"/>
    <w:rsid w:val="00DD6352"/>
    <w:rsid w:val="00DD6B69"/>
    <w:rsid w:val="00DD747F"/>
    <w:rsid w:val="00DD7D54"/>
    <w:rsid w:val="00DE0029"/>
    <w:rsid w:val="00DE019F"/>
    <w:rsid w:val="00DE0A71"/>
    <w:rsid w:val="00DE0B82"/>
    <w:rsid w:val="00DE0D7C"/>
    <w:rsid w:val="00DE0E7C"/>
    <w:rsid w:val="00DE0EC6"/>
    <w:rsid w:val="00DE114B"/>
    <w:rsid w:val="00DE1176"/>
    <w:rsid w:val="00DE129E"/>
    <w:rsid w:val="00DE134A"/>
    <w:rsid w:val="00DE1401"/>
    <w:rsid w:val="00DE1419"/>
    <w:rsid w:val="00DE1456"/>
    <w:rsid w:val="00DE1D48"/>
    <w:rsid w:val="00DE1DC0"/>
    <w:rsid w:val="00DE1DE8"/>
    <w:rsid w:val="00DE1F33"/>
    <w:rsid w:val="00DE205A"/>
    <w:rsid w:val="00DE220D"/>
    <w:rsid w:val="00DE245C"/>
    <w:rsid w:val="00DE25D1"/>
    <w:rsid w:val="00DE28B3"/>
    <w:rsid w:val="00DE2B3F"/>
    <w:rsid w:val="00DE2C87"/>
    <w:rsid w:val="00DE2D4B"/>
    <w:rsid w:val="00DE305C"/>
    <w:rsid w:val="00DE30A7"/>
    <w:rsid w:val="00DE3148"/>
    <w:rsid w:val="00DE3303"/>
    <w:rsid w:val="00DE392B"/>
    <w:rsid w:val="00DE41BC"/>
    <w:rsid w:val="00DE4763"/>
    <w:rsid w:val="00DE4867"/>
    <w:rsid w:val="00DE4A72"/>
    <w:rsid w:val="00DE4CC5"/>
    <w:rsid w:val="00DE4CCD"/>
    <w:rsid w:val="00DE4FE0"/>
    <w:rsid w:val="00DE5114"/>
    <w:rsid w:val="00DE5252"/>
    <w:rsid w:val="00DE595C"/>
    <w:rsid w:val="00DE5A91"/>
    <w:rsid w:val="00DE5B34"/>
    <w:rsid w:val="00DE6001"/>
    <w:rsid w:val="00DE6027"/>
    <w:rsid w:val="00DE6253"/>
    <w:rsid w:val="00DE643A"/>
    <w:rsid w:val="00DE64B2"/>
    <w:rsid w:val="00DE65D2"/>
    <w:rsid w:val="00DE6A6D"/>
    <w:rsid w:val="00DE6A94"/>
    <w:rsid w:val="00DE6B73"/>
    <w:rsid w:val="00DE6D8A"/>
    <w:rsid w:val="00DE6E37"/>
    <w:rsid w:val="00DE6F3E"/>
    <w:rsid w:val="00DE6FA9"/>
    <w:rsid w:val="00DE7218"/>
    <w:rsid w:val="00DE73F2"/>
    <w:rsid w:val="00DE7616"/>
    <w:rsid w:val="00DE78AE"/>
    <w:rsid w:val="00DE7EEA"/>
    <w:rsid w:val="00DE7F06"/>
    <w:rsid w:val="00DE7F24"/>
    <w:rsid w:val="00DF007B"/>
    <w:rsid w:val="00DF00D9"/>
    <w:rsid w:val="00DF0816"/>
    <w:rsid w:val="00DF0E41"/>
    <w:rsid w:val="00DF0F80"/>
    <w:rsid w:val="00DF107C"/>
    <w:rsid w:val="00DF11CC"/>
    <w:rsid w:val="00DF1221"/>
    <w:rsid w:val="00DF1254"/>
    <w:rsid w:val="00DF13BD"/>
    <w:rsid w:val="00DF13C6"/>
    <w:rsid w:val="00DF1492"/>
    <w:rsid w:val="00DF1AF6"/>
    <w:rsid w:val="00DF1CC5"/>
    <w:rsid w:val="00DF1DE1"/>
    <w:rsid w:val="00DF200A"/>
    <w:rsid w:val="00DF228A"/>
    <w:rsid w:val="00DF27C4"/>
    <w:rsid w:val="00DF2B3E"/>
    <w:rsid w:val="00DF2D79"/>
    <w:rsid w:val="00DF2D9C"/>
    <w:rsid w:val="00DF2E16"/>
    <w:rsid w:val="00DF2FE7"/>
    <w:rsid w:val="00DF3328"/>
    <w:rsid w:val="00DF3425"/>
    <w:rsid w:val="00DF3560"/>
    <w:rsid w:val="00DF36FC"/>
    <w:rsid w:val="00DF3A4D"/>
    <w:rsid w:val="00DF3D0D"/>
    <w:rsid w:val="00DF3E99"/>
    <w:rsid w:val="00DF4056"/>
    <w:rsid w:val="00DF418D"/>
    <w:rsid w:val="00DF41DE"/>
    <w:rsid w:val="00DF430C"/>
    <w:rsid w:val="00DF4597"/>
    <w:rsid w:val="00DF4624"/>
    <w:rsid w:val="00DF4669"/>
    <w:rsid w:val="00DF48C1"/>
    <w:rsid w:val="00DF4C75"/>
    <w:rsid w:val="00DF536F"/>
    <w:rsid w:val="00DF5401"/>
    <w:rsid w:val="00DF55EF"/>
    <w:rsid w:val="00DF59B0"/>
    <w:rsid w:val="00DF5A21"/>
    <w:rsid w:val="00DF5B7B"/>
    <w:rsid w:val="00DF5D6C"/>
    <w:rsid w:val="00DF5FEA"/>
    <w:rsid w:val="00DF613F"/>
    <w:rsid w:val="00DF614C"/>
    <w:rsid w:val="00DF6167"/>
    <w:rsid w:val="00DF633D"/>
    <w:rsid w:val="00DF6A50"/>
    <w:rsid w:val="00DF6D15"/>
    <w:rsid w:val="00DF70FA"/>
    <w:rsid w:val="00DF7677"/>
    <w:rsid w:val="00E00034"/>
    <w:rsid w:val="00E004E6"/>
    <w:rsid w:val="00E009ED"/>
    <w:rsid w:val="00E00E00"/>
    <w:rsid w:val="00E00F2A"/>
    <w:rsid w:val="00E00FA5"/>
    <w:rsid w:val="00E01005"/>
    <w:rsid w:val="00E0110B"/>
    <w:rsid w:val="00E015B7"/>
    <w:rsid w:val="00E01748"/>
    <w:rsid w:val="00E019A8"/>
    <w:rsid w:val="00E019EA"/>
    <w:rsid w:val="00E01A01"/>
    <w:rsid w:val="00E01E1B"/>
    <w:rsid w:val="00E02F93"/>
    <w:rsid w:val="00E0307E"/>
    <w:rsid w:val="00E0321C"/>
    <w:rsid w:val="00E03255"/>
    <w:rsid w:val="00E035EF"/>
    <w:rsid w:val="00E0397A"/>
    <w:rsid w:val="00E03A6F"/>
    <w:rsid w:val="00E03CBE"/>
    <w:rsid w:val="00E042EE"/>
    <w:rsid w:val="00E04423"/>
    <w:rsid w:val="00E044AE"/>
    <w:rsid w:val="00E0450D"/>
    <w:rsid w:val="00E0461D"/>
    <w:rsid w:val="00E049BB"/>
    <w:rsid w:val="00E04A12"/>
    <w:rsid w:val="00E04C4E"/>
    <w:rsid w:val="00E04E11"/>
    <w:rsid w:val="00E0555F"/>
    <w:rsid w:val="00E056A2"/>
    <w:rsid w:val="00E059E2"/>
    <w:rsid w:val="00E05F41"/>
    <w:rsid w:val="00E06105"/>
    <w:rsid w:val="00E063EF"/>
    <w:rsid w:val="00E065B3"/>
    <w:rsid w:val="00E06C17"/>
    <w:rsid w:val="00E06C61"/>
    <w:rsid w:val="00E0718C"/>
    <w:rsid w:val="00E07480"/>
    <w:rsid w:val="00E0754B"/>
    <w:rsid w:val="00E076F9"/>
    <w:rsid w:val="00E07C3A"/>
    <w:rsid w:val="00E07CD7"/>
    <w:rsid w:val="00E10183"/>
    <w:rsid w:val="00E10667"/>
    <w:rsid w:val="00E10CD5"/>
    <w:rsid w:val="00E10F32"/>
    <w:rsid w:val="00E10F35"/>
    <w:rsid w:val="00E1163F"/>
    <w:rsid w:val="00E11A28"/>
    <w:rsid w:val="00E11D0E"/>
    <w:rsid w:val="00E11E71"/>
    <w:rsid w:val="00E11F37"/>
    <w:rsid w:val="00E1212A"/>
    <w:rsid w:val="00E12449"/>
    <w:rsid w:val="00E12791"/>
    <w:rsid w:val="00E12B60"/>
    <w:rsid w:val="00E12C20"/>
    <w:rsid w:val="00E13102"/>
    <w:rsid w:val="00E13159"/>
    <w:rsid w:val="00E13224"/>
    <w:rsid w:val="00E1361A"/>
    <w:rsid w:val="00E13625"/>
    <w:rsid w:val="00E136E9"/>
    <w:rsid w:val="00E13740"/>
    <w:rsid w:val="00E14434"/>
    <w:rsid w:val="00E1480F"/>
    <w:rsid w:val="00E14C08"/>
    <w:rsid w:val="00E14C8C"/>
    <w:rsid w:val="00E14D10"/>
    <w:rsid w:val="00E14E4B"/>
    <w:rsid w:val="00E14F9C"/>
    <w:rsid w:val="00E151E6"/>
    <w:rsid w:val="00E15265"/>
    <w:rsid w:val="00E1548C"/>
    <w:rsid w:val="00E15700"/>
    <w:rsid w:val="00E15702"/>
    <w:rsid w:val="00E1598F"/>
    <w:rsid w:val="00E15E27"/>
    <w:rsid w:val="00E161E7"/>
    <w:rsid w:val="00E1637D"/>
    <w:rsid w:val="00E16414"/>
    <w:rsid w:val="00E16527"/>
    <w:rsid w:val="00E1667A"/>
    <w:rsid w:val="00E16EA0"/>
    <w:rsid w:val="00E17041"/>
    <w:rsid w:val="00E171D9"/>
    <w:rsid w:val="00E1725B"/>
    <w:rsid w:val="00E17269"/>
    <w:rsid w:val="00E172F9"/>
    <w:rsid w:val="00E1750B"/>
    <w:rsid w:val="00E176D8"/>
    <w:rsid w:val="00E177F5"/>
    <w:rsid w:val="00E17C5F"/>
    <w:rsid w:val="00E2012A"/>
    <w:rsid w:val="00E202B6"/>
    <w:rsid w:val="00E20AEA"/>
    <w:rsid w:val="00E20BD6"/>
    <w:rsid w:val="00E213D1"/>
    <w:rsid w:val="00E213E7"/>
    <w:rsid w:val="00E21E81"/>
    <w:rsid w:val="00E2201C"/>
    <w:rsid w:val="00E226FB"/>
    <w:rsid w:val="00E227F5"/>
    <w:rsid w:val="00E22DDE"/>
    <w:rsid w:val="00E22FBF"/>
    <w:rsid w:val="00E234E9"/>
    <w:rsid w:val="00E2424D"/>
    <w:rsid w:val="00E244D8"/>
    <w:rsid w:val="00E2469C"/>
    <w:rsid w:val="00E246B4"/>
    <w:rsid w:val="00E247B7"/>
    <w:rsid w:val="00E24842"/>
    <w:rsid w:val="00E24871"/>
    <w:rsid w:val="00E248E7"/>
    <w:rsid w:val="00E24A6C"/>
    <w:rsid w:val="00E24A74"/>
    <w:rsid w:val="00E24DF0"/>
    <w:rsid w:val="00E24E0B"/>
    <w:rsid w:val="00E24EDD"/>
    <w:rsid w:val="00E25115"/>
    <w:rsid w:val="00E2527F"/>
    <w:rsid w:val="00E25771"/>
    <w:rsid w:val="00E2589B"/>
    <w:rsid w:val="00E25A17"/>
    <w:rsid w:val="00E25CC6"/>
    <w:rsid w:val="00E25DA7"/>
    <w:rsid w:val="00E25FF2"/>
    <w:rsid w:val="00E26063"/>
    <w:rsid w:val="00E2615E"/>
    <w:rsid w:val="00E262DE"/>
    <w:rsid w:val="00E262FE"/>
    <w:rsid w:val="00E26321"/>
    <w:rsid w:val="00E26938"/>
    <w:rsid w:val="00E26977"/>
    <w:rsid w:val="00E27663"/>
    <w:rsid w:val="00E2779A"/>
    <w:rsid w:val="00E2779B"/>
    <w:rsid w:val="00E27846"/>
    <w:rsid w:val="00E301B7"/>
    <w:rsid w:val="00E301F5"/>
    <w:rsid w:val="00E30AF9"/>
    <w:rsid w:val="00E310C2"/>
    <w:rsid w:val="00E31310"/>
    <w:rsid w:val="00E31E6E"/>
    <w:rsid w:val="00E31F9E"/>
    <w:rsid w:val="00E320B7"/>
    <w:rsid w:val="00E32168"/>
    <w:rsid w:val="00E3217B"/>
    <w:rsid w:val="00E322CF"/>
    <w:rsid w:val="00E32717"/>
    <w:rsid w:val="00E32847"/>
    <w:rsid w:val="00E32B56"/>
    <w:rsid w:val="00E32E1B"/>
    <w:rsid w:val="00E33449"/>
    <w:rsid w:val="00E336D6"/>
    <w:rsid w:val="00E33789"/>
    <w:rsid w:val="00E33CFC"/>
    <w:rsid w:val="00E33D37"/>
    <w:rsid w:val="00E33EDC"/>
    <w:rsid w:val="00E33FCE"/>
    <w:rsid w:val="00E34051"/>
    <w:rsid w:val="00E340B2"/>
    <w:rsid w:val="00E345C7"/>
    <w:rsid w:val="00E345DA"/>
    <w:rsid w:val="00E3468E"/>
    <w:rsid w:val="00E350F4"/>
    <w:rsid w:val="00E35306"/>
    <w:rsid w:val="00E353AA"/>
    <w:rsid w:val="00E35635"/>
    <w:rsid w:val="00E3579E"/>
    <w:rsid w:val="00E35AB0"/>
    <w:rsid w:val="00E35EF4"/>
    <w:rsid w:val="00E362AB"/>
    <w:rsid w:val="00E365A8"/>
    <w:rsid w:val="00E3662B"/>
    <w:rsid w:val="00E36794"/>
    <w:rsid w:val="00E36AA5"/>
    <w:rsid w:val="00E36B16"/>
    <w:rsid w:val="00E37606"/>
    <w:rsid w:val="00E37A04"/>
    <w:rsid w:val="00E37B83"/>
    <w:rsid w:val="00E37FA4"/>
    <w:rsid w:val="00E4024D"/>
    <w:rsid w:val="00E40792"/>
    <w:rsid w:val="00E40D60"/>
    <w:rsid w:val="00E40EC7"/>
    <w:rsid w:val="00E40EDB"/>
    <w:rsid w:val="00E41101"/>
    <w:rsid w:val="00E411D1"/>
    <w:rsid w:val="00E41298"/>
    <w:rsid w:val="00E4209F"/>
    <w:rsid w:val="00E423CB"/>
    <w:rsid w:val="00E424D8"/>
    <w:rsid w:val="00E42545"/>
    <w:rsid w:val="00E42747"/>
    <w:rsid w:val="00E4279E"/>
    <w:rsid w:val="00E43D65"/>
    <w:rsid w:val="00E441BB"/>
    <w:rsid w:val="00E44239"/>
    <w:rsid w:val="00E44293"/>
    <w:rsid w:val="00E44430"/>
    <w:rsid w:val="00E449EC"/>
    <w:rsid w:val="00E44A9B"/>
    <w:rsid w:val="00E44AAF"/>
    <w:rsid w:val="00E44BC9"/>
    <w:rsid w:val="00E44C1D"/>
    <w:rsid w:val="00E450EF"/>
    <w:rsid w:val="00E45236"/>
    <w:rsid w:val="00E45281"/>
    <w:rsid w:val="00E45398"/>
    <w:rsid w:val="00E4584A"/>
    <w:rsid w:val="00E45BB6"/>
    <w:rsid w:val="00E45EFA"/>
    <w:rsid w:val="00E45FA3"/>
    <w:rsid w:val="00E462B1"/>
    <w:rsid w:val="00E4686C"/>
    <w:rsid w:val="00E46F21"/>
    <w:rsid w:val="00E475F5"/>
    <w:rsid w:val="00E47999"/>
    <w:rsid w:val="00E47EC6"/>
    <w:rsid w:val="00E5034D"/>
    <w:rsid w:val="00E504CA"/>
    <w:rsid w:val="00E5073C"/>
    <w:rsid w:val="00E509AF"/>
    <w:rsid w:val="00E50DFB"/>
    <w:rsid w:val="00E50FB4"/>
    <w:rsid w:val="00E511DC"/>
    <w:rsid w:val="00E515CF"/>
    <w:rsid w:val="00E516DB"/>
    <w:rsid w:val="00E51A03"/>
    <w:rsid w:val="00E51A34"/>
    <w:rsid w:val="00E51AA8"/>
    <w:rsid w:val="00E51FE4"/>
    <w:rsid w:val="00E52171"/>
    <w:rsid w:val="00E52758"/>
    <w:rsid w:val="00E52792"/>
    <w:rsid w:val="00E52958"/>
    <w:rsid w:val="00E52C71"/>
    <w:rsid w:val="00E52CB6"/>
    <w:rsid w:val="00E52DC9"/>
    <w:rsid w:val="00E52EF5"/>
    <w:rsid w:val="00E530CA"/>
    <w:rsid w:val="00E53259"/>
    <w:rsid w:val="00E53A69"/>
    <w:rsid w:val="00E53AC5"/>
    <w:rsid w:val="00E53B1C"/>
    <w:rsid w:val="00E53B21"/>
    <w:rsid w:val="00E53BFB"/>
    <w:rsid w:val="00E53C25"/>
    <w:rsid w:val="00E54775"/>
    <w:rsid w:val="00E54896"/>
    <w:rsid w:val="00E54B6E"/>
    <w:rsid w:val="00E54B9D"/>
    <w:rsid w:val="00E54E89"/>
    <w:rsid w:val="00E55374"/>
    <w:rsid w:val="00E5544F"/>
    <w:rsid w:val="00E555A2"/>
    <w:rsid w:val="00E555D9"/>
    <w:rsid w:val="00E55636"/>
    <w:rsid w:val="00E5581E"/>
    <w:rsid w:val="00E55867"/>
    <w:rsid w:val="00E55DDC"/>
    <w:rsid w:val="00E55EE8"/>
    <w:rsid w:val="00E55FEE"/>
    <w:rsid w:val="00E56156"/>
    <w:rsid w:val="00E5667C"/>
    <w:rsid w:val="00E5675C"/>
    <w:rsid w:val="00E56BEC"/>
    <w:rsid w:val="00E570EC"/>
    <w:rsid w:val="00E572C6"/>
    <w:rsid w:val="00E5754F"/>
    <w:rsid w:val="00E57601"/>
    <w:rsid w:val="00E579C1"/>
    <w:rsid w:val="00E57F8B"/>
    <w:rsid w:val="00E60984"/>
    <w:rsid w:val="00E61237"/>
    <w:rsid w:val="00E618AD"/>
    <w:rsid w:val="00E61D88"/>
    <w:rsid w:val="00E61E1D"/>
    <w:rsid w:val="00E61F57"/>
    <w:rsid w:val="00E625A9"/>
    <w:rsid w:val="00E625E2"/>
    <w:rsid w:val="00E62CC3"/>
    <w:rsid w:val="00E62CE5"/>
    <w:rsid w:val="00E62E3D"/>
    <w:rsid w:val="00E630A5"/>
    <w:rsid w:val="00E6311D"/>
    <w:rsid w:val="00E631AE"/>
    <w:rsid w:val="00E635E2"/>
    <w:rsid w:val="00E63CCF"/>
    <w:rsid w:val="00E63E44"/>
    <w:rsid w:val="00E64221"/>
    <w:rsid w:val="00E645F0"/>
    <w:rsid w:val="00E64A8F"/>
    <w:rsid w:val="00E64B74"/>
    <w:rsid w:val="00E64C46"/>
    <w:rsid w:val="00E64CEA"/>
    <w:rsid w:val="00E655C1"/>
    <w:rsid w:val="00E6566D"/>
    <w:rsid w:val="00E65972"/>
    <w:rsid w:val="00E65A64"/>
    <w:rsid w:val="00E65DD6"/>
    <w:rsid w:val="00E66009"/>
    <w:rsid w:val="00E6662D"/>
    <w:rsid w:val="00E669F1"/>
    <w:rsid w:val="00E66A6E"/>
    <w:rsid w:val="00E66D47"/>
    <w:rsid w:val="00E66E07"/>
    <w:rsid w:val="00E67819"/>
    <w:rsid w:val="00E678BA"/>
    <w:rsid w:val="00E67B49"/>
    <w:rsid w:val="00E67BCE"/>
    <w:rsid w:val="00E67C3E"/>
    <w:rsid w:val="00E67CB0"/>
    <w:rsid w:val="00E67DA6"/>
    <w:rsid w:val="00E70102"/>
    <w:rsid w:val="00E703F7"/>
    <w:rsid w:val="00E704AA"/>
    <w:rsid w:val="00E7089B"/>
    <w:rsid w:val="00E708F1"/>
    <w:rsid w:val="00E70A1A"/>
    <w:rsid w:val="00E70ACF"/>
    <w:rsid w:val="00E70FE6"/>
    <w:rsid w:val="00E711DE"/>
    <w:rsid w:val="00E71C8E"/>
    <w:rsid w:val="00E724BE"/>
    <w:rsid w:val="00E72580"/>
    <w:rsid w:val="00E7273C"/>
    <w:rsid w:val="00E72D06"/>
    <w:rsid w:val="00E730AB"/>
    <w:rsid w:val="00E730B3"/>
    <w:rsid w:val="00E7335D"/>
    <w:rsid w:val="00E73875"/>
    <w:rsid w:val="00E73DE3"/>
    <w:rsid w:val="00E73DFD"/>
    <w:rsid w:val="00E73F87"/>
    <w:rsid w:val="00E740A8"/>
    <w:rsid w:val="00E74189"/>
    <w:rsid w:val="00E7421E"/>
    <w:rsid w:val="00E7481F"/>
    <w:rsid w:val="00E74965"/>
    <w:rsid w:val="00E74CC9"/>
    <w:rsid w:val="00E74DD1"/>
    <w:rsid w:val="00E74F29"/>
    <w:rsid w:val="00E75AA6"/>
    <w:rsid w:val="00E75CFD"/>
    <w:rsid w:val="00E75E01"/>
    <w:rsid w:val="00E75F03"/>
    <w:rsid w:val="00E75FC7"/>
    <w:rsid w:val="00E76440"/>
    <w:rsid w:val="00E765FF"/>
    <w:rsid w:val="00E7694D"/>
    <w:rsid w:val="00E77238"/>
    <w:rsid w:val="00E77278"/>
    <w:rsid w:val="00E772E5"/>
    <w:rsid w:val="00E77B48"/>
    <w:rsid w:val="00E77CEA"/>
    <w:rsid w:val="00E800E4"/>
    <w:rsid w:val="00E80168"/>
    <w:rsid w:val="00E80183"/>
    <w:rsid w:val="00E801DF"/>
    <w:rsid w:val="00E80808"/>
    <w:rsid w:val="00E80B00"/>
    <w:rsid w:val="00E80CB3"/>
    <w:rsid w:val="00E80E45"/>
    <w:rsid w:val="00E810B7"/>
    <w:rsid w:val="00E810B8"/>
    <w:rsid w:val="00E81211"/>
    <w:rsid w:val="00E817E7"/>
    <w:rsid w:val="00E819B9"/>
    <w:rsid w:val="00E82073"/>
    <w:rsid w:val="00E822F8"/>
    <w:rsid w:val="00E82725"/>
    <w:rsid w:val="00E8274D"/>
    <w:rsid w:val="00E82767"/>
    <w:rsid w:val="00E827D8"/>
    <w:rsid w:val="00E8296A"/>
    <w:rsid w:val="00E82D44"/>
    <w:rsid w:val="00E830A3"/>
    <w:rsid w:val="00E83199"/>
    <w:rsid w:val="00E831A8"/>
    <w:rsid w:val="00E83A9A"/>
    <w:rsid w:val="00E83E64"/>
    <w:rsid w:val="00E8401C"/>
    <w:rsid w:val="00E84103"/>
    <w:rsid w:val="00E8418C"/>
    <w:rsid w:val="00E8440F"/>
    <w:rsid w:val="00E8457D"/>
    <w:rsid w:val="00E84803"/>
    <w:rsid w:val="00E84C81"/>
    <w:rsid w:val="00E84EC8"/>
    <w:rsid w:val="00E85285"/>
    <w:rsid w:val="00E85488"/>
    <w:rsid w:val="00E854A4"/>
    <w:rsid w:val="00E85579"/>
    <w:rsid w:val="00E85830"/>
    <w:rsid w:val="00E85887"/>
    <w:rsid w:val="00E859B2"/>
    <w:rsid w:val="00E85B19"/>
    <w:rsid w:val="00E8606C"/>
    <w:rsid w:val="00E867FA"/>
    <w:rsid w:val="00E86848"/>
    <w:rsid w:val="00E86987"/>
    <w:rsid w:val="00E869A1"/>
    <w:rsid w:val="00E872D3"/>
    <w:rsid w:val="00E878AE"/>
    <w:rsid w:val="00E901A2"/>
    <w:rsid w:val="00E90247"/>
    <w:rsid w:val="00E906AC"/>
    <w:rsid w:val="00E90873"/>
    <w:rsid w:val="00E90E25"/>
    <w:rsid w:val="00E90EE7"/>
    <w:rsid w:val="00E91029"/>
    <w:rsid w:val="00E91335"/>
    <w:rsid w:val="00E91F8C"/>
    <w:rsid w:val="00E92166"/>
    <w:rsid w:val="00E92428"/>
    <w:rsid w:val="00E92923"/>
    <w:rsid w:val="00E92936"/>
    <w:rsid w:val="00E92990"/>
    <w:rsid w:val="00E92E3D"/>
    <w:rsid w:val="00E9300F"/>
    <w:rsid w:val="00E93192"/>
    <w:rsid w:val="00E932BA"/>
    <w:rsid w:val="00E9359F"/>
    <w:rsid w:val="00E93833"/>
    <w:rsid w:val="00E93987"/>
    <w:rsid w:val="00E93A12"/>
    <w:rsid w:val="00E9454C"/>
    <w:rsid w:val="00E94DCA"/>
    <w:rsid w:val="00E94FEC"/>
    <w:rsid w:val="00E95230"/>
    <w:rsid w:val="00E95858"/>
    <w:rsid w:val="00E96089"/>
    <w:rsid w:val="00E96348"/>
    <w:rsid w:val="00E96D7F"/>
    <w:rsid w:val="00E972BE"/>
    <w:rsid w:val="00E975AD"/>
    <w:rsid w:val="00E9763E"/>
    <w:rsid w:val="00E97918"/>
    <w:rsid w:val="00E97AE2"/>
    <w:rsid w:val="00E97B42"/>
    <w:rsid w:val="00E97C5C"/>
    <w:rsid w:val="00E97E69"/>
    <w:rsid w:val="00E97E76"/>
    <w:rsid w:val="00E97EEA"/>
    <w:rsid w:val="00E97F33"/>
    <w:rsid w:val="00EA01FF"/>
    <w:rsid w:val="00EA03D9"/>
    <w:rsid w:val="00EA0423"/>
    <w:rsid w:val="00EA07B8"/>
    <w:rsid w:val="00EA0854"/>
    <w:rsid w:val="00EA0AF6"/>
    <w:rsid w:val="00EA0BCE"/>
    <w:rsid w:val="00EA0C96"/>
    <w:rsid w:val="00EA0E53"/>
    <w:rsid w:val="00EA115B"/>
    <w:rsid w:val="00EA1966"/>
    <w:rsid w:val="00EA1A0E"/>
    <w:rsid w:val="00EA1E37"/>
    <w:rsid w:val="00EA1F7D"/>
    <w:rsid w:val="00EA22F4"/>
    <w:rsid w:val="00EA245D"/>
    <w:rsid w:val="00EA24F3"/>
    <w:rsid w:val="00EA2628"/>
    <w:rsid w:val="00EA27BB"/>
    <w:rsid w:val="00EA2ABA"/>
    <w:rsid w:val="00EA345A"/>
    <w:rsid w:val="00EA34DF"/>
    <w:rsid w:val="00EA3969"/>
    <w:rsid w:val="00EA3D93"/>
    <w:rsid w:val="00EA3E85"/>
    <w:rsid w:val="00EA3FD2"/>
    <w:rsid w:val="00EA4258"/>
    <w:rsid w:val="00EA42A0"/>
    <w:rsid w:val="00EA42D3"/>
    <w:rsid w:val="00EA492C"/>
    <w:rsid w:val="00EA5129"/>
    <w:rsid w:val="00EA56B2"/>
    <w:rsid w:val="00EA5B3D"/>
    <w:rsid w:val="00EA5D4B"/>
    <w:rsid w:val="00EA61ED"/>
    <w:rsid w:val="00EA66AF"/>
    <w:rsid w:val="00EA69C0"/>
    <w:rsid w:val="00EA6E52"/>
    <w:rsid w:val="00EA720A"/>
    <w:rsid w:val="00EA727B"/>
    <w:rsid w:val="00EA73F0"/>
    <w:rsid w:val="00EA74B7"/>
    <w:rsid w:val="00EA74FD"/>
    <w:rsid w:val="00EA76D8"/>
    <w:rsid w:val="00EA7971"/>
    <w:rsid w:val="00EA7A10"/>
    <w:rsid w:val="00EA7C80"/>
    <w:rsid w:val="00EA7FE1"/>
    <w:rsid w:val="00EB0010"/>
    <w:rsid w:val="00EB02C3"/>
    <w:rsid w:val="00EB070C"/>
    <w:rsid w:val="00EB0754"/>
    <w:rsid w:val="00EB0807"/>
    <w:rsid w:val="00EB0D7F"/>
    <w:rsid w:val="00EB11B0"/>
    <w:rsid w:val="00EB1349"/>
    <w:rsid w:val="00EB171B"/>
    <w:rsid w:val="00EB1972"/>
    <w:rsid w:val="00EB1A07"/>
    <w:rsid w:val="00EB3186"/>
    <w:rsid w:val="00EB3349"/>
    <w:rsid w:val="00EB3C03"/>
    <w:rsid w:val="00EB4591"/>
    <w:rsid w:val="00EB4ABC"/>
    <w:rsid w:val="00EB4D20"/>
    <w:rsid w:val="00EB51DF"/>
    <w:rsid w:val="00EB5364"/>
    <w:rsid w:val="00EB57B8"/>
    <w:rsid w:val="00EB58C0"/>
    <w:rsid w:val="00EB5A34"/>
    <w:rsid w:val="00EB5B35"/>
    <w:rsid w:val="00EB5C62"/>
    <w:rsid w:val="00EB5C77"/>
    <w:rsid w:val="00EB5DBC"/>
    <w:rsid w:val="00EB6589"/>
    <w:rsid w:val="00EB6885"/>
    <w:rsid w:val="00EB6BE7"/>
    <w:rsid w:val="00EB6D63"/>
    <w:rsid w:val="00EB712B"/>
    <w:rsid w:val="00EB7297"/>
    <w:rsid w:val="00EB7904"/>
    <w:rsid w:val="00EB7AD7"/>
    <w:rsid w:val="00EB7F71"/>
    <w:rsid w:val="00EC0794"/>
    <w:rsid w:val="00EC0A01"/>
    <w:rsid w:val="00EC0F4B"/>
    <w:rsid w:val="00EC0F5F"/>
    <w:rsid w:val="00EC107C"/>
    <w:rsid w:val="00EC16BE"/>
    <w:rsid w:val="00EC1897"/>
    <w:rsid w:val="00EC19C3"/>
    <w:rsid w:val="00EC1A05"/>
    <w:rsid w:val="00EC21E3"/>
    <w:rsid w:val="00EC24A6"/>
    <w:rsid w:val="00EC25C1"/>
    <w:rsid w:val="00EC25DC"/>
    <w:rsid w:val="00EC28CF"/>
    <w:rsid w:val="00EC2B49"/>
    <w:rsid w:val="00EC2D9B"/>
    <w:rsid w:val="00EC2E20"/>
    <w:rsid w:val="00EC2ECE"/>
    <w:rsid w:val="00EC31A3"/>
    <w:rsid w:val="00EC348F"/>
    <w:rsid w:val="00EC3A35"/>
    <w:rsid w:val="00EC3AA8"/>
    <w:rsid w:val="00EC41D3"/>
    <w:rsid w:val="00EC43D7"/>
    <w:rsid w:val="00EC46BF"/>
    <w:rsid w:val="00EC4A77"/>
    <w:rsid w:val="00EC5719"/>
    <w:rsid w:val="00EC5759"/>
    <w:rsid w:val="00EC5C26"/>
    <w:rsid w:val="00EC5F85"/>
    <w:rsid w:val="00EC66C3"/>
    <w:rsid w:val="00EC6A30"/>
    <w:rsid w:val="00EC6C32"/>
    <w:rsid w:val="00EC6D31"/>
    <w:rsid w:val="00ED01CC"/>
    <w:rsid w:val="00ED03C8"/>
    <w:rsid w:val="00ED0423"/>
    <w:rsid w:val="00ED0480"/>
    <w:rsid w:val="00ED0501"/>
    <w:rsid w:val="00ED0664"/>
    <w:rsid w:val="00ED08BF"/>
    <w:rsid w:val="00ED09D1"/>
    <w:rsid w:val="00ED0A9C"/>
    <w:rsid w:val="00ED0B81"/>
    <w:rsid w:val="00ED0FE7"/>
    <w:rsid w:val="00ED127C"/>
    <w:rsid w:val="00ED1755"/>
    <w:rsid w:val="00ED1A14"/>
    <w:rsid w:val="00ED1B07"/>
    <w:rsid w:val="00ED2396"/>
    <w:rsid w:val="00ED2482"/>
    <w:rsid w:val="00ED27F5"/>
    <w:rsid w:val="00ED290E"/>
    <w:rsid w:val="00ED2A41"/>
    <w:rsid w:val="00ED2B47"/>
    <w:rsid w:val="00ED2B7E"/>
    <w:rsid w:val="00ED337A"/>
    <w:rsid w:val="00ED3572"/>
    <w:rsid w:val="00ED35D7"/>
    <w:rsid w:val="00ED3A83"/>
    <w:rsid w:val="00ED3A91"/>
    <w:rsid w:val="00ED3C64"/>
    <w:rsid w:val="00ED4164"/>
    <w:rsid w:val="00ED425E"/>
    <w:rsid w:val="00ED45C1"/>
    <w:rsid w:val="00ED4744"/>
    <w:rsid w:val="00ED47DC"/>
    <w:rsid w:val="00ED4C8E"/>
    <w:rsid w:val="00ED4F34"/>
    <w:rsid w:val="00ED5131"/>
    <w:rsid w:val="00ED52EC"/>
    <w:rsid w:val="00ED54A7"/>
    <w:rsid w:val="00ED5626"/>
    <w:rsid w:val="00ED5704"/>
    <w:rsid w:val="00ED5874"/>
    <w:rsid w:val="00ED5F76"/>
    <w:rsid w:val="00ED60B0"/>
    <w:rsid w:val="00ED61AC"/>
    <w:rsid w:val="00ED61DD"/>
    <w:rsid w:val="00ED627D"/>
    <w:rsid w:val="00ED63ED"/>
    <w:rsid w:val="00ED6588"/>
    <w:rsid w:val="00ED6736"/>
    <w:rsid w:val="00ED71FC"/>
    <w:rsid w:val="00ED7663"/>
    <w:rsid w:val="00ED77BD"/>
    <w:rsid w:val="00ED7840"/>
    <w:rsid w:val="00ED7A71"/>
    <w:rsid w:val="00EE0609"/>
    <w:rsid w:val="00EE07F4"/>
    <w:rsid w:val="00EE090F"/>
    <w:rsid w:val="00EE0B5C"/>
    <w:rsid w:val="00EE0F39"/>
    <w:rsid w:val="00EE113E"/>
    <w:rsid w:val="00EE1503"/>
    <w:rsid w:val="00EE155E"/>
    <w:rsid w:val="00EE1C8A"/>
    <w:rsid w:val="00EE1F6A"/>
    <w:rsid w:val="00EE1FB2"/>
    <w:rsid w:val="00EE2545"/>
    <w:rsid w:val="00EE2726"/>
    <w:rsid w:val="00EE2786"/>
    <w:rsid w:val="00EE2AC0"/>
    <w:rsid w:val="00EE2BB3"/>
    <w:rsid w:val="00EE3245"/>
    <w:rsid w:val="00EE328C"/>
    <w:rsid w:val="00EE3DC2"/>
    <w:rsid w:val="00EE4106"/>
    <w:rsid w:val="00EE4232"/>
    <w:rsid w:val="00EE4494"/>
    <w:rsid w:val="00EE4525"/>
    <w:rsid w:val="00EE4DC1"/>
    <w:rsid w:val="00EE5331"/>
    <w:rsid w:val="00EE53E5"/>
    <w:rsid w:val="00EE5429"/>
    <w:rsid w:val="00EE5643"/>
    <w:rsid w:val="00EE56B0"/>
    <w:rsid w:val="00EE58BE"/>
    <w:rsid w:val="00EE5EDF"/>
    <w:rsid w:val="00EE6267"/>
    <w:rsid w:val="00EE6408"/>
    <w:rsid w:val="00EE64FD"/>
    <w:rsid w:val="00EE656B"/>
    <w:rsid w:val="00EE66C3"/>
    <w:rsid w:val="00EE6C7C"/>
    <w:rsid w:val="00EE7051"/>
    <w:rsid w:val="00EE7116"/>
    <w:rsid w:val="00EE72AB"/>
    <w:rsid w:val="00EE7416"/>
    <w:rsid w:val="00EE75B7"/>
    <w:rsid w:val="00EE7E37"/>
    <w:rsid w:val="00EE7EB4"/>
    <w:rsid w:val="00EF0252"/>
    <w:rsid w:val="00EF08BB"/>
    <w:rsid w:val="00EF0959"/>
    <w:rsid w:val="00EF098A"/>
    <w:rsid w:val="00EF09AF"/>
    <w:rsid w:val="00EF0D1E"/>
    <w:rsid w:val="00EF0DCF"/>
    <w:rsid w:val="00EF100F"/>
    <w:rsid w:val="00EF15E4"/>
    <w:rsid w:val="00EF1602"/>
    <w:rsid w:val="00EF162A"/>
    <w:rsid w:val="00EF18E9"/>
    <w:rsid w:val="00EF18EA"/>
    <w:rsid w:val="00EF1A3B"/>
    <w:rsid w:val="00EF1BA6"/>
    <w:rsid w:val="00EF1DB8"/>
    <w:rsid w:val="00EF1E46"/>
    <w:rsid w:val="00EF217E"/>
    <w:rsid w:val="00EF247A"/>
    <w:rsid w:val="00EF2523"/>
    <w:rsid w:val="00EF27C7"/>
    <w:rsid w:val="00EF2D1D"/>
    <w:rsid w:val="00EF32C7"/>
    <w:rsid w:val="00EF3562"/>
    <w:rsid w:val="00EF35A9"/>
    <w:rsid w:val="00EF395B"/>
    <w:rsid w:val="00EF3A52"/>
    <w:rsid w:val="00EF3E8A"/>
    <w:rsid w:val="00EF4609"/>
    <w:rsid w:val="00EF48F9"/>
    <w:rsid w:val="00EF49CC"/>
    <w:rsid w:val="00EF4AC8"/>
    <w:rsid w:val="00EF4C80"/>
    <w:rsid w:val="00EF4DA8"/>
    <w:rsid w:val="00EF4E35"/>
    <w:rsid w:val="00EF4E78"/>
    <w:rsid w:val="00EF507C"/>
    <w:rsid w:val="00EF54AF"/>
    <w:rsid w:val="00EF5863"/>
    <w:rsid w:val="00EF591F"/>
    <w:rsid w:val="00EF5E10"/>
    <w:rsid w:val="00EF5EB8"/>
    <w:rsid w:val="00EF5F2A"/>
    <w:rsid w:val="00EF5F2F"/>
    <w:rsid w:val="00EF6191"/>
    <w:rsid w:val="00EF680B"/>
    <w:rsid w:val="00EF6AEE"/>
    <w:rsid w:val="00EF6FA2"/>
    <w:rsid w:val="00EF7025"/>
    <w:rsid w:val="00EF7103"/>
    <w:rsid w:val="00EF7411"/>
    <w:rsid w:val="00EF75F9"/>
    <w:rsid w:val="00EF7C4A"/>
    <w:rsid w:val="00EF7E58"/>
    <w:rsid w:val="00F003E2"/>
    <w:rsid w:val="00F0088F"/>
    <w:rsid w:val="00F00B86"/>
    <w:rsid w:val="00F00D89"/>
    <w:rsid w:val="00F01080"/>
    <w:rsid w:val="00F0154E"/>
    <w:rsid w:val="00F01D7D"/>
    <w:rsid w:val="00F01F93"/>
    <w:rsid w:val="00F024A7"/>
    <w:rsid w:val="00F02980"/>
    <w:rsid w:val="00F02BED"/>
    <w:rsid w:val="00F02D4E"/>
    <w:rsid w:val="00F03356"/>
    <w:rsid w:val="00F03E92"/>
    <w:rsid w:val="00F04383"/>
    <w:rsid w:val="00F04592"/>
    <w:rsid w:val="00F045CF"/>
    <w:rsid w:val="00F046F1"/>
    <w:rsid w:val="00F04A95"/>
    <w:rsid w:val="00F04C68"/>
    <w:rsid w:val="00F04EC8"/>
    <w:rsid w:val="00F04F82"/>
    <w:rsid w:val="00F052B7"/>
    <w:rsid w:val="00F05527"/>
    <w:rsid w:val="00F075BB"/>
    <w:rsid w:val="00F078B1"/>
    <w:rsid w:val="00F078C9"/>
    <w:rsid w:val="00F07CAF"/>
    <w:rsid w:val="00F105B6"/>
    <w:rsid w:val="00F10752"/>
    <w:rsid w:val="00F10D5E"/>
    <w:rsid w:val="00F1124A"/>
    <w:rsid w:val="00F11474"/>
    <w:rsid w:val="00F11486"/>
    <w:rsid w:val="00F114CB"/>
    <w:rsid w:val="00F1167A"/>
    <w:rsid w:val="00F116F5"/>
    <w:rsid w:val="00F11A17"/>
    <w:rsid w:val="00F11A33"/>
    <w:rsid w:val="00F11C33"/>
    <w:rsid w:val="00F11E00"/>
    <w:rsid w:val="00F124AD"/>
    <w:rsid w:val="00F124B5"/>
    <w:rsid w:val="00F12561"/>
    <w:rsid w:val="00F12802"/>
    <w:rsid w:val="00F13020"/>
    <w:rsid w:val="00F1312D"/>
    <w:rsid w:val="00F132E2"/>
    <w:rsid w:val="00F1356D"/>
    <w:rsid w:val="00F13575"/>
    <w:rsid w:val="00F13644"/>
    <w:rsid w:val="00F14299"/>
    <w:rsid w:val="00F142E4"/>
    <w:rsid w:val="00F14741"/>
    <w:rsid w:val="00F14901"/>
    <w:rsid w:val="00F14958"/>
    <w:rsid w:val="00F14BBB"/>
    <w:rsid w:val="00F14CE1"/>
    <w:rsid w:val="00F14DEC"/>
    <w:rsid w:val="00F14E7A"/>
    <w:rsid w:val="00F1569C"/>
    <w:rsid w:val="00F15A6B"/>
    <w:rsid w:val="00F15A98"/>
    <w:rsid w:val="00F15ACA"/>
    <w:rsid w:val="00F1617F"/>
    <w:rsid w:val="00F162DA"/>
    <w:rsid w:val="00F166C3"/>
    <w:rsid w:val="00F168F5"/>
    <w:rsid w:val="00F16CDD"/>
    <w:rsid w:val="00F17A9B"/>
    <w:rsid w:val="00F17F54"/>
    <w:rsid w:val="00F17FBF"/>
    <w:rsid w:val="00F20429"/>
    <w:rsid w:val="00F20CD4"/>
    <w:rsid w:val="00F20F33"/>
    <w:rsid w:val="00F20FB4"/>
    <w:rsid w:val="00F215AB"/>
    <w:rsid w:val="00F21636"/>
    <w:rsid w:val="00F21E66"/>
    <w:rsid w:val="00F21EB4"/>
    <w:rsid w:val="00F22432"/>
    <w:rsid w:val="00F22C48"/>
    <w:rsid w:val="00F234C6"/>
    <w:rsid w:val="00F23501"/>
    <w:rsid w:val="00F23590"/>
    <w:rsid w:val="00F23D6F"/>
    <w:rsid w:val="00F2406C"/>
    <w:rsid w:val="00F241A7"/>
    <w:rsid w:val="00F2424C"/>
    <w:rsid w:val="00F242D1"/>
    <w:rsid w:val="00F249AF"/>
    <w:rsid w:val="00F24CA0"/>
    <w:rsid w:val="00F25289"/>
    <w:rsid w:val="00F25B2B"/>
    <w:rsid w:val="00F2605C"/>
    <w:rsid w:val="00F261B3"/>
    <w:rsid w:val="00F2694B"/>
    <w:rsid w:val="00F26B67"/>
    <w:rsid w:val="00F26D7A"/>
    <w:rsid w:val="00F26E47"/>
    <w:rsid w:val="00F270A1"/>
    <w:rsid w:val="00F27145"/>
    <w:rsid w:val="00F273EC"/>
    <w:rsid w:val="00F27933"/>
    <w:rsid w:val="00F27985"/>
    <w:rsid w:val="00F27FA2"/>
    <w:rsid w:val="00F3011C"/>
    <w:rsid w:val="00F306D2"/>
    <w:rsid w:val="00F30A41"/>
    <w:rsid w:val="00F30AFE"/>
    <w:rsid w:val="00F30E5A"/>
    <w:rsid w:val="00F30ECA"/>
    <w:rsid w:val="00F30FE3"/>
    <w:rsid w:val="00F31236"/>
    <w:rsid w:val="00F31590"/>
    <w:rsid w:val="00F31630"/>
    <w:rsid w:val="00F318DA"/>
    <w:rsid w:val="00F31B20"/>
    <w:rsid w:val="00F31F6C"/>
    <w:rsid w:val="00F32795"/>
    <w:rsid w:val="00F32AF5"/>
    <w:rsid w:val="00F32BF0"/>
    <w:rsid w:val="00F32CBB"/>
    <w:rsid w:val="00F32E38"/>
    <w:rsid w:val="00F33284"/>
    <w:rsid w:val="00F33295"/>
    <w:rsid w:val="00F333E2"/>
    <w:rsid w:val="00F33740"/>
    <w:rsid w:val="00F339AD"/>
    <w:rsid w:val="00F33B7E"/>
    <w:rsid w:val="00F33BF4"/>
    <w:rsid w:val="00F33F3B"/>
    <w:rsid w:val="00F343B3"/>
    <w:rsid w:val="00F34736"/>
    <w:rsid w:val="00F3482D"/>
    <w:rsid w:val="00F3496E"/>
    <w:rsid w:val="00F34990"/>
    <w:rsid w:val="00F34AA7"/>
    <w:rsid w:val="00F35080"/>
    <w:rsid w:val="00F354F0"/>
    <w:rsid w:val="00F35503"/>
    <w:rsid w:val="00F357AC"/>
    <w:rsid w:val="00F357F1"/>
    <w:rsid w:val="00F35AD8"/>
    <w:rsid w:val="00F35BE8"/>
    <w:rsid w:val="00F35E03"/>
    <w:rsid w:val="00F35EBE"/>
    <w:rsid w:val="00F35F72"/>
    <w:rsid w:val="00F35F7C"/>
    <w:rsid w:val="00F369ED"/>
    <w:rsid w:val="00F36EAA"/>
    <w:rsid w:val="00F37A8B"/>
    <w:rsid w:val="00F404C3"/>
    <w:rsid w:val="00F405F2"/>
    <w:rsid w:val="00F40B88"/>
    <w:rsid w:val="00F40E61"/>
    <w:rsid w:val="00F40EFD"/>
    <w:rsid w:val="00F40F5E"/>
    <w:rsid w:val="00F414A7"/>
    <w:rsid w:val="00F414D7"/>
    <w:rsid w:val="00F41500"/>
    <w:rsid w:val="00F41A0E"/>
    <w:rsid w:val="00F41BF9"/>
    <w:rsid w:val="00F41FC2"/>
    <w:rsid w:val="00F4212E"/>
    <w:rsid w:val="00F4229C"/>
    <w:rsid w:val="00F42452"/>
    <w:rsid w:val="00F42472"/>
    <w:rsid w:val="00F42594"/>
    <w:rsid w:val="00F427B6"/>
    <w:rsid w:val="00F42A28"/>
    <w:rsid w:val="00F42B06"/>
    <w:rsid w:val="00F42B5F"/>
    <w:rsid w:val="00F4321C"/>
    <w:rsid w:val="00F4359D"/>
    <w:rsid w:val="00F435A6"/>
    <w:rsid w:val="00F43D26"/>
    <w:rsid w:val="00F43D2A"/>
    <w:rsid w:val="00F43E44"/>
    <w:rsid w:val="00F441EC"/>
    <w:rsid w:val="00F44249"/>
    <w:rsid w:val="00F44303"/>
    <w:rsid w:val="00F443F0"/>
    <w:rsid w:val="00F445AB"/>
    <w:rsid w:val="00F44ACC"/>
    <w:rsid w:val="00F44C5B"/>
    <w:rsid w:val="00F44CF3"/>
    <w:rsid w:val="00F44E5F"/>
    <w:rsid w:val="00F4570F"/>
    <w:rsid w:val="00F4583F"/>
    <w:rsid w:val="00F459A2"/>
    <w:rsid w:val="00F45DBC"/>
    <w:rsid w:val="00F45F39"/>
    <w:rsid w:val="00F4600F"/>
    <w:rsid w:val="00F46167"/>
    <w:rsid w:val="00F4624E"/>
    <w:rsid w:val="00F46302"/>
    <w:rsid w:val="00F46400"/>
    <w:rsid w:val="00F46822"/>
    <w:rsid w:val="00F47174"/>
    <w:rsid w:val="00F47636"/>
    <w:rsid w:val="00F47681"/>
    <w:rsid w:val="00F47B5E"/>
    <w:rsid w:val="00F47BC2"/>
    <w:rsid w:val="00F50046"/>
    <w:rsid w:val="00F50E68"/>
    <w:rsid w:val="00F51091"/>
    <w:rsid w:val="00F512E6"/>
    <w:rsid w:val="00F51510"/>
    <w:rsid w:val="00F515EA"/>
    <w:rsid w:val="00F516D3"/>
    <w:rsid w:val="00F517D0"/>
    <w:rsid w:val="00F518B7"/>
    <w:rsid w:val="00F51D26"/>
    <w:rsid w:val="00F51D3A"/>
    <w:rsid w:val="00F51E86"/>
    <w:rsid w:val="00F520C5"/>
    <w:rsid w:val="00F52167"/>
    <w:rsid w:val="00F529FA"/>
    <w:rsid w:val="00F52E60"/>
    <w:rsid w:val="00F52EF6"/>
    <w:rsid w:val="00F53001"/>
    <w:rsid w:val="00F5300D"/>
    <w:rsid w:val="00F5312D"/>
    <w:rsid w:val="00F53141"/>
    <w:rsid w:val="00F5340C"/>
    <w:rsid w:val="00F53AB1"/>
    <w:rsid w:val="00F53D3D"/>
    <w:rsid w:val="00F5404B"/>
    <w:rsid w:val="00F5440D"/>
    <w:rsid w:val="00F54ADD"/>
    <w:rsid w:val="00F54B43"/>
    <w:rsid w:val="00F54FD9"/>
    <w:rsid w:val="00F55154"/>
    <w:rsid w:val="00F5673C"/>
    <w:rsid w:val="00F56763"/>
    <w:rsid w:val="00F56AD6"/>
    <w:rsid w:val="00F56ED1"/>
    <w:rsid w:val="00F56F0F"/>
    <w:rsid w:val="00F57B3A"/>
    <w:rsid w:val="00F57F1F"/>
    <w:rsid w:val="00F6045A"/>
    <w:rsid w:val="00F60DC4"/>
    <w:rsid w:val="00F612D0"/>
    <w:rsid w:val="00F61AA2"/>
    <w:rsid w:val="00F61C20"/>
    <w:rsid w:val="00F61FBF"/>
    <w:rsid w:val="00F6235C"/>
    <w:rsid w:val="00F62432"/>
    <w:rsid w:val="00F6288D"/>
    <w:rsid w:val="00F62A52"/>
    <w:rsid w:val="00F62BF9"/>
    <w:rsid w:val="00F62EEE"/>
    <w:rsid w:val="00F630B9"/>
    <w:rsid w:val="00F639DB"/>
    <w:rsid w:val="00F63B93"/>
    <w:rsid w:val="00F63DB1"/>
    <w:rsid w:val="00F63E19"/>
    <w:rsid w:val="00F64441"/>
    <w:rsid w:val="00F64703"/>
    <w:rsid w:val="00F649FE"/>
    <w:rsid w:val="00F64D09"/>
    <w:rsid w:val="00F64EAD"/>
    <w:rsid w:val="00F65020"/>
    <w:rsid w:val="00F6503D"/>
    <w:rsid w:val="00F650D1"/>
    <w:rsid w:val="00F6514E"/>
    <w:rsid w:val="00F65327"/>
    <w:rsid w:val="00F65BFA"/>
    <w:rsid w:val="00F65C1C"/>
    <w:rsid w:val="00F66094"/>
    <w:rsid w:val="00F663B7"/>
    <w:rsid w:val="00F66571"/>
    <w:rsid w:val="00F667C7"/>
    <w:rsid w:val="00F66A9D"/>
    <w:rsid w:val="00F66E7D"/>
    <w:rsid w:val="00F6711C"/>
    <w:rsid w:val="00F6715E"/>
    <w:rsid w:val="00F6798E"/>
    <w:rsid w:val="00F67998"/>
    <w:rsid w:val="00F67E94"/>
    <w:rsid w:val="00F7014D"/>
    <w:rsid w:val="00F70241"/>
    <w:rsid w:val="00F70274"/>
    <w:rsid w:val="00F706FF"/>
    <w:rsid w:val="00F70774"/>
    <w:rsid w:val="00F707AA"/>
    <w:rsid w:val="00F70B65"/>
    <w:rsid w:val="00F70BA0"/>
    <w:rsid w:val="00F71098"/>
    <w:rsid w:val="00F71B3A"/>
    <w:rsid w:val="00F71CC7"/>
    <w:rsid w:val="00F71D78"/>
    <w:rsid w:val="00F7211E"/>
    <w:rsid w:val="00F723EE"/>
    <w:rsid w:val="00F725CC"/>
    <w:rsid w:val="00F727C9"/>
    <w:rsid w:val="00F729A3"/>
    <w:rsid w:val="00F72A1E"/>
    <w:rsid w:val="00F72C15"/>
    <w:rsid w:val="00F72D9E"/>
    <w:rsid w:val="00F72DB0"/>
    <w:rsid w:val="00F72FF9"/>
    <w:rsid w:val="00F73B39"/>
    <w:rsid w:val="00F73BC7"/>
    <w:rsid w:val="00F74360"/>
    <w:rsid w:val="00F7437C"/>
    <w:rsid w:val="00F743D5"/>
    <w:rsid w:val="00F746C2"/>
    <w:rsid w:val="00F74995"/>
    <w:rsid w:val="00F749EC"/>
    <w:rsid w:val="00F74A44"/>
    <w:rsid w:val="00F74B01"/>
    <w:rsid w:val="00F74EA1"/>
    <w:rsid w:val="00F75085"/>
    <w:rsid w:val="00F7533C"/>
    <w:rsid w:val="00F755B8"/>
    <w:rsid w:val="00F75696"/>
    <w:rsid w:val="00F75D9A"/>
    <w:rsid w:val="00F75ECF"/>
    <w:rsid w:val="00F7608B"/>
    <w:rsid w:val="00F761D9"/>
    <w:rsid w:val="00F762D0"/>
    <w:rsid w:val="00F76386"/>
    <w:rsid w:val="00F763D8"/>
    <w:rsid w:val="00F76762"/>
    <w:rsid w:val="00F76C08"/>
    <w:rsid w:val="00F76C72"/>
    <w:rsid w:val="00F76CCE"/>
    <w:rsid w:val="00F77678"/>
    <w:rsid w:val="00F77D3A"/>
    <w:rsid w:val="00F80019"/>
    <w:rsid w:val="00F80049"/>
    <w:rsid w:val="00F800FE"/>
    <w:rsid w:val="00F80377"/>
    <w:rsid w:val="00F80AAC"/>
    <w:rsid w:val="00F80ABC"/>
    <w:rsid w:val="00F810E8"/>
    <w:rsid w:val="00F81345"/>
    <w:rsid w:val="00F81428"/>
    <w:rsid w:val="00F81685"/>
    <w:rsid w:val="00F81990"/>
    <w:rsid w:val="00F81A58"/>
    <w:rsid w:val="00F81C16"/>
    <w:rsid w:val="00F824BC"/>
    <w:rsid w:val="00F82706"/>
    <w:rsid w:val="00F8299A"/>
    <w:rsid w:val="00F82C36"/>
    <w:rsid w:val="00F830B2"/>
    <w:rsid w:val="00F83372"/>
    <w:rsid w:val="00F835FA"/>
    <w:rsid w:val="00F83719"/>
    <w:rsid w:val="00F839E8"/>
    <w:rsid w:val="00F83FED"/>
    <w:rsid w:val="00F845D5"/>
    <w:rsid w:val="00F84685"/>
    <w:rsid w:val="00F85409"/>
    <w:rsid w:val="00F85530"/>
    <w:rsid w:val="00F85727"/>
    <w:rsid w:val="00F857AD"/>
    <w:rsid w:val="00F858CC"/>
    <w:rsid w:val="00F860F8"/>
    <w:rsid w:val="00F862CA"/>
    <w:rsid w:val="00F864C4"/>
    <w:rsid w:val="00F868F8"/>
    <w:rsid w:val="00F8691E"/>
    <w:rsid w:val="00F86DB6"/>
    <w:rsid w:val="00F87694"/>
    <w:rsid w:val="00F87A47"/>
    <w:rsid w:val="00F87C17"/>
    <w:rsid w:val="00F87DA4"/>
    <w:rsid w:val="00F87E87"/>
    <w:rsid w:val="00F87F04"/>
    <w:rsid w:val="00F906D7"/>
    <w:rsid w:val="00F90A1A"/>
    <w:rsid w:val="00F90A6D"/>
    <w:rsid w:val="00F90AD4"/>
    <w:rsid w:val="00F90CDA"/>
    <w:rsid w:val="00F90CE6"/>
    <w:rsid w:val="00F90DDA"/>
    <w:rsid w:val="00F913EF"/>
    <w:rsid w:val="00F91748"/>
    <w:rsid w:val="00F91B11"/>
    <w:rsid w:val="00F91BA9"/>
    <w:rsid w:val="00F923D8"/>
    <w:rsid w:val="00F923DF"/>
    <w:rsid w:val="00F92539"/>
    <w:rsid w:val="00F92645"/>
    <w:rsid w:val="00F92897"/>
    <w:rsid w:val="00F92B15"/>
    <w:rsid w:val="00F92B4B"/>
    <w:rsid w:val="00F9324C"/>
    <w:rsid w:val="00F932CF"/>
    <w:rsid w:val="00F93488"/>
    <w:rsid w:val="00F935C9"/>
    <w:rsid w:val="00F9361F"/>
    <w:rsid w:val="00F93828"/>
    <w:rsid w:val="00F939B6"/>
    <w:rsid w:val="00F939B9"/>
    <w:rsid w:val="00F93DBB"/>
    <w:rsid w:val="00F93DEB"/>
    <w:rsid w:val="00F941D4"/>
    <w:rsid w:val="00F946FB"/>
    <w:rsid w:val="00F94A38"/>
    <w:rsid w:val="00F94F22"/>
    <w:rsid w:val="00F950C2"/>
    <w:rsid w:val="00F950FB"/>
    <w:rsid w:val="00F9519F"/>
    <w:rsid w:val="00F95461"/>
    <w:rsid w:val="00F95821"/>
    <w:rsid w:val="00F95A7F"/>
    <w:rsid w:val="00F96308"/>
    <w:rsid w:val="00F965C4"/>
    <w:rsid w:val="00F966AD"/>
    <w:rsid w:val="00F977AA"/>
    <w:rsid w:val="00F97970"/>
    <w:rsid w:val="00F97FA9"/>
    <w:rsid w:val="00FA001A"/>
    <w:rsid w:val="00FA0097"/>
    <w:rsid w:val="00FA0378"/>
    <w:rsid w:val="00FA0430"/>
    <w:rsid w:val="00FA0530"/>
    <w:rsid w:val="00FA09DC"/>
    <w:rsid w:val="00FA09FB"/>
    <w:rsid w:val="00FA0B9A"/>
    <w:rsid w:val="00FA0BF7"/>
    <w:rsid w:val="00FA129A"/>
    <w:rsid w:val="00FA1657"/>
    <w:rsid w:val="00FA1818"/>
    <w:rsid w:val="00FA1954"/>
    <w:rsid w:val="00FA1ABA"/>
    <w:rsid w:val="00FA1CC7"/>
    <w:rsid w:val="00FA1F01"/>
    <w:rsid w:val="00FA1F57"/>
    <w:rsid w:val="00FA29AB"/>
    <w:rsid w:val="00FA2AD5"/>
    <w:rsid w:val="00FA2CEA"/>
    <w:rsid w:val="00FA2EEA"/>
    <w:rsid w:val="00FA2F73"/>
    <w:rsid w:val="00FA3201"/>
    <w:rsid w:val="00FA37AD"/>
    <w:rsid w:val="00FA3AEA"/>
    <w:rsid w:val="00FA442C"/>
    <w:rsid w:val="00FA466C"/>
    <w:rsid w:val="00FA46A7"/>
    <w:rsid w:val="00FA481C"/>
    <w:rsid w:val="00FA490F"/>
    <w:rsid w:val="00FA4A68"/>
    <w:rsid w:val="00FA4D26"/>
    <w:rsid w:val="00FA5070"/>
    <w:rsid w:val="00FA5354"/>
    <w:rsid w:val="00FA54E8"/>
    <w:rsid w:val="00FA58A7"/>
    <w:rsid w:val="00FA5FB6"/>
    <w:rsid w:val="00FA66D9"/>
    <w:rsid w:val="00FA6770"/>
    <w:rsid w:val="00FA6A92"/>
    <w:rsid w:val="00FA6BE8"/>
    <w:rsid w:val="00FA6FB8"/>
    <w:rsid w:val="00FA74EC"/>
    <w:rsid w:val="00FA764E"/>
    <w:rsid w:val="00FA77D8"/>
    <w:rsid w:val="00FA7875"/>
    <w:rsid w:val="00FB01F8"/>
    <w:rsid w:val="00FB07A0"/>
    <w:rsid w:val="00FB07FB"/>
    <w:rsid w:val="00FB0948"/>
    <w:rsid w:val="00FB0B56"/>
    <w:rsid w:val="00FB0C54"/>
    <w:rsid w:val="00FB0DAA"/>
    <w:rsid w:val="00FB101B"/>
    <w:rsid w:val="00FB152A"/>
    <w:rsid w:val="00FB15B5"/>
    <w:rsid w:val="00FB15C8"/>
    <w:rsid w:val="00FB1744"/>
    <w:rsid w:val="00FB1FCC"/>
    <w:rsid w:val="00FB2052"/>
    <w:rsid w:val="00FB2405"/>
    <w:rsid w:val="00FB28E8"/>
    <w:rsid w:val="00FB296A"/>
    <w:rsid w:val="00FB29CB"/>
    <w:rsid w:val="00FB2A05"/>
    <w:rsid w:val="00FB2A5D"/>
    <w:rsid w:val="00FB2D80"/>
    <w:rsid w:val="00FB2FA6"/>
    <w:rsid w:val="00FB2FFC"/>
    <w:rsid w:val="00FB3425"/>
    <w:rsid w:val="00FB381C"/>
    <w:rsid w:val="00FB426D"/>
    <w:rsid w:val="00FB4298"/>
    <w:rsid w:val="00FB4433"/>
    <w:rsid w:val="00FB4718"/>
    <w:rsid w:val="00FB4A4D"/>
    <w:rsid w:val="00FB4E3A"/>
    <w:rsid w:val="00FB5B5F"/>
    <w:rsid w:val="00FB5CDC"/>
    <w:rsid w:val="00FB5EF8"/>
    <w:rsid w:val="00FB5F15"/>
    <w:rsid w:val="00FB61A6"/>
    <w:rsid w:val="00FB6551"/>
    <w:rsid w:val="00FB6781"/>
    <w:rsid w:val="00FB6830"/>
    <w:rsid w:val="00FB6C35"/>
    <w:rsid w:val="00FB6D11"/>
    <w:rsid w:val="00FB70E3"/>
    <w:rsid w:val="00FB74E7"/>
    <w:rsid w:val="00FB7884"/>
    <w:rsid w:val="00FB7B9A"/>
    <w:rsid w:val="00FB7C31"/>
    <w:rsid w:val="00FB7CC8"/>
    <w:rsid w:val="00FB7FDF"/>
    <w:rsid w:val="00FC00F3"/>
    <w:rsid w:val="00FC0189"/>
    <w:rsid w:val="00FC01ED"/>
    <w:rsid w:val="00FC04C0"/>
    <w:rsid w:val="00FC0C5E"/>
    <w:rsid w:val="00FC0E2B"/>
    <w:rsid w:val="00FC109C"/>
    <w:rsid w:val="00FC14CA"/>
    <w:rsid w:val="00FC155E"/>
    <w:rsid w:val="00FC155F"/>
    <w:rsid w:val="00FC165E"/>
    <w:rsid w:val="00FC16A7"/>
    <w:rsid w:val="00FC17DA"/>
    <w:rsid w:val="00FC1CFF"/>
    <w:rsid w:val="00FC1FA2"/>
    <w:rsid w:val="00FC2049"/>
    <w:rsid w:val="00FC2322"/>
    <w:rsid w:val="00FC23D9"/>
    <w:rsid w:val="00FC28CE"/>
    <w:rsid w:val="00FC2B6B"/>
    <w:rsid w:val="00FC2D55"/>
    <w:rsid w:val="00FC30B9"/>
    <w:rsid w:val="00FC325A"/>
    <w:rsid w:val="00FC359E"/>
    <w:rsid w:val="00FC37EB"/>
    <w:rsid w:val="00FC3D59"/>
    <w:rsid w:val="00FC3D5D"/>
    <w:rsid w:val="00FC4121"/>
    <w:rsid w:val="00FC4B66"/>
    <w:rsid w:val="00FC4CB4"/>
    <w:rsid w:val="00FC4D41"/>
    <w:rsid w:val="00FC4DF4"/>
    <w:rsid w:val="00FC51CB"/>
    <w:rsid w:val="00FC561E"/>
    <w:rsid w:val="00FC575D"/>
    <w:rsid w:val="00FC6198"/>
    <w:rsid w:val="00FC6AD7"/>
    <w:rsid w:val="00FC6B52"/>
    <w:rsid w:val="00FC6B67"/>
    <w:rsid w:val="00FC6B94"/>
    <w:rsid w:val="00FC6DD3"/>
    <w:rsid w:val="00FC6E1C"/>
    <w:rsid w:val="00FC706C"/>
    <w:rsid w:val="00FC70CC"/>
    <w:rsid w:val="00FC71F6"/>
    <w:rsid w:val="00FC7283"/>
    <w:rsid w:val="00FC7A1E"/>
    <w:rsid w:val="00FD00A8"/>
    <w:rsid w:val="00FD11CE"/>
    <w:rsid w:val="00FD122A"/>
    <w:rsid w:val="00FD158C"/>
    <w:rsid w:val="00FD1609"/>
    <w:rsid w:val="00FD19B1"/>
    <w:rsid w:val="00FD1A59"/>
    <w:rsid w:val="00FD1FCB"/>
    <w:rsid w:val="00FD24EC"/>
    <w:rsid w:val="00FD269C"/>
    <w:rsid w:val="00FD2768"/>
    <w:rsid w:val="00FD30AE"/>
    <w:rsid w:val="00FD3529"/>
    <w:rsid w:val="00FD39B7"/>
    <w:rsid w:val="00FD3AF6"/>
    <w:rsid w:val="00FD3C28"/>
    <w:rsid w:val="00FD3C70"/>
    <w:rsid w:val="00FD40E0"/>
    <w:rsid w:val="00FD43BB"/>
    <w:rsid w:val="00FD4522"/>
    <w:rsid w:val="00FD489B"/>
    <w:rsid w:val="00FD4B87"/>
    <w:rsid w:val="00FD4C8A"/>
    <w:rsid w:val="00FD4DE1"/>
    <w:rsid w:val="00FD55B7"/>
    <w:rsid w:val="00FD56D3"/>
    <w:rsid w:val="00FD59DA"/>
    <w:rsid w:val="00FD5C4F"/>
    <w:rsid w:val="00FD5C9A"/>
    <w:rsid w:val="00FD5E23"/>
    <w:rsid w:val="00FD6467"/>
    <w:rsid w:val="00FD6847"/>
    <w:rsid w:val="00FD6DA4"/>
    <w:rsid w:val="00FD725E"/>
    <w:rsid w:val="00FD74C9"/>
    <w:rsid w:val="00FD76C0"/>
    <w:rsid w:val="00FD7A14"/>
    <w:rsid w:val="00FD7D2E"/>
    <w:rsid w:val="00FD7D43"/>
    <w:rsid w:val="00FD7E61"/>
    <w:rsid w:val="00FD7ED2"/>
    <w:rsid w:val="00FE002C"/>
    <w:rsid w:val="00FE01A0"/>
    <w:rsid w:val="00FE0408"/>
    <w:rsid w:val="00FE09A0"/>
    <w:rsid w:val="00FE0AB4"/>
    <w:rsid w:val="00FE0B3A"/>
    <w:rsid w:val="00FE0B93"/>
    <w:rsid w:val="00FE1882"/>
    <w:rsid w:val="00FE1BD0"/>
    <w:rsid w:val="00FE1E2D"/>
    <w:rsid w:val="00FE2423"/>
    <w:rsid w:val="00FE2AC1"/>
    <w:rsid w:val="00FE2D90"/>
    <w:rsid w:val="00FE3077"/>
    <w:rsid w:val="00FE30C1"/>
    <w:rsid w:val="00FE34C8"/>
    <w:rsid w:val="00FE37CC"/>
    <w:rsid w:val="00FE3959"/>
    <w:rsid w:val="00FE3A05"/>
    <w:rsid w:val="00FE3B11"/>
    <w:rsid w:val="00FE3DCD"/>
    <w:rsid w:val="00FE3E1C"/>
    <w:rsid w:val="00FE4152"/>
    <w:rsid w:val="00FE4B3C"/>
    <w:rsid w:val="00FE4F00"/>
    <w:rsid w:val="00FE572C"/>
    <w:rsid w:val="00FE597D"/>
    <w:rsid w:val="00FE598B"/>
    <w:rsid w:val="00FE5B75"/>
    <w:rsid w:val="00FE5BBD"/>
    <w:rsid w:val="00FE5C37"/>
    <w:rsid w:val="00FE62C0"/>
    <w:rsid w:val="00FE6395"/>
    <w:rsid w:val="00FE6517"/>
    <w:rsid w:val="00FE66E2"/>
    <w:rsid w:val="00FE6D33"/>
    <w:rsid w:val="00FE6E82"/>
    <w:rsid w:val="00FE7515"/>
    <w:rsid w:val="00FE7C52"/>
    <w:rsid w:val="00FE7C9A"/>
    <w:rsid w:val="00FE7CF9"/>
    <w:rsid w:val="00FE7D15"/>
    <w:rsid w:val="00FF01B7"/>
    <w:rsid w:val="00FF0202"/>
    <w:rsid w:val="00FF0384"/>
    <w:rsid w:val="00FF03A4"/>
    <w:rsid w:val="00FF03E0"/>
    <w:rsid w:val="00FF0700"/>
    <w:rsid w:val="00FF0717"/>
    <w:rsid w:val="00FF08D6"/>
    <w:rsid w:val="00FF1424"/>
    <w:rsid w:val="00FF1684"/>
    <w:rsid w:val="00FF195E"/>
    <w:rsid w:val="00FF1AB0"/>
    <w:rsid w:val="00FF1BA5"/>
    <w:rsid w:val="00FF1C0A"/>
    <w:rsid w:val="00FF1CF9"/>
    <w:rsid w:val="00FF20FB"/>
    <w:rsid w:val="00FF2257"/>
    <w:rsid w:val="00FF2453"/>
    <w:rsid w:val="00FF278B"/>
    <w:rsid w:val="00FF297A"/>
    <w:rsid w:val="00FF2B62"/>
    <w:rsid w:val="00FF3C9B"/>
    <w:rsid w:val="00FF3F73"/>
    <w:rsid w:val="00FF3FB6"/>
    <w:rsid w:val="00FF4459"/>
    <w:rsid w:val="00FF4545"/>
    <w:rsid w:val="00FF471E"/>
    <w:rsid w:val="00FF4A4A"/>
    <w:rsid w:val="00FF51E3"/>
    <w:rsid w:val="00FF57A6"/>
    <w:rsid w:val="00FF582E"/>
    <w:rsid w:val="00FF58EE"/>
    <w:rsid w:val="00FF5924"/>
    <w:rsid w:val="00FF5D5B"/>
    <w:rsid w:val="00FF620E"/>
    <w:rsid w:val="00FF6521"/>
    <w:rsid w:val="00FF6696"/>
    <w:rsid w:val="00FF6BFB"/>
    <w:rsid w:val="00FF72CA"/>
    <w:rsid w:val="00FF7415"/>
    <w:rsid w:val="00FF7C2D"/>
    <w:rsid w:val="00FF7ED9"/>
    <w:rsid w:val="00FF7F15"/>
    <w:rsid w:val="00FF7F6D"/>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78F313"/>
  <w15:docId w15:val="{8212E67C-0C45-465B-A29D-932D0351A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4204D"/>
    <w:pPr>
      <w:widowControl w:val="0"/>
      <w:jc w:val="both"/>
    </w:pPr>
    <w:rPr>
      <w:rFonts w:ascii="Arial" w:hAnsi="Arial"/>
      <w:sz w:val="24"/>
      <w:lang w:val="es-MX"/>
    </w:rPr>
  </w:style>
  <w:style w:type="paragraph" w:styleId="Ttulo1">
    <w:name w:val="heading 1"/>
    <w:basedOn w:val="Normal"/>
    <w:next w:val="Normal"/>
    <w:link w:val="Ttulo1Car"/>
    <w:qFormat/>
    <w:rsid w:val="00377184"/>
    <w:pPr>
      <w:keepNext/>
      <w:spacing w:before="240"/>
      <w:jc w:val="left"/>
      <w:outlineLvl w:val="0"/>
    </w:pPr>
    <w:rPr>
      <w:b/>
      <w:color w:val="000000"/>
    </w:rPr>
  </w:style>
  <w:style w:type="paragraph" w:styleId="Ttulo2">
    <w:name w:val="heading 2"/>
    <w:basedOn w:val="Normal"/>
    <w:next w:val="Normal"/>
    <w:link w:val="Ttulo2Car"/>
    <w:uiPriority w:val="9"/>
    <w:qFormat/>
    <w:rsid w:val="00377184"/>
    <w:pPr>
      <w:spacing w:before="240"/>
      <w:jc w:val="center"/>
      <w:outlineLvl w:val="1"/>
    </w:pPr>
    <w:rPr>
      <w:b/>
      <w:color w:val="000000"/>
      <w:sz w:val="28"/>
    </w:rPr>
  </w:style>
  <w:style w:type="paragraph" w:styleId="Ttulo3">
    <w:name w:val="heading 3"/>
    <w:basedOn w:val="Normal"/>
    <w:next w:val="Normal"/>
    <w:link w:val="Ttulo3Car"/>
    <w:qFormat/>
    <w:rsid w:val="00377184"/>
    <w:pPr>
      <w:keepNext/>
      <w:spacing w:before="360"/>
      <w:jc w:val="center"/>
      <w:outlineLvl w:val="2"/>
    </w:pPr>
    <w:rPr>
      <w:sz w:val="28"/>
    </w:rPr>
  </w:style>
  <w:style w:type="paragraph" w:styleId="Ttulo4">
    <w:name w:val="heading 4"/>
    <w:basedOn w:val="Normal"/>
    <w:next w:val="Normal"/>
    <w:link w:val="Ttulo4Car"/>
    <w:qFormat/>
    <w:rsid w:val="00377184"/>
    <w:pPr>
      <w:keepNext/>
      <w:spacing w:before="600"/>
      <w:outlineLvl w:val="3"/>
    </w:pPr>
    <w:rPr>
      <w:b/>
      <w:i/>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77184"/>
    <w:pPr>
      <w:tabs>
        <w:tab w:val="center" w:pos="4320"/>
        <w:tab w:val="right" w:pos="8640"/>
      </w:tabs>
    </w:pPr>
  </w:style>
  <w:style w:type="paragraph" w:styleId="Encabezado">
    <w:name w:val="header"/>
    <w:basedOn w:val="Normal"/>
    <w:link w:val="EncabezadoCar"/>
    <w:rsid w:val="00377184"/>
    <w:pPr>
      <w:tabs>
        <w:tab w:val="center" w:pos="4320"/>
        <w:tab w:val="right" w:pos="8640"/>
      </w:tabs>
    </w:pPr>
  </w:style>
  <w:style w:type="paragraph" w:styleId="Textonotaalfinal">
    <w:name w:val="endnote text"/>
    <w:basedOn w:val="Normal"/>
    <w:link w:val="TextonotaalfinalCar"/>
    <w:semiHidden/>
    <w:rsid w:val="00377184"/>
    <w:rPr>
      <w:sz w:val="20"/>
    </w:rPr>
  </w:style>
  <w:style w:type="paragraph" w:customStyle="1" w:styleId="n0">
    <w:name w:val="n0"/>
    <w:basedOn w:val="Normal"/>
    <w:rsid w:val="00377184"/>
    <w:pPr>
      <w:keepLines/>
      <w:spacing w:before="240"/>
      <w:ind w:left="709" w:right="-351" w:hanging="709"/>
    </w:pPr>
    <w:rPr>
      <w:color w:val="800080"/>
    </w:rPr>
  </w:style>
  <w:style w:type="paragraph" w:customStyle="1" w:styleId="color">
    <w:name w:val="color"/>
    <w:basedOn w:val="Normal"/>
    <w:rsid w:val="00377184"/>
    <w:pPr>
      <w:spacing w:before="240"/>
    </w:pPr>
    <w:rPr>
      <w:i/>
      <w:color w:val="0000FF"/>
    </w:rPr>
  </w:style>
  <w:style w:type="paragraph" w:customStyle="1" w:styleId="p0">
    <w:name w:val="p0"/>
    <w:basedOn w:val="Normal"/>
    <w:rsid w:val="00377184"/>
    <w:pPr>
      <w:spacing w:before="240"/>
    </w:pPr>
    <w:rPr>
      <w:color w:val="0000FF"/>
    </w:rPr>
  </w:style>
  <w:style w:type="character" w:styleId="Nmerodepgina">
    <w:name w:val="page number"/>
    <w:basedOn w:val="Fuentedeprrafopredeter"/>
    <w:rsid w:val="00377184"/>
  </w:style>
  <w:style w:type="paragraph" w:styleId="Textoindependiente">
    <w:name w:val="Body Text"/>
    <w:basedOn w:val="Normal"/>
    <w:link w:val="TextoindependienteCar"/>
    <w:uiPriority w:val="1"/>
    <w:qFormat/>
    <w:rsid w:val="00377184"/>
    <w:pPr>
      <w:jc w:val="center"/>
    </w:pPr>
    <w:rPr>
      <w:b/>
      <w:caps/>
      <w:spacing w:val="25"/>
      <w:sz w:val="32"/>
    </w:rPr>
  </w:style>
  <w:style w:type="paragraph" w:styleId="Sangra3detindependiente">
    <w:name w:val="Body Text Indent 3"/>
    <w:basedOn w:val="Normal"/>
    <w:link w:val="Sangra3detindependienteCar"/>
    <w:rsid w:val="00377184"/>
    <w:pPr>
      <w:widowControl/>
      <w:spacing w:after="240"/>
      <w:ind w:right="-91" w:firstLine="567"/>
    </w:pPr>
    <w:rPr>
      <w:sz w:val="21"/>
      <w:lang w:val="es-ES"/>
    </w:rPr>
  </w:style>
  <w:style w:type="paragraph" w:styleId="Textoindependiente2">
    <w:name w:val="Body Text 2"/>
    <w:basedOn w:val="Normal"/>
    <w:link w:val="Textoindependiente2Car"/>
    <w:rsid w:val="00377184"/>
    <w:pPr>
      <w:keepLines/>
      <w:spacing w:before="120"/>
    </w:pPr>
    <w:rPr>
      <w:color w:val="000000"/>
    </w:rPr>
  </w:style>
  <w:style w:type="paragraph" w:customStyle="1" w:styleId="parr2">
    <w:name w:val="parr2"/>
    <w:basedOn w:val="Normal"/>
    <w:rsid w:val="00377184"/>
    <w:pPr>
      <w:widowControl/>
      <w:spacing w:before="600"/>
      <w:ind w:left="567" w:right="15"/>
    </w:pPr>
    <w:rPr>
      <w:lang w:val="es-ES_tradnl"/>
    </w:rPr>
  </w:style>
  <w:style w:type="paragraph" w:styleId="Mapadeldocumento">
    <w:name w:val="Document Map"/>
    <w:basedOn w:val="Normal"/>
    <w:link w:val="MapadeldocumentoCar"/>
    <w:semiHidden/>
    <w:rsid w:val="00377184"/>
    <w:pPr>
      <w:shd w:val="clear" w:color="auto" w:fill="000080"/>
    </w:pPr>
    <w:rPr>
      <w:rFonts w:ascii="Tahoma" w:hAnsi="Tahoma"/>
    </w:rPr>
  </w:style>
  <w:style w:type="paragraph" w:styleId="Textoindependiente3">
    <w:name w:val="Body Text 3"/>
    <w:basedOn w:val="Normal"/>
    <w:link w:val="Textoindependiente3Car"/>
    <w:rsid w:val="00377184"/>
    <w:pPr>
      <w:spacing w:before="360"/>
      <w:ind w:right="-91"/>
    </w:pPr>
  </w:style>
  <w:style w:type="paragraph" w:styleId="Listaconvietas2">
    <w:name w:val="List Bullet 2"/>
    <w:basedOn w:val="Normal"/>
    <w:autoRedefine/>
    <w:rsid w:val="00377184"/>
    <w:pPr>
      <w:numPr>
        <w:numId w:val="1"/>
      </w:numPr>
    </w:pPr>
  </w:style>
  <w:style w:type="paragraph" w:styleId="Textodeglobo">
    <w:name w:val="Balloon Text"/>
    <w:basedOn w:val="Normal"/>
    <w:link w:val="TextodegloboCar"/>
    <w:uiPriority w:val="99"/>
    <w:semiHidden/>
    <w:rsid w:val="00377184"/>
    <w:rPr>
      <w:rFonts w:ascii="Tahoma" w:hAnsi="Tahoma" w:cs="Tahoma"/>
      <w:sz w:val="16"/>
      <w:szCs w:val="16"/>
    </w:rPr>
  </w:style>
  <w:style w:type="paragraph" w:styleId="NormalWeb">
    <w:name w:val="Normal (Web)"/>
    <w:basedOn w:val="Normal"/>
    <w:uiPriority w:val="99"/>
    <w:rsid w:val="00313EFE"/>
    <w:pPr>
      <w:widowControl/>
      <w:spacing w:before="100" w:beforeAutospacing="1" w:after="100" w:afterAutospacing="1"/>
      <w:jc w:val="left"/>
    </w:pPr>
    <w:rPr>
      <w:rFonts w:cs="Arial"/>
      <w:color w:val="000000"/>
      <w:sz w:val="16"/>
      <w:szCs w:val="16"/>
      <w:lang w:val="es-ES"/>
    </w:rPr>
  </w:style>
  <w:style w:type="table" w:styleId="Tablaconcuadrcula">
    <w:name w:val="Table Grid"/>
    <w:basedOn w:val="Tablanormal"/>
    <w:uiPriority w:val="39"/>
    <w:rsid w:val="00F923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B7114F"/>
    <w:pPr>
      <w:widowControl/>
      <w:tabs>
        <w:tab w:val="left" w:pos="7939"/>
      </w:tabs>
      <w:spacing w:before="240"/>
      <w:ind w:left="1701" w:right="1752" w:hanging="284"/>
    </w:pPr>
    <w:rPr>
      <w:b/>
      <w:sz w:val="22"/>
      <w:lang w:val="es-ES_tradnl"/>
    </w:rPr>
  </w:style>
  <w:style w:type="paragraph" w:customStyle="1" w:styleId="rollo">
    <w:name w:val="rollo"/>
    <w:basedOn w:val="Normal"/>
    <w:rsid w:val="00A73EEE"/>
    <w:pPr>
      <w:keepLines/>
      <w:spacing w:before="240"/>
    </w:pPr>
    <w:rPr>
      <w:lang w:val="es-ES_tradnl"/>
    </w:rPr>
  </w:style>
  <w:style w:type="paragraph" w:customStyle="1" w:styleId="titulos">
    <w:name w:val="titulos"/>
    <w:basedOn w:val="Normal"/>
    <w:rsid w:val="00A73EEE"/>
    <w:pPr>
      <w:spacing w:before="360"/>
    </w:pPr>
    <w:rPr>
      <w:b/>
      <w:i/>
      <w:u w:val="single"/>
      <w:lang w:val="es-ES_tradnl"/>
    </w:rPr>
  </w:style>
  <w:style w:type="character" w:customStyle="1" w:styleId="EncabezadoCar">
    <w:name w:val="Encabezado Car"/>
    <w:basedOn w:val="Fuentedeprrafopredeter"/>
    <w:link w:val="Encabezado"/>
    <w:rsid w:val="002A2D84"/>
    <w:rPr>
      <w:rFonts w:ascii="Arial" w:hAnsi="Arial"/>
      <w:sz w:val="24"/>
      <w:lang w:val="es-MX"/>
    </w:rPr>
  </w:style>
  <w:style w:type="paragraph" w:customStyle="1" w:styleId="Textoindependiente21">
    <w:name w:val="Texto independiente 21"/>
    <w:basedOn w:val="Normal"/>
    <w:rsid w:val="002A2D84"/>
    <w:pPr>
      <w:widowControl/>
      <w:spacing w:after="960"/>
      <w:ind w:firstLine="567"/>
    </w:pPr>
    <w:rPr>
      <w:sz w:val="22"/>
      <w:lang w:val="es-ES_tradnl"/>
    </w:rPr>
  </w:style>
  <w:style w:type="character" w:customStyle="1" w:styleId="PiedepginaCar">
    <w:name w:val="Pie de página Car"/>
    <w:basedOn w:val="Fuentedeprrafopredeter"/>
    <w:link w:val="Piedepgina"/>
    <w:uiPriority w:val="99"/>
    <w:rsid w:val="002A2D84"/>
    <w:rPr>
      <w:rFonts w:ascii="Arial" w:hAnsi="Arial"/>
      <w:sz w:val="24"/>
      <w:lang w:val="es-MX"/>
    </w:rPr>
  </w:style>
  <w:style w:type="paragraph" w:styleId="Textonotapie">
    <w:name w:val="footnote text"/>
    <w:basedOn w:val="Normal"/>
    <w:link w:val="TextonotapieCar"/>
    <w:uiPriority w:val="99"/>
    <w:rsid w:val="001D3AD9"/>
    <w:pPr>
      <w:widowControl/>
      <w:jc w:val="left"/>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1D3AD9"/>
  </w:style>
  <w:style w:type="character" w:styleId="Refdenotaalpie">
    <w:name w:val="footnote reference"/>
    <w:basedOn w:val="Fuentedeprrafopredeter"/>
    <w:uiPriority w:val="99"/>
    <w:rsid w:val="001D3AD9"/>
    <w:rPr>
      <w:rFonts w:cs="Arial"/>
      <w:b/>
      <w:smallCaps/>
      <w:sz w:val="22"/>
      <w:vertAlign w:val="superscript"/>
      <w:lang w:val="es-MX"/>
    </w:rPr>
  </w:style>
  <w:style w:type="paragraph" w:styleId="Prrafodelista">
    <w:name w:val="List Paragraph"/>
    <w:aliases w:val="Concepto,Párrafo,de,lista"/>
    <w:basedOn w:val="Normal"/>
    <w:link w:val="PrrafodelistaCar"/>
    <w:uiPriority w:val="34"/>
    <w:qFormat/>
    <w:rsid w:val="00176A17"/>
    <w:pPr>
      <w:ind w:left="720"/>
      <w:contextualSpacing/>
    </w:pPr>
  </w:style>
  <w:style w:type="paragraph" w:styleId="ndice3">
    <w:name w:val="index 3"/>
    <w:basedOn w:val="Normal"/>
    <w:next w:val="Normal"/>
    <w:autoRedefine/>
    <w:rsid w:val="00681ED5"/>
    <w:pPr>
      <w:widowControl/>
      <w:spacing w:before="120"/>
      <w:ind w:left="566"/>
      <w:jc w:val="left"/>
    </w:pPr>
    <w:rPr>
      <w:rFonts w:ascii="Univers" w:hAnsi="Univers"/>
      <w:lang w:val="es-ES_tradnl"/>
    </w:rPr>
  </w:style>
  <w:style w:type="character" w:customStyle="1" w:styleId="TextodegloboCar">
    <w:name w:val="Texto de globo Car"/>
    <w:basedOn w:val="Fuentedeprrafopredeter"/>
    <w:link w:val="Textodeglobo"/>
    <w:uiPriority w:val="99"/>
    <w:semiHidden/>
    <w:rsid w:val="00C61FA5"/>
    <w:rPr>
      <w:rFonts w:ascii="Tahoma" w:hAnsi="Tahoma" w:cs="Tahoma"/>
      <w:sz w:val="16"/>
      <w:szCs w:val="16"/>
      <w:lang w:val="es-MX"/>
    </w:rPr>
  </w:style>
  <w:style w:type="character" w:styleId="Hipervnculo">
    <w:name w:val="Hyperlink"/>
    <w:basedOn w:val="Fuentedeprrafopredeter"/>
    <w:uiPriority w:val="99"/>
    <w:rsid w:val="000A46C4"/>
    <w:rPr>
      <w:color w:val="0000FF"/>
      <w:u w:val="single"/>
    </w:rPr>
  </w:style>
  <w:style w:type="character" w:customStyle="1" w:styleId="Ttulo4Car">
    <w:name w:val="Título 4 Car"/>
    <w:basedOn w:val="Fuentedeprrafopredeter"/>
    <w:link w:val="Ttulo4"/>
    <w:rsid w:val="001070F7"/>
    <w:rPr>
      <w:rFonts w:ascii="Arial" w:hAnsi="Arial"/>
      <w:b/>
      <w:i/>
      <w:sz w:val="24"/>
      <w:u w:val="single"/>
      <w:lang w:val="es-MX"/>
    </w:rPr>
  </w:style>
  <w:style w:type="character" w:customStyle="1" w:styleId="TextoindependienteCar">
    <w:name w:val="Texto independiente Car"/>
    <w:basedOn w:val="Fuentedeprrafopredeter"/>
    <w:link w:val="Textoindependiente"/>
    <w:uiPriority w:val="1"/>
    <w:rsid w:val="001070F7"/>
    <w:rPr>
      <w:rFonts w:ascii="Arial" w:hAnsi="Arial"/>
      <w:b/>
      <w:caps/>
      <w:spacing w:val="25"/>
      <w:sz w:val="32"/>
      <w:lang w:val="es-MX"/>
    </w:rPr>
  </w:style>
  <w:style w:type="paragraph" w:customStyle="1" w:styleId="p01">
    <w:name w:val="p01"/>
    <w:basedOn w:val="Normal"/>
    <w:next w:val="p0"/>
    <w:rsid w:val="001070F7"/>
    <w:pPr>
      <w:keepLines/>
      <w:widowControl/>
      <w:spacing w:before="240"/>
    </w:pPr>
    <w:rPr>
      <w:rFonts w:ascii="Univers" w:hAnsi="Univers"/>
      <w:color w:val="0000FF"/>
      <w:lang w:val="es-ES_tradnl"/>
    </w:rPr>
  </w:style>
  <w:style w:type="character" w:styleId="Hipervnculovisitado">
    <w:name w:val="FollowedHyperlink"/>
    <w:basedOn w:val="Fuentedeprrafopredeter"/>
    <w:uiPriority w:val="99"/>
    <w:semiHidden/>
    <w:unhideWhenUsed/>
    <w:rsid w:val="00C221BA"/>
    <w:rPr>
      <w:color w:val="800080" w:themeColor="followedHyperlink"/>
      <w:u w:val="single"/>
    </w:rPr>
  </w:style>
  <w:style w:type="character" w:customStyle="1" w:styleId="Mencinsinresolver1">
    <w:name w:val="Mención sin resolver1"/>
    <w:basedOn w:val="Fuentedeprrafopredeter"/>
    <w:uiPriority w:val="99"/>
    <w:semiHidden/>
    <w:unhideWhenUsed/>
    <w:rsid w:val="00D9765A"/>
    <w:rPr>
      <w:color w:val="808080"/>
      <w:shd w:val="clear" w:color="auto" w:fill="E6E6E6"/>
    </w:rPr>
  </w:style>
  <w:style w:type="paragraph" w:customStyle="1" w:styleId="Default">
    <w:name w:val="Default"/>
    <w:basedOn w:val="Normal"/>
    <w:rsid w:val="00B35B10"/>
    <w:pPr>
      <w:widowControl/>
      <w:autoSpaceDE w:val="0"/>
      <w:autoSpaceDN w:val="0"/>
      <w:jc w:val="left"/>
    </w:pPr>
    <w:rPr>
      <w:rFonts w:eastAsiaTheme="minorHAnsi" w:cs="Arial"/>
      <w:color w:val="000000"/>
      <w:szCs w:val="24"/>
      <w:lang w:eastAsia="es-MX"/>
    </w:rPr>
  </w:style>
  <w:style w:type="paragraph" w:customStyle="1" w:styleId="bulnot">
    <w:name w:val="bulnot"/>
    <w:basedOn w:val="Normal"/>
    <w:rsid w:val="00062FAA"/>
    <w:pPr>
      <w:widowControl/>
      <w:tabs>
        <w:tab w:val="left" w:pos="851"/>
      </w:tabs>
      <w:spacing w:before="360"/>
      <w:ind w:left="1985" w:right="2036" w:hanging="273"/>
    </w:pPr>
    <w:rPr>
      <w:b/>
      <w:color w:val="0000FF"/>
      <w:spacing w:val="10"/>
      <w:sz w:val="22"/>
    </w:rPr>
  </w:style>
  <w:style w:type="paragraph" w:styleId="Revisin">
    <w:name w:val="Revision"/>
    <w:hidden/>
    <w:uiPriority w:val="99"/>
    <w:semiHidden/>
    <w:rsid w:val="00D4637D"/>
    <w:rPr>
      <w:rFonts w:ascii="Arial" w:hAnsi="Arial"/>
      <w:sz w:val="24"/>
      <w:lang w:val="es-MX"/>
    </w:rPr>
  </w:style>
  <w:style w:type="character" w:styleId="Refdecomentario">
    <w:name w:val="annotation reference"/>
    <w:basedOn w:val="Fuentedeprrafopredeter"/>
    <w:uiPriority w:val="99"/>
    <w:semiHidden/>
    <w:unhideWhenUsed/>
    <w:rsid w:val="00DE5A91"/>
    <w:rPr>
      <w:sz w:val="16"/>
      <w:szCs w:val="16"/>
    </w:rPr>
  </w:style>
  <w:style w:type="paragraph" w:styleId="Textocomentario">
    <w:name w:val="annotation text"/>
    <w:basedOn w:val="Normal"/>
    <w:link w:val="TextocomentarioCar"/>
    <w:uiPriority w:val="99"/>
    <w:unhideWhenUsed/>
    <w:rsid w:val="00DE5A91"/>
    <w:rPr>
      <w:sz w:val="20"/>
    </w:rPr>
  </w:style>
  <w:style w:type="character" w:customStyle="1" w:styleId="TextocomentarioCar">
    <w:name w:val="Texto comentario Car"/>
    <w:basedOn w:val="Fuentedeprrafopredeter"/>
    <w:link w:val="Textocomentario"/>
    <w:uiPriority w:val="99"/>
    <w:rsid w:val="00DE5A91"/>
    <w:rPr>
      <w:rFonts w:ascii="Arial" w:hAnsi="Arial"/>
      <w:lang w:val="es-MX"/>
    </w:rPr>
  </w:style>
  <w:style w:type="paragraph" w:styleId="Asuntodelcomentario">
    <w:name w:val="annotation subject"/>
    <w:basedOn w:val="Textocomentario"/>
    <w:next w:val="Textocomentario"/>
    <w:link w:val="AsuntodelcomentarioCar"/>
    <w:uiPriority w:val="99"/>
    <w:semiHidden/>
    <w:unhideWhenUsed/>
    <w:rsid w:val="00DE5A91"/>
    <w:rPr>
      <w:b/>
      <w:bCs/>
    </w:rPr>
  </w:style>
  <w:style w:type="character" w:customStyle="1" w:styleId="AsuntodelcomentarioCar">
    <w:name w:val="Asunto del comentario Car"/>
    <w:basedOn w:val="TextocomentarioCar"/>
    <w:link w:val="Asuntodelcomentario"/>
    <w:uiPriority w:val="99"/>
    <w:semiHidden/>
    <w:rsid w:val="00DE5A91"/>
    <w:rPr>
      <w:rFonts w:ascii="Arial" w:hAnsi="Arial"/>
      <w:b/>
      <w:bCs/>
      <w:lang w:val="es-MX"/>
    </w:rPr>
  </w:style>
  <w:style w:type="character" w:styleId="Mencinsinresolver">
    <w:name w:val="Unresolved Mention"/>
    <w:basedOn w:val="Fuentedeprrafopredeter"/>
    <w:uiPriority w:val="99"/>
    <w:semiHidden/>
    <w:unhideWhenUsed/>
    <w:rsid w:val="00691ED2"/>
    <w:rPr>
      <w:color w:val="605E5C"/>
      <w:shd w:val="clear" w:color="auto" w:fill="E1DFDD"/>
    </w:rPr>
  </w:style>
  <w:style w:type="paragraph" w:customStyle="1" w:styleId="texto">
    <w:name w:val="texto"/>
    <w:basedOn w:val="Normal"/>
    <w:uiPriority w:val="99"/>
    <w:rsid w:val="002A1FCD"/>
    <w:pPr>
      <w:keepLines/>
      <w:widowControl/>
      <w:spacing w:before="240"/>
    </w:pPr>
    <w:rPr>
      <w:color w:val="000080"/>
    </w:rPr>
  </w:style>
  <w:style w:type="paragraph" w:customStyle="1" w:styleId="Profesin">
    <w:name w:val="Profesión"/>
    <w:basedOn w:val="Normal"/>
    <w:rsid w:val="00511745"/>
    <w:pPr>
      <w:widowControl/>
      <w:jc w:val="center"/>
    </w:pPr>
    <w:rPr>
      <w:rFonts w:cs="Arial"/>
      <w:b/>
      <w:bCs/>
      <w:caps/>
      <w:sz w:val="28"/>
      <w:szCs w:val="28"/>
      <w:lang w:val="es-ES_tradnl"/>
    </w:rPr>
  </w:style>
  <w:style w:type="character" w:customStyle="1" w:styleId="Ttulo2Car">
    <w:name w:val="Título 2 Car"/>
    <w:basedOn w:val="Fuentedeprrafopredeter"/>
    <w:link w:val="Ttulo2"/>
    <w:uiPriority w:val="9"/>
    <w:rsid w:val="00791592"/>
    <w:rPr>
      <w:rFonts w:ascii="Arial" w:hAnsi="Arial"/>
      <w:b/>
      <w:color w:val="000000"/>
      <w:sz w:val="28"/>
      <w:lang w:val="es-MX"/>
    </w:rPr>
  </w:style>
  <w:style w:type="character" w:customStyle="1" w:styleId="PrrafodelistaCar">
    <w:name w:val="Párrafo de lista Car"/>
    <w:aliases w:val="Concepto Car,Párrafo Car,de Car,lista Car"/>
    <w:link w:val="Prrafodelista"/>
    <w:uiPriority w:val="34"/>
    <w:locked/>
    <w:rsid w:val="00791592"/>
    <w:rPr>
      <w:rFonts w:ascii="Arial" w:hAnsi="Arial"/>
      <w:sz w:val="24"/>
      <w:lang w:val="es-MX"/>
    </w:rPr>
  </w:style>
  <w:style w:type="paragraph" w:customStyle="1" w:styleId="Estilosegundonivel">
    <w:name w:val="Estilo segundo nivel"/>
    <w:basedOn w:val="Prrafodelista"/>
    <w:uiPriority w:val="1"/>
    <w:qFormat/>
    <w:rsid w:val="00791592"/>
    <w:pPr>
      <w:widowControl/>
      <w:numPr>
        <w:ilvl w:val="1"/>
        <w:numId w:val="3"/>
      </w:numPr>
      <w:tabs>
        <w:tab w:val="left" w:pos="709"/>
      </w:tabs>
      <w:autoSpaceDE w:val="0"/>
      <w:autoSpaceDN w:val="0"/>
      <w:spacing w:before="240"/>
      <w:contextualSpacing w:val="0"/>
      <w:jc w:val="both"/>
    </w:pPr>
    <w:rPr>
      <w:rFonts w:eastAsia="Arial" w:cs="Arial"/>
      <w:b/>
      <w:color w:val="231F20"/>
      <w:szCs w:val="22"/>
      <w:lang w:eastAsia="en-US"/>
    </w:rPr>
  </w:style>
  <w:style w:type="paragraph" w:customStyle="1" w:styleId="Estilo1tercernivel">
    <w:name w:val="Estilo1 tercer nivel"/>
    <w:basedOn w:val="Prrafodelista"/>
    <w:uiPriority w:val="1"/>
    <w:qFormat/>
    <w:rsid w:val="00791592"/>
    <w:pPr>
      <w:widowControl/>
      <w:numPr>
        <w:ilvl w:val="2"/>
        <w:numId w:val="3"/>
      </w:numPr>
      <w:autoSpaceDE w:val="0"/>
      <w:autoSpaceDN w:val="0"/>
      <w:spacing w:before="240"/>
      <w:ind w:left="4237"/>
      <w:contextualSpacing w:val="0"/>
    </w:pPr>
    <w:rPr>
      <w:rFonts w:eastAsia="Arial" w:cs="Arial"/>
      <w:b/>
      <w:color w:val="231F20"/>
      <w:sz w:val="22"/>
      <w:szCs w:val="22"/>
      <w:lang w:eastAsia="en-US"/>
    </w:rPr>
  </w:style>
  <w:style w:type="table" w:styleId="Tabladelista4-nfasis1">
    <w:name w:val="List Table 4 Accent 1"/>
    <w:basedOn w:val="Tablanormal"/>
    <w:uiPriority w:val="49"/>
    <w:rsid w:val="00791592"/>
    <w:rPr>
      <w:rFonts w:asciiTheme="minorHAnsi" w:eastAsiaTheme="minorHAnsi" w:hAnsiTheme="minorHAnsi" w:cstheme="minorBidi"/>
      <w:sz w:val="22"/>
      <w:szCs w:val="22"/>
      <w:lang w:val="es-MX"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Estilo7">
    <w:name w:val="Estilo7"/>
    <w:basedOn w:val="Normal"/>
    <w:link w:val="Estilo7Car"/>
    <w:qFormat/>
    <w:rsid w:val="00791592"/>
    <w:pPr>
      <w:widowControl/>
      <w:numPr>
        <w:numId w:val="5"/>
      </w:numPr>
      <w:spacing w:line="276" w:lineRule="auto"/>
      <w:ind w:left="567" w:hanging="567"/>
      <w:contextualSpacing/>
      <w:outlineLvl w:val="1"/>
    </w:pPr>
    <w:rPr>
      <w:rFonts w:eastAsiaTheme="minorHAnsi" w:cs="Arial"/>
      <w:smallCaps/>
      <w:color w:val="0070C0"/>
      <w:szCs w:val="26"/>
      <w:lang w:eastAsia="en-US"/>
    </w:rPr>
  </w:style>
  <w:style w:type="character" w:customStyle="1" w:styleId="Estilo7Car">
    <w:name w:val="Estilo7 Car"/>
    <w:basedOn w:val="Fuentedeprrafopredeter"/>
    <w:link w:val="Estilo7"/>
    <w:rsid w:val="00791592"/>
    <w:rPr>
      <w:rFonts w:ascii="Arial" w:eastAsiaTheme="minorHAnsi" w:hAnsi="Arial" w:cs="Arial"/>
      <w:smallCaps/>
      <w:color w:val="0070C0"/>
      <w:sz w:val="24"/>
      <w:szCs w:val="26"/>
      <w:lang w:val="es-MX" w:eastAsia="en-US"/>
    </w:rPr>
  </w:style>
  <w:style w:type="paragraph" w:styleId="Ttulo">
    <w:name w:val="Title"/>
    <w:basedOn w:val="Normal"/>
    <w:link w:val="TtuloCar"/>
    <w:qFormat/>
    <w:rsid w:val="00791592"/>
    <w:pPr>
      <w:widowControl/>
      <w:jc w:val="center"/>
    </w:pPr>
    <w:rPr>
      <w:b/>
      <w:lang w:val="es-ES"/>
    </w:rPr>
  </w:style>
  <w:style w:type="character" w:customStyle="1" w:styleId="TtuloCar">
    <w:name w:val="Título Car"/>
    <w:basedOn w:val="Fuentedeprrafopredeter"/>
    <w:link w:val="Ttulo"/>
    <w:rsid w:val="00791592"/>
    <w:rPr>
      <w:rFonts w:ascii="Arial" w:hAnsi="Arial"/>
      <w:b/>
      <w:sz w:val="24"/>
    </w:rPr>
  </w:style>
  <w:style w:type="character" w:customStyle="1" w:styleId="Mencinsinresolver2">
    <w:name w:val="Mención sin resolver2"/>
    <w:basedOn w:val="Fuentedeprrafopredeter"/>
    <w:uiPriority w:val="99"/>
    <w:semiHidden/>
    <w:unhideWhenUsed/>
    <w:rsid w:val="00791592"/>
    <w:rPr>
      <w:color w:val="605E5C"/>
      <w:shd w:val="clear" w:color="auto" w:fill="E1DFDD"/>
    </w:rPr>
  </w:style>
  <w:style w:type="character" w:customStyle="1" w:styleId="ui-provider">
    <w:name w:val="ui-provider"/>
    <w:basedOn w:val="Fuentedeprrafopredeter"/>
    <w:rsid w:val="00791592"/>
  </w:style>
  <w:style w:type="table" w:styleId="Tablaconcuadrcula6concolores-nfasis1">
    <w:name w:val="Grid Table 6 Colorful Accent 1"/>
    <w:basedOn w:val="Tablanormal"/>
    <w:uiPriority w:val="51"/>
    <w:rsid w:val="00791592"/>
    <w:rPr>
      <w:rFonts w:asciiTheme="minorHAnsi" w:eastAsiaTheme="minorHAnsi" w:hAnsiTheme="minorHAnsi" w:cstheme="minorBidi"/>
      <w:color w:val="365F91" w:themeColor="accent1" w:themeShade="BF"/>
      <w:sz w:val="22"/>
      <w:szCs w:val="22"/>
      <w:lang w:val="es-MX"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1Car">
    <w:name w:val="Título 1 Car"/>
    <w:basedOn w:val="Fuentedeprrafopredeter"/>
    <w:link w:val="Ttulo1"/>
    <w:rsid w:val="00B537EE"/>
    <w:rPr>
      <w:rFonts w:ascii="Arial" w:hAnsi="Arial"/>
      <w:b/>
      <w:color w:val="000000"/>
      <w:sz w:val="24"/>
      <w:lang w:val="es-MX"/>
    </w:rPr>
  </w:style>
  <w:style w:type="character" w:customStyle="1" w:styleId="Ttulo3Car">
    <w:name w:val="Título 3 Car"/>
    <w:basedOn w:val="Fuentedeprrafopredeter"/>
    <w:link w:val="Ttulo3"/>
    <w:rsid w:val="00B537EE"/>
    <w:rPr>
      <w:rFonts w:ascii="Arial" w:hAnsi="Arial"/>
      <w:sz w:val="28"/>
      <w:lang w:val="es-MX"/>
    </w:rPr>
  </w:style>
  <w:style w:type="character" w:customStyle="1" w:styleId="TextonotaalfinalCar">
    <w:name w:val="Texto nota al final Car"/>
    <w:basedOn w:val="Fuentedeprrafopredeter"/>
    <w:link w:val="Textonotaalfinal"/>
    <w:semiHidden/>
    <w:rsid w:val="00B537EE"/>
    <w:rPr>
      <w:rFonts w:ascii="Arial" w:hAnsi="Arial"/>
      <w:lang w:val="es-MX"/>
    </w:rPr>
  </w:style>
  <w:style w:type="character" w:customStyle="1" w:styleId="Sangra3detindependienteCar">
    <w:name w:val="Sangría 3 de t. independiente Car"/>
    <w:basedOn w:val="Fuentedeprrafopredeter"/>
    <w:link w:val="Sangra3detindependiente"/>
    <w:rsid w:val="00B537EE"/>
    <w:rPr>
      <w:rFonts w:ascii="Arial" w:hAnsi="Arial"/>
      <w:sz w:val="21"/>
    </w:rPr>
  </w:style>
  <w:style w:type="character" w:customStyle="1" w:styleId="Textoindependiente2Car">
    <w:name w:val="Texto independiente 2 Car"/>
    <w:basedOn w:val="Fuentedeprrafopredeter"/>
    <w:link w:val="Textoindependiente2"/>
    <w:rsid w:val="00B537EE"/>
    <w:rPr>
      <w:rFonts w:ascii="Arial" w:hAnsi="Arial"/>
      <w:color w:val="000000"/>
      <w:sz w:val="24"/>
      <w:lang w:val="es-MX"/>
    </w:rPr>
  </w:style>
  <w:style w:type="character" w:customStyle="1" w:styleId="MapadeldocumentoCar">
    <w:name w:val="Mapa del documento Car"/>
    <w:basedOn w:val="Fuentedeprrafopredeter"/>
    <w:link w:val="Mapadeldocumento"/>
    <w:semiHidden/>
    <w:rsid w:val="00B537EE"/>
    <w:rPr>
      <w:rFonts w:ascii="Tahoma" w:hAnsi="Tahoma"/>
      <w:sz w:val="24"/>
      <w:shd w:val="clear" w:color="auto" w:fill="000080"/>
      <w:lang w:val="es-MX"/>
    </w:rPr>
  </w:style>
  <w:style w:type="character" w:customStyle="1" w:styleId="Textoindependiente3Car">
    <w:name w:val="Texto independiente 3 Car"/>
    <w:basedOn w:val="Fuentedeprrafopredeter"/>
    <w:link w:val="Textoindependiente3"/>
    <w:rsid w:val="00B537EE"/>
    <w:rPr>
      <w:rFonts w:ascii="Arial" w:hAnsi="Arial"/>
      <w:sz w:val="24"/>
      <w:lang w:val="es-MX"/>
    </w:rPr>
  </w:style>
  <w:style w:type="paragraph" w:styleId="Listaconvietas">
    <w:name w:val="List Bullet"/>
    <w:basedOn w:val="Normal"/>
    <w:unhideWhenUsed/>
    <w:rsid w:val="003353B8"/>
    <w:pPr>
      <w:numPr>
        <w:numId w:val="1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22010">
      <w:bodyDiv w:val="1"/>
      <w:marLeft w:val="0"/>
      <w:marRight w:val="0"/>
      <w:marTop w:val="0"/>
      <w:marBottom w:val="0"/>
      <w:divBdr>
        <w:top w:val="none" w:sz="0" w:space="0" w:color="auto"/>
        <w:left w:val="none" w:sz="0" w:space="0" w:color="auto"/>
        <w:bottom w:val="none" w:sz="0" w:space="0" w:color="auto"/>
        <w:right w:val="none" w:sz="0" w:space="0" w:color="auto"/>
      </w:divBdr>
    </w:div>
    <w:div w:id="71971508">
      <w:bodyDiv w:val="1"/>
      <w:marLeft w:val="0"/>
      <w:marRight w:val="0"/>
      <w:marTop w:val="0"/>
      <w:marBottom w:val="0"/>
      <w:divBdr>
        <w:top w:val="none" w:sz="0" w:space="0" w:color="auto"/>
        <w:left w:val="none" w:sz="0" w:space="0" w:color="auto"/>
        <w:bottom w:val="none" w:sz="0" w:space="0" w:color="auto"/>
        <w:right w:val="none" w:sz="0" w:space="0" w:color="auto"/>
      </w:divBdr>
    </w:div>
    <w:div w:id="99498944">
      <w:bodyDiv w:val="1"/>
      <w:marLeft w:val="0"/>
      <w:marRight w:val="0"/>
      <w:marTop w:val="0"/>
      <w:marBottom w:val="0"/>
      <w:divBdr>
        <w:top w:val="none" w:sz="0" w:space="0" w:color="auto"/>
        <w:left w:val="none" w:sz="0" w:space="0" w:color="auto"/>
        <w:bottom w:val="none" w:sz="0" w:space="0" w:color="auto"/>
        <w:right w:val="none" w:sz="0" w:space="0" w:color="auto"/>
      </w:divBdr>
    </w:div>
    <w:div w:id="135146455">
      <w:bodyDiv w:val="1"/>
      <w:marLeft w:val="0"/>
      <w:marRight w:val="0"/>
      <w:marTop w:val="0"/>
      <w:marBottom w:val="0"/>
      <w:divBdr>
        <w:top w:val="none" w:sz="0" w:space="0" w:color="auto"/>
        <w:left w:val="none" w:sz="0" w:space="0" w:color="auto"/>
        <w:bottom w:val="none" w:sz="0" w:space="0" w:color="auto"/>
        <w:right w:val="none" w:sz="0" w:space="0" w:color="auto"/>
      </w:divBdr>
    </w:div>
    <w:div w:id="191849680">
      <w:bodyDiv w:val="1"/>
      <w:marLeft w:val="0"/>
      <w:marRight w:val="0"/>
      <w:marTop w:val="0"/>
      <w:marBottom w:val="0"/>
      <w:divBdr>
        <w:top w:val="none" w:sz="0" w:space="0" w:color="auto"/>
        <w:left w:val="none" w:sz="0" w:space="0" w:color="auto"/>
        <w:bottom w:val="none" w:sz="0" w:space="0" w:color="auto"/>
        <w:right w:val="none" w:sz="0" w:space="0" w:color="auto"/>
      </w:divBdr>
    </w:div>
    <w:div w:id="231934257">
      <w:bodyDiv w:val="1"/>
      <w:marLeft w:val="0"/>
      <w:marRight w:val="0"/>
      <w:marTop w:val="0"/>
      <w:marBottom w:val="0"/>
      <w:divBdr>
        <w:top w:val="none" w:sz="0" w:space="0" w:color="auto"/>
        <w:left w:val="none" w:sz="0" w:space="0" w:color="auto"/>
        <w:bottom w:val="none" w:sz="0" w:space="0" w:color="auto"/>
        <w:right w:val="none" w:sz="0" w:space="0" w:color="auto"/>
      </w:divBdr>
    </w:div>
    <w:div w:id="250626733">
      <w:bodyDiv w:val="1"/>
      <w:marLeft w:val="0"/>
      <w:marRight w:val="0"/>
      <w:marTop w:val="0"/>
      <w:marBottom w:val="0"/>
      <w:divBdr>
        <w:top w:val="none" w:sz="0" w:space="0" w:color="auto"/>
        <w:left w:val="none" w:sz="0" w:space="0" w:color="auto"/>
        <w:bottom w:val="none" w:sz="0" w:space="0" w:color="auto"/>
        <w:right w:val="none" w:sz="0" w:space="0" w:color="auto"/>
      </w:divBdr>
    </w:div>
    <w:div w:id="259066946">
      <w:bodyDiv w:val="1"/>
      <w:marLeft w:val="0"/>
      <w:marRight w:val="0"/>
      <w:marTop w:val="0"/>
      <w:marBottom w:val="0"/>
      <w:divBdr>
        <w:top w:val="none" w:sz="0" w:space="0" w:color="auto"/>
        <w:left w:val="none" w:sz="0" w:space="0" w:color="auto"/>
        <w:bottom w:val="none" w:sz="0" w:space="0" w:color="auto"/>
        <w:right w:val="none" w:sz="0" w:space="0" w:color="auto"/>
      </w:divBdr>
    </w:div>
    <w:div w:id="352808610">
      <w:bodyDiv w:val="1"/>
      <w:marLeft w:val="0"/>
      <w:marRight w:val="0"/>
      <w:marTop w:val="0"/>
      <w:marBottom w:val="0"/>
      <w:divBdr>
        <w:top w:val="none" w:sz="0" w:space="0" w:color="auto"/>
        <w:left w:val="none" w:sz="0" w:space="0" w:color="auto"/>
        <w:bottom w:val="none" w:sz="0" w:space="0" w:color="auto"/>
        <w:right w:val="none" w:sz="0" w:space="0" w:color="auto"/>
      </w:divBdr>
    </w:div>
    <w:div w:id="445542000">
      <w:bodyDiv w:val="1"/>
      <w:marLeft w:val="0"/>
      <w:marRight w:val="0"/>
      <w:marTop w:val="0"/>
      <w:marBottom w:val="0"/>
      <w:divBdr>
        <w:top w:val="none" w:sz="0" w:space="0" w:color="auto"/>
        <w:left w:val="none" w:sz="0" w:space="0" w:color="auto"/>
        <w:bottom w:val="none" w:sz="0" w:space="0" w:color="auto"/>
        <w:right w:val="none" w:sz="0" w:space="0" w:color="auto"/>
      </w:divBdr>
      <w:divsChild>
        <w:div w:id="53479852">
          <w:marLeft w:val="0"/>
          <w:marRight w:val="0"/>
          <w:marTop w:val="0"/>
          <w:marBottom w:val="0"/>
          <w:divBdr>
            <w:top w:val="none" w:sz="0" w:space="0" w:color="auto"/>
            <w:left w:val="none" w:sz="0" w:space="0" w:color="auto"/>
            <w:bottom w:val="none" w:sz="0" w:space="0" w:color="auto"/>
            <w:right w:val="none" w:sz="0" w:space="0" w:color="auto"/>
          </w:divBdr>
        </w:div>
      </w:divsChild>
    </w:div>
    <w:div w:id="519244648">
      <w:bodyDiv w:val="1"/>
      <w:marLeft w:val="0"/>
      <w:marRight w:val="0"/>
      <w:marTop w:val="0"/>
      <w:marBottom w:val="0"/>
      <w:divBdr>
        <w:top w:val="none" w:sz="0" w:space="0" w:color="auto"/>
        <w:left w:val="none" w:sz="0" w:space="0" w:color="auto"/>
        <w:bottom w:val="none" w:sz="0" w:space="0" w:color="auto"/>
        <w:right w:val="none" w:sz="0" w:space="0" w:color="auto"/>
      </w:divBdr>
    </w:div>
    <w:div w:id="525336691">
      <w:bodyDiv w:val="1"/>
      <w:marLeft w:val="0"/>
      <w:marRight w:val="0"/>
      <w:marTop w:val="0"/>
      <w:marBottom w:val="0"/>
      <w:divBdr>
        <w:top w:val="none" w:sz="0" w:space="0" w:color="auto"/>
        <w:left w:val="none" w:sz="0" w:space="0" w:color="auto"/>
        <w:bottom w:val="none" w:sz="0" w:space="0" w:color="auto"/>
        <w:right w:val="none" w:sz="0" w:space="0" w:color="auto"/>
      </w:divBdr>
    </w:div>
    <w:div w:id="527841009">
      <w:bodyDiv w:val="1"/>
      <w:marLeft w:val="0"/>
      <w:marRight w:val="0"/>
      <w:marTop w:val="0"/>
      <w:marBottom w:val="0"/>
      <w:divBdr>
        <w:top w:val="none" w:sz="0" w:space="0" w:color="auto"/>
        <w:left w:val="none" w:sz="0" w:space="0" w:color="auto"/>
        <w:bottom w:val="none" w:sz="0" w:space="0" w:color="auto"/>
        <w:right w:val="none" w:sz="0" w:space="0" w:color="auto"/>
      </w:divBdr>
    </w:div>
    <w:div w:id="565066206">
      <w:bodyDiv w:val="1"/>
      <w:marLeft w:val="0"/>
      <w:marRight w:val="0"/>
      <w:marTop w:val="0"/>
      <w:marBottom w:val="0"/>
      <w:divBdr>
        <w:top w:val="none" w:sz="0" w:space="0" w:color="auto"/>
        <w:left w:val="none" w:sz="0" w:space="0" w:color="auto"/>
        <w:bottom w:val="none" w:sz="0" w:space="0" w:color="auto"/>
        <w:right w:val="none" w:sz="0" w:space="0" w:color="auto"/>
      </w:divBdr>
    </w:div>
    <w:div w:id="591397173">
      <w:bodyDiv w:val="1"/>
      <w:marLeft w:val="0"/>
      <w:marRight w:val="0"/>
      <w:marTop w:val="0"/>
      <w:marBottom w:val="0"/>
      <w:divBdr>
        <w:top w:val="none" w:sz="0" w:space="0" w:color="auto"/>
        <w:left w:val="none" w:sz="0" w:space="0" w:color="auto"/>
        <w:bottom w:val="none" w:sz="0" w:space="0" w:color="auto"/>
        <w:right w:val="none" w:sz="0" w:space="0" w:color="auto"/>
      </w:divBdr>
    </w:div>
    <w:div w:id="609630905">
      <w:bodyDiv w:val="1"/>
      <w:marLeft w:val="0"/>
      <w:marRight w:val="0"/>
      <w:marTop w:val="0"/>
      <w:marBottom w:val="0"/>
      <w:divBdr>
        <w:top w:val="none" w:sz="0" w:space="0" w:color="auto"/>
        <w:left w:val="none" w:sz="0" w:space="0" w:color="auto"/>
        <w:bottom w:val="none" w:sz="0" w:space="0" w:color="auto"/>
        <w:right w:val="none" w:sz="0" w:space="0" w:color="auto"/>
      </w:divBdr>
    </w:div>
    <w:div w:id="629014740">
      <w:bodyDiv w:val="1"/>
      <w:marLeft w:val="0"/>
      <w:marRight w:val="0"/>
      <w:marTop w:val="0"/>
      <w:marBottom w:val="0"/>
      <w:divBdr>
        <w:top w:val="none" w:sz="0" w:space="0" w:color="auto"/>
        <w:left w:val="none" w:sz="0" w:space="0" w:color="auto"/>
        <w:bottom w:val="none" w:sz="0" w:space="0" w:color="auto"/>
        <w:right w:val="none" w:sz="0" w:space="0" w:color="auto"/>
      </w:divBdr>
    </w:div>
    <w:div w:id="661008708">
      <w:bodyDiv w:val="1"/>
      <w:marLeft w:val="0"/>
      <w:marRight w:val="0"/>
      <w:marTop w:val="0"/>
      <w:marBottom w:val="0"/>
      <w:divBdr>
        <w:top w:val="none" w:sz="0" w:space="0" w:color="auto"/>
        <w:left w:val="none" w:sz="0" w:space="0" w:color="auto"/>
        <w:bottom w:val="none" w:sz="0" w:space="0" w:color="auto"/>
        <w:right w:val="none" w:sz="0" w:space="0" w:color="auto"/>
      </w:divBdr>
    </w:div>
    <w:div w:id="807893540">
      <w:bodyDiv w:val="1"/>
      <w:marLeft w:val="0"/>
      <w:marRight w:val="0"/>
      <w:marTop w:val="0"/>
      <w:marBottom w:val="0"/>
      <w:divBdr>
        <w:top w:val="none" w:sz="0" w:space="0" w:color="auto"/>
        <w:left w:val="none" w:sz="0" w:space="0" w:color="auto"/>
        <w:bottom w:val="none" w:sz="0" w:space="0" w:color="auto"/>
        <w:right w:val="none" w:sz="0" w:space="0" w:color="auto"/>
      </w:divBdr>
    </w:div>
    <w:div w:id="874586678">
      <w:bodyDiv w:val="1"/>
      <w:marLeft w:val="0"/>
      <w:marRight w:val="0"/>
      <w:marTop w:val="0"/>
      <w:marBottom w:val="0"/>
      <w:divBdr>
        <w:top w:val="none" w:sz="0" w:space="0" w:color="auto"/>
        <w:left w:val="none" w:sz="0" w:space="0" w:color="auto"/>
        <w:bottom w:val="none" w:sz="0" w:space="0" w:color="auto"/>
        <w:right w:val="none" w:sz="0" w:space="0" w:color="auto"/>
      </w:divBdr>
      <w:divsChild>
        <w:div w:id="753476008">
          <w:marLeft w:val="0"/>
          <w:marRight w:val="0"/>
          <w:marTop w:val="0"/>
          <w:marBottom w:val="0"/>
          <w:divBdr>
            <w:top w:val="none" w:sz="0" w:space="0" w:color="auto"/>
            <w:left w:val="none" w:sz="0" w:space="0" w:color="auto"/>
            <w:bottom w:val="none" w:sz="0" w:space="0" w:color="auto"/>
            <w:right w:val="none" w:sz="0" w:space="0" w:color="auto"/>
          </w:divBdr>
        </w:div>
      </w:divsChild>
    </w:div>
    <w:div w:id="935287566">
      <w:bodyDiv w:val="1"/>
      <w:marLeft w:val="0"/>
      <w:marRight w:val="0"/>
      <w:marTop w:val="0"/>
      <w:marBottom w:val="0"/>
      <w:divBdr>
        <w:top w:val="none" w:sz="0" w:space="0" w:color="auto"/>
        <w:left w:val="none" w:sz="0" w:space="0" w:color="auto"/>
        <w:bottom w:val="none" w:sz="0" w:space="0" w:color="auto"/>
        <w:right w:val="none" w:sz="0" w:space="0" w:color="auto"/>
      </w:divBdr>
    </w:div>
    <w:div w:id="984505096">
      <w:bodyDiv w:val="1"/>
      <w:marLeft w:val="0"/>
      <w:marRight w:val="0"/>
      <w:marTop w:val="0"/>
      <w:marBottom w:val="0"/>
      <w:divBdr>
        <w:top w:val="none" w:sz="0" w:space="0" w:color="auto"/>
        <w:left w:val="none" w:sz="0" w:space="0" w:color="auto"/>
        <w:bottom w:val="none" w:sz="0" w:space="0" w:color="auto"/>
        <w:right w:val="none" w:sz="0" w:space="0" w:color="auto"/>
      </w:divBdr>
    </w:div>
    <w:div w:id="994142343">
      <w:bodyDiv w:val="1"/>
      <w:marLeft w:val="0"/>
      <w:marRight w:val="0"/>
      <w:marTop w:val="0"/>
      <w:marBottom w:val="0"/>
      <w:divBdr>
        <w:top w:val="none" w:sz="0" w:space="0" w:color="auto"/>
        <w:left w:val="none" w:sz="0" w:space="0" w:color="auto"/>
        <w:bottom w:val="none" w:sz="0" w:space="0" w:color="auto"/>
        <w:right w:val="none" w:sz="0" w:space="0" w:color="auto"/>
      </w:divBdr>
    </w:div>
    <w:div w:id="1049769898">
      <w:bodyDiv w:val="1"/>
      <w:marLeft w:val="0"/>
      <w:marRight w:val="0"/>
      <w:marTop w:val="0"/>
      <w:marBottom w:val="0"/>
      <w:divBdr>
        <w:top w:val="none" w:sz="0" w:space="0" w:color="auto"/>
        <w:left w:val="none" w:sz="0" w:space="0" w:color="auto"/>
        <w:bottom w:val="none" w:sz="0" w:space="0" w:color="auto"/>
        <w:right w:val="none" w:sz="0" w:space="0" w:color="auto"/>
      </w:divBdr>
    </w:div>
    <w:div w:id="1268192494">
      <w:bodyDiv w:val="1"/>
      <w:marLeft w:val="0"/>
      <w:marRight w:val="0"/>
      <w:marTop w:val="0"/>
      <w:marBottom w:val="0"/>
      <w:divBdr>
        <w:top w:val="none" w:sz="0" w:space="0" w:color="auto"/>
        <w:left w:val="none" w:sz="0" w:space="0" w:color="auto"/>
        <w:bottom w:val="none" w:sz="0" w:space="0" w:color="auto"/>
        <w:right w:val="none" w:sz="0" w:space="0" w:color="auto"/>
      </w:divBdr>
    </w:div>
    <w:div w:id="1320690148">
      <w:bodyDiv w:val="1"/>
      <w:marLeft w:val="0"/>
      <w:marRight w:val="0"/>
      <w:marTop w:val="0"/>
      <w:marBottom w:val="0"/>
      <w:divBdr>
        <w:top w:val="none" w:sz="0" w:space="0" w:color="auto"/>
        <w:left w:val="none" w:sz="0" w:space="0" w:color="auto"/>
        <w:bottom w:val="none" w:sz="0" w:space="0" w:color="auto"/>
        <w:right w:val="none" w:sz="0" w:space="0" w:color="auto"/>
      </w:divBdr>
    </w:div>
    <w:div w:id="1361316150">
      <w:bodyDiv w:val="1"/>
      <w:marLeft w:val="0"/>
      <w:marRight w:val="0"/>
      <w:marTop w:val="0"/>
      <w:marBottom w:val="0"/>
      <w:divBdr>
        <w:top w:val="none" w:sz="0" w:space="0" w:color="auto"/>
        <w:left w:val="none" w:sz="0" w:space="0" w:color="auto"/>
        <w:bottom w:val="none" w:sz="0" w:space="0" w:color="auto"/>
        <w:right w:val="none" w:sz="0" w:space="0" w:color="auto"/>
      </w:divBdr>
      <w:divsChild>
        <w:div w:id="809370987">
          <w:marLeft w:val="0"/>
          <w:marRight w:val="0"/>
          <w:marTop w:val="0"/>
          <w:marBottom w:val="0"/>
          <w:divBdr>
            <w:top w:val="none" w:sz="0" w:space="0" w:color="auto"/>
            <w:left w:val="none" w:sz="0" w:space="0" w:color="auto"/>
            <w:bottom w:val="none" w:sz="0" w:space="0" w:color="auto"/>
            <w:right w:val="none" w:sz="0" w:space="0" w:color="auto"/>
          </w:divBdr>
        </w:div>
      </w:divsChild>
    </w:div>
    <w:div w:id="1434280424">
      <w:bodyDiv w:val="1"/>
      <w:marLeft w:val="0"/>
      <w:marRight w:val="0"/>
      <w:marTop w:val="0"/>
      <w:marBottom w:val="0"/>
      <w:divBdr>
        <w:top w:val="none" w:sz="0" w:space="0" w:color="auto"/>
        <w:left w:val="none" w:sz="0" w:space="0" w:color="auto"/>
        <w:bottom w:val="none" w:sz="0" w:space="0" w:color="auto"/>
        <w:right w:val="none" w:sz="0" w:space="0" w:color="auto"/>
      </w:divBdr>
    </w:div>
    <w:div w:id="1522863908">
      <w:bodyDiv w:val="1"/>
      <w:marLeft w:val="0"/>
      <w:marRight w:val="0"/>
      <w:marTop w:val="0"/>
      <w:marBottom w:val="0"/>
      <w:divBdr>
        <w:top w:val="none" w:sz="0" w:space="0" w:color="auto"/>
        <w:left w:val="none" w:sz="0" w:space="0" w:color="auto"/>
        <w:bottom w:val="none" w:sz="0" w:space="0" w:color="auto"/>
        <w:right w:val="none" w:sz="0" w:space="0" w:color="auto"/>
      </w:divBdr>
    </w:div>
    <w:div w:id="1545167537">
      <w:bodyDiv w:val="1"/>
      <w:marLeft w:val="0"/>
      <w:marRight w:val="0"/>
      <w:marTop w:val="0"/>
      <w:marBottom w:val="0"/>
      <w:divBdr>
        <w:top w:val="none" w:sz="0" w:space="0" w:color="auto"/>
        <w:left w:val="none" w:sz="0" w:space="0" w:color="auto"/>
        <w:bottom w:val="none" w:sz="0" w:space="0" w:color="auto"/>
        <w:right w:val="none" w:sz="0" w:space="0" w:color="auto"/>
      </w:divBdr>
    </w:div>
    <w:div w:id="1602487432">
      <w:bodyDiv w:val="1"/>
      <w:marLeft w:val="0"/>
      <w:marRight w:val="0"/>
      <w:marTop w:val="0"/>
      <w:marBottom w:val="0"/>
      <w:divBdr>
        <w:top w:val="none" w:sz="0" w:space="0" w:color="auto"/>
        <w:left w:val="none" w:sz="0" w:space="0" w:color="auto"/>
        <w:bottom w:val="none" w:sz="0" w:space="0" w:color="auto"/>
        <w:right w:val="none" w:sz="0" w:space="0" w:color="auto"/>
      </w:divBdr>
    </w:div>
    <w:div w:id="1611745544">
      <w:bodyDiv w:val="1"/>
      <w:marLeft w:val="0"/>
      <w:marRight w:val="0"/>
      <w:marTop w:val="0"/>
      <w:marBottom w:val="0"/>
      <w:divBdr>
        <w:top w:val="none" w:sz="0" w:space="0" w:color="auto"/>
        <w:left w:val="none" w:sz="0" w:space="0" w:color="auto"/>
        <w:bottom w:val="none" w:sz="0" w:space="0" w:color="auto"/>
        <w:right w:val="none" w:sz="0" w:space="0" w:color="auto"/>
      </w:divBdr>
    </w:div>
    <w:div w:id="1615135016">
      <w:bodyDiv w:val="1"/>
      <w:marLeft w:val="0"/>
      <w:marRight w:val="0"/>
      <w:marTop w:val="0"/>
      <w:marBottom w:val="0"/>
      <w:divBdr>
        <w:top w:val="none" w:sz="0" w:space="0" w:color="auto"/>
        <w:left w:val="none" w:sz="0" w:space="0" w:color="auto"/>
        <w:bottom w:val="none" w:sz="0" w:space="0" w:color="auto"/>
        <w:right w:val="none" w:sz="0" w:space="0" w:color="auto"/>
      </w:divBdr>
    </w:div>
    <w:div w:id="1622960236">
      <w:bodyDiv w:val="1"/>
      <w:marLeft w:val="0"/>
      <w:marRight w:val="0"/>
      <w:marTop w:val="0"/>
      <w:marBottom w:val="0"/>
      <w:divBdr>
        <w:top w:val="none" w:sz="0" w:space="0" w:color="auto"/>
        <w:left w:val="none" w:sz="0" w:space="0" w:color="auto"/>
        <w:bottom w:val="none" w:sz="0" w:space="0" w:color="auto"/>
        <w:right w:val="none" w:sz="0" w:space="0" w:color="auto"/>
      </w:divBdr>
    </w:div>
    <w:div w:id="1639994757">
      <w:bodyDiv w:val="1"/>
      <w:marLeft w:val="0"/>
      <w:marRight w:val="0"/>
      <w:marTop w:val="0"/>
      <w:marBottom w:val="0"/>
      <w:divBdr>
        <w:top w:val="none" w:sz="0" w:space="0" w:color="auto"/>
        <w:left w:val="none" w:sz="0" w:space="0" w:color="auto"/>
        <w:bottom w:val="none" w:sz="0" w:space="0" w:color="auto"/>
        <w:right w:val="none" w:sz="0" w:space="0" w:color="auto"/>
      </w:divBdr>
      <w:divsChild>
        <w:div w:id="860244736">
          <w:marLeft w:val="0"/>
          <w:marRight w:val="0"/>
          <w:marTop w:val="0"/>
          <w:marBottom w:val="0"/>
          <w:divBdr>
            <w:top w:val="none" w:sz="0" w:space="0" w:color="auto"/>
            <w:left w:val="none" w:sz="0" w:space="0" w:color="auto"/>
            <w:bottom w:val="none" w:sz="0" w:space="0" w:color="auto"/>
            <w:right w:val="none" w:sz="0" w:space="0" w:color="auto"/>
          </w:divBdr>
        </w:div>
      </w:divsChild>
    </w:div>
    <w:div w:id="1711565424">
      <w:bodyDiv w:val="1"/>
      <w:marLeft w:val="0"/>
      <w:marRight w:val="0"/>
      <w:marTop w:val="0"/>
      <w:marBottom w:val="0"/>
      <w:divBdr>
        <w:top w:val="none" w:sz="0" w:space="0" w:color="auto"/>
        <w:left w:val="none" w:sz="0" w:space="0" w:color="auto"/>
        <w:bottom w:val="none" w:sz="0" w:space="0" w:color="auto"/>
        <w:right w:val="none" w:sz="0" w:space="0" w:color="auto"/>
      </w:divBdr>
      <w:divsChild>
        <w:div w:id="311056693">
          <w:marLeft w:val="0"/>
          <w:marRight w:val="0"/>
          <w:marTop w:val="0"/>
          <w:marBottom w:val="0"/>
          <w:divBdr>
            <w:top w:val="none" w:sz="0" w:space="0" w:color="auto"/>
            <w:left w:val="none" w:sz="0" w:space="0" w:color="auto"/>
            <w:bottom w:val="none" w:sz="0" w:space="0" w:color="auto"/>
            <w:right w:val="none" w:sz="0" w:space="0" w:color="auto"/>
          </w:divBdr>
        </w:div>
      </w:divsChild>
    </w:div>
    <w:div w:id="1757901223">
      <w:bodyDiv w:val="1"/>
      <w:marLeft w:val="0"/>
      <w:marRight w:val="0"/>
      <w:marTop w:val="0"/>
      <w:marBottom w:val="0"/>
      <w:divBdr>
        <w:top w:val="none" w:sz="0" w:space="0" w:color="auto"/>
        <w:left w:val="none" w:sz="0" w:space="0" w:color="auto"/>
        <w:bottom w:val="none" w:sz="0" w:space="0" w:color="auto"/>
        <w:right w:val="none" w:sz="0" w:space="0" w:color="auto"/>
      </w:divBdr>
    </w:div>
    <w:div w:id="1780222094">
      <w:bodyDiv w:val="1"/>
      <w:marLeft w:val="0"/>
      <w:marRight w:val="0"/>
      <w:marTop w:val="0"/>
      <w:marBottom w:val="0"/>
      <w:divBdr>
        <w:top w:val="none" w:sz="0" w:space="0" w:color="auto"/>
        <w:left w:val="none" w:sz="0" w:space="0" w:color="auto"/>
        <w:bottom w:val="none" w:sz="0" w:space="0" w:color="auto"/>
        <w:right w:val="none" w:sz="0" w:space="0" w:color="auto"/>
      </w:divBdr>
    </w:div>
    <w:div w:id="1784425422">
      <w:bodyDiv w:val="1"/>
      <w:marLeft w:val="0"/>
      <w:marRight w:val="0"/>
      <w:marTop w:val="0"/>
      <w:marBottom w:val="0"/>
      <w:divBdr>
        <w:top w:val="none" w:sz="0" w:space="0" w:color="auto"/>
        <w:left w:val="none" w:sz="0" w:space="0" w:color="auto"/>
        <w:bottom w:val="none" w:sz="0" w:space="0" w:color="auto"/>
        <w:right w:val="none" w:sz="0" w:space="0" w:color="auto"/>
      </w:divBdr>
      <w:divsChild>
        <w:div w:id="301008963">
          <w:marLeft w:val="0"/>
          <w:marRight w:val="0"/>
          <w:marTop w:val="0"/>
          <w:marBottom w:val="0"/>
          <w:divBdr>
            <w:top w:val="none" w:sz="0" w:space="0" w:color="auto"/>
            <w:left w:val="none" w:sz="0" w:space="0" w:color="auto"/>
            <w:bottom w:val="none" w:sz="0" w:space="0" w:color="auto"/>
            <w:right w:val="none" w:sz="0" w:space="0" w:color="auto"/>
          </w:divBdr>
        </w:div>
      </w:divsChild>
    </w:div>
    <w:div w:id="1794520489">
      <w:bodyDiv w:val="1"/>
      <w:marLeft w:val="0"/>
      <w:marRight w:val="0"/>
      <w:marTop w:val="0"/>
      <w:marBottom w:val="0"/>
      <w:divBdr>
        <w:top w:val="none" w:sz="0" w:space="0" w:color="auto"/>
        <w:left w:val="none" w:sz="0" w:space="0" w:color="auto"/>
        <w:bottom w:val="none" w:sz="0" w:space="0" w:color="auto"/>
        <w:right w:val="none" w:sz="0" w:space="0" w:color="auto"/>
      </w:divBdr>
    </w:div>
    <w:div w:id="1920557762">
      <w:bodyDiv w:val="1"/>
      <w:marLeft w:val="0"/>
      <w:marRight w:val="0"/>
      <w:marTop w:val="0"/>
      <w:marBottom w:val="0"/>
      <w:divBdr>
        <w:top w:val="none" w:sz="0" w:space="0" w:color="auto"/>
        <w:left w:val="none" w:sz="0" w:space="0" w:color="auto"/>
        <w:bottom w:val="none" w:sz="0" w:space="0" w:color="auto"/>
        <w:right w:val="none" w:sz="0" w:space="0" w:color="auto"/>
      </w:divBdr>
    </w:div>
    <w:div w:id="1967079300">
      <w:bodyDiv w:val="1"/>
      <w:marLeft w:val="0"/>
      <w:marRight w:val="0"/>
      <w:marTop w:val="0"/>
      <w:marBottom w:val="0"/>
      <w:divBdr>
        <w:top w:val="none" w:sz="0" w:space="0" w:color="auto"/>
        <w:left w:val="none" w:sz="0" w:space="0" w:color="auto"/>
        <w:bottom w:val="none" w:sz="0" w:space="0" w:color="auto"/>
        <w:right w:val="none" w:sz="0" w:space="0" w:color="auto"/>
      </w:divBdr>
    </w:div>
    <w:div w:id="2042246718">
      <w:bodyDiv w:val="1"/>
      <w:marLeft w:val="0"/>
      <w:marRight w:val="0"/>
      <w:marTop w:val="0"/>
      <w:marBottom w:val="0"/>
      <w:divBdr>
        <w:top w:val="none" w:sz="0" w:space="0" w:color="auto"/>
        <w:left w:val="none" w:sz="0" w:space="0" w:color="auto"/>
        <w:bottom w:val="none" w:sz="0" w:space="0" w:color="auto"/>
        <w:right w:val="none" w:sz="0" w:space="0" w:color="auto"/>
      </w:divBdr>
      <w:divsChild>
        <w:div w:id="945817140">
          <w:marLeft w:val="0"/>
          <w:marRight w:val="0"/>
          <w:marTop w:val="0"/>
          <w:marBottom w:val="0"/>
          <w:divBdr>
            <w:top w:val="none" w:sz="0" w:space="0" w:color="auto"/>
            <w:left w:val="none" w:sz="0" w:space="0" w:color="auto"/>
            <w:bottom w:val="none" w:sz="0" w:space="0" w:color="auto"/>
            <w:right w:val="none" w:sz="0" w:space="0" w:color="auto"/>
          </w:divBdr>
        </w:div>
      </w:divsChild>
    </w:div>
    <w:div w:id="212665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hyperlink" Target="https://www.instagram.com/inegi_informa/" TargetMode="External"/><Relationship Id="rId26" Type="http://schemas.openxmlformats.org/officeDocument/2006/relationships/chart" Target="charts/chart3.xml"/><Relationship Id="rId39" Type="http://schemas.openxmlformats.org/officeDocument/2006/relationships/chart" Target="charts/chart16.xml"/><Relationship Id="rId21" Type="http://schemas.openxmlformats.org/officeDocument/2006/relationships/image" Target="media/image5.png"/><Relationship Id="rId34" Type="http://schemas.openxmlformats.org/officeDocument/2006/relationships/chart" Target="charts/chart11.xm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facebook.com/INEGIInforma/" TargetMode="External"/><Relationship Id="rId20" Type="http://schemas.openxmlformats.org/officeDocument/2006/relationships/hyperlink" Target="https://twitter.com/INEGI_INFORMA" TargetMode="External"/><Relationship Id="rId29" Type="http://schemas.openxmlformats.org/officeDocument/2006/relationships/chart" Target="charts/chart6.xm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inegi.org.mx/" TargetMode="External"/><Relationship Id="rId32" Type="http://schemas.openxmlformats.org/officeDocument/2006/relationships/chart" Target="charts/chart9.xml"/><Relationship Id="rId37" Type="http://schemas.openxmlformats.org/officeDocument/2006/relationships/chart" Target="charts/chart14.xml"/><Relationship Id="rId40" Type="http://schemas.openxmlformats.org/officeDocument/2006/relationships/hyperlink" Target="https://www.inegi.org.mx/programas/enti/2022/" TargetMode="External"/><Relationship Id="rId5" Type="http://schemas.openxmlformats.org/officeDocument/2006/relationships/numbering" Target="numbering.xml"/><Relationship Id="rId15" Type="http://schemas.openxmlformats.org/officeDocument/2006/relationships/hyperlink" Target="mailto:comunicacionsocial@inegi.org.mx" TargetMode="External"/><Relationship Id="rId23" Type="http://schemas.openxmlformats.org/officeDocument/2006/relationships/image" Target="media/image6.png"/><Relationship Id="rId28" Type="http://schemas.openxmlformats.org/officeDocument/2006/relationships/chart" Target="charts/chart5.xml"/><Relationship Id="rId36" Type="http://schemas.openxmlformats.org/officeDocument/2006/relationships/chart" Target="charts/chart13.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chart" Target="charts/chart8.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 Id="rId22" Type="http://schemas.openxmlformats.org/officeDocument/2006/relationships/hyperlink" Target="https://www.youtube.com/user/INEGIInforma" TargetMode="External"/><Relationship Id="rId27" Type="http://schemas.openxmlformats.org/officeDocument/2006/relationships/chart" Target="charts/chart4.xml"/><Relationship Id="rId30" Type="http://schemas.openxmlformats.org/officeDocument/2006/relationships/chart" Target="charts/chart7.xml"/><Relationship Id="rId35" Type="http://schemas.openxmlformats.org/officeDocument/2006/relationships/chart" Target="charts/chart12.xm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3.png"/><Relationship Id="rId25" Type="http://schemas.openxmlformats.org/officeDocument/2006/relationships/image" Target="media/image7.png"/><Relationship Id="rId33" Type="http://schemas.openxmlformats.org/officeDocument/2006/relationships/chart" Target="charts/chart10.xml"/><Relationship Id="rId38" Type="http://schemas.openxmlformats.org/officeDocument/2006/relationships/chart" Target="charts/chart15.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oleObject" Target="https://365inegi.sharepoint.com/sites/ENTI20222/Documentos%20compartidos/Bolet&#237;n/INSUMOS%20BOLETIN%20ENTI%202022.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https://365inegi.sharepoint.com/sites/ENTI20222/Documentos%20compartidos/Bolet&#237;n/INSUMOS%20BOLETIN%20ENTI%202022.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https://365inegi.sharepoint.com/sites/ENTI20222/Documentos%20compartidos/Bolet&#237;n/INSUMOS%20BOLETIN%20ENTI%202022.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https://365inegi.sharepoint.com/sites/ENTI20222/Documentos%20compartidos/Bolet&#237;n/INSUMOS%20BOLETIN%20ENTI%202022.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https://365inegi.sharepoint.com/sites/ENTI20222/Documentos%20compartidos/Bolet&#237;n/INSUMOS%20BOLETIN%20ENTI%202022.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https://365inegi.sharepoint.com/sites/ENTI20222/Documentos%20compartidos/Bolet&#237;n/INSUMOS%20BOLETIN%20ENTI%202022.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https://365inegi.sharepoint.com/sites/ENTI20222/Documentos%20compartidos/Bolet&#237;n/INSUMOS%20BOLETIN%20ENTI%202022.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https://365inegi.sharepoint.com/sites/ENTI20222/Documentos%20compartidos/Bolet&#237;n/INSUMOS%20BOLETIN%20ENTI%202022.xlsx" TargetMode="External"/><Relationship Id="rId2" Type="http://schemas.microsoft.com/office/2011/relationships/chartColorStyle" Target="colors16.xml"/><Relationship Id="rId1" Type="http://schemas.microsoft.com/office/2011/relationships/chartStyle" Target="style16.xml"/></Relationships>
</file>

<file path=word/charts/_rels/chart2.xml.rels><?xml version="1.0" encoding="UTF-8" standalone="yes"?>
<Relationships xmlns="http://schemas.openxmlformats.org/package/2006/relationships"><Relationship Id="rId3" Type="http://schemas.openxmlformats.org/officeDocument/2006/relationships/oleObject" Target="https://365inegi.sharepoint.com/sites/ENTI20222/Documentos%20compartidos/Bolet&#237;n/INSUMOS%20BOLETIN%20ENTI%20202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365inegi.sharepoint.com/sites/ENTI20222/Documentos%20compartidos/Bolet&#237;n/INSUMOS%20BOLETIN%20ENTI%202022.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365inegi.sharepoint.com/sites/ENTI20222/Documentos%20compartidos/Bolet&#237;n/INSUMOS%20BOLETIN%20ENTI%202022.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365inegi.sharepoint.com/sites/ENTI20222/Documentos%20compartidos/Bolet&#237;n/INSUMOS%20BOLETIN%20ENTI%202022.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365inegi.sharepoint.com/sites/ENTI20222/Documentos%20compartidos/Bolet&#237;n/INSUMOS%20BOLETIN%20ENTI%202022.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365inegi.sharepoint.com/sites/ENTI20222/Documentos%20compartidos/Bolet&#237;n/INSUMOS%20BOLETIN%20ENTI%202022.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365inegi.sharepoint.com/sites/ENTI20222/Documentos%20compartidos/Bolet&#237;n/INSUMOS%20BOLETIN%20ENTI%202022.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https://365inegi.sharepoint.com/sites/ENTI20222/Documentos%20compartidos/Bolet&#237;n/INSUMOS%20BOLETIN%20ENTI%202022.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0684968395101903E-3"/>
          <c:y val="1.90171542085271E-2"/>
          <c:w val="0.99755597291070452"/>
          <c:h val="0.83994149775850546"/>
        </c:manualLayout>
      </c:layout>
      <c:barChart>
        <c:barDir val="col"/>
        <c:grouping val="clustered"/>
        <c:varyColors val="0"/>
        <c:ser>
          <c:idx val="0"/>
          <c:order val="0"/>
          <c:tx>
            <c:strRef>
              <c:f>'[INSUMOS BOLETIN ENTI 2022.xlsx]G2'!$B$42</c:f>
              <c:strCache>
                <c:ptCount val="1"/>
                <c:pt idx="0">
                  <c:v>Total</c:v>
                </c:pt>
              </c:strCache>
            </c:strRef>
          </c:tx>
          <c:spPr>
            <a:solidFill>
              <a:srgbClr val="338B99"/>
            </a:solidFill>
            <a:ln>
              <a:solidFill>
                <a:srgbClr val="338B99"/>
              </a:solid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'[INSUMOS BOLETIN ENTI 2022.xlsx]G2'!$C$58:$F$58</c:f>
                <c:numCache>
                  <c:formatCode>General</c:formatCode>
                  <c:ptCount val="4"/>
                  <c:pt idx="0">
                    <c:v>0.22157231472060968</c:v>
                  </c:pt>
                  <c:pt idx="1">
                    <c:v>0.23660367278121175</c:v>
                  </c:pt>
                  <c:pt idx="2">
                    <c:v>0.41036788054872186</c:v>
                  </c:pt>
                  <c:pt idx="3">
                    <c:v>0.23490370322692833</c:v>
                  </c:pt>
                </c:numCache>
              </c:numRef>
            </c:plus>
            <c:minus>
              <c:numRef>
                <c:f>'[INSUMOS BOLETIN ENTI 2022.xlsx]G2'!$C$58:$F$58</c:f>
                <c:numCache>
                  <c:formatCode>General</c:formatCode>
                  <c:ptCount val="4"/>
                  <c:pt idx="0">
                    <c:v>0.22157231472060968</c:v>
                  </c:pt>
                  <c:pt idx="1">
                    <c:v>0.23660367278121175</c:v>
                  </c:pt>
                  <c:pt idx="2">
                    <c:v>0.41036788054872186</c:v>
                  </c:pt>
                  <c:pt idx="3">
                    <c:v>0.23490370322692833</c:v>
                  </c:pt>
                </c:numCache>
              </c:numRef>
            </c:minus>
            <c:spPr>
              <a:noFill/>
              <a:ln w="25400" cap="flat" cmpd="sng" algn="ctr">
                <a:solidFill>
                  <a:srgbClr val="006E80"/>
                </a:solidFill>
                <a:round/>
              </a:ln>
              <a:effectLst/>
            </c:spPr>
          </c:errBars>
          <c:cat>
            <c:numRef>
              <c:f>'[INSUMOS BOLETIN ENTI 2022.xlsx]G2'!$C$41:$F$41</c:f>
              <c:numCache>
                <c:formatCode>General</c:formatCode>
                <c:ptCount val="4"/>
                <c:pt idx="0">
                  <c:v>2015</c:v>
                </c:pt>
                <c:pt idx="1">
                  <c:v>2017</c:v>
                </c:pt>
                <c:pt idx="2">
                  <c:v>2019</c:v>
                </c:pt>
                <c:pt idx="3">
                  <c:v>2022</c:v>
                </c:pt>
              </c:numCache>
            </c:numRef>
          </c:cat>
          <c:val>
            <c:numRef>
              <c:f>'[INSUMOS BOLETIN ENTI 2022.xlsx]G2'!$C$42:$F$42</c:f>
              <c:numCache>
                <c:formatCode>0.0</c:formatCode>
                <c:ptCount val="4"/>
                <c:pt idx="0">
                  <c:v>12.345150337781611</c:v>
                </c:pt>
                <c:pt idx="1">
                  <c:v>11.010415186325902</c:v>
                </c:pt>
                <c:pt idx="2">
                  <c:v>11.429003270449831</c:v>
                </c:pt>
                <c:pt idx="3">
                  <c:v>13.134166242307465</c:v>
                </c:pt>
              </c:numCache>
            </c:numRef>
          </c:val>
          <c:extLst>
            <c:ext xmlns:c16="http://schemas.microsoft.com/office/drawing/2014/chart" uri="{C3380CC4-5D6E-409C-BE32-E72D297353CC}">
              <c16:uniqueId val="{00000000-F70D-4F78-BBBC-7E0C4D11FB34}"/>
            </c:ext>
          </c:extLst>
        </c:ser>
        <c:ser>
          <c:idx val="1"/>
          <c:order val="1"/>
          <c:tx>
            <c:strRef>
              <c:f>'[INSUMOS BOLETIN ENTI 2022.xlsx]G2'!$B$43</c:f>
              <c:strCache>
                <c:ptCount val="1"/>
                <c:pt idx="0">
                  <c:v>Niños</c:v>
                </c:pt>
              </c:strCache>
            </c:strRef>
          </c:tx>
          <c:spPr>
            <a:solidFill>
              <a:srgbClr val="66A8B3"/>
            </a:solidFill>
            <a:ln>
              <a:solidFill>
                <a:srgbClr val="66A8B3"/>
              </a:solid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'[INSUMOS BOLETIN ENTI 2022.xlsx]G2'!$C$59:$F$59</c:f>
                <c:numCache>
                  <c:formatCode>General</c:formatCode>
                  <c:ptCount val="4"/>
                  <c:pt idx="0">
                    <c:v>0.32989176034115708</c:v>
                  </c:pt>
                  <c:pt idx="1">
                    <c:v>0.34599762330315809</c:v>
                  </c:pt>
                  <c:pt idx="2">
                    <c:v>0.52503714149904468</c:v>
                  </c:pt>
                  <c:pt idx="3">
                    <c:v>0.30133628365823117</c:v>
                  </c:pt>
                </c:numCache>
              </c:numRef>
            </c:plus>
            <c:minus>
              <c:numRef>
                <c:f>'[INSUMOS BOLETIN ENTI 2022.xlsx]G2'!$C$59:$F$59</c:f>
                <c:numCache>
                  <c:formatCode>General</c:formatCode>
                  <c:ptCount val="4"/>
                  <c:pt idx="0">
                    <c:v>0.32989176034115708</c:v>
                  </c:pt>
                  <c:pt idx="1">
                    <c:v>0.34599762330315809</c:v>
                  </c:pt>
                  <c:pt idx="2">
                    <c:v>0.52503714149904468</c:v>
                  </c:pt>
                  <c:pt idx="3">
                    <c:v>0.30133628365823117</c:v>
                  </c:pt>
                </c:numCache>
              </c:numRef>
            </c:minus>
            <c:spPr>
              <a:noFill/>
              <a:ln w="25400" cap="flat" cmpd="sng" algn="ctr">
                <a:solidFill>
                  <a:srgbClr val="006E80"/>
                </a:solidFill>
                <a:round/>
              </a:ln>
              <a:effectLst/>
            </c:spPr>
          </c:errBars>
          <c:cat>
            <c:numRef>
              <c:f>'[INSUMOS BOLETIN ENTI 2022.xlsx]G2'!$C$41:$F$41</c:f>
              <c:numCache>
                <c:formatCode>General</c:formatCode>
                <c:ptCount val="4"/>
                <c:pt idx="0">
                  <c:v>2015</c:v>
                </c:pt>
                <c:pt idx="1">
                  <c:v>2017</c:v>
                </c:pt>
                <c:pt idx="2">
                  <c:v>2019</c:v>
                </c:pt>
                <c:pt idx="3">
                  <c:v>2022</c:v>
                </c:pt>
              </c:numCache>
            </c:numRef>
          </c:cat>
          <c:val>
            <c:numRef>
              <c:f>'[INSUMOS BOLETIN ENTI 2022.xlsx]G2'!$C$43:$F$43</c:f>
              <c:numCache>
                <c:formatCode>0.0</c:formatCode>
                <c:ptCount val="4"/>
                <c:pt idx="0">
                  <c:v>15.006335804632942</c:v>
                </c:pt>
                <c:pt idx="1">
                  <c:v>13.557473756659991</c:v>
                </c:pt>
                <c:pt idx="2">
                  <c:v>13.580433253209225</c:v>
                </c:pt>
                <c:pt idx="3">
                  <c:v>15.491356324084659</c:v>
                </c:pt>
              </c:numCache>
            </c:numRef>
          </c:val>
          <c:extLst>
            <c:ext xmlns:c16="http://schemas.microsoft.com/office/drawing/2014/chart" uri="{C3380CC4-5D6E-409C-BE32-E72D297353CC}">
              <c16:uniqueId val="{00000001-F70D-4F78-BBBC-7E0C4D11FB34}"/>
            </c:ext>
          </c:extLst>
        </c:ser>
        <c:ser>
          <c:idx val="2"/>
          <c:order val="2"/>
          <c:tx>
            <c:strRef>
              <c:f>'[INSUMOS BOLETIN ENTI 2022.xlsx]G2'!$B$44</c:f>
              <c:strCache>
                <c:ptCount val="1"/>
                <c:pt idx="0">
                  <c:v>Niñas</c:v>
                </c:pt>
              </c:strCache>
            </c:strRef>
          </c:tx>
          <c:spPr>
            <a:solidFill>
              <a:srgbClr val="99C5CC"/>
            </a:solidFill>
            <a:ln>
              <a:solidFill>
                <a:srgbClr val="99C5CC"/>
              </a:solid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'[INSUMOS BOLETIN ENTI 2022.xlsx]G2'!$C$60:$F$60</c:f>
                <c:numCache>
                  <c:formatCode>General</c:formatCode>
                  <c:ptCount val="4"/>
                  <c:pt idx="0">
                    <c:v>0.3301911191003768</c:v>
                  </c:pt>
                  <c:pt idx="1">
                    <c:v>0.33068408097827273</c:v>
                  </c:pt>
                  <c:pt idx="2">
                    <c:v>0.57477989549446562</c:v>
                  </c:pt>
                  <c:pt idx="3">
                    <c:v>0.29332170526003143</c:v>
                  </c:pt>
                </c:numCache>
              </c:numRef>
            </c:plus>
            <c:minus>
              <c:numRef>
                <c:f>'[INSUMOS BOLETIN ENTI 2022.xlsx]G2'!$C$60:$F$60</c:f>
                <c:numCache>
                  <c:formatCode>General</c:formatCode>
                  <c:ptCount val="4"/>
                  <c:pt idx="0">
                    <c:v>0.3301911191003768</c:v>
                  </c:pt>
                  <c:pt idx="1">
                    <c:v>0.33068408097827273</c:v>
                  </c:pt>
                  <c:pt idx="2">
                    <c:v>0.57477989549446562</c:v>
                  </c:pt>
                  <c:pt idx="3">
                    <c:v>0.29332170526003143</c:v>
                  </c:pt>
                </c:numCache>
              </c:numRef>
            </c:minus>
            <c:spPr>
              <a:noFill/>
              <a:ln w="25400" cap="flat" cmpd="sng" algn="ctr">
                <a:solidFill>
                  <a:srgbClr val="006E80"/>
                </a:solidFill>
                <a:round/>
              </a:ln>
              <a:effectLst/>
            </c:spPr>
          </c:errBars>
          <c:cat>
            <c:numRef>
              <c:f>'[INSUMOS BOLETIN ENTI 2022.xlsx]G2'!$C$41:$F$41</c:f>
              <c:numCache>
                <c:formatCode>General</c:formatCode>
                <c:ptCount val="4"/>
                <c:pt idx="0">
                  <c:v>2015</c:v>
                </c:pt>
                <c:pt idx="1">
                  <c:v>2017</c:v>
                </c:pt>
                <c:pt idx="2">
                  <c:v>2019</c:v>
                </c:pt>
                <c:pt idx="3">
                  <c:v>2022</c:v>
                </c:pt>
              </c:numCache>
            </c:numRef>
          </c:cat>
          <c:val>
            <c:numRef>
              <c:f>'[INSUMOS BOLETIN ENTI 2022.xlsx]G2'!$C$44:$F$44</c:f>
              <c:numCache>
                <c:formatCode>0.0</c:formatCode>
                <c:ptCount val="4"/>
                <c:pt idx="0">
                  <c:v>9.5865901657812191</c:v>
                </c:pt>
                <c:pt idx="1">
                  <c:v>8.3728142007186737</c:v>
                </c:pt>
                <c:pt idx="2">
                  <c:v>9.1554973283486394</c:v>
                </c:pt>
                <c:pt idx="3">
                  <c:v>10.679012837997709</c:v>
                </c:pt>
              </c:numCache>
            </c:numRef>
          </c:val>
          <c:extLst>
            <c:ext xmlns:c16="http://schemas.microsoft.com/office/drawing/2014/chart" uri="{C3380CC4-5D6E-409C-BE32-E72D297353CC}">
              <c16:uniqueId val="{00000002-F70D-4F78-BBBC-7E0C4D11FB34}"/>
            </c:ext>
          </c:extLst>
        </c:ser>
        <c:dLbls>
          <c:showLegendKey val="0"/>
          <c:showVal val="0"/>
          <c:showCatName val="0"/>
          <c:showSerName val="0"/>
          <c:showPercent val="0"/>
          <c:showBubbleSize val="0"/>
        </c:dLbls>
        <c:gapWidth val="20"/>
        <c:overlap val="-5"/>
        <c:axId val="221373184"/>
        <c:axId val="221366128"/>
      </c:barChart>
      <c:catAx>
        <c:axId val="221373184"/>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221366128"/>
        <c:crosses val="autoZero"/>
        <c:auto val="1"/>
        <c:lblAlgn val="ctr"/>
        <c:lblOffset val="100"/>
        <c:noMultiLvlLbl val="0"/>
      </c:catAx>
      <c:valAx>
        <c:axId val="221366128"/>
        <c:scaling>
          <c:orientation val="minMax"/>
          <c:max val="16"/>
          <c:min val="0"/>
        </c:scaling>
        <c:delete val="1"/>
        <c:axPos val="l"/>
        <c:numFmt formatCode="0.0" sourceLinked="1"/>
        <c:majorTickMark val="out"/>
        <c:minorTickMark val="none"/>
        <c:tickLblPos val="nextTo"/>
        <c:crossAx val="221373184"/>
        <c:crosses val="autoZero"/>
        <c:crossBetween val="between"/>
        <c:majorUnit val="5"/>
      </c:valAx>
      <c:spPr>
        <a:noFill/>
        <a:ln w="25400">
          <a:noFill/>
        </a:ln>
        <a:effectLst/>
      </c:spPr>
    </c:plotArea>
    <c:legend>
      <c:legendPos val="b"/>
      <c:layout>
        <c:manualLayout>
          <c:xMode val="edge"/>
          <c:yMode val="edge"/>
          <c:x val="0.38374374030079311"/>
          <c:y val="0.92123690094293753"/>
          <c:w val="0.24499285483230354"/>
          <c:h val="7.8763099057062316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9525" cap="flat" cmpd="sng" algn="ctr">
      <a:noFill/>
      <a:round/>
    </a:ln>
    <a:effectLst/>
  </c:spPr>
  <c:txPr>
    <a:bodyPr/>
    <a:lstStyle/>
    <a:p>
      <a:pPr>
        <a:defRPr sz="1400" b="1">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2"/>
          <c:order val="0"/>
          <c:tx>
            <c:strRef>
              <c:f>'[INSUMOS BOLETIN ENTI 2022.xlsx]G07'!$Q$3</c:f>
              <c:strCache>
                <c:ptCount val="1"/>
                <c:pt idx="0">
                  <c:v>2022</c:v>
                </c:pt>
              </c:strCache>
            </c:strRef>
          </c:tx>
          <c:spPr>
            <a:solidFill>
              <a:srgbClr val="99C5CC"/>
            </a:solidFill>
            <a:ln>
              <a:solidFill>
                <a:srgbClr val="99C5CC"/>
              </a:solidFill>
            </a:ln>
            <a:effectLst/>
          </c:spPr>
          <c:invertIfNegative val="0"/>
          <c:dPt>
            <c:idx val="18"/>
            <c:invertIfNegative val="0"/>
            <c:bubble3D val="0"/>
            <c:spPr>
              <a:solidFill>
                <a:srgbClr val="006E80"/>
              </a:solidFill>
              <a:ln>
                <a:solidFill>
                  <a:srgbClr val="99C5CC"/>
                </a:solidFill>
              </a:ln>
              <a:effectLst/>
            </c:spPr>
            <c:extLst>
              <c:ext xmlns:c16="http://schemas.microsoft.com/office/drawing/2014/chart" uri="{C3380CC4-5D6E-409C-BE32-E72D297353CC}">
                <c16:uniqueId val="{00000001-B0CF-4318-A8C8-5437CE15353E}"/>
              </c:ext>
            </c:extLst>
          </c:dPt>
          <c:dPt>
            <c:idx val="23"/>
            <c:invertIfNegative val="0"/>
            <c:bubble3D val="0"/>
            <c:spPr>
              <a:solidFill>
                <a:srgbClr val="99C5CC"/>
              </a:solidFill>
              <a:ln>
                <a:solidFill>
                  <a:srgbClr val="99C5CC"/>
                </a:solidFill>
              </a:ln>
              <a:effectLst/>
            </c:spPr>
            <c:extLst>
              <c:ext xmlns:c16="http://schemas.microsoft.com/office/drawing/2014/chart" uri="{C3380CC4-5D6E-409C-BE32-E72D297353CC}">
                <c16:uniqueId val="{00000003-B0CF-4318-A8C8-5437CE15353E}"/>
              </c:ext>
            </c:extLst>
          </c:dPt>
          <c:dPt>
            <c:idx val="32"/>
            <c:invertIfNegative val="0"/>
            <c:bubble3D val="0"/>
            <c:spPr>
              <a:solidFill>
                <a:srgbClr val="99C5CC"/>
              </a:solidFill>
              <a:ln>
                <a:solidFill>
                  <a:srgbClr val="99C5CC"/>
                </a:solidFill>
              </a:ln>
              <a:effectLst/>
            </c:spPr>
            <c:extLst>
              <c:ext xmlns:c16="http://schemas.microsoft.com/office/drawing/2014/chart" uri="{C3380CC4-5D6E-409C-BE32-E72D297353CC}">
                <c16:uniqueId val="{00000005-B0CF-4318-A8C8-5437CE15353E}"/>
              </c:ext>
            </c:extLst>
          </c:dPt>
          <c:dLbls>
            <c:dLbl>
              <c:idx val="18"/>
              <c:numFmt formatCode="#,##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extLst>
                <c:ext xmlns:c16="http://schemas.microsoft.com/office/drawing/2014/chart" uri="{C3380CC4-5D6E-409C-BE32-E72D297353CC}">
                  <c16:uniqueId val="{00000001-B0CF-4318-A8C8-5437CE15353E}"/>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'[INSUMOS BOLETIN ENTI 2022.xlsx]G07'!$T$4:$T$36</c:f>
                <c:numCache>
                  <c:formatCode>General</c:formatCode>
                  <c:ptCount val="33"/>
                  <c:pt idx="0">
                    <c:v>0.65504476001500012</c:v>
                  </c:pt>
                  <c:pt idx="1">
                    <c:v>0.90116487407999957</c:v>
                  </c:pt>
                  <c:pt idx="2">
                    <c:v>0.57442600963500046</c:v>
                  </c:pt>
                  <c:pt idx="3">
                    <c:v>1.0218992703100001</c:v>
                  </c:pt>
                  <c:pt idx="4">
                    <c:v>0.79169593538499994</c:v>
                  </c:pt>
                  <c:pt idx="5">
                    <c:v>0.90197353445999995</c:v>
                  </c:pt>
                  <c:pt idx="6">
                    <c:v>0.79271585381499987</c:v>
                  </c:pt>
                  <c:pt idx="7">
                    <c:v>1.0232114397050003</c:v>
                  </c:pt>
                  <c:pt idx="8">
                    <c:v>1.073409147285</c:v>
                  </c:pt>
                  <c:pt idx="9">
                    <c:v>1.1360990588300002</c:v>
                  </c:pt>
                  <c:pt idx="10">
                    <c:v>0.97793086884500013</c:v>
                  </c:pt>
                  <c:pt idx="11">
                    <c:v>2.19345318936</c:v>
                  </c:pt>
                  <c:pt idx="12">
                    <c:v>1.2498914104350005</c:v>
                  </c:pt>
                  <c:pt idx="13">
                    <c:v>1.0131049591800001</c:v>
                  </c:pt>
                  <c:pt idx="14">
                    <c:v>0.89002725131000027</c:v>
                  </c:pt>
                  <c:pt idx="15">
                    <c:v>1.1112175132300002</c:v>
                  </c:pt>
                  <c:pt idx="16">
                    <c:v>1.2015067838450002</c:v>
                  </c:pt>
                  <c:pt idx="17">
                    <c:v>1.1536203347999998</c:v>
                  </c:pt>
                  <c:pt idx="18">
                    <c:v>0.26015992761999973</c:v>
                  </c:pt>
                  <c:pt idx="19">
                    <c:v>1.1711589761100005</c:v>
                  </c:pt>
                  <c:pt idx="20">
                    <c:v>1.1955620462050001</c:v>
                  </c:pt>
                  <c:pt idx="21">
                    <c:v>1.2969106421150003</c:v>
                  </c:pt>
                  <c:pt idx="22">
                    <c:v>1.5511366346049997</c:v>
                  </c:pt>
                  <c:pt idx="23">
                    <c:v>0.98045173733000013</c:v>
                  </c:pt>
                  <c:pt idx="24">
                    <c:v>1.3486724561700001</c:v>
                  </c:pt>
                  <c:pt idx="25">
                    <c:v>1.2283043259349999</c:v>
                  </c:pt>
                  <c:pt idx="26">
                    <c:v>1.1857819856199994</c:v>
                  </c:pt>
                  <c:pt idx="27">
                    <c:v>1.2725521144850003</c:v>
                  </c:pt>
                  <c:pt idx="28">
                    <c:v>0.9773961375849991</c:v>
                  </c:pt>
                  <c:pt idx="29">
                    <c:v>1.4944058856749995</c:v>
                  </c:pt>
                  <c:pt idx="30">
                    <c:v>1.6135452561650006</c:v>
                  </c:pt>
                  <c:pt idx="31">
                    <c:v>1.7463822446400004</c:v>
                  </c:pt>
                  <c:pt idx="32">
                    <c:v>2.0407730310899996</c:v>
                  </c:pt>
                </c:numCache>
              </c:numRef>
            </c:plus>
            <c:minus>
              <c:numRef>
                <c:f>'[INSUMOS BOLETIN ENTI 2022.xlsx]G07'!$T$4:$T$36</c:f>
                <c:numCache>
                  <c:formatCode>General</c:formatCode>
                  <c:ptCount val="33"/>
                  <c:pt idx="0">
                    <c:v>0.65504476001500012</c:v>
                  </c:pt>
                  <c:pt idx="1">
                    <c:v>0.90116487407999957</c:v>
                  </c:pt>
                  <c:pt idx="2">
                    <c:v>0.57442600963500046</c:v>
                  </c:pt>
                  <c:pt idx="3">
                    <c:v>1.0218992703100001</c:v>
                  </c:pt>
                  <c:pt idx="4">
                    <c:v>0.79169593538499994</c:v>
                  </c:pt>
                  <c:pt idx="5">
                    <c:v>0.90197353445999995</c:v>
                  </c:pt>
                  <c:pt idx="6">
                    <c:v>0.79271585381499987</c:v>
                  </c:pt>
                  <c:pt idx="7">
                    <c:v>1.0232114397050003</c:v>
                  </c:pt>
                  <c:pt idx="8">
                    <c:v>1.073409147285</c:v>
                  </c:pt>
                  <c:pt idx="9">
                    <c:v>1.1360990588300002</c:v>
                  </c:pt>
                  <c:pt idx="10">
                    <c:v>0.97793086884500013</c:v>
                  </c:pt>
                  <c:pt idx="11">
                    <c:v>2.19345318936</c:v>
                  </c:pt>
                  <c:pt idx="12">
                    <c:v>1.2498914104350005</c:v>
                  </c:pt>
                  <c:pt idx="13">
                    <c:v>1.0131049591800001</c:v>
                  </c:pt>
                  <c:pt idx="14">
                    <c:v>0.89002725131000027</c:v>
                  </c:pt>
                  <c:pt idx="15">
                    <c:v>1.1112175132300002</c:v>
                  </c:pt>
                  <c:pt idx="16">
                    <c:v>1.2015067838450002</c:v>
                  </c:pt>
                  <c:pt idx="17">
                    <c:v>1.1536203347999998</c:v>
                  </c:pt>
                  <c:pt idx="18">
                    <c:v>0.26015992761999973</c:v>
                  </c:pt>
                  <c:pt idx="19">
                    <c:v>1.1711589761100005</c:v>
                  </c:pt>
                  <c:pt idx="20">
                    <c:v>1.1955620462050001</c:v>
                  </c:pt>
                  <c:pt idx="21">
                    <c:v>1.2969106421150003</c:v>
                  </c:pt>
                  <c:pt idx="22">
                    <c:v>1.5511366346049997</c:v>
                  </c:pt>
                  <c:pt idx="23">
                    <c:v>0.98045173733000013</c:v>
                  </c:pt>
                  <c:pt idx="24">
                    <c:v>1.3486724561700001</c:v>
                  </c:pt>
                  <c:pt idx="25">
                    <c:v>1.2283043259349999</c:v>
                  </c:pt>
                  <c:pt idx="26">
                    <c:v>1.1857819856199994</c:v>
                  </c:pt>
                  <c:pt idx="27">
                    <c:v>1.2725521144850003</c:v>
                  </c:pt>
                  <c:pt idx="28">
                    <c:v>0.9773961375849991</c:v>
                  </c:pt>
                  <c:pt idx="29">
                    <c:v>1.4944058856749995</c:v>
                  </c:pt>
                  <c:pt idx="30">
                    <c:v>1.6135452561650006</c:v>
                  </c:pt>
                  <c:pt idx="31">
                    <c:v>1.7463822446400004</c:v>
                  </c:pt>
                  <c:pt idx="32">
                    <c:v>2.0407730310899996</c:v>
                  </c:pt>
                </c:numCache>
              </c:numRef>
            </c:minus>
            <c:spPr>
              <a:noFill/>
              <a:ln w="15875" cap="flat" cmpd="sng" algn="ctr">
                <a:solidFill>
                  <a:srgbClr val="006E80"/>
                </a:solidFill>
                <a:round/>
              </a:ln>
              <a:effectLst/>
            </c:spPr>
          </c:errBars>
          <c:cat>
            <c:strRef>
              <c:f>'[INSUMOS BOLETIN ENTI 2022.xlsx]G07'!$N$4:$N$36</c:f>
              <c:strCache>
                <c:ptCount val="33"/>
                <c:pt idx="0">
                  <c:v>Ciudad de México</c:v>
                </c:pt>
                <c:pt idx="1">
                  <c:v>Baja California</c:v>
                </c:pt>
                <c:pt idx="2">
                  <c:v>Coahuila de Zaragoza</c:v>
                </c:pt>
                <c:pt idx="3">
                  <c:v>Querétaro</c:v>
                </c:pt>
                <c:pt idx="4">
                  <c:v>Nuevo León</c:v>
                </c:pt>
                <c:pt idx="5">
                  <c:v>Quintana Roo</c:v>
                </c:pt>
                <c:pt idx="6">
                  <c:v>Tamaulipas</c:v>
                </c:pt>
                <c:pt idx="7">
                  <c:v>Chihuahua</c:v>
                </c:pt>
                <c:pt idx="8">
                  <c:v>México</c:v>
                </c:pt>
                <c:pt idx="9">
                  <c:v>Sinaloa</c:v>
                </c:pt>
                <c:pt idx="10">
                  <c:v>Sonora</c:v>
                </c:pt>
                <c:pt idx="11">
                  <c:v>Baja California Sur</c:v>
                </c:pt>
                <c:pt idx="12">
                  <c:v>Morelos</c:v>
                </c:pt>
                <c:pt idx="13">
                  <c:v>Tlaxcala</c:v>
                </c:pt>
                <c:pt idx="14">
                  <c:v>Campeche</c:v>
                </c:pt>
                <c:pt idx="15">
                  <c:v>Tabasco</c:v>
                </c:pt>
                <c:pt idx="16">
                  <c:v>Aguascalientes</c:v>
                </c:pt>
                <c:pt idx="17">
                  <c:v>Durango</c:v>
                </c:pt>
                <c:pt idx="18">
                  <c:v>Nacional</c:v>
                </c:pt>
                <c:pt idx="19">
                  <c:v>San Luis Potosí</c:v>
                </c:pt>
                <c:pt idx="20">
                  <c:v>Hidalgo</c:v>
                </c:pt>
                <c:pt idx="21">
                  <c:v>Jalisco</c:v>
                </c:pt>
                <c:pt idx="22">
                  <c:v>Colima</c:v>
                </c:pt>
                <c:pt idx="23">
                  <c:v>Veracruz de Ignacio de la Llave</c:v>
                </c:pt>
                <c:pt idx="24">
                  <c:v>Guanajuato</c:v>
                </c:pt>
                <c:pt idx="25">
                  <c:v>Michoacán de Ocampo</c:v>
                </c:pt>
                <c:pt idx="26">
                  <c:v>Yucatán</c:v>
                </c:pt>
                <c:pt idx="27">
                  <c:v>Zacatecas</c:v>
                </c:pt>
                <c:pt idx="28">
                  <c:v>Puebla</c:v>
                </c:pt>
                <c:pt idx="29">
                  <c:v>Oaxaca</c:v>
                </c:pt>
                <c:pt idx="30">
                  <c:v>Nayarit</c:v>
                </c:pt>
                <c:pt idx="31">
                  <c:v>Chiapas</c:v>
                </c:pt>
                <c:pt idx="32">
                  <c:v>Guerrero</c:v>
                </c:pt>
              </c:strCache>
            </c:strRef>
          </c:cat>
          <c:val>
            <c:numRef>
              <c:f>'[INSUMOS BOLETIN ENTI 2022.xlsx]G07'!$Q$4:$Q$36</c:f>
              <c:numCache>
                <c:formatCode>#,##0.00</c:formatCode>
                <c:ptCount val="33"/>
                <c:pt idx="0">
                  <c:v>2.5036</c:v>
                </c:pt>
                <c:pt idx="1">
                  <c:v>3.3736999999999999</c:v>
                </c:pt>
                <c:pt idx="2">
                  <c:v>3.9472999999999998</c:v>
                </c:pt>
                <c:pt idx="3">
                  <c:v>4.0560999999999998</c:v>
                </c:pt>
                <c:pt idx="4">
                  <c:v>4.2313999999999998</c:v>
                </c:pt>
                <c:pt idx="5">
                  <c:v>4.3139000000000003</c:v>
                </c:pt>
                <c:pt idx="6">
                  <c:v>4.5632999999999999</c:v>
                </c:pt>
                <c:pt idx="7">
                  <c:v>5.1303999999999998</c:v>
                </c:pt>
                <c:pt idx="8">
                  <c:v>5.1417999999999999</c:v>
                </c:pt>
                <c:pt idx="9">
                  <c:v>5.4451999999999998</c:v>
                </c:pt>
                <c:pt idx="10">
                  <c:v>5.5491000000000001</c:v>
                </c:pt>
                <c:pt idx="11">
                  <c:v>5.7469000000000001</c:v>
                </c:pt>
                <c:pt idx="12">
                  <c:v>5.9367999999999999</c:v>
                </c:pt>
                <c:pt idx="13">
                  <c:v>6.2370000000000001</c:v>
                </c:pt>
                <c:pt idx="14">
                  <c:v>6.6078000000000001</c:v>
                </c:pt>
                <c:pt idx="15">
                  <c:v>6.6627999999999998</c:v>
                </c:pt>
                <c:pt idx="16">
                  <c:v>6.6917999999999997</c:v>
                </c:pt>
                <c:pt idx="17">
                  <c:v>7.2778999999999998</c:v>
                </c:pt>
                <c:pt idx="18">
                  <c:v>7.5034000000000001</c:v>
                </c:pt>
                <c:pt idx="19">
                  <c:v>7.5835999999999997</c:v>
                </c:pt>
                <c:pt idx="20">
                  <c:v>8.4210999999999991</c:v>
                </c:pt>
                <c:pt idx="21">
                  <c:v>8.6370000000000005</c:v>
                </c:pt>
                <c:pt idx="22">
                  <c:v>8.7007999999999992</c:v>
                </c:pt>
                <c:pt idx="23">
                  <c:v>8.7208000000000006</c:v>
                </c:pt>
                <c:pt idx="24">
                  <c:v>9.0131999999999994</c:v>
                </c:pt>
                <c:pt idx="25">
                  <c:v>9.1862999999999992</c:v>
                </c:pt>
                <c:pt idx="26">
                  <c:v>9.3329000000000004</c:v>
                </c:pt>
                <c:pt idx="27">
                  <c:v>9.3353000000000002</c:v>
                </c:pt>
                <c:pt idx="28">
                  <c:v>10.4444</c:v>
                </c:pt>
                <c:pt idx="29">
                  <c:v>11.842499999999999</c:v>
                </c:pt>
                <c:pt idx="30">
                  <c:v>12.576000000000001</c:v>
                </c:pt>
                <c:pt idx="31">
                  <c:v>13.5304</c:v>
                </c:pt>
                <c:pt idx="32">
                  <c:v>15.191000000000001</c:v>
                </c:pt>
              </c:numCache>
            </c:numRef>
          </c:val>
          <c:extLst>
            <c:ext xmlns:c16="http://schemas.microsoft.com/office/drawing/2014/chart" uri="{C3380CC4-5D6E-409C-BE32-E72D297353CC}">
              <c16:uniqueId val="{00000006-B0CF-4318-A8C8-5437CE15353E}"/>
            </c:ext>
          </c:extLst>
        </c:ser>
        <c:ser>
          <c:idx val="1"/>
          <c:order val="1"/>
          <c:tx>
            <c:strRef>
              <c:f>'[INSUMOS BOLETIN ENTI 2022.xlsx]G07'!$P$3</c:f>
              <c:strCache>
                <c:ptCount val="1"/>
                <c:pt idx="0">
                  <c:v>2019</c:v>
                </c:pt>
              </c:strCache>
            </c:strRef>
          </c:tx>
          <c:spPr>
            <a:solidFill>
              <a:srgbClr val="66A8B3"/>
            </a:solidFill>
            <a:ln>
              <a:solidFill>
                <a:srgbClr val="66A8B3"/>
              </a:solidFill>
            </a:ln>
            <a:effectLst/>
          </c:spPr>
          <c:invertIfNegative val="0"/>
          <c:dPt>
            <c:idx val="18"/>
            <c:invertIfNegative val="0"/>
            <c:bubble3D val="0"/>
            <c:spPr>
              <a:solidFill>
                <a:srgbClr val="006E80"/>
              </a:solidFill>
              <a:ln>
                <a:solidFill>
                  <a:srgbClr val="006E80"/>
                </a:solidFill>
              </a:ln>
              <a:effectLst/>
            </c:spPr>
            <c:extLst>
              <c:ext xmlns:c16="http://schemas.microsoft.com/office/drawing/2014/chart" uri="{C3380CC4-5D6E-409C-BE32-E72D297353CC}">
                <c16:uniqueId val="{00000008-B0CF-4318-A8C8-5437CE15353E}"/>
              </c:ext>
            </c:extLst>
          </c:dPt>
          <c:dLbls>
            <c:dLbl>
              <c:idx val="11"/>
              <c:layout>
                <c:manualLayout>
                  <c:x val="-8.6881844117311466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0CF-4318-A8C8-5437CE15353E}"/>
                </c:ext>
              </c:extLst>
            </c:dLbl>
            <c:dLbl>
              <c:idx val="18"/>
              <c:layout>
                <c:manualLayout>
                  <c:x val="-0.17175926052721679"/>
                  <c:y val="-5.7425596076895193E-17"/>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0CF-4318-A8C8-5437CE15353E}"/>
                </c:ext>
              </c:extLst>
            </c:dLbl>
            <c:dLbl>
              <c:idx val="19"/>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extLst>
                <c:ext xmlns:c16="http://schemas.microsoft.com/office/drawing/2014/chart" uri="{C3380CC4-5D6E-409C-BE32-E72D297353CC}">
                  <c16:uniqueId val="{0000000A-B0CF-4318-A8C8-5437CE15353E}"/>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'[INSUMOS BOLETIN ENTI 2022.xlsx]G07'!$S$4:$S$36</c:f>
                <c:numCache>
                  <c:formatCode>General</c:formatCode>
                  <c:ptCount val="33"/>
                  <c:pt idx="0">
                    <c:v>0.67685755986999974</c:v>
                  </c:pt>
                  <c:pt idx="1">
                    <c:v>0.72562434371000006</c:v>
                  </c:pt>
                  <c:pt idx="2">
                    <c:v>1.4729107645299999</c:v>
                  </c:pt>
                  <c:pt idx="3">
                    <c:v>1.2160681086850003</c:v>
                  </c:pt>
                  <c:pt idx="4">
                    <c:v>0.81901832883999992</c:v>
                  </c:pt>
                  <c:pt idx="5">
                    <c:v>1.2266858361000006</c:v>
                  </c:pt>
                  <c:pt idx="6">
                    <c:v>0.97890492726000033</c:v>
                  </c:pt>
                  <c:pt idx="7">
                    <c:v>1.4694389526249998</c:v>
                  </c:pt>
                  <c:pt idx="8">
                    <c:v>1.3735272523250004</c:v>
                  </c:pt>
                  <c:pt idx="9">
                    <c:v>1.2340249539849997</c:v>
                  </c:pt>
                  <c:pt idx="10">
                    <c:v>1.025309176765</c:v>
                  </c:pt>
                  <c:pt idx="11">
                    <c:v>1.1784498456899999</c:v>
                  </c:pt>
                  <c:pt idx="12">
                    <c:v>1.6982531527400004</c:v>
                  </c:pt>
                  <c:pt idx="13">
                    <c:v>2.1212024003850005</c:v>
                  </c:pt>
                  <c:pt idx="14">
                    <c:v>3.70651879411</c:v>
                  </c:pt>
                  <c:pt idx="15">
                    <c:v>1.4079374312200001</c:v>
                  </c:pt>
                  <c:pt idx="16">
                    <c:v>1.4159684751199992</c:v>
                  </c:pt>
                  <c:pt idx="17">
                    <c:v>1.9772636209450001</c:v>
                  </c:pt>
                  <c:pt idx="18">
                    <c:v>0.40589491586999982</c:v>
                  </c:pt>
                  <c:pt idx="19">
                    <c:v>1.6240803900000005</c:v>
                  </c:pt>
                  <c:pt idx="20">
                    <c:v>1.2617925396550005</c:v>
                  </c:pt>
                  <c:pt idx="21">
                    <c:v>1.2548799462949995</c:v>
                  </c:pt>
                  <c:pt idx="22">
                    <c:v>2.8320362615000003</c:v>
                  </c:pt>
                  <c:pt idx="23">
                    <c:v>1.6777734990499993</c:v>
                  </c:pt>
                  <c:pt idx="24">
                    <c:v>1.680822477045</c:v>
                  </c:pt>
                  <c:pt idx="25">
                    <c:v>1.7592306903499999</c:v>
                  </c:pt>
                  <c:pt idx="26">
                    <c:v>1.044343122645</c:v>
                  </c:pt>
                  <c:pt idx="27">
                    <c:v>1.3222211969300002</c:v>
                  </c:pt>
                  <c:pt idx="28">
                    <c:v>3.3504657997050007</c:v>
                  </c:pt>
                  <c:pt idx="29">
                    <c:v>2.3364797904700012</c:v>
                  </c:pt>
                  <c:pt idx="30">
                    <c:v>1.6238796912</c:v>
                  </c:pt>
                  <c:pt idx="31">
                    <c:v>1.9996672321000011</c:v>
                  </c:pt>
                  <c:pt idx="32">
                    <c:v>1.2289559088749997</c:v>
                  </c:pt>
                </c:numCache>
              </c:numRef>
            </c:plus>
            <c:minus>
              <c:numRef>
                <c:f>'[INSUMOS BOLETIN ENTI 2022.xlsx]G07'!$S$4:$S$36</c:f>
                <c:numCache>
                  <c:formatCode>General</c:formatCode>
                  <c:ptCount val="33"/>
                  <c:pt idx="0">
                    <c:v>0.67685755986999974</c:v>
                  </c:pt>
                  <c:pt idx="1">
                    <c:v>0.72562434371000006</c:v>
                  </c:pt>
                  <c:pt idx="2">
                    <c:v>1.4729107645299999</c:v>
                  </c:pt>
                  <c:pt idx="3">
                    <c:v>1.2160681086850003</c:v>
                  </c:pt>
                  <c:pt idx="4">
                    <c:v>0.81901832883999992</c:v>
                  </c:pt>
                  <c:pt idx="5">
                    <c:v>1.2266858361000006</c:v>
                  </c:pt>
                  <c:pt idx="6">
                    <c:v>0.97890492726000033</c:v>
                  </c:pt>
                  <c:pt idx="7">
                    <c:v>1.4694389526249998</c:v>
                  </c:pt>
                  <c:pt idx="8">
                    <c:v>1.3735272523250004</c:v>
                  </c:pt>
                  <c:pt idx="9">
                    <c:v>1.2340249539849997</c:v>
                  </c:pt>
                  <c:pt idx="10">
                    <c:v>1.025309176765</c:v>
                  </c:pt>
                  <c:pt idx="11">
                    <c:v>1.1784498456899999</c:v>
                  </c:pt>
                  <c:pt idx="12">
                    <c:v>1.6982531527400004</c:v>
                  </c:pt>
                  <c:pt idx="13">
                    <c:v>2.1212024003850005</c:v>
                  </c:pt>
                  <c:pt idx="14">
                    <c:v>3.70651879411</c:v>
                  </c:pt>
                  <c:pt idx="15">
                    <c:v>1.4079374312200001</c:v>
                  </c:pt>
                  <c:pt idx="16">
                    <c:v>1.4159684751199992</c:v>
                  </c:pt>
                  <c:pt idx="17">
                    <c:v>1.9772636209450001</c:v>
                  </c:pt>
                  <c:pt idx="18">
                    <c:v>0.40589491586999982</c:v>
                  </c:pt>
                  <c:pt idx="19">
                    <c:v>1.6240803900000005</c:v>
                  </c:pt>
                  <c:pt idx="20">
                    <c:v>1.2617925396550005</c:v>
                  </c:pt>
                  <c:pt idx="21">
                    <c:v>1.2548799462949995</c:v>
                  </c:pt>
                  <c:pt idx="22">
                    <c:v>2.8320362615000003</c:v>
                  </c:pt>
                  <c:pt idx="23">
                    <c:v>1.6777734990499993</c:v>
                  </c:pt>
                  <c:pt idx="24">
                    <c:v>1.680822477045</c:v>
                  </c:pt>
                  <c:pt idx="25">
                    <c:v>1.7592306903499999</c:v>
                  </c:pt>
                  <c:pt idx="26">
                    <c:v>1.044343122645</c:v>
                  </c:pt>
                  <c:pt idx="27">
                    <c:v>1.3222211969300002</c:v>
                  </c:pt>
                  <c:pt idx="28">
                    <c:v>3.3504657997050007</c:v>
                  </c:pt>
                  <c:pt idx="29">
                    <c:v>2.3364797904700012</c:v>
                  </c:pt>
                  <c:pt idx="30">
                    <c:v>1.6238796912</c:v>
                  </c:pt>
                  <c:pt idx="31">
                    <c:v>1.9996672321000011</c:v>
                  </c:pt>
                  <c:pt idx="32">
                    <c:v>1.2289559088749997</c:v>
                  </c:pt>
                </c:numCache>
              </c:numRef>
            </c:minus>
            <c:spPr>
              <a:noFill/>
              <a:ln w="15875" cap="flat" cmpd="sng" algn="ctr">
                <a:solidFill>
                  <a:srgbClr val="006E80"/>
                </a:solidFill>
                <a:round/>
              </a:ln>
              <a:effectLst/>
            </c:spPr>
          </c:errBars>
          <c:cat>
            <c:strRef>
              <c:f>'[INSUMOS BOLETIN ENTI 2022.xlsx]G07'!$N$4:$N$36</c:f>
              <c:strCache>
                <c:ptCount val="33"/>
                <c:pt idx="0">
                  <c:v>Ciudad de México</c:v>
                </c:pt>
                <c:pt idx="1">
                  <c:v>Baja California</c:v>
                </c:pt>
                <c:pt idx="2">
                  <c:v>Coahuila de Zaragoza</c:v>
                </c:pt>
                <c:pt idx="3">
                  <c:v>Querétaro</c:v>
                </c:pt>
                <c:pt idx="4">
                  <c:v>Nuevo León</c:v>
                </c:pt>
                <c:pt idx="5">
                  <c:v>Quintana Roo</c:v>
                </c:pt>
                <c:pt idx="6">
                  <c:v>Tamaulipas</c:v>
                </c:pt>
                <c:pt idx="7">
                  <c:v>Chihuahua</c:v>
                </c:pt>
                <c:pt idx="8">
                  <c:v>México</c:v>
                </c:pt>
                <c:pt idx="9">
                  <c:v>Sinaloa</c:v>
                </c:pt>
                <c:pt idx="10">
                  <c:v>Sonora</c:v>
                </c:pt>
                <c:pt idx="11">
                  <c:v>Baja California Sur</c:v>
                </c:pt>
                <c:pt idx="12">
                  <c:v>Morelos</c:v>
                </c:pt>
                <c:pt idx="13">
                  <c:v>Tlaxcala</c:v>
                </c:pt>
                <c:pt idx="14">
                  <c:v>Campeche</c:v>
                </c:pt>
                <c:pt idx="15">
                  <c:v>Tabasco</c:v>
                </c:pt>
                <c:pt idx="16">
                  <c:v>Aguascalientes</c:v>
                </c:pt>
                <c:pt idx="17">
                  <c:v>Durango</c:v>
                </c:pt>
                <c:pt idx="18">
                  <c:v>Nacional</c:v>
                </c:pt>
                <c:pt idx="19">
                  <c:v>San Luis Potosí</c:v>
                </c:pt>
                <c:pt idx="20">
                  <c:v>Hidalgo</c:v>
                </c:pt>
                <c:pt idx="21">
                  <c:v>Jalisco</c:v>
                </c:pt>
                <c:pt idx="22">
                  <c:v>Colima</c:v>
                </c:pt>
                <c:pt idx="23">
                  <c:v>Veracruz de Ignacio de la Llave</c:v>
                </c:pt>
                <c:pt idx="24">
                  <c:v>Guanajuato</c:v>
                </c:pt>
                <c:pt idx="25">
                  <c:v>Michoacán de Ocampo</c:v>
                </c:pt>
                <c:pt idx="26">
                  <c:v>Yucatán</c:v>
                </c:pt>
                <c:pt idx="27">
                  <c:v>Zacatecas</c:v>
                </c:pt>
                <c:pt idx="28">
                  <c:v>Puebla</c:v>
                </c:pt>
                <c:pt idx="29">
                  <c:v>Oaxaca</c:v>
                </c:pt>
                <c:pt idx="30">
                  <c:v>Nayarit</c:v>
                </c:pt>
                <c:pt idx="31">
                  <c:v>Chiapas</c:v>
                </c:pt>
                <c:pt idx="32">
                  <c:v>Guerrero</c:v>
                </c:pt>
              </c:strCache>
            </c:strRef>
          </c:cat>
          <c:val>
            <c:numRef>
              <c:f>'[INSUMOS BOLETIN ENTI 2022.xlsx]G07'!$P$4:$P$36</c:f>
              <c:numCache>
                <c:formatCode>0.0</c:formatCode>
                <c:ptCount val="33"/>
                <c:pt idx="0">
                  <c:v>3.1364000000000001</c:v>
                </c:pt>
                <c:pt idx="1">
                  <c:v>3.4009999999999998</c:v>
                </c:pt>
                <c:pt idx="2">
                  <c:v>3.9474999999999998</c:v>
                </c:pt>
                <c:pt idx="3">
                  <c:v>5.1855000000000002</c:v>
                </c:pt>
                <c:pt idx="4">
                  <c:v>3.4706000000000001</c:v>
                </c:pt>
                <c:pt idx="5">
                  <c:v>6.4161000000000001</c:v>
                </c:pt>
                <c:pt idx="6">
                  <c:v>4.3781999999999996</c:v>
                </c:pt>
                <c:pt idx="7">
                  <c:v>5.1376999999999997</c:v>
                </c:pt>
                <c:pt idx="8">
                  <c:v>4.8310000000000004</c:v>
                </c:pt>
                <c:pt idx="9">
                  <c:v>5.4634</c:v>
                </c:pt>
                <c:pt idx="10">
                  <c:v>4.673</c:v>
                </c:pt>
                <c:pt idx="11">
                  <c:v>3.13</c:v>
                </c:pt>
                <c:pt idx="12">
                  <c:v>6.5296000000000003</c:v>
                </c:pt>
                <c:pt idx="13">
                  <c:v>9.2231000000000005</c:v>
                </c:pt>
                <c:pt idx="14">
                  <c:v>7.0792000000000002</c:v>
                </c:pt>
                <c:pt idx="15">
                  <c:v>7.0323000000000002</c:v>
                </c:pt>
                <c:pt idx="16">
                  <c:v>8.4108000000000001</c:v>
                </c:pt>
                <c:pt idx="17">
                  <c:v>7.9059999999999997</c:v>
                </c:pt>
                <c:pt idx="18">
                  <c:v>7.0742000000000003</c:v>
                </c:pt>
                <c:pt idx="19">
                  <c:v>9.2117000000000004</c:v>
                </c:pt>
                <c:pt idx="20">
                  <c:v>5.0833000000000004</c:v>
                </c:pt>
                <c:pt idx="21">
                  <c:v>6.4603000000000002</c:v>
                </c:pt>
                <c:pt idx="22">
                  <c:v>8.6173999999999999</c:v>
                </c:pt>
                <c:pt idx="23">
                  <c:v>8.0950000000000006</c:v>
                </c:pt>
                <c:pt idx="24">
                  <c:v>7.8672000000000004</c:v>
                </c:pt>
                <c:pt idx="25">
                  <c:v>11.5321</c:v>
                </c:pt>
                <c:pt idx="26">
                  <c:v>6.8981000000000003</c:v>
                </c:pt>
                <c:pt idx="27">
                  <c:v>7.8906000000000001</c:v>
                </c:pt>
                <c:pt idx="28">
                  <c:v>12.5588</c:v>
                </c:pt>
                <c:pt idx="29">
                  <c:v>14.864800000000001</c:v>
                </c:pt>
                <c:pt idx="30">
                  <c:v>9.6530000000000005</c:v>
                </c:pt>
                <c:pt idx="31">
                  <c:v>11.915699999999999</c:v>
                </c:pt>
                <c:pt idx="32">
                  <c:v>6.5934999999999997</c:v>
                </c:pt>
              </c:numCache>
            </c:numRef>
          </c:val>
          <c:extLst>
            <c:ext xmlns:c16="http://schemas.microsoft.com/office/drawing/2014/chart" uri="{C3380CC4-5D6E-409C-BE32-E72D297353CC}">
              <c16:uniqueId val="{0000000B-B0CF-4318-A8C8-5437CE15353E}"/>
            </c:ext>
          </c:extLst>
        </c:ser>
        <c:dLbls>
          <c:dLblPos val="ctr"/>
          <c:showLegendKey val="0"/>
          <c:showVal val="1"/>
          <c:showCatName val="0"/>
          <c:showSerName val="0"/>
          <c:showPercent val="0"/>
          <c:showBubbleSize val="0"/>
        </c:dLbls>
        <c:gapWidth val="20"/>
        <c:overlap val="-25"/>
        <c:axId val="896850047"/>
        <c:axId val="1155944223"/>
      </c:barChart>
      <c:catAx>
        <c:axId val="89685004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155944223"/>
        <c:crosses val="autoZero"/>
        <c:auto val="1"/>
        <c:lblAlgn val="ctr"/>
        <c:lblOffset val="100"/>
        <c:noMultiLvlLbl val="0"/>
      </c:catAx>
      <c:valAx>
        <c:axId val="1155944223"/>
        <c:scaling>
          <c:orientation val="minMax"/>
        </c:scaling>
        <c:delete val="1"/>
        <c:axPos val="b"/>
        <c:numFmt formatCode="#,##0.00" sourceLinked="1"/>
        <c:majorTickMark val="none"/>
        <c:minorTickMark val="none"/>
        <c:tickLblPos val="nextTo"/>
        <c:crossAx val="896850047"/>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8374499701647358"/>
          <c:y val="1.90171542085271E-2"/>
          <c:w val="0.61625500298352642"/>
          <c:h val="0.87313079375830227"/>
        </c:manualLayout>
      </c:layout>
      <c:barChart>
        <c:barDir val="bar"/>
        <c:grouping val="clustered"/>
        <c:varyColors val="0"/>
        <c:ser>
          <c:idx val="1"/>
          <c:order val="0"/>
          <c:tx>
            <c:strRef>
              <c:f>'[INSUMOS BOLETIN ENTI 2022.xlsx]G10'!$G$3</c:f>
              <c:strCache>
                <c:ptCount val="1"/>
                <c:pt idx="0">
                  <c:v>2022</c:v>
                </c:pt>
              </c:strCache>
            </c:strRef>
          </c:tx>
          <c:spPr>
            <a:solidFill>
              <a:srgbClr val="66A8B3"/>
            </a:solidFill>
            <a:ln>
              <a:solidFill>
                <a:srgbClr val="66A8B3"/>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'[INSUMOS BOLETIN ENTI 2022.xlsx]G10'!$G$27:$G$32</c:f>
                <c:numCache>
                  <c:formatCode>General</c:formatCode>
                  <c:ptCount val="5"/>
                  <c:pt idx="0">
                    <c:v>0.50677594710140994</c:v>
                  </c:pt>
                  <c:pt idx="1">
                    <c:v>0.56020271093287022</c:v>
                  </c:pt>
                  <c:pt idx="2">
                    <c:v>0.55616808439191034</c:v>
                  </c:pt>
                  <c:pt idx="3">
                    <c:v>0.78576662617706372</c:v>
                  </c:pt>
                  <c:pt idx="4">
                    <c:v>1.3346519398154975</c:v>
                  </c:pt>
                </c:numCache>
                <c:extLst/>
              </c:numRef>
            </c:plus>
            <c:minus>
              <c:numRef>
                <c:f>'[INSUMOS BOLETIN ENTI 2022.xlsx]G10'!$G$27:$G$32</c:f>
                <c:numCache>
                  <c:formatCode>General</c:formatCode>
                  <c:ptCount val="5"/>
                  <c:pt idx="0">
                    <c:v>0.50677594710140994</c:v>
                  </c:pt>
                  <c:pt idx="1">
                    <c:v>0.56020271093287022</c:v>
                  </c:pt>
                  <c:pt idx="2">
                    <c:v>0.55616808439191034</c:v>
                  </c:pt>
                  <c:pt idx="3">
                    <c:v>0.78576662617706372</c:v>
                  </c:pt>
                  <c:pt idx="4">
                    <c:v>1.3346519398154975</c:v>
                  </c:pt>
                </c:numCache>
                <c:extLst/>
              </c:numRef>
            </c:minus>
            <c:spPr>
              <a:noFill/>
              <a:ln w="25400" cap="flat" cmpd="sng" algn="ctr">
                <a:solidFill>
                  <a:srgbClr val="006E80"/>
                </a:solidFill>
                <a:round/>
              </a:ln>
              <a:effectLst/>
            </c:spPr>
          </c:errBars>
          <c:cat>
            <c:strRef>
              <c:f>'[INSUMOS BOLETIN ENTI 2022.xlsx]G10'!$E$4:$E$9</c:f>
              <c:strCache>
                <c:ptCount val="5"/>
                <c:pt idx="0">
                  <c:v>Servicios</c:v>
                </c:pt>
                <c:pt idx="1">
                  <c:v>Comercio</c:v>
                </c:pt>
                <c:pt idx="2">
                  <c:v>Construcción</c:v>
                </c:pt>
                <c:pt idx="3">
                  <c:v>Industria manufacturera, extractiva, electricidad, gas y agua</c:v>
                </c:pt>
                <c:pt idx="4">
                  <c:v>Agropecuario</c:v>
                </c:pt>
              </c:strCache>
              <c:extLst/>
            </c:strRef>
          </c:cat>
          <c:val>
            <c:numRef>
              <c:f>'[INSUMOS BOLETIN ENTI 2022.xlsx]G10'!$G$4:$G$9</c:f>
              <c:numCache>
                <c:formatCode>0.0</c:formatCode>
                <c:ptCount val="5"/>
                <c:pt idx="0">
                  <c:v>23.242530034414163</c:v>
                </c:pt>
                <c:pt idx="1">
                  <c:v>21.471868050738028</c:v>
                </c:pt>
                <c:pt idx="2">
                  <c:v>6.9572709947743183</c:v>
                </c:pt>
                <c:pt idx="3">
                  <c:v>12.454203176309621</c:v>
                </c:pt>
                <c:pt idx="4">
                  <c:v>32.992568848262941</c:v>
                </c:pt>
              </c:numCache>
              <c:extLst/>
            </c:numRef>
          </c:val>
          <c:extLst>
            <c:ext xmlns:c16="http://schemas.microsoft.com/office/drawing/2014/chart" uri="{C3380CC4-5D6E-409C-BE32-E72D297353CC}">
              <c16:uniqueId val="{00000000-4A26-4E01-A255-D2534B032D13}"/>
            </c:ext>
          </c:extLst>
        </c:ser>
        <c:ser>
          <c:idx val="0"/>
          <c:order val="1"/>
          <c:tx>
            <c:strRef>
              <c:f>'[INSUMOS BOLETIN ENTI 2022.xlsx]G10'!$F$3</c:f>
              <c:strCache>
                <c:ptCount val="1"/>
                <c:pt idx="0">
                  <c:v>2019</c:v>
                </c:pt>
              </c:strCache>
            </c:strRef>
          </c:tx>
          <c:spPr>
            <a:solidFill>
              <a:srgbClr val="99C5CC"/>
            </a:solidFill>
            <a:ln>
              <a:solidFill>
                <a:srgbClr val="99C5CC"/>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'[INSUMOS BOLETIN ENTI 2022.xlsx]G10'!$F$27:$F$32</c:f>
                <c:numCache>
                  <c:formatCode>General</c:formatCode>
                  <c:ptCount val="5"/>
                  <c:pt idx="0">
                    <c:v>0.6961759583027014</c:v>
                  </c:pt>
                  <c:pt idx="1">
                    <c:v>0.96192743414747994</c:v>
                  </c:pt>
                  <c:pt idx="2">
                    <c:v>0.92604952243045169</c:v>
                  </c:pt>
                  <c:pt idx="3">
                    <c:v>1.148673064675747</c:v>
                  </c:pt>
                  <c:pt idx="4">
                    <c:v>1.3503030366990334</c:v>
                  </c:pt>
                </c:numCache>
                <c:extLst/>
              </c:numRef>
            </c:plus>
            <c:minus>
              <c:numRef>
                <c:f>'[INSUMOS BOLETIN ENTI 2022.xlsx]G10'!$F$27:$F$32</c:f>
                <c:numCache>
                  <c:formatCode>General</c:formatCode>
                  <c:ptCount val="5"/>
                  <c:pt idx="0">
                    <c:v>0.6961759583027014</c:v>
                  </c:pt>
                  <c:pt idx="1">
                    <c:v>0.96192743414747994</c:v>
                  </c:pt>
                  <c:pt idx="2">
                    <c:v>0.92604952243045169</c:v>
                  </c:pt>
                  <c:pt idx="3">
                    <c:v>1.148673064675747</c:v>
                  </c:pt>
                  <c:pt idx="4">
                    <c:v>1.3503030366990334</c:v>
                  </c:pt>
                </c:numCache>
                <c:extLst/>
              </c:numRef>
            </c:minus>
            <c:spPr>
              <a:noFill/>
              <a:ln w="25400" cap="flat" cmpd="sng" algn="ctr">
                <a:solidFill>
                  <a:srgbClr val="006E80"/>
                </a:solidFill>
                <a:round/>
              </a:ln>
              <a:effectLst/>
            </c:spPr>
          </c:errBars>
          <c:cat>
            <c:strRef>
              <c:f>'[INSUMOS BOLETIN ENTI 2022.xlsx]G10'!$E$4:$E$9</c:f>
              <c:strCache>
                <c:ptCount val="5"/>
                <c:pt idx="0">
                  <c:v>Servicios</c:v>
                </c:pt>
                <c:pt idx="1">
                  <c:v>Comercio</c:v>
                </c:pt>
                <c:pt idx="2">
                  <c:v>Construcción</c:v>
                </c:pt>
                <c:pt idx="3">
                  <c:v>Industria manufacturera, extractiva, electricidad, gas y agua</c:v>
                </c:pt>
                <c:pt idx="4">
                  <c:v>Agropecuario</c:v>
                </c:pt>
              </c:strCache>
              <c:extLst/>
            </c:strRef>
          </c:cat>
          <c:val>
            <c:numRef>
              <c:f>'[INSUMOS BOLETIN ENTI 2022.xlsx]G10'!$F$4:$F$9</c:f>
              <c:numCache>
                <c:formatCode>0.0</c:formatCode>
                <c:ptCount val="5"/>
                <c:pt idx="0">
                  <c:v>25.112711856430288</c:v>
                </c:pt>
                <c:pt idx="1">
                  <c:v>22.879033093023381</c:v>
                </c:pt>
                <c:pt idx="2">
                  <c:v>5.1588616709343853</c:v>
                </c:pt>
                <c:pt idx="3">
                  <c:v>13.102415830832893</c:v>
                </c:pt>
                <c:pt idx="4">
                  <c:v>29.028312584245953</c:v>
                </c:pt>
              </c:numCache>
              <c:extLst/>
            </c:numRef>
          </c:val>
          <c:extLst>
            <c:ext xmlns:c16="http://schemas.microsoft.com/office/drawing/2014/chart" uri="{C3380CC4-5D6E-409C-BE32-E72D297353CC}">
              <c16:uniqueId val="{00000001-4A26-4E01-A255-D2534B032D13}"/>
            </c:ext>
          </c:extLst>
        </c:ser>
        <c:dLbls>
          <c:showLegendKey val="0"/>
          <c:showVal val="0"/>
          <c:showCatName val="0"/>
          <c:showSerName val="0"/>
          <c:showPercent val="0"/>
          <c:showBubbleSize val="0"/>
        </c:dLbls>
        <c:gapWidth val="20"/>
        <c:axId val="221373184"/>
        <c:axId val="221366128"/>
      </c:barChart>
      <c:catAx>
        <c:axId val="221373184"/>
        <c:scaling>
          <c:orientation val="minMax"/>
        </c:scaling>
        <c:delete val="0"/>
        <c:axPos val="l"/>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221366128"/>
        <c:crosses val="autoZero"/>
        <c:auto val="1"/>
        <c:lblAlgn val="ctr"/>
        <c:lblOffset val="100"/>
        <c:noMultiLvlLbl val="0"/>
      </c:catAx>
      <c:valAx>
        <c:axId val="221366128"/>
        <c:scaling>
          <c:orientation val="minMax"/>
          <c:max val="35"/>
        </c:scaling>
        <c:delete val="1"/>
        <c:axPos val="b"/>
        <c:numFmt formatCode="0.0" sourceLinked="1"/>
        <c:majorTickMark val="out"/>
        <c:minorTickMark val="none"/>
        <c:tickLblPos val="nextTo"/>
        <c:crossAx val="221373184"/>
        <c:crosses val="autoZero"/>
        <c:crossBetween val="between"/>
      </c:valAx>
      <c:spPr>
        <a:noFill/>
        <a:ln w="25400">
          <a:noFill/>
        </a:ln>
        <a:effectLst/>
      </c:spPr>
    </c:plotArea>
    <c:legend>
      <c:legendPos val="b"/>
      <c:layout>
        <c:manualLayout>
          <c:xMode val="edge"/>
          <c:yMode val="edge"/>
          <c:x val="0.38583482238275479"/>
          <c:y val="0.91928816219065179"/>
          <c:w val="0.12872307097037317"/>
          <c:h val="5.7535932341857512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9525" cap="flat" cmpd="sng" algn="ctr">
      <a:noFill/>
      <a:round/>
    </a:ln>
    <a:effectLst/>
  </c:spPr>
  <c:txPr>
    <a:bodyPr/>
    <a:lstStyle/>
    <a:p>
      <a:pPr>
        <a:defRPr sz="12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681767518629517"/>
          <c:y val="3.525169913899636E-2"/>
          <c:w val="0.67073142037477762"/>
          <c:h val="0.86571149491797728"/>
        </c:manualLayout>
      </c:layout>
      <c:barChart>
        <c:barDir val="bar"/>
        <c:grouping val="clustered"/>
        <c:varyColors val="0"/>
        <c:ser>
          <c:idx val="1"/>
          <c:order val="0"/>
          <c:tx>
            <c:strRef>
              <c:f>'[INSUMOS BOLETIN ENTI 2022.xlsx]G11'!$G$3</c:f>
              <c:strCache>
                <c:ptCount val="1"/>
                <c:pt idx="0">
                  <c:v>2022</c:v>
                </c:pt>
              </c:strCache>
            </c:strRef>
          </c:tx>
          <c:spPr>
            <a:solidFill>
              <a:srgbClr val="66A8B3"/>
            </a:solidFill>
            <a:ln>
              <a:solidFill>
                <a:srgbClr val="66A8B3"/>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'[INSUMOS BOLETIN ENTI 2022.xlsx]G11'!$G$27:$G$33</c:f>
                <c:numCache>
                  <c:formatCode>General</c:formatCode>
                  <c:ptCount val="6"/>
                  <c:pt idx="0">
                    <c:v>0.66041032572135894</c:v>
                  </c:pt>
                  <c:pt idx="1">
                    <c:v>0.71128465882898695</c:v>
                  </c:pt>
                  <c:pt idx="2">
                    <c:v>0.51477567012057079</c:v>
                  </c:pt>
                  <c:pt idx="3">
                    <c:v>0.86892670637259251</c:v>
                  </c:pt>
                  <c:pt idx="4">
                    <c:v>0.79121656163862841</c:v>
                  </c:pt>
                  <c:pt idx="5">
                    <c:v>0.42889148373760699</c:v>
                  </c:pt>
                </c:numCache>
                <c:extLst/>
              </c:numRef>
            </c:plus>
            <c:minus>
              <c:numRef>
                <c:f>'[INSUMOS BOLETIN ENTI 2022.xlsx]G11'!$G$27:$G$33</c:f>
                <c:numCache>
                  <c:formatCode>General</c:formatCode>
                  <c:ptCount val="6"/>
                  <c:pt idx="0">
                    <c:v>0.66041032572135894</c:v>
                  </c:pt>
                  <c:pt idx="1">
                    <c:v>0.71128465882898695</c:v>
                  </c:pt>
                  <c:pt idx="2">
                    <c:v>0.51477567012057079</c:v>
                  </c:pt>
                  <c:pt idx="3">
                    <c:v>0.86892670637259251</c:v>
                  </c:pt>
                  <c:pt idx="4">
                    <c:v>0.79121656163862841</c:v>
                  </c:pt>
                  <c:pt idx="5">
                    <c:v>0.42889148373760699</c:v>
                  </c:pt>
                </c:numCache>
                <c:extLst/>
              </c:numRef>
            </c:minus>
            <c:spPr>
              <a:noFill/>
              <a:ln w="25400" cap="flat" cmpd="sng" algn="ctr">
                <a:solidFill>
                  <a:srgbClr val="006E80"/>
                </a:solidFill>
                <a:round/>
              </a:ln>
              <a:effectLst/>
            </c:spPr>
          </c:errBars>
          <c:cat>
            <c:strRef>
              <c:f>'[INSUMOS BOLETIN ENTI 2022.xlsx]G11'!$E$4:$E$10</c:f>
              <c:strCache>
                <c:ptCount val="6"/>
                <c:pt idx="0">
                  <c:v>Pago de deudas, no estudia y otra razón</c:v>
                </c:pt>
                <c:pt idx="1">
                  <c:v>Por gusto o solo por ayudar</c:v>
                </c:pt>
                <c:pt idx="2">
                  <c:v>Para pagar su escuela y/o sus propios gastos</c:v>
                </c:pt>
                <c:pt idx="3">
                  <c:v>Aprender un oficio</c:v>
                </c:pt>
                <c:pt idx="4">
                  <c:v>El hogar necesita de su trabajo</c:v>
                </c:pt>
                <c:pt idx="5">
                  <c:v>El hogar necesita de su aportación económica</c:v>
                </c:pt>
              </c:strCache>
              <c:extLst/>
            </c:strRef>
          </c:cat>
          <c:val>
            <c:numRef>
              <c:f>'[INSUMOS BOLETIN ENTI 2022.xlsx]G11'!$G$4:$G$10</c:f>
              <c:numCache>
                <c:formatCode>0.0</c:formatCode>
                <c:ptCount val="6"/>
                <c:pt idx="0">
                  <c:v>12.233515371456742</c:v>
                </c:pt>
                <c:pt idx="1">
                  <c:v>31.500006332168685</c:v>
                </c:pt>
                <c:pt idx="2">
                  <c:v>22.654576445927265</c:v>
                </c:pt>
                <c:pt idx="3">
                  <c:v>15.231773790544057</c:v>
                </c:pt>
                <c:pt idx="4">
                  <c:v>11.371824476036494</c:v>
                </c:pt>
                <c:pt idx="5">
                  <c:v>7.0083035838667591</c:v>
                </c:pt>
              </c:numCache>
              <c:extLst/>
            </c:numRef>
          </c:val>
          <c:extLst>
            <c:ext xmlns:c16="http://schemas.microsoft.com/office/drawing/2014/chart" uri="{C3380CC4-5D6E-409C-BE32-E72D297353CC}">
              <c16:uniqueId val="{00000000-2EB0-4EFD-8E8C-AA19CE8E751B}"/>
            </c:ext>
          </c:extLst>
        </c:ser>
        <c:ser>
          <c:idx val="0"/>
          <c:order val="1"/>
          <c:tx>
            <c:strRef>
              <c:f>'[INSUMOS BOLETIN ENTI 2022.xlsx]G11'!$F$3</c:f>
              <c:strCache>
                <c:ptCount val="1"/>
                <c:pt idx="0">
                  <c:v>2019</c:v>
                </c:pt>
              </c:strCache>
            </c:strRef>
          </c:tx>
          <c:spPr>
            <a:solidFill>
              <a:srgbClr val="99C5CC"/>
            </a:solidFill>
            <a:ln>
              <a:solidFill>
                <a:srgbClr val="99C5CC"/>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'[INSUMOS BOLETIN ENTI 2022.xlsx]G11'!$F$27:$F$33</c:f>
                <c:numCache>
                  <c:formatCode>General</c:formatCode>
                  <c:ptCount val="6"/>
                  <c:pt idx="0">
                    <c:v>0.87301124148683229</c:v>
                  </c:pt>
                  <c:pt idx="1">
                    <c:v>0.79287089345206851</c:v>
                  </c:pt>
                  <c:pt idx="2">
                    <c:v>0.33972865124684759</c:v>
                  </c:pt>
                  <c:pt idx="3">
                    <c:v>0.79817454412604416</c:v>
                  </c:pt>
                  <c:pt idx="4">
                    <c:v>1.4708943703834665</c:v>
                  </c:pt>
                  <c:pt idx="5">
                    <c:v>1.4447108011966368</c:v>
                  </c:pt>
                </c:numCache>
                <c:extLst/>
              </c:numRef>
            </c:plus>
            <c:minus>
              <c:numRef>
                <c:f>'[INSUMOS BOLETIN ENTI 2022.xlsx]G11'!$F$27:$F$33</c:f>
                <c:numCache>
                  <c:formatCode>General</c:formatCode>
                  <c:ptCount val="6"/>
                  <c:pt idx="0">
                    <c:v>0.87301124148683229</c:v>
                  </c:pt>
                  <c:pt idx="1">
                    <c:v>0.79287089345206851</c:v>
                  </c:pt>
                  <c:pt idx="2">
                    <c:v>0.33972865124684759</c:v>
                  </c:pt>
                  <c:pt idx="3">
                    <c:v>0.79817454412604416</c:v>
                  </c:pt>
                  <c:pt idx="4">
                    <c:v>1.4708943703834665</c:v>
                  </c:pt>
                  <c:pt idx="5">
                    <c:v>1.4447108011966368</c:v>
                  </c:pt>
                </c:numCache>
                <c:extLst/>
              </c:numRef>
            </c:minus>
            <c:spPr>
              <a:noFill/>
              <a:ln w="25400" cap="flat" cmpd="sng" algn="ctr">
                <a:solidFill>
                  <a:srgbClr val="006E80"/>
                </a:solidFill>
                <a:round/>
              </a:ln>
              <a:effectLst/>
            </c:spPr>
          </c:errBars>
          <c:cat>
            <c:strRef>
              <c:f>'[INSUMOS BOLETIN ENTI 2022.xlsx]G11'!$E$4:$E$10</c:f>
              <c:strCache>
                <c:ptCount val="6"/>
                <c:pt idx="0">
                  <c:v>Pago de deudas, no estudia y otra razón</c:v>
                </c:pt>
                <c:pt idx="1">
                  <c:v>Por gusto o solo por ayudar</c:v>
                </c:pt>
                <c:pt idx="2">
                  <c:v>Para pagar su escuela y/o sus propios gastos</c:v>
                </c:pt>
                <c:pt idx="3">
                  <c:v>Aprender un oficio</c:v>
                </c:pt>
                <c:pt idx="4">
                  <c:v>El hogar necesita de su trabajo</c:v>
                </c:pt>
                <c:pt idx="5">
                  <c:v>El hogar necesita de su aportación económica</c:v>
                </c:pt>
              </c:strCache>
              <c:extLst/>
            </c:strRef>
          </c:cat>
          <c:val>
            <c:numRef>
              <c:f>'[INSUMOS BOLETIN ENTI 2022.xlsx]G11'!$F$4:$F$10</c:f>
              <c:numCache>
                <c:formatCode>0.0</c:formatCode>
                <c:ptCount val="6"/>
                <c:pt idx="0">
                  <c:v>12.035956828423847</c:v>
                </c:pt>
                <c:pt idx="1">
                  <c:v>27.18380615096379</c:v>
                </c:pt>
                <c:pt idx="2">
                  <c:v>19.090448385375719</c:v>
                </c:pt>
                <c:pt idx="3">
                  <c:v>12.608717836685338</c:v>
                </c:pt>
                <c:pt idx="4">
                  <c:v>15.772526395207077</c:v>
                </c:pt>
                <c:pt idx="5">
                  <c:v>13.308544403344227</c:v>
                </c:pt>
              </c:numCache>
              <c:extLst/>
            </c:numRef>
          </c:val>
          <c:extLst>
            <c:ext xmlns:c16="http://schemas.microsoft.com/office/drawing/2014/chart" uri="{C3380CC4-5D6E-409C-BE32-E72D297353CC}">
              <c16:uniqueId val="{00000001-2EB0-4EFD-8E8C-AA19CE8E751B}"/>
            </c:ext>
          </c:extLst>
        </c:ser>
        <c:dLbls>
          <c:dLblPos val="outEnd"/>
          <c:showLegendKey val="0"/>
          <c:showVal val="1"/>
          <c:showCatName val="0"/>
          <c:showSerName val="0"/>
          <c:showPercent val="0"/>
          <c:showBubbleSize val="0"/>
        </c:dLbls>
        <c:gapWidth val="20"/>
        <c:axId val="221373184"/>
        <c:axId val="221366128"/>
      </c:barChart>
      <c:catAx>
        <c:axId val="221373184"/>
        <c:scaling>
          <c:orientation val="minMax"/>
        </c:scaling>
        <c:delete val="0"/>
        <c:axPos val="l"/>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221366128"/>
        <c:crosses val="autoZero"/>
        <c:auto val="1"/>
        <c:lblAlgn val="ctr"/>
        <c:lblOffset val="100"/>
        <c:noMultiLvlLbl val="0"/>
      </c:catAx>
      <c:valAx>
        <c:axId val="221366128"/>
        <c:scaling>
          <c:orientation val="minMax"/>
          <c:max val="35"/>
        </c:scaling>
        <c:delete val="1"/>
        <c:axPos val="b"/>
        <c:numFmt formatCode="0.0" sourceLinked="1"/>
        <c:majorTickMark val="out"/>
        <c:minorTickMark val="none"/>
        <c:tickLblPos val="nextTo"/>
        <c:crossAx val="221373184"/>
        <c:crosses val="autoZero"/>
        <c:crossBetween val="between"/>
      </c:valAx>
      <c:spPr>
        <a:noFill/>
        <a:ln w="25400">
          <a:noFill/>
        </a:ln>
        <a:effectLst/>
      </c:spPr>
    </c:plotArea>
    <c:legend>
      <c:legendPos val="b"/>
      <c:layout>
        <c:manualLayout>
          <c:xMode val="edge"/>
          <c:yMode val="edge"/>
          <c:x val="0.30436971190589684"/>
          <c:y val="0.92929635738631311"/>
          <c:w val="0.12872307097037317"/>
          <c:h val="5.7535932341857512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9525" cap="flat" cmpd="sng" algn="ctr">
      <a:noFill/>
      <a:round/>
    </a:ln>
    <a:effectLst/>
  </c:spPr>
  <c:txPr>
    <a:bodyPr/>
    <a:lstStyle/>
    <a:p>
      <a:pPr>
        <a:defRPr sz="12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003955967153142"/>
          <c:y val="1.90171542085271E-2"/>
          <c:w val="0.85817395885166703"/>
          <c:h val="0.88959039692093778"/>
        </c:manualLayout>
      </c:layout>
      <c:barChart>
        <c:barDir val="bar"/>
        <c:grouping val="clustered"/>
        <c:varyColors val="0"/>
        <c:ser>
          <c:idx val="1"/>
          <c:order val="0"/>
          <c:tx>
            <c:strRef>
              <c:f>'[INSUMOS BOLETIN ENTI 2022.xlsx]G12'!$G$3</c:f>
              <c:strCache>
                <c:ptCount val="1"/>
                <c:pt idx="0">
                  <c:v>2022</c:v>
                </c:pt>
              </c:strCache>
            </c:strRef>
          </c:tx>
          <c:spPr>
            <a:solidFill>
              <a:srgbClr val="66A8B3"/>
            </a:solidFill>
            <a:ln>
              <a:solidFill>
                <a:srgbClr val="66A8B3"/>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'[INSUMOS BOLETIN ENTI 2022.xlsx]G12'!$G$21:$G$24</c:f>
                <c:numCache>
                  <c:formatCode>General</c:formatCode>
                  <c:ptCount val="3"/>
                  <c:pt idx="0">
                    <c:v>0.4553809040693646</c:v>
                  </c:pt>
                  <c:pt idx="1">
                    <c:v>0.55219841351872034</c:v>
                  </c:pt>
                  <c:pt idx="2">
                    <c:v>0.74938998994660722</c:v>
                  </c:pt>
                </c:numCache>
                <c:extLst/>
              </c:numRef>
            </c:plus>
            <c:minus>
              <c:numRef>
                <c:f>'[INSUMOS BOLETIN ENTI 2022.xlsx]G12'!$G$21:$G$24</c:f>
                <c:numCache>
                  <c:formatCode>General</c:formatCode>
                  <c:ptCount val="3"/>
                  <c:pt idx="0">
                    <c:v>0.4553809040693646</c:v>
                  </c:pt>
                  <c:pt idx="1">
                    <c:v>0.55219841351872034</c:v>
                  </c:pt>
                  <c:pt idx="2">
                    <c:v>0.74938998994660722</c:v>
                  </c:pt>
                </c:numCache>
                <c:extLst/>
              </c:numRef>
            </c:minus>
            <c:spPr>
              <a:noFill/>
              <a:ln w="25400" cap="flat" cmpd="sng" algn="ctr">
                <a:solidFill>
                  <a:srgbClr val="006E80"/>
                </a:solidFill>
                <a:round/>
              </a:ln>
              <a:effectLst/>
            </c:spPr>
          </c:errBars>
          <c:cat>
            <c:strRef>
              <c:f>'[INSUMOS BOLETIN ENTI 2022.xlsx]G12'!$E$4:$E$7</c:f>
              <c:strCache>
                <c:ptCount val="3"/>
                <c:pt idx="0">
                  <c:v>Trabaja solo o por su cuenta</c:v>
                </c:pt>
                <c:pt idx="1">
                  <c:v>No es un familiar</c:v>
                </c:pt>
                <c:pt idx="2">
                  <c:v>Es un familiar</c:v>
                </c:pt>
              </c:strCache>
              <c:extLst/>
            </c:strRef>
          </c:cat>
          <c:val>
            <c:numRef>
              <c:f>'[INSUMOS BOLETIN ENTI 2022.xlsx]G12'!$G$4:$G$7</c:f>
              <c:numCache>
                <c:formatCode>0.0</c:formatCode>
                <c:ptCount val="3"/>
                <c:pt idx="0">
                  <c:v>4.5267970342936188</c:v>
                </c:pt>
                <c:pt idx="1">
                  <c:v>34.688229811756351</c:v>
                </c:pt>
                <c:pt idx="2">
                  <c:v>60.55260601574787</c:v>
                </c:pt>
              </c:numCache>
              <c:extLst/>
            </c:numRef>
          </c:val>
          <c:extLst>
            <c:ext xmlns:c16="http://schemas.microsoft.com/office/drawing/2014/chart" uri="{C3380CC4-5D6E-409C-BE32-E72D297353CC}">
              <c16:uniqueId val="{00000000-0C55-4F09-8793-5286119A6318}"/>
            </c:ext>
          </c:extLst>
        </c:ser>
        <c:ser>
          <c:idx val="0"/>
          <c:order val="1"/>
          <c:tx>
            <c:strRef>
              <c:f>'[INSUMOS BOLETIN ENTI 2022.xlsx]G12'!$F$3</c:f>
              <c:strCache>
                <c:ptCount val="1"/>
                <c:pt idx="0">
                  <c:v>2019</c:v>
                </c:pt>
              </c:strCache>
            </c:strRef>
          </c:tx>
          <c:spPr>
            <a:solidFill>
              <a:srgbClr val="99C5CC"/>
            </a:solidFill>
            <a:ln>
              <a:solidFill>
                <a:srgbClr val="99C5CC"/>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'[INSUMOS BOLETIN ENTI 2022.xlsx]G12'!$F$21:$F$24</c:f>
                <c:numCache>
                  <c:formatCode>General</c:formatCode>
                  <c:ptCount val="3"/>
                  <c:pt idx="0">
                    <c:v>0.38033175750228798</c:v>
                  </c:pt>
                  <c:pt idx="1">
                    <c:v>0.89188375117940311</c:v>
                  </c:pt>
                  <c:pt idx="2">
                    <c:v>0.81802289361543856</c:v>
                  </c:pt>
                </c:numCache>
                <c:extLst/>
              </c:numRef>
            </c:plus>
            <c:minus>
              <c:numRef>
                <c:f>'[INSUMOS BOLETIN ENTI 2022.xlsx]G12'!$F$21:$F$24</c:f>
                <c:numCache>
                  <c:formatCode>General</c:formatCode>
                  <c:ptCount val="3"/>
                  <c:pt idx="0">
                    <c:v>0.38033175750228798</c:v>
                  </c:pt>
                  <c:pt idx="1">
                    <c:v>0.89188375117940311</c:v>
                  </c:pt>
                  <c:pt idx="2">
                    <c:v>0.81802289361543856</c:v>
                  </c:pt>
                </c:numCache>
                <c:extLst/>
              </c:numRef>
            </c:minus>
            <c:spPr>
              <a:noFill/>
              <a:ln w="25400" cap="flat" cmpd="sng" algn="ctr">
                <a:solidFill>
                  <a:srgbClr val="006E80"/>
                </a:solidFill>
                <a:round/>
              </a:ln>
              <a:effectLst/>
            </c:spPr>
          </c:errBars>
          <c:cat>
            <c:strRef>
              <c:f>'[INSUMOS BOLETIN ENTI 2022.xlsx]G12'!$E$4:$E$7</c:f>
              <c:strCache>
                <c:ptCount val="3"/>
                <c:pt idx="0">
                  <c:v>Trabaja solo o por su cuenta</c:v>
                </c:pt>
                <c:pt idx="1">
                  <c:v>No es un familiar</c:v>
                </c:pt>
                <c:pt idx="2">
                  <c:v>Es un familiar</c:v>
                </c:pt>
              </c:strCache>
              <c:extLst/>
            </c:strRef>
          </c:cat>
          <c:val>
            <c:numRef>
              <c:f>'[INSUMOS BOLETIN ENTI 2022.xlsx]G12'!$F$4:$F$7</c:f>
              <c:numCache>
                <c:formatCode>0.0</c:formatCode>
                <c:ptCount val="3"/>
                <c:pt idx="0">
                  <c:v>5.3501783128567064</c:v>
                </c:pt>
                <c:pt idx="1">
                  <c:v>38.020194754595046</c:v>
                </c:pt>
                <c:pt idx="2">
                  <c:v>56.195226198986148</c:v>
                </c:pt>
              </c:numCache>
              <c:extLst/>
            </c:numRef>
          </c:val>
          <c:extLst>
            <c:ext xmlns:c16="http://schemas.microsoft.com/office/drawing/2014/chart" uri="{C3380CC4-5D6E-409C-BE32-E72D297353CC}">
              <c16:uniqueId val="{00000001-0C55-4F09-8793-5286119A6318}"/>
            </c:ext>
          </c:extLst>
        </c:ser>
        <c:dLbls>
          <c:showLegendKey val="0"/>
          <c:showVal val="0"/>
          <c:showCatName val="0"/>
          <c:showSerName val="0"/>
          <c:showPercent val="0"/>
          <c:showBubbleSize val="0"/>
        </c:dLbls>
        <c:gapWidth val="20"/>
        <c:axId val="221373184"/>
        <c:axId val="221366128"/>
      </c:barChart>
      <c:catAx>
        <c:axId val="221373184"/>
        <c:scaling>
          <c:orientation val="minMax"/>
        </c:scaling>
        <c:delete val="0"/>
        <c:axPos val="l"/>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221366128"/>
        <c:crosses val="autoZero"/>
        <c:auto val="1"/>
        <c:lblAlgn val="ctr"/>
        <c:lblOffset val="100"/>
        <c:noMultiLvlLbl val="0"/>
      </c:catAx>
      <c:valAx>
        <c:axId val="221366128"/>
        <c:scaling>
          <c:orientation val="minMax"/>
          <c:max val="63"/>
        </c:scaling>
        <c:delete val="1"/>
        <c:axPos val="b"/>
        <c:numFmt formatCode="0.0" sourceLinked="1"/>
        <c:majorTickMark val="out"/>
        <c:minorTickMark val="none"/>
        <c:tickLblPos val="nextTo"/>
        <c:crossAx val="221373184"/>
        <c:crosses val="autoZero"/>
        <c:crossBetween val="between"/>
      </c:valAx>
      <c:spPr>
        <a:noFill/>
        <a:ln w="25400">
          <a:noFill/>
        </a:ln>
        <a:effectLst/>
      </c:spPr>
    </c:plotArea>
    <c:legend>
      <c:legendPos val="b"/>
      <c:layout>
        <c:manualLayout>
          <c:xMode val="edge"/>
          <c:yMode val="edge"/>
          <c:x val="0.43425497622236725"/>
          <c:y val="0.92157002840555202"/>
          <c:w val="0.12872307097037317"/>
          <c:h val="5.7535932341857512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9525" cap="flat" cmpd="sng" algn="ctr">
      <a:noFill/>
      <a:round/>
    </a:ln>
    <a:effectLst/>
  </c:spPr>
  <c:txPr>
    <a:bodyPr/>
    <a:lstStyle/>
    <a:p>
      <a:pPr>
        <a:defRPr sz="12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2017</c:v>
          </c:tx>
          <c:spPr>
            <a:solidFill>
              <a:srgbClr val="99C5CC"/>
            </a:solidFill>
            <a:ln>
              <a:solidFill>
                <a:srgbClr val="99C5CC"/>
              </a:solidFill>
            </a:ln>
            <a:effectLst/>
          </c:spPr>
          <c:invertIfNegative val="0"/>
          <c:dLbls>
            <c:dLbl>
              <c:idx val="1"/>
              <c:tx>
                <c:rich>
                  <a:bodyPr/>
                  <a:lstStyle/>
                  <a:p>
                    <a:r>
                      <a:rPr lang="en-US"/>
                      <a:t>9.5</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560-49F8-94D0-643A7649F123}"/>
                </c:ext>
              </c:extLst>
            </c:dLbl>
            <c:dLbl>
              <c:idx val="2"/>
              <c:tx>
                <c:rich>
                  <a:bodyPr/>
                  <a:lstStyle/>
                  <a:p>
                    <a:r>
                      <a:rPr lang="en-US"/>
                      <a:t>3.3</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560-49F8-94D0-643A7649F12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'[INSUMOS BOLETIN ENTI 2022.xlsx]G13'!$A$45:$A$48</c:f>
              <c:strCache>
                <c:ptCount val="3"/>
                <c:pt idx="0">
                  <c:v>Total</c:v>
                </c:pt>
                <c:pt idx="1">
                  <c:v>Niños</c:v>
                </c:pt>
                <c:pt idx="2">
                  <c:v>Niñas</c:v>
                </c:pt>
              </c:strCache>
              <c:extLst/>
            </c:strRef>
          </c:cat>
          <c:val>
            <c:numRef>
              <c:f>'[INSUMOS BOLETIN ENTI 2022.xlsx]G13'!$B$45:$B$48</c:f>
              <c:numCache>
                <c:formatCode>#,##0.0</c:formatCode>
                <c:ptCount val="3"/>
                <c:pt idx="0">
                  <c:v>6.3870183587422735</c:v>
                </c:pt>
                <c:pt idx="1">
                  <c:v>9.4482868781639606</c:v>
                </c:pt>
                <c:pt idx="2">
                  <c:v>3.2169283741307555</c:v>
                </c:pt>
              </c:numCache>
              <c:extLst/>
            </c:numRef>
          </c:val>
          <c:extLst xmlns:c15="http://schemas.microsoft.com/office/drawing/2012/chart">
            <c:ext xmlns:c16="http://schemas.microsoft.com/office/drawing/2014/chart" uri="{C3380CC4-5D6E-409C-BE32-E72D297353CC}">
              <c16:uniqueId val="{00000000-D197-4910-9B52-90B3859A01CC}"/>
            </c:ext>
          </c:extLst>
        </c:ser>
        <c:ser>
          <c:idx val="1"/>
          <c:order val="1"/>
          <c:tx>
            <c:v>2019</c:v>
          </c:tx>
          <c:spPr>
            <a:solidFill>
              <a:srgbClr val="66A8B3"/>
            </a:solidFill>
            <a:ln>
              <a:solidFill>
                <a:srgbClr val="66A8B3"/>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'[INSUMOS BOLETIN ENTI 2022.xlsx]G13'!$A$45:$A$48</c:f>
              <c:strCache>
                <c:ptCount val="3"/>
                <c:pt idx="0">
                  <c:v>Total</c:v>
                </c:pt>
                <c:pt idx="1">
                  <c:v>Niños</c:v>
                </c:pt>
                <c:pt idx="2">
                  <c:v>Niñas</c:v>
                </c:pt>
              </c:strCache>
              <c:extLst/>
            </c:strRef>
          </c:cat>
          <c:val>
            <c:numRef>
              <c:f>'[INSUMOS BOLETIN ENTI 2022.xlsx]G13'!$C$45:$C$48</c:f>
              <c:numCache>
                <c:formatCode>#,##0.0</c:formatCode>
                <c:ptCount val="3"/>
                <c:pt idx="0">
                  <c:v>6.5722624391983082</c:v>
                </c:pt>
                <c:pt idx="1">
                  <c:v>9.1806138031919371</c:v>
                </c:pt>
                <c:pt idx="2">
                  <c:v>3.8159085849485948</c:v>
                </c:pt>
              </c:numCache>
              <c:extLst/>
            </c:numRef>
          </c:val>
          <c:extLst>
            <c:ext xmlns:c16="http://schemas.microsoft.com/office/drawing/2014/chart" uri="{C3380CC4-5D6E-409C-BE32-E72D297353CC}">
              <c16:uniqueId val="{00000001-D197-4910-9B52-90B3859A01CC}"/>
            </c:ext>
          </c:extLst>
        </c:ser>
        <c:ser>
          <c:idx val="2"/>
          <c:order val="2"/>
          <c:tx>
            <c:v>2022</c:v>
          </c:tx>
          <c:spPr>
            <a:solidFill>
              <a:srgbClr val="338B99"/>
            </a:solidFill>
            <a:ln>
              <a:solidFill>
                <a:srgbClr val="338B99"/>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'[INSUMOS BOLETIN ENTI 2022.xlsx]G13'!$A$45:$A$48</c:f>
              <c:strCache>
                <c:ptCount val="3"/>
                <c:pt idx="0">
                  <c:v>Total</c:v>
                </c:pt>
                <c:pt idx="1">
                  <c:v>Niños</c:v>
                </c:pt>
                <c:pt idx="2">
                  <c:v>Niñas</c:v>
                </c:pt>
              </c:strCache>
              <c:extLst/>
            </c:strRef>
          </c:cat>
          <c:val>
            <c:numRef>
              <c:f>'[INSUMOS BOLETIN ENTI 2022.xlsx]G13'!$D$45:$D$48</c:f>
              <c:numCache>
                <c:formatCode>#,##0.0</c:formatCode>
                <c:ptCount val="3"/>
                <c:pt idx="0">
                  <c:v>6.9433435858797621</c:v>
                </c:pt>
                <c:pt idx="1">
                  <c:v>10.026396400199891</c:v>
                </c:pt>
                <c:pt idx="2">
                  <c:v>3.7321610549241089</c:v>
                </c:pt>
              </c:numCache>
              <c:extLst/>
            </c:numRef>
          </c:val>
          <c:extLst>
            <c:ext xmlns:c16="http://schemas.microsoft.com/office/drawing/2014/chart" uri="{C3380CC4-5D6E-409C-BE32-E72D297353CC}">
              <c16:uniqueId val="{00000002-D197-4910-9B52-90B3859A01CC}"/>
            </c:ext>
          </c:extLst>
        </c:ser>
        <c:dLbls>
          <c:showLegendKey val="0"/>
          <c:showVal val="1"/>
          <c:showCatName val="0"/>
          <c:showSerName val="0"/>
          <c:showPercent val="0"/>
          <c:showBubbleSize val="0"/>
        </c:dLbls>
        <c:gapWidth val="40"/>
        <c:overlap val="-10"/>
        <c:axId val="221373184"/>
        <c:axId val="221366128"/>
        <c:extLst/>
      </c:barChart>
      <c:catAx>
        <c:axId val="221373184"/>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221366128"/>
        <c:crosses val="autoZero"/>
        <c:auto val="1"/>
        <c:lblAlgn val="ctr"/>
        <c:lblOffset val="100"/>
        <c:noMultiLvlLbl val="0"/>
      </c:catAx>
      <c:valAx>
        <c:axId val="221366128"/>
        <c:scaling>
          <c:orientation val="minMax"/>
          <c:max val="10"/>
        </c:scaling>
        <c:delete val="1"/>
        <c:axPos val="l"/>
        <c:numFmt formatCode="#,##0.0" sourceLinked="1"/>
        <c:majorTickMark val="out"/>
        <c:minorTickMark val="none"/>
        <c:tickLblPos val="nextTo"/>
        <c:crossAx val="221373184"/>
        <c:crosses val="autoZero"/>
        <c:crossBetween val="between"/>
        <c:majorUnit val="1"/>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9525" cap="flat" cmpd="sng" algn="ctr">
      <a:noFill/>
      <a:round/>
    </a:ln>
    <a:effectLst/>
  </c:spPr>
  <c:txPr>
    <a:bodyPr/>
    <a:lstStyle/>
    <a:p>
      <a:pPr>
        <a:defRPr sz="1400" b="1">
          <a:latin typeface="Arial" panose="020B0604020202020204" pitchFamily="34" charset="0"/>
          <a:cs typeface="Arial" panose="020B0604020202020204" pitchFamily="34" charset="0"/>
        </a:defRPr>
      </a:pPr>
      <a:endParaRPr lang="es-MX"/>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4853127734033246"/>
          <c:y val="1.836759704647814E-2"/>
          <c:w val="0.63757983377077865"/>
          <c:h val="0.93028503732753254"/>
        </c:manualLayout>
      </c:layout>
      <c:barChart>
        <c:barDir val="bar"/>
        <c:grouping val="clustered"/>
        <c:varyColors val="0"/>
        <c:ser>
          <c:idx val="0"/>
          <c:order val="0"/>
          <c:tx>
            <c:strRef>
              <c:f>'[INSUMOS BOLETIN ENTI 2022.xlsx]G14'!$B$75</c:f>
              <c:strCache>
                <c:ptCount val="1"/>
                <c:pt idx="0">
                  <c:v>2022</c:v>
                </c:pt>
              </c:strCache>
            </c:strRef>
          </c:tx>
          <c:spPr>
            <a:solidFill>
              <a:srgbClr val="66A8B3"/>
            </a:solidFill>
            <a:ln>
              <a:solidFill>
                <a:srgbClr val="7FA3CF"/>
              </a:solidFill>
            </a:ln>
            <a:effectLst/>
          </c:spPr>
          <c:invertIfNegative val="0"/>
          <c:dPt>
            <c:idx val="14"/>
            <c:invertIfNegative val="0"/>
            <c:bubble3D val="0"/>
            <c:spPr>
              <a:solidFill>
                <a:srgbClr val="338B99"/>
              </a:solidFill>
              <a:ln>
                <a:solidFill>
                  <a:srgbClr val="338B99"/>
                </a:solidFill>
              </a:ln>
              <a:effectLst/>
            </c:spPr>
            <c:extLst>
              <c:ext xmlns:c16="http://schemas.microsoft.com/office/drawing/2014/chart" uri="{C3380CC4-5D6E-409C-BE32-E72D297353CC}">
                <c16:uniqueId val="{00000001-51EB-487E-A0A3-90D6D4FF9337}"/>
              </c:ext>
            </c:extLst>
          </c:dPt>
          <c:dLbls>
            <c:dLbl>
              <c:idx val="0"/>
              <c:layout>
                <c:manualLayout>
                  <c:x val="-7.713794690508137E-2"/>
                  <c:y val="-1.3675055699803292E-1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1EB-487E-A0A3-90D6D4FF9337}"/>
                </c:ext>
              </c:extLst>
            </c:dLbl>
            <c:dLbl>
              <c:idx val="14"/>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extLst>
                <c:ext xmlns:c16="http://schemas.microsoft.com/office/drawing/2014/chart" uri="{C3380CC4-5D6E-409C-BE32-E72D297353CC}">
                  <c16:uniqueId val="{00000001-51EB-487E-A0A3-90D6D4FF9337}"/>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'[INSUMOS BOLETIN ENTI 2022.xlsx]G14'!$E$76:$E$108</c:f>
                <c:numCache>
                  <c:formatCode>General</c:formatCode>
                  <c:ptCount val="33"/>
                  <c:pt idx="0">
                    <c:v>0.7076059400000001</c:v>
                  </c:pt>
                  <c:pt idx="1">
                    <c:v>0.70847733000000002</c:v>
                  </c:pt>
                  <c:pt idx="2">
                    <c:v>1.09205006</c:v>
                  </c:pt>
                  <c:pt idx="3">
                    <c:v>0.50043777999999994</c:v>
                  </c:pt>
                  <c:pt idx="4">
                    <c:v>0.71181558999999983</c:v>
                  </c:pt>
                  <c:pt idx="5">
                    <c:v>0.52397853999999999</c:v>
                  </c:pt>
                  <c:pt idx="6">
                    <c:v>0.7244851299999997</c:v>
                  </c:pt>
                  <c:pt idx="7">
                    <c:v>0.99696082999999991</c:v>
                  </c:pt>
                  <c:pt idx="8">
                    <c:v>0.6061888350000002</c:v>
                  </c:pt>
                  <c:pt idx="9">
                    <c:v>0.99039192499999995</c:v>
                  </c:pt>
                  <c:pt idx="10">
                    <c:v>0.8914286950000001</c:v>
                  </c:pt>
                  <c:pt idx="11">
                    <c:v>0.51615579999999994</c:v>
                  </c:pt>
                  <c:pt idx="12">
                    <c:v>1.2659851799999999</c:v>
                  </c:pt>
                  <c:pt idx="13">
                    <c:v>0.85007467999999986</c:v>
                  </c:pt>
                  <c:pt idx="14">
                    <c:v>0.22275731000000043</c:v>
                  </c:pt>
                  <c:pt idx="15">
                    <c:v>1.5678083150000006</c:v>
                  </c:pt>
                  <c:pt idx="16">
                    <c:v>0.75555207999999996</c:v>
                  </c:pt>
                  <c:pt idx="17">
                    <c:v>1.2851854299999999</c:v>
                  </c:pt>
                  <c:pt idx="18">
                    <c:v>1.4935901550000001</c:v>
                  </c:pt>
                  <c:pt idx="19">
                    <c:v>0.5015870899999999</c:v>
                  </c:pt>
                  <c:pt idx="20">
                    <c:v>0.84426994000000022</c:v>
                  </c:pt>
                  <c:pt idx="21">
                    <c:v>1.6728725200000008</c:v>
                  </c:pt>
                  <c:pt idx="22">
                    <c:v>1.301989345</c:v>
                  </c:pt>
                  <c:pt idx="23">
                    <c:v>1.4869177349999996</c:v>
                  </c:pt>
                  <c:pt idx="24">
                    <c:v>1.3065819799999998</c:v>
                  </c:pt>
                  <c:pt idx="25">
                    <c:v>0.59146524499999986</c:v>
                  </c:pt>
                  <c:pt idx="26">
                    <c:v>1.3556398749999996</c:v>
                  </c:pt>
                  <c:pt idx="27">
                    <c:v>1.9215082000000003</c:v>
                  </c:pt>
                  <c:pt idx="28">
                    <c:v>1.0306555300000002</c:v>
                  </c:pt>
                  <c:pt idx="29">
                    <c:v>1.20797643</c:v>
                  </c:pt>
                  <c:pt idx="30">
                    <c:v>2.3724981099999995</c:v>
                  </c:pt>
                  <c:pt idx="31">
                    <c:v>1.3992902899999997</c:v>
                  </c:pt>
                  <c:pt idx="32">
                    <c:v>1.1047704399999998</c:v>
                  </c:pt>
                </c:numCache>
              </c:numRef>
            </c:plus>
            <c:minus>
              <c:numRef>
                <c:f>'[INSUMOS BOLETIN ENTI 2022.xlsx]G14'!$E$76:$E$108</c:f>
                <c:numCache>
                  <c:formatCode>General</c:formatCode>
                  <c:ptCount val="33"/>
                  <c:pt idx="0">
                    <c:v>0.7076059400000001</c:v>
                  </c:pt>
                  <c:pt idx="1">
                    <c:v>0.70847733000000002</c:v>
                  </c:pt>
                  <c:pt idx="2">
                    <c:v>1.09205006</c:v>
                  </c:pt>
                  <c:pt idx="3">
                    <c:v>0.50043777999999994</c:v>
                  </c:pt>
                  <c:pt idx="4">
                    <c:v>0.71181558999999983</c:v>
                  </c:pt>
                  <c:pt idx="5">
                    <c:v>0.52397853999999999</c:v>
                  </c:pt>
                  <c:pt idx="6">
                    <c:v>0.7244851299999997</c:v>
                  </c:pt>
                  <c:pt idx="7">
                    <c:v>0.99696082999999991</c:v>
                  </c:pt>
                  <c:pt idx="8">
                    <c:v>0.6061888350000002</c:v>
                  </c:pt>
                  <c:pt idx="9">
                    <c:v>0.99039192499999995</c:v>
                  </c:pt>
                  <c:pt idx="10">
                    <c:v>0.8914286950000001</c:v>
                  </c:pt>
                  <c:pt idx="11">
                    <c:v>0.51615579999999994</c:v>
                  </c:pt>
                  <c:pt idx="12">
                    <c:v>1.2659851799999999</c:v>
                  </c:pt>
                  <c:pt idx="13">
                    <c:v>0.85007467999999986</c:v>
                  </c:pt>
                  <c:pt idx="14">
                    <c:v>0.22275731000000043</c:v>
                  </c:pt>
                  <c:pt idx="15">
                    <c:v>1.5678083150000006</c:v>
                  </c:pt>
                  <c:pt idx="16">
                    <c:v>0.75555207999999996</c:v>
                  </c:pt>
                  <c:pt idx="17">
                    <c:v>1.2851854299999999</c:v>
                  </c:pt>
                  <c:pt idx="18">
                    <c:v>1.4935901550000001</c:v>
                  </c:pt>
                  <c:pt idx="19">
                    <c:v>0.5015870899999999</c:v>
                  </c:pt>
                  <c:pt idx="20">
                    <c:v>0.84426994000000022</c:v>
                  </c:pt>
                  <c:pt idx="21">
                    <c:v>1.6728725200000008</c:v>
                  </c:pt>
                  <c:pt idx="22">
                    <c:v>1.301989345</c:v>
                  </c:pt>
                  <c:pt idx="23">
                    <c:v>1.4869177349999996</c:v>
                  </c:pt>
                  <c:pt idx="24">
                    <c:v>1.3065819799999998</c:v>
                  </c:pt>
                  <c:pt idx="25">
                    <c:v>0.59146524499999986</c:v>
                  </c:pt>
                  <c:pt idx="26">
                    <c:v>1.3556398749999996</c:v>
                  </c:pt>
                  <c:pt idx="27">
                    <c:v>1.9215082000000003</c:v>
                  </c:pt>
                  <c:pt idx="28">
                    <c:v>1.0306555300000002</c:v>
                  </c:pt>
                  <c:pt idx="29">
                    <c:v>1.20797643</c:v>
                  </c:pt>
                  <c:pt idx="30">
                    <c:v>2.3724981099999995</c:v>
                  </c:pt>
                  <c:pt idx="31">
                    <c:v>1.3992902899999997</c:v>
                  </c:pt>
                  <c:pt idx="32">
                    <c:v>1.1047704399999998</c:v>
                  </c:pt>
                </c:numCache>
              </c:numRef>
            </c:minus>
            <c:spPr>
              <a:noFill/>
              <a:ln w="19050" cap="flat" cmpd="sng" algn="ctr">
                <a:solidFill>
                  <a:srgbClr val="006E80"/>
                </a:solidFill>
                <a:round/>
              </a:ln>
              <a:effectLst/>
            </c:spPr>
          </c:errBars>
          <c:cat>
            <c:strRef>
              <c:f>'[INSUMOS BOLETIN ENTI 2022.xlsx]G14'!$A$76:$A$108</c:f>
              <c:strCache>
                <c:ptCount val="33"/>
                <c:pt idx="0">
                  <c:v>Ciudad de México</c:v>
                </c:pt>
                <c:pt idx="1">
                  <c:v>Coahuila de Zaragoza</c:v>
                </c:pt>
                <c:pt idx="2">
                  <c:v>Quintana Roo</c:v>
                </c:pt>
                <c:pt idx="3">
                  <c:v>Querétaro</c:v>
                </c:pt>
                <c:pt idx="4">
                  <c:v>Baja California</c:v>
                </c:pt>
                <c:pt idx="5">
                  <c:v>Sinaloa</c:v>
                </c:pt>
                <c:pt idx="6">
                  <c:v>México</c:v>
                </c:pt>
                <c:pt idx="7">
                  <c:v>Tlaxcala</c:v>
                </c:pt>
                <c:pt idx="8">
                  <c:v>Nuevo León</c:v>
                </c:pt>
                <c:pt idx="9">
                  <c:v>Tamaulipas</c:v>
                </c:pt>
                <c:pt idx="10">
                  <c:v>Morelos</c:v>
                </c:pt>
                <c:pt idx="11">
                  <c:v>Aguascalientes</c:v>
                </c:pt>
                <c:pt idx="12">
                  <c:v>Chihuahua</c:v>
                </c:pt>
                <c:pt idx="13">
                  <c:v>Sonora</c:v>
                </c:pt>
                <c:pt idx="14">
                  <c:v>Nacional</c:v>
                </c:pt>
                <c:pt idx="15">
                  <c:v>Campeche</c:v>
                </c:pt>
                <c:pt idx="16">
                  <c:v>Durango</c:v>
                </c:pt>
                <c:pt idx="17">
                  <c:v>Yucatán</c:v>
                </c:pt>
                <c:pt idx="18">
                  <c:v>Hidalgo</c:v>
                </c:pt>
                <c:pt idx="19">
                  <c:v>Jalisco</c:v>
                </c:pt>
                <c:pt idx="20">
                  <c:v>San Luis Potosí</c:v>
                </c:pt>
                <c:pt idx="21">
                  <c:v>Nayarit</c:v>
                </c:pt>
                <c:pt idx="22">
                  <c:v>Guanajuato</c:v>
                </c:pt>
                <c:pt idx="23">
                  <c:v>Baja California Sur</c:v>
                </c:pt>
                <c:pt idx="24">
                  <c:v>Oaxaca</c:v>
                </c:pt>
                <c:pt idx="25">
                  <c:v>Veracruz de Ignacio de la Llave</c:v>
                </c:pt>
                <c:pt idx="26">
                  <c:v>Zacatecas</c:v>
                </c:pt>
                <c:pt idx="27">
                  <c:v>Chiapas</c:v>
                </c:pt>
                <c:pt idx="28">
                  <c:v>Puebla</c:v>
                </c:pt>
                <c:pt idx="29">
                  <c:v>Colima</c:v>
                </c:pt>
                <c:pt idx="30">
                  <c:v>Tabasco</c:v>
                </c:pt>
                <c:pt idx="31">
                  <c:v>Michoacán de Ocampo</c:v>
                </c:pt>
                <c:pt idx="32">
                  <c:v>Guerrero</c:v>
                </c:pt>
              </c:strCache>
            </c:strRef>
          </c:cat>
          <c:val>
            <c:numRef>
              <c:f>'[INSUMOS BOLETIN ENTI 2022.xlsx]G14'!$B$76:$B$108</c:f>
              <c:numCache>
                <c:formatCode>0.0</c:formatCode>
                <c:ptCount val="33"/>
                <c:pt idx="0">
                  <c:v>1.6532</c:v>
                </c:pt>
                <c:pt idx="1">
                  <c:v>2.9557000000000002</c:v>
                </c:pt>
                <c:pt idx="2">
                  <c:v>3.1006</c:v>
                </c:pt>
                <c:pt idx="3">
                  <c:v>3.3208000000000002</c:v>
                </c:pt>
                <c:pt idx="4">
                  <c:v>3.5270000000000001</c:v>
                </c:pt>
                <c:pt idx="5">
                  <c:v>3.7591000000000001</c:v>
                </c:pt>
                <c:pt idx="6">
                  <c:v>4.1706000000000003</c:v>
                </c:pt>
                <c:pt idx="7">
                  <c:v>4.6917999999999997</c:v>
                </c:pt>
                <c:pt idx="8">
                  <c:v>4.6993</c:v>
                </c:pt>
                <c:pt idx="9">
                  <c:v>4.7784000000000004</c:v>
                </c:pt>
                <c:pt idx="10">
                  <c:v>4.9607000000000001</c:v>
                </c:pt>
                <c:pt idx="11">
                  <c:v>5.6672000000000002</c:v>
                </c:pt>
                <c:pt idx="12">
                  <c:v>5.7015000000000002</c:v>
                </c:pt>
                <c:pt idx="13">
                  <c:v>5.9324000000000003</c:v>
                </c:pt>
                <c:pt idx="14">
                  <c:v>6.7497999999999996</c:v>
                </c:pt>
                <c:pt idx="15">
                  <c:v>6.8087</c:v>
                </c:pt>
                <c:pt idx="16">
                  <c:v>7.0487000000000002</c:v>
                </c:pt>
                <c:pt idx="17">
                  <c:v>7.5297999999999998</c:v>
                </c:pt>
                <c:pt idx="18">
                  <c:v>7.8117000000000001</c:v>
                </c:pt>
                <c:pt idx="19">
                  <c:v>7.9942000000000002</c:v>
                </c:pt>
                <c:pt idx="20">
                  <c:v>8.0652000000000008</c:v>
                </c:pt>
                <c:pt idx="21">
                  <c:v>8.1252999999999993</c:v>
                </c:pt>
                <c:pt idx="22">
                  <c:v>8.2590000000000003</c:v>
                </c:pt>
                <c:pt idx="23">
                  <c:v>8.3453999999999997</c:v>
                </c:pt>
                <c:pt idx="24">
                  <c:v>8.3645999999999994</c:v>
                </c:pt>
                <c:pt idx="25">
                  <c:v>8.7352000000000007</c:v>
                </c:pt>
                <c:pt idx="26">
                  <c:v>8.8806999999999992</c:v>
                </c:pt>
                <c:pt idx="27">
                  <c:v>9.0810999999999993</c:v>
                </c:pt>
                <c:pt idx="28">
                  <c:v>9.5230999999999995</c:v>
                </c:pt>
                <c:pt idx="29">
                  <c:v>9.6934000000000005</c:v>
                </c:pt>
                <c:pt idx="30">
                  <c:v>9.9251000000000005</c:v>
                </c:pt>
                <c:pt idx="31">
                  <c:v>10.5769</c:v>
                </c:pt>
                <c:pt idx="32">
                  <c:v>12.8962</c:v>
                </c:pt>
              </c:numCache>
            </c:numRef>
          </c:val>
          <c:extLst>
            <c:ext xmlns:c16="http://schemas.microsoft.com/office/drawing/2014/chart" uri="{C3380CC4-5D6E-409C-BE32-E72D297353CC}">
              <c16:uniqueId val="{00000003-51EB-487E-A0A3-90D6D4FF9337}"/>
            </c:ext>
          </c:extLst>
        </c:ser>
        <c:ser>
          <c:idx val="1"/>
          <c:order val="1"/>
          <c:tx>
            <c:strRef>
              <c:f>'[INSUMOS BOLETIN ENTI 2022.xlsx]G14'!$C$75</c:f>
              <c:strCache>
                <c:ptCount val="1"/>
                <c:pt idx="0">
                  <c:v>2019</c:v>
                </c:pt>
              </c:strCache>
            </c:strRef>
          </c:tx>
          <c:spPr>
            <a:solidFill>
              <a:srgbClr val="99C5CC"/>
            </a:solidFill>
            <a:ln>
              <a:solidFill>
                <a:srgbClr val="66A8B3"/>
              </a:solidFill>
            </a:ln>
            <a:effectLst/>
          </c:spPr>
          <c:invertIfNegative val="0"/>
          <c:dPt>
            <c:idx val="14"/>
            <c:invertIfNegative val="0"/>
            <c:bubble3D val="0"/>
            <c:spPr>
              <a:solidFill>
                <a:srgbClr val="338B99"/>
              </a:solidFill>
              <a:ln>
                <a:solidFill>
                  <a:srgbClr val="006E80"/>
                </a:solidFill>
              </a:ln>
              <a:effectLst/>
            </c:spPr>
            <c:extLst>
              <c:ext xmlns:c16="http://schemas.microsoft.com/office/drawing/2014/chart" uri="{C3380CC4-5D6E-409C-BE32-E72D297353CC}">
                <c16:uniqueId val="{00000005-51EB-487E-A0A3-90D6D4FF9337}"/>
              </c:ext>
            </c:extLst>
          </c:dPt>
          <c:dLbls>
            <c:dLbl>
              <c:idx val="14"/>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extLst>
                <c:ext xmlns:c16="http://schemas.microsoft.com/office/drawing/2014/chart" uri="{C3380CC4-5D6E-409C-BE32-E72D297353CC}">
                  <c16:uniqueId val="{00000005-51EB-487E-A0A3-90D6D4FF9337}"/>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'[INSUMOS BOLETIN ENTI 2022.xlsx]G14'!$D$76:$D$108</c:f>
                <c:numCache>
                  <c:formatCode>General</c:formatCode>
                  <c:ptCount val="33"/>
                  <c:pt idx="0">
                    <c:v>0.47131408352095405</c:v>
                  </c:pt>
                  <c:pt idx="1">
                    <c:v>0.70230673912940955</c:v>
                  </c:pt>
                  <c:pt idx="2">
                    <c:v>0.81684981048405647</c:v>
                  </c:pt>
                  <c:pt idx="3">
                    <c:v>0.56076270974653486</c:v>
                  </c:pt>
                  <c:pt idx="4">
                    <c:v>0.4609947447959809</c:v>
                  </c:pt>
                  <c:pt idx="5">
                    <c:v>0.83566500448407677</c:v>
                  </c:pt>
                  <c:pt idx="6">
                    <c:v>1.5494566710331936</c:v>
                  </c:pt>
                  <c:pt idx="7">
                    <c:v>1.39935011345018</c:v>
                  </c:pt>
                  <c:pt idx="8">
                    <c:v>0.59545179949138527</c:v>
                  </c:pt>
                  <c:pt idx="9">
                    <c:v>0.51181690193895335</c:v>
                  </c:pt>
                  <c:pt idx="10">
                    <c:v>1.2574987003963614</c:v>
                  </c:pt>
                  <c:pt idx="11">
                    <c:v>1.1001196322740012</c:v>
                  </c:pt>
                  <c:pt idx="12">
                    <c:v>1.1591861943335111</c:v>
                  </c:pt>
                  <c:pt idx="13">
                    <c:v>0.78126737206547459</c:v>
                  </c:pt>
                  <c:pt idx="14">
                    <c:v>0.30447501116618447</c:v>
                  </c:pt>
                  <c:pt idx="15">
                    <c:v>0.59627120256440258</c:v>
                  </c:pt>
                  <c:pt idx="16">
                    <c:v>0.81243191837387951</c:v>
                  </c:pt>
                  <c:pt idx="17">
                    <c:v>0.77226635078942873</c:v>
                  </c:pt>
                  <c:pt idx="18">
                    <c:v>0.66200629555154467</c:v>
                  </c:pt>
                  <c:pt idx="19">
                    <c:v>0.5766792389143065</c:v>
                  </c:pt>
                  <c:pt idx="20">
                    <c:v>0.95469001452050195</c:v>
                  </c:pt>
                  <c:pt idx="21">
                    <c:v>1.236765496117183</c:v>
                  </c:pt>
                  <c:pt idx="22">
                    <c:v>1.3345322296008786</c:v>
                  </c:pt>
                  <c:pt idx="23">
                    <c:v>0.91019350109641062</c:v>
                  </c:pt>
                  <c:pt idx="24">
                    <c:v>0.8647475981879662</c:v>
                  </c:pt>
                  <c:pt idx="25">
                    <c:v>0.81832716168759845</c:v>
                  </c:pt>
                  <c:pt idx="26">
                    <c:v>0.97001226101220572</c:v>
                  </c:pt>
                  <c:pt idx="27">
                    <c:v>1.3213840636829342</c:v>
                  </c:pt>
                  <c:pt idx="28">
                    <c:v>2.1352014343632542</c:v>
                  </c:pt>
                  <c:pt idx="29">
                    <c:v>2.2093665673788356</c:v>
                  </c:pt>
                  <c:pt idx="30">
                    <c:v>0.65987483163931993</c:v>
                  </c:pt>
                  <c:pt idx="31">
                    <c:v>1.8290305906854631</c:v>
                  </c:pt>
                  <c:pt idx="32">
                    <c:v>0.47132430957015181</c:v>
                  </c:pt>
                </c:numCache>
              </c:numRef>
            </c:plus>
            <c:minus>
              <c:numRef>
                <c:f>'[INSUMOS BOLETIN ENTI 2022.xlsx]G14'!$D$76:$D$108</c:f>
                <c:numCache>
                  <c:formatCode>General</c:formatCode>
                  <c:ptCount val="33"/>
                  <c:pt idx="0">
                    <c:v>0.47131408352095405</c:v>
                  </c:pt>
                  <c:pt idx="1">
                    <c:v>0.70230673912940955</c:v>
                  </c:pt>
                  <c:pt idx="2">
                    <c:v>0.81684981048405647</c:v>
                  </c:pt>
                  <c:pt idx="3">
                    <c:v>0.56076270974653486</c:v>
                  </c:pt>
                  <c:pt idx="4">
                    <c:v>0.4609947447959809</c:v>
                  </c:pt>
                  <c:pt idx="5">
                    <c:v>0.83566500448407677</c:v>
                  </c:pt>
                  <c:pt idx="6">
                    <c:v>1.5494566710331936</c:v>
                  </c:pt>
                  <c:pt idx="7">
                    <c:v>1.39935011345018</c:v>
                  </c:pt>
                  <c:pt idx="8">
                    <c:v>0.59545179949138527</c:v>
                  </c:pt>
                  <c:pt idx="9">
                    <c:v>0.51181690193895335</c:v>
                  </c:pt>
                  <c:pt idx="10">
                    <c:v>1.2574987003963614</c:v>
                  </c:pt>
                  <c:pt idx="11">
                    <c:v>1.1001196322740012</c:v>
                  </c:pt>
                  <c:pt idx="12">
                    <c:v>1.1591861943335111</c:v>
                  </c:pt>
                  <c:pt idx="13">
                    <c:v>0.78126737206547459</c:v>
                  </c:pt>
                  <c:pt idx="14">
                    <c:v>0.30447501116618447</c:v>
                  </c:pt>
                  <c:pt idx="15">
                    <c:v>0.59627120256440258</c:v>
                  </c:pt>
                  <c:pt idx="16">
                    <c:v>0.81243191837387951</c:v>
                  </c:pt>
                  <c:pt idx="17">
                    <c:v>0.77226635078942873</c:v>
                  </c:pt>
                  <c:pt idx="18">
                    <c:v>0.66200629555154467</c:v>
                  </c:pt>
                  <c:pt idx="19">
                    <c:v>0.5766792389143065</c:v>
                  </c:pt>
                  <c:pt idx="20">
                    <c:v>0.95469001452050195</c:v>
                  </c:pt>
                  <c:pt idx="21">
                    <c:v>1.236765496117183</c:v>
                  </c:pt>
                  <c:pt idx="22">
                    <c:v>1.3345322296008786</c:v>
                  </c:pt>
                  <c:pt idx="23">
                    <c:v>0.91019350109641062</c:v>
                  </c:pt>
                  <c:pt idx="24">
                    <c:v>0.8647475981879662</c:v>
                  </c:pt>
                  <c:pt idx="25">
                    <c:v>0.81832716168759845</c:v>
                  </c:pt>
                  <c:pt idx="26">
                    <c:v>0.97001226101220572</c:v>
                  </c:pt>
                  <c:pt idx="27">
                    <c:v>1.3213840636829342</c:v>
                  </c:pt>
                  <c:pt idx="28">
                    <c:v>2.1352014343632542</c:v>
                  </c:pt>
                  <c:pt idx="29">
                    <c:v>2.2093665673788356</c:v>
                  </c:pt>
                  <c:pt idx="30">
                    <c:v>0.65987483163931993</c:v>
                  </c:pt>
                  <c:pt idx="31">
                    <c:v>1.8290305906854631</c:v>
                  </c:pt>
                  <c:pt idx="32">
                    <c:v>0.47132430957015181</c:v>
                  </c:pt>
                </c:numCache>
              </c:numRef>
            </c:minus>
            <c:spPr>
              <a:noFill/>
              <a:ln w="19050" cap="flat" cmpd="sng" algn="ctr">
                <a:solidFill>
                  <a:srgbClr val="006E80"/>
                </a:solidFill>
                <a:round/>
              </a:ln>
              <a:effectLst/>
            </c:spPr>
          </c:errBars>
          <c:cat>
            <c:strRef>
              <c:f>'[INSUMOS BOLETIN ENTI 2022.xlsx]G14'!$A$76:$A$108</c:f>
              <c:strCache>
                <c:ptCount val="33"/>
                <c:pt idx="0">
                  <c:v>Ciudad de México</c:v>
                </c:pt>
                <c:pt idx="1">
                  <c:v>Coahuila de Zaragoza</c:v>
                </c:pt>
                <c:pt idx="2">
                  <c:v>Quintana Roo</c:v>
                </c:pt>
                <c:pt idx="3">
                  <c:v>Querétaro</c:v>
                </c:pt>
                <c:pt idx="4">
                  <c:v>Baja California</c:v>
                </c:pt>
                <c:pt idx="5">
                  <c:v>Sinaloa</c:v>
                </c:pt>
                <c:pt idx="6">
                  <c:v>México</c:v>
                </c:pt>
                <c:pt idx="7">
                  <c:v>Tlaxcala</c:v>
                </c:pt>
                <c:pt idx="8">
                  <c:v>Nuevo León</c:v>
                </c:pt>
                <c:pt idx="9">
                  <c:v>Tamaulipas</c:v>
                </c:pt>
                <c:pt idx="10">
                  <c:v>Morelos</c:v>
                </c:pt>
                <c:pt idx="11">
                  <c:v>Aguascalientes</c:v>
                </c:pt>
                <c:pt idx="12">
                  <c:v>Chihuahua</c:v>
                </c:pt>
                <c:pt idx="13">
                  <c:v>Sonora</c:v>
                </c:pt>
                <c:pt idx="14">
                  <c:v>Nacional</c:v>
                </c:pt>
                <c:pt idx="15">
                  <c:v>Campeche</c:v>
                </c:pt>
                <c:pt idx="16">
                  <c:v>Durango</c:v>
                </c:pt>
                <c:pt idx="17">
                  <c:v>Yucatán</c:v>
                </c:pt>
                <c:pt idx="18">
                  <c:v>Hidalgo</c:v>
                </c:pt>
                <c:pt idx="19">
                  <c:v>Jalisco</c:v>
                </c:pt>
                <c:pt idx="20">
                  <c:v>San Luis Potosí</c:v>
                </c:pt>
                <c:pt idx="21">
                  <c:v>Nayarit</c:v>
                </c:pt>
                <c:pt idx="22">
                  <c:v>Guanajuato</c:v>
                </c:pt>
                <c:pt idx="23">
                  <c:v>Baja California Sur</c:v>
                </c:pt>
                <c:pt idx="24">
                  <c:v>Oaxaca</c:v>
                </c:pt>
                <c:pt idx="25">
                  <c:v>Veracruz de Ignacio de la Llave</c:v>
                </c:pt>
                <c:pt idx="26">
                  <c:v>Zacatecas</c:v>
                </c:pt>
                <c:pt idx="27">
                  <c:v>Chiapas</c:v>
                </c:pt>
                <c:pt idx="28">
                  <c:v>Puebla</c:v>
                </c:pt>
                <c:pt idx="29">
                  <c:v>Colima</c:v>
                </c:pt>
                <c:pt idx="30">
                  <c:v>Tabasco</c:v>
                </c:pt>
                <c:pt idx="31">
                  <c:v>Michoacán de Ocampo</c:v>
                </c:pt>
                <c:pt idx="32">
                  <c:v>Guerrero</c:v>
                </c:pt>
              </c:strCache>
            </c:strRef>
          </c:cat>
          <c:val>
            <c:numRef>
              <c:f>'[INSUMOS BOLETIN ENTI 2022.xlsx]G14'!$C$76:$C$108</c:f>
              <c:numCache>
                <c:formatCode>0.0</c:formatCode>
                <c:ptCount val="33"/>
                <c:pt idx="0">
                  <c:v>2.4896714353089138</c:v>
                </c:pt>
                <c:pt idx="1">
                  <c:v>3.5116148106433904</c:v>
                </c:pt>
                <c:pt idx="2">
                  <c:v>4.5694639187138657</c:v>
                </c:pt>
                <c:pt idx="3">
                  <c:v>3.1772085116360862</c:v>
                </c:pt>
                <c:pt idx="4">
                  <c:v>2.3137474531254831</c:v>
                </c:pt>
                <c:pt idx="5">
                  <c:v>4.5429613332931496</c:v>
                </c:pt>
                <c:pt idx="6">
                  <c:v>5.7036277571585261</c:v>
                </c:pt>
                <c:pt idx="7">
                  <c:v>6.3742891553316108</c:v>
                </c:pt>
                <c:pt idx="8">
                  <c:v>2.9717133379410341</c:v>
                </c:pt>
                <c:pt idx="9">
                  <c:v>2.9192862085719753</c:v>
                </c:pt>
                <c:pt idx="10">
                  <c:v>4.9524599532677609</c:v>
                </c:pt>
                <c:pt idx="11">
                  <c:v>4.7329457598714617</c:v>
                </c:pt>
                <c:pt idx="12">
                  <c:v>5.4443471491382809</c:v>
                </c:pt>
                <c:pt idx="13">
                  <c:v>5.7565493629747966</c:v>
                </c:pt>
                <c:pt idx="14">
                  <c:v>5.2800228617230411</c:v>
                </c:pt>
                <c:pt idx="15">
                  <c:v>4.4956037569599374</c:v>
                </c:pt>
                <c:pt idx="16">
                  <c:v>4.2363592396475314</c:v>
                </c:pt>
                <c:pt idx="17">
                  <c:v>6.0356960277323468</c:v>
                </c:pt>
                <c:pt idx="18">
                  <c:v>3.993141672537095</c:v>
                </c:pt>
                <c:pt idx="19">
                  <c:v>4.0112535226164807</c:v>
                </c:pt>
                <c:pt idx="20">
                  <c:v>6.5857888258630135</c:v>
                </c:pt>
                <c:pt idx="21">
                  <c:v>4.4858976879122068</c:v>
                </c:pt>
                <c:pt idx="22">
                  <c:v>5.953546983969332</c:v>
                </c:pt>
                <c:pt idx="23">
                  <c:v>5.2692075703604226</c:v>
                </c:pt>
                <c:pt idx="24">
                  <c:v>9.2646397648548948</c:v>
                </c:pt>
                <c:pt idx="25">
                  <c:v>5.8292041645210899</c:v>
                </c:pt>
                <c:pt idx="26">
                  <c:v>5.5350344925890704</c:v>
                </c:pt>
                <c:pt idx="27">
                  <c:v>8.7000587514410253</c:v>
                </c:pt>
                <c:pt idx="28">
                  <c:v>7.3708785791077442</c:v>
                </c:pt>
                <c:pt idx="29">
                  <c:v>6.0859772186112364</c:v>
                </c:pt>
                <c:pt idx="30">
                  <c:v>6.2774628258377829</c:v>
                </c:pt>
                <c:pt idx="31">
                  <c:v>7.7072183793970659</c:v>
                </c:pt>
                <c:pt idx="32">
                  <c:v>2.8218498995272738</c:v>
                </c:pt>
              </c:numCache>
            </c:numRef>
          </c:val>
          <c:extLst>
            <c:ext xmlns:c16="http://schemas.microsoft.com/office/drawing/2014/chart" uri="{C3380CC4-5D6E-409C-BE32-E72D297353CC}">
              <c16:uniqueId val="{00000006-51EB-487E-A0A3-90D6D4FF9337}"/>
            </c:ext>
          </c:extLst>
        </c:ser>
        <c:dLbls>
          <c:showLegendKey val="0"/>
          <c:showVal val="0"/>
          <c:showCatName val="0"/>
          <c:showSerName val="0"/>
          <c:showPercent val="0"/>
          <c:showBubbleSize val="0"/>
        </c:dLbls>
        <c:gapWidth val="20"/>
        <c:overlap val="-25"/>
        <c:axId val="220962863"/>
        <c:axId val="693374671"/>
      </c:barChart>
      <c:catAx>
        <c:axId val="22096286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693374671"/>
        <c:crosses val="autoZero"/>
        <c:auto val="1"/>
        <c:lblAlgn val="ctr"/>
        <c:lblOffset val="100"/>
        <c:noMultiLvlLbl val="0"/>
      </c:catAx>
      <c:valAx>
        <c:axId val="693374671"/>
        <c:scaling>
          <c:orientation val="minMax"/>
        </c:scaling>
        <c:delete val="1"/>
        <c:axPos val="b"/>
        <c:numFmt formatCode="0.0" sourceLinked="1"/>
        <c:majorTickMark val="none"/>
        <c:minorTickMark val="none"/>
        <c:tickLblPos val="nextTo"/>
        <c:crossAx val="220962863"/>
        <c:crosses val="autoZero"/>
        <c:crossBetween val="between"/>
      </c:valAx>
      <c:spPr>
        <a:noFill/>
        <a:ln>
          <a:noFill/>
        </a:ln>
        <a:effectLst/>
      </c:spPr>
    </c:plotArea>
    <c:legend>
      <c:legendPos val="b"/>
      <c:layout>
        <c:manualLayout>
          <c:xMode val="edge"/>
          <c:yMode val="edge"/>
          <c:x val="0.40624496937882765"/>
          <c:y val="0.95622537455191647"/>
          <c:w val="0.14832770515846144"/>
          <c:h val="3.503384200868697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0684968395101903E-3"/>
          <c:y val="1.3047375647562448E-2"/>
          <c:w val="0.99755597291070452"/>
          <c:h val="0.86869635766834741"/>
        </c:manualLayout>
      </c:layout>
      <c:barChart>
        <c:barDir val="col"/>
        <c:grouping val="clustered"/>
        <c:varyColors val="0"/>
        <c:ser>
          <c:idx val="0"/>
          <c:order val="0"/>
          <c:tx>
            <c:strRef>
              <c:f>'[INSUMOS BOLETIN ENTI 2022.xlsx]G15'!$B$49</c:f>
              <c:strCache>
                <c:ptCount val="1"/>
                <c:pt idx="0">
                  <c:v>Total</c:v>
                </c:pt>
              </c:strCache>
            </c:strRef>
          </c:tx>
          <c:spPr>
            <a:solidFill>
              <a:srgbClr val="338B99"/>
            </a:solidFill>
            <a:ln>
              <a:solidFill>
                <a:srgbClr val="338B99"/>
              </a:solid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'[INSUMOS BOLETIN ENTI 2022.xlsx]G15'!$C$65:$I$65</c:f>
                <c:numCache>
                  <c:formatCode>General</c:formatCode>
                  <c:ptCount val="7"/>
                  <c:pt idx="0">
                    <c:v>8.4144922791288046E-2</c:v>
                  </c:pt>
                  <c:pt idx="1">
                    <c:v>8.7437147913840718E-2</c:v>
                  </c:pt>
                  <c:pt idx="2">
                    <c:v>0.14245136801410752</c:v>
                  </c:pt>
                  <c:pt idx="3">
                    <c:v>0.14787192595199627</c:v>
                  </c:pt>
                  <c:pt idx="4">
                    <c:v>0.28011463595558261</c:v>
                  </c:pt>
                  <c:pt idx="5">
                    <c:v>0.50701881105120172</c:v>
                  </c:pt>
                  <c:pt idx="6">
                    <c:v>0.25025541552314134</c:v>
                  </c:pt>
                </c:numCache>
              </c:numRef>
            </c:plus>
            <c:minus>
              <c:numRef>
                <c:f>'[INSUMOS BOLETIN ENTI 2022.xlsx]G15'!$C$65:$I$65</c:f>
                <c:numCache>
                  <c:formatCode>General</c:formatCode>
                  <c:ptCount val="7"/>
                  <c:pt idx="0">
                    <c:v>8.4144922791288046E-2</c:v>
                  </c:pt>
                  <c:pt idx="1">
                    <c:v>8.7437147913840718E-2</c:v>
                  </c:pt>
                  <c:pt idx="2">
                    <c:v>0.14245136801410752</c:v>
                  </c:pt>
                  <c:pt idx="3">
                    <c:v>0.14787192595199627</c:v>
                  </c:pt>
                  <c:pt idx="4">
                    <c:v>0.28011463595558261</c:v>
                  </c:pt>
                  <c:pt idx="5">
                    <c:v>0.50701881105120172</c:v>
                  </c:pt>
                  <c:pt idx="6">
                    <c:v>0.25025541552314134</c:v>
                  </c:pt>
                </c:numCache>
              </c:numRef>
            </c:minus>
            <c:spPr>
              <a:noFill/>
              <a:ln w="19050" cap="flat" cmpd="sng" algn="ctr">
                <a:solidFill>
                  <a:srgbClr val="006E80"/>
                </a:solidFill>
                <a:round/>
              </a:ln>
              <a:effectLst/>
            </c:spPr>
          </c:errBars>
          <c:cat>
            <c:numRef>
              <c:f>'[INSUMOS BOLETIN ENTI 2022.xlsx]G15'!$C$48:$I$48</c:f>
              <c:numCache>
                <c:formatCode>General</c:formatCode>
                <c:ptCount val="7"/>
                <c:pt idx="0">
                  <c:v>2009</c:v>
                </c:pt>
                <c:pt idx="1">
                  <c:v>2011</c:v>
                </c:pt>
                <c:pt idx="2">
                  <c:v>2013</c:v>
                </c:pt>
                <c:pt idx="3">
                  <c:v>2015</c:v>
                </c:pt>
                <c:pt idx="4">
                  <c:v>2017</c:v>
                </c:pt>
                <c:pt idx="5">
                  <c:v>2019</c:v>
                </c:pt>
                <c:pt idx="6">
                  <c:v>2022</c:v>
                </c:pt>
              </c:numCache>
            </c:numRef>
          </c:cat>
          <c:val>
            <c:numRef>
              <c:f>'[INSUMOS BOLETIN ENTI 2022.xlsx]G15'!$C$49:$I$49</c:f>
              <c:numCache>
                <c:formatCode>0.0</c:formatCode>
                <c:ptCount val="7"/>
                <c:pt idx="0">
                  <c:v>14.525081154983985</c:v>
                </c:pt>
                <c:pt idx="1">
                  <c:v>14.253860495665577</c:v>
                </c:pt>
                <c:pt idx="2">
                  <c:v>11.505011395433796</c:v>
                </c:pt>
                <c:pt idx="3">
                  <c:v>11.227233213797433</c:v>
                </c:pt>
                <c:pt idx="4">
                  <c:v>10.300116378854316</c:v>
                </c:pt>
                <c:pt idx="5">
                  <c:v>10.488282496802276</c:v>
                </c:pt>
                <c:pt idx="6">
                  <c:v>10.589056950036388</c:v>
                </c:pt>
              </c:numCache>
            </c:numRef>
          </c:val>
          <c:extLst>
            <c:ext xmlns:c16="http://schemas.microsoft.com/office/drawing/2014/chart" uri="{C3380CC4-5D6E-409C-BE32-E72D297353CC}">
              <c16:uniqueId val="{00000000-C736-400C-86EB-3928D23CD1D9}"/>
            </c:ext>
          </c:extLst>
        </c:ser>
        <c:ser>
          <c:idx val="1"/>
          <c:order val="1"/>
          <c:tx>
            <c:strRef>
              <c:f>'[INSUMOS BOLETIN ENTI 2022.xlsx]G15'!$B$50</c:f>
              <c:strCache>
                <c:ptCount val="1"/>
                <c:pt idx="0">
                  <c:v>Jefes</c:v>
                </c:pt>
              </c:strCache>
            </c:strRef>
          </c:tx>
          <c:spPr>
            <a:solidFill>
              <a:srgbClr val="66A8B3"/>
            </a:solidFill>
            <a:ln>
              <a:solidFill>
                <a:srgbClr val="66A8B3"/>
              </a:solid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'[INSUMOS BOLETIN ENTI 2022.xlsx]G15'!$C$66:$I$66</c:f>
                <c:numCache>
                  <c:formatCode>General</c:formatCode>
                  <c:ptCount val="7"/>
                  <c:pt idx="0">
                    <c:v>0.18421612094840523</c:v>
                  </c:pt>
                  <c:pt idx="1">
                    <c:v>0.18285677321054461</c:v>
                  </c:pt>
                  <c:pt idx="2">
                    <c:v>0.22299887194186496</c:v>
                  </c:pt>
                  <c:pt idx="3">
                    <c:v>0.23419833148227553</c:v>
                  </c:pt>
                  <c:pt idx="4">
                    <c:v>0.29793866177032413</c:v>
                  </c:pt>
                  <c:pt idx="5">
                    <c:v>0.62104525882305595</c:v>
                  </c:pt>
                  <c:pt idx="6">
                    <c:v>0.30026681611387662</c:v>
                  </c:pt>
                </c:numCache>
              </c:numRef>
            </c:plus>
            <c:minus>
              <c:numRef>
                <c:f>'[INSUMOS BOLETIN ENTI 2022.xlsx]G15'!$C$66:$I$66</c:f>
                <c:numCache>
                  <c:formatCode>General</c:formatCode>
                  <c:ptCount val="7"/>
                  <c:pt idx="0">
                    <c:v>0.18421612094840523</c:v>
                  </c:pt>
                  <c:pt idx="1">
                    <c:v>0.18285677321054461</c:v>
                  </c:pt>
                  <c:pt idx="2">
                    <c:v>0.22299887194186496</c:v>
                  </c:pt>
                  <c:pt idx="3">
                    <c:v>0.23419833148227553</c:v>
                  </c:pt>
                  <c:pt idx="4">
                    <c:v>0.29793866177032413</c:v>
                  </c:pt>
                  <c:pt idx="5">
                    <c:v>0.62104525882305595</c:v>
                  </c:pt>
                  <c:pt idx="6">
                    <c:v>0.30026681611387662</c:v>
                  </c:pt>
                </c:numCache>
              </c:numRef>
            </c:minus>
            <c:spPr>
              <a:noFill/>
              <a:ln w="19050" cap="flat" cmpd="sng" algn="ctr">
                <a:solidFill>
                  <a:srgbClr val="006E80"/>
                </a:solidFill>
                <a:round/>
              </a:ln>
              <a:effectLst/>
            </c:spPr>
          </c:errBars>
          <c:cat>
            <c:numRef>
              <c:f>'[INSUMOS BOLETIN ENTI 2022.xlsx]G15'!$C$48:$I$48</c:f>
              <c:numCache>
                <c:formatCode>General</c:formatCode>
                <c:ptCount val="7"/>
                <c:pt idx="0">
                  <c:v>2009</c:v>
                </c:pt>
                <c:pt idx="1">
                  <c:v>2011</c:v>
                </c:pt>
                <c:pt idx="2">
                  <c:v>2013</c:v>
                </c:pt>
                <c:pt idx="3">
                  <c:v>2015</c:v>
                </c:pt>
                <c:pt idx="4">
                  <c:v>2017</c:v>
                </c:pt>
                <c:pt idx="5">
                  <c:v>2019</c:v>
                </c:pt>
                <c:pt idx="6">
                  <c:v>2022</c:v>
                </c:pt>
              </c:numCache>
            </c:numRef>
          </c:cat>
          <c:val>
            <c:numRef>
              <c:f>'[INSUMOS BOLETIN ENTI 2022.xlsx]G15'!$C$50:$I$50</c:f>
              <c:numCache>
                <c:formatCode>0.0</c:formatCode>
                <c:ptCount val="7"/>
                <c:pt idx="0">
                  <c:v>14.334449768154139</c:v>
                </c:pt>
                <c:pt idx="1">
                  <c:v>14.048388680704814</c:v>
                </c:pt>
                <c:pt idx="2">
                  <c:v>11.50244273795407</c:v>
                </c:pt>
                <c:pt idx="3">
                  <c:v>11.047803199133776</c:v>
                </c:pt>
                <c:pt idx="4">
                  <c:v>10.390193938595601</c:v>
                </c:pt>
                <c:pt idx="5">
                  <c:v>10.411189644071932</c:v>
                </c:pt>
                <c:pt idx="6">
                  <c:v>10.745300980144362</c:v>
                </c:pt>
              </c:numCache>
            </c:numRef>
          </c:val>
          <c:extLst>
            <c:ext xmlns:c16="http://schemas.microsoft.com/office/drawing/2014/chart" uri="{C3380CC4-5D6E-409C-BE32-E72D297353CC}">
              <c16:uniqueId val="{00000001-C736-400C-86EB-3928D23CD1D9}"/>
            </c:ext>
          </c:extLst>
        </c:ser>
        <c:ser>
          <c:idx val="2"/>
          <c:order val="2"/>
          <c:tx>
            <c:strRef>
              <c:f>'[INSUMOS BOLETIN ENTI 2022.xlsx]G15'!$B$51</c:f>
              <c:strCache>
                <c:ptCount val="1"/>
                <c:pt idx="0">
                  <c:v>Jefas</c:v>
                </c:pt>
              </c:strCache>
            </c:strRef>
          </c:tx>
          <c:spPr>
            <a:solidFill>
              <a:srgbClr val="99C5CC"/>
            </a:solidFill>
            <a:ln>
              <a:solidFill>
                <a:srgbClr val="99C5CC"/>
              </a:solid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'[INSUMOS BOLETIN ENTI 2022.xlsx]G15'!$C$67:$I$67</c:f>
                <c:numCache>
                  <c:formatCode>General</c:formatCode>
                  <c:ptCount val="7"/>
                  <c:pt idx="0">
                    <c:v>-1.0074985362740208E-2</c:v>
                  </c:pt>
                  <c:pt idx="1">
                    <c:v>1.7926998422961304E-3</c:v>
                  </c:pt>
                  <c:pt idx="2">
                    <c:v>0.19570592905113582</c:v>
                  </c:pt>
                  <c:pt idx="3">
                    <c:v>0.16885790217421093</c:v>
                  </c:pt>
                  <c:pt idx="4">
                    <c:v>0.53016295990611884</c:v>
                  </c:pt>
                  <c:pt idx="5">
                    <c:v>0.67659212813118152</c:v>
                  </c:pt>
                  <c:pt idx="6">
                    <c:v>0.3750128731032083</c:v>
                  </c:pt>
                </c:numCache>
              </c:numRef>
            </c:plus>
            <c:minus>
              <c:numRef>
                <c:f>'[INSUMOS BOLETIN ENTI 2022.xlsx]G15'!$C$67:$I$67</c:f>
                <c:numCache>
                  <c:formatCode>General</c:formatCode>
                  <c:ptCount val="7"/>
                  <c:pt idx="0">
                    <c:v>-1.0074985362740208E-2</c:v>
                  </c:pt>
                  <c:pt idx="1">
                    <c:v>1.7926998422961304E-3</c:v>
                  </c:pt>
                  <c:pt idx="2">
                    <c:v>0.19570592905113582</c:v>
                  </c:pt>
                  <c:pt idx="3">
                    <c:v>0.16885790217421093</c:v>
                  </c:pt>
                  <c:pt idx="4">
                    <c:v>0.53016295990611884</c:v>
                  </c:pt>
                  <c:pt idx="5">
                    <c:v>0.67659212813118152</c:v>
                  </c:pt>
                  <c:pt idx="6">
                    <c:v>0.3750128731032083</c:v>
                  </c:pt>
                </c:numCache>
              </c:numRef>
            </c:minus>
            <c:spPr>
              <a:noFill/>
              <a:ln w="19050" cap="flat" cmpd="sng" algn="ctr">
                <a:solidFill>
                  <a:srgbClr val="006E80"/>
                </a:solidFill>
                <a:round/>
              </a:ln>
              <a:effectLst/>
            </c:spPr>
          </c:errBars>
          <c:cat>
            <c:numRef>
              <c:f>'[INSUMOS BOLETIN ENTI 2022.xlsx]G15'!$C$48:$I$48</c:f>
              <c:numCache>
                <c:formatCode>General</c:formatCode>
                <c:ptCount val="7"/>
                <c:pt idx="0">
                  <c:v>2009</c:v>
                </c:pt>
                <c:pt idx="1">
                  <c:v>2011</c:v>
                </c:pt>
                <c:pt idx="2">
                  <c:v>2013</c:v>
                </c:pt>
                <c:pt idx="3">
                  <c:v>2015</c:v>
                </c:pt>
                <c:pt idx="4">
                  <c:v>2017</c:v>
                </c:pt>
                <c:pt idx="5">
                  <c:v>2019</c:v>
                </c:pt>
                <c:pt idx="6">
                  <c:v>2022</c:v>
                </c:pt>
              </c:numCache>
            </c:numRef>
          </c:cat>
          <c:val>
            <c:numRef>
              <c:f>'[INSUMOS BOLETIN ENTI 2022.xlsx]G15'!$C$51:$I$51</c:f>
              <c:numCache>
                <c:formatCode>0.0</c:formatCode>
                <c:ptCount val="7"/>
                <c:pt idx="0">
                  <c:v>15.189314051566551</c:v>
                </c:pt>
                <c:pt idx="1">
                  <c:v>14.986843030150492</c:v>
                </c:pt>
                <c:pt idx="2">
                  <c:v>11.513873970372666</c:v>
                </c:pt>
                <c:pt idx="3">
                  <c:v>11.799508124496164</c:v>
                </c:pt>
                <c:pt idx="4">
                  <c:v>10.025372048480168</c:v>
                </c:pt>
                <c:pt idx="5">
                  <c:v>10.722493719754876</c:v>
                </c:pt>
                <c:pt idx="6">
                  <c:v>10.198991890579116</c:v>
                </c:pt>
              </c:numCache>
            </c:numRef>
          </c:val>
          <c:extLst>
            <c:ext xmlns:c16="http://schemas.microsoft.com/office/drawing/2014/chart" uri="{C3380CC4-5D6E-409C-BE32-E72D297353CC}">
              <c16:uniqueId val="{00000002-C736-400C-86EB-3928D23CD1D9}"/>
            </c:ext>
          </c:extLst>
        </c:ser>
        <c:dLbls>
          <c:showLegendKey val="0"/>
          <c:showVal val="0"/>
          <c:showCatName val="0"/>
          <c:showSerName val="0"/>
          <c:showPercent val="0"/>
          <c:showBubbleSize val="0"/>
        </c:dLbls>
        <c:gapWidth val="20"/>
        <c:overlap val="-5"/>
        <c:axId val="221373184"/>
        <c:axId val="221366128"/>
      </c:barChart>
      <c:catAx>
        <c:axId val="221373184"/>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221366128"/>
        <c:crosses val="autoZero"/>
        <c:auto val="1"/>
        <c:lblAlgn val="ctr"/>
        <c:lblOffset val="100"/>
        <c:noMultiLvlLbl val="0"/>
      </c:catAx>
      <c:valAx>
        <c:axId val="221366128"/>
        <c:scaling>
          <c:orientation val="minMax"/>
          <c:max val="16"/>
        </c:scaling>
        <c:delete val="1"/>
        <c:axPos val="l"/>
        <c:numFmt formatCode="0.0" sourceLinked="1"/>
        <c:majorTickMark val="out"/>
        <c:minorTickMark val="none"/>
        <c:tickLblPos val="nextTo"/>
        <c:crossAx val="221373184"/>
        <c:crosses val="autoZero"/>
        <c:crossBetween val="between"/>
        <c:majorUnit val="1"/>
      </c:valAx>
      <c:spPr>
        <a:noFill/>
        <a:ln w="25400">
          <a:noFill/>
        </a:ln>
        <a:effectLst/>
      </c:spPr>
    </c:plotArea>
    <c:legend>
      <c:legendPos val="b"/>
      <c:layout>
        <c:manualLayout>
          <c:xMode val="edge"/>
          <c:yMode val="edge"/>
          <c:x val="0.35899148810529424"/>
          <c:y val="0.94577403976352403"/>
          <c:w val="0.26120322286764491"/>
          <c:h val="5.4226025088829045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9525" cap="flat" cmpd="sng" algn="ctr">
      <a:noFill/>
      <a:round/>
    </a:ln>
    <a:effectLst/>
  </c:spPr>
  <c:txPr>
    <a:bodyPr/>
    <a:lstStyle/>
    <a:p>
      <a:pPr>
        <a:defRPr sz="1100">
          <a:latin typeface="Arial" panose="020B0604020202020204" pitchFamily="34" charset="0"/>
          <a:cs typeface="Arial" panose="020B0604020202020204" pitchFamily="34" charset="0"/>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0684968395101903E-3"/>
          <c:y val="1.90171542085271E-2"/>
          <c:w val="0.99755597291070452"/>
          <c:h val="0.83884773016464675"/>
        </c:manualLayout>
      </c:layout>
      <c:barChart>
        <c:barDir val="col"/>
        <c:grouping val="clustered"/>
        <c:varyColors val="0"/>
        <c:ser>
          <c:idx val="0"/>
          <c:order val="0"/>
          <c:tx>
            <c:strRef>
              <c:f>'[INSUMOS BOLETIN ENTI 2022.xlsx]G3'!$B$29</c:f>
              <c:strCache>
                <c:ptCount val="1"/>
                <c:pt idx="0">
                  <c:v>Total</c:v>
                </c:pt>
              </c:strCache>
            </c:strRef>
          </c:tx>
          <c:spPr>
            <a:solidFill>
              <a:srgbClr val="338B99"/>
            </a:solidFill>
            <a:ln>
              <a:solidFill>
                <a:srgbClr val="338B99"/>
              </a:solid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'[INSUMOS BOLETIN ENTI 2022.xlsx]G3'!$C$45:$J$45</c:f>
                <c:numCache>
                  <c:formatCode>General</c:formatCode>
                  <c:ptCount val="8"/>
                  <c:pt idx="0">
                    <c:v>7.9434960228600193E-2</c:v>
                  </c:pt>
                  <c:pt idx="1">
                    <c:v>7.9434960228599971E-2</c:v>
                  </c:pt>
                  <c:pt idx="2">
                    <c:v>7.9434960228600193E-2</c:v>
                  </c:pt>
                  <c:pt idx="3">
                    <c:v>7.9434960228600193E-2</c:v>
                  </c:pt>
                  <c:pt idx="4">
                    <c:v>7.9434960228600193E-2</c:v>
                  </c:pt>
                  <c:pt idx="5">
                    <c:v>7.9434960228600193E-2</c:v>
                  </c:pt>
                  <c:pt idx="6">
                    <c:v>0.13372529871429994</c:v>
                  </c:pt>
                  <c:pt idx="7">
                    <c:v>8.2205051860746448E-2</c:v>
                  </c:pt>
                </c:numCache>
              </c:numRef>
            </c:plus>
            <c:minus>
              <c:numRef>
                <c:f>'[INSUMOS BOLETIN ENTI 2022.xlsx]G3'!$C$45:$J$45</c:f>
                <c:numCache>
                  <c:formatCode>General</c:formatCode>
                  <c:ptCount val="8"/>
                  <c:pt idx="0">
                    <c:v>7.9434960228600193E-2</c:v>
                  </c:pt>
                  <c:pt idx="1">
                    <c:v>7.9434960228599971E-2</c:v>
                  </c:pt>
                  <c:pt idx="2">
                    <c:v>7.9434960228600193E-2</c:v>
                  </c:pt>
                  <c:pt idx="3">
                    <c:v>7.9434960228600193E-2</c:v>
                  </c:pt>
                  <c:pt idx="4">
                    <c:v>7.9434960228600193E-2</c:v>
                  </c:pt>
                  <c:pt idx="5">
                    <c:v>7.9434960228600193E-2</c:v>
                  </c:pt>
                  <c:pt idx="6">
                    <c:v>0.13372529871429994</c:v>
                  </c:pt>
                  <c:pt idx="7">
                    <c:v>8.2205051860746448E-2</c:v>
                  </c:pt>
                </c:numCache>
              </c:numRef>
            </c:minus>
            <c:spPr>
              <a:noFill/>
              <a:ln w="25400" cap="flat" cmpd="sng" algn="ctr">
                <a:solidFill>
                  <a:srgbClr val="006E80"/>
                </a:solidFill>
                <a:round/>
              </a:ln>
              <a:effectLst/>
            </c:spPr>
          </c:errBars>
          <c:cat>
            <c:numRef>
              <c:f>'[INSUMOS BOLETIN ENTI 2022.xlsx]G3'!$C$28:$J$28</c:f>
              <c:numCache>
                <c:formatCode>General</c:formatCode>
                <c:ptCount val="8"/>
                <c:pt idx="0">
                  <c:v>2007</c:v>
                </c:pt>
                <c:pt idx="1">
                  <c:v>2009</c:v>
                </c:pt>
                <c:pt idx="2">
                  <c:v>2011</c:v>
                </c:pt>
                <c:pt idx="3">
                  <c:v>2013</c:v>
                </c:pt>
                <c:pt idx="4">
                  <c:v>2015</c:v>
                </c:pt>
                <c:pt idx="5">
                  <c:v>2017</c:v>
                </c:pt>
                <c:pt idx="6">
                  <c:v>2019</c:v>
                </c:pt>
                <c:pt idx="7">
                  <c:v>2022</c:v>
                </c:pt>
              </c:numCache>
            </c:numRef>
          </c:cat>
          <c:val>
            <c:numRef>
              <c:f>'[INSUMOS BOLETIN ENTI 2022.xlsx]G3'!$C$29:$J$29</c:f>
              <c:numCache>
                <c:formatCode>0.0</c:formatCode>
                <c:ptCount val="8"/>
                <c:pt idx="0">
                  <c:v>3.5101800000000001</c:v>
                </c:pt>
                <c:pt idx="1">
                  <c:v>2.9267280000000002</c:v>
                </c:pt>
                <c:pt idx="2">
                  <c:v>2.795118</c:v>
                </c:pt>
                <c:pt idx="3">
                  <c:v>2.2829090000000001</c:v>
                </c:pt>
                <c:pt idx="4">
                  <c:v>2.180917</c:v>
                </c:pt>
                <c:pt idx="5">
                  <c:v>2.0400130000000001</c:v>
                </c:pt>
                <c:pt idx="6">
                  <c:v>2.018643</c:v>
                </c:pt>
                <c:pt idx="7">
                  <c:v>2.1319710000000001</c:v>
                </c:pt>
              </c:numCache>
            </c:numRef>
          </c:val>
          <c:extLst>
            <c:ext xmlns:c16="http://schemas.microsoft.com/office/drawing/2014/chart" uri="{C3380CC4-5D6E-409C-BE32-E72D297353CC}">
              <c16:uniqueId val="{00000000-BC63-46C6-95D3-B490978ACFDA}"/>
            </c:ext>
          </c:extLst>
        </c:ser>
        <c:ser>
          <c:idx val="1"/>
          <c:order val="1"/>
          <c:tx>
            <c:strRef>
              <c:f>'[INSUMOS BOLETIN ENTI 2022.xlsx]G3'!$B$30</c:f>
              <c:strCache>
                <c:ptCount val="1"/>
                <c:pt idx="0">
                  <c:v>Niños</c:v>
                </c:pt>
              </c:strCache>
            </c:strRef>
          </c:tx>
          <c:spPr>
            <a:solidFill>
              <a:srgbClr val="66A8B3"/>
            </a:solidFill>
            <a:ln>
              <a:solidFill>
                <a:srgbClr val="66A8B3"/>
              </a:solid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'[INSUMOS BOLETIN ENTI 2022.xlsx]G3'!$C$46:$J$46</c:f>
                <c:numCache>
                  <c:formatCode>General</c:formatCode>
                  <c:ptCount val="8"/>
                  <c:pt idx="0">
                    <c:v>6.2499337066479921E-2</c:v>
                  </c:pt>
                  <c:pt idx="1">
                    <c:v>6.2499337066480032E-2</c:v>
                  </c:pt>
                  <c:pt idx="2">
                    <c:v>6.2499337066480032E-2</c:v>
                  </c:pt>
                  <c:pt idx="3">
                    <c:v>6.2499337066479921E-2</c:v>
                  </c:pt>
                  <c:pt idx="4">
                    <c:v>6.2499337066479921E-2</c:v>
                  </c:pt>
                  <c:pt idx="5">
                    <c:v>6.2499337066479921E-2</c:v>
                  </c:pt>
                  <c:pt idx="6">
                    <c:v>0.10807247981429013</c:v>
                  </c:pt>
                  <c:pt idx="7">
                    <c:v>6.6885455113497194E-2</c:v>
                  </c:pt>
                </c:numCache>
              </c:numRef>
            </c:plus>
            <c:minus>
              <c:numRef>
                <c:f>'[INSUMOS BOLETIN ENTI 2022.xlsx]G3'!$C$46:$J$46</c:f>
                <c:numCache>
                  <c:formatCode>General</c:formatCode>
                  <c:ptCount val="8"/>
                  <c:pt idx="0">
                    <c:v>6.2499337066479921E-2</c:v>
                  </c:pt>
                  <c:pt idx="1">
                    <c:v>6.2499337066480032E-2</c:v>
                  </c:pt>
                  <c:pt idx="2">
                    <c:v>6.2499337066480032E-2</c:v>
                  </c:pt>
                  <c:pt idx="3">
                    <c:v>6.2499337066479921E-2</c:v>
                  </c:pt>
                  <c:pt idx="4">
                    <c:v>6.2499337066479921E-2</c:v>
                  </c:pt>
                  <c:pt idx="5">
                    <c:v>6.2499337066479921E-2</c:v>
                  </c:pt>
                  <c:pt idx="6">
                    <c:v>0.10807247981429013</c:v>
                  </c:pt>
                  <c:pt idx="7">
                    <c:v>6.6885455113497194E-2</c:v>
                  </c:pt>
                </c:numCache>
              </c:numRef>
            </c:minus>
            <c:spPr>
              <a:noFill/>
              <a:ln w="25400" cap="flat" cmpd="sng" algn="ctr">
                <a:solidFill>
                  <a:srgbClr val="006E80"/>
                </a:solidFill>
                <a:round/>
              </a:ln>
              <a:effectLst/>
            </c:spPr>
          </c:errBars>
          <c:cat>
            <c:numRef>
              <c:f>'[INSUMOS BOLETIN ENTI 2022.xlsx]G3'!$C$28:$J$28</c:f>
              <c:numCache>
                <c:formatCode>General</c:formatCode>
                <c:ptCount val="8"/>
                <c:pt idx="0">
                  <c:v>2007</c:v>
                </c:pt>
                <c:pt idx="1">
                  <c:v>2009</c:v>
                </c:pt>
                <c:pt idx="2">
                  <c:v>2011</c:v>
                </c:pt>
                <c:pt idx="3">
                  <c:v>2013</c:v>
                </c:pt>
                <c:pt idx="4">
                  <c:v>2015</c:v>
                </c:pt>
                <c:pt idx="5">
                  <c:v>2017</c:v>
                </c:pt>
                <c:pt idx="6">
                  <c:v>2019</c:v>
                </c:pt>
                <c:pt idx="7">
                  <c:v>2022</c:v>
                </c:pt>
              </c:numCache>
            </c:numRef>
          </c:cat>
          <c:val>
            <c:numRef>
              <c:f>'[INSUMOS BOLETIN ENTI 2022.xlsx]G3'!$C$30:$J$30</c:f>
              <c:numCache>
                <c:formatCode>0.0</c:formatCode>
                <c:ptCount val="8"/>
                <c:pt idx="0">
                  <c:v>2.461293</c:v>
                </c:pt>
                <c:pt idx="1">
                  <c:v>2.0519599999999998</c:v>
                </c:pt>
                <c:pt idx="2">
                  <c:v>1.981196</c:v>
                </c:pt>
                <c:pt idx="3">
                  <c:v>1.613772</c:v>
                </c:pt>
                <c:pt idx="4">
                  <c:v>1.580819</c:v>
                </c:pt>
                <c:pt idx="5">
                  <c:v>1.491744</c:v>
                </c:pt>
                <c:pt idx="6">
                  <c:v>1.4351210000000001</c:v>
                </c:pt>
                <c:pt idx="7">
                  <c:v>1.533312</c:v>
                </c:pt>
              </c:numCache>
            </c:numRef>
          </c:val>
          <c:extLst>
            <c:ext xmlns:c16="http://schemas.microsoft.com/office/drawing/2014/chart" uri="{C3380CC4-5D6E-409C-BE32-E72D297353CC}">
              <c16:uniqueId val="{00000001-BC63-46C6-95D3-B490978ACFDA}"/>
            </c:ext>
          </c:extLst>
        </c:ser>
        <c:ser>
          <c:idx val="2"/>
          <c:order val="2"/>
          <c:tx>
            <c:strRef>
              <c:f>'[INSUMOS BOLETIN ENTI 2022.xlsx]G3'!$B$31</c:f>
              <c:strCache>
                <c:ptCount val="1"/>
                <c:pt idx="0">
                  <c:v>Niñas</c:v>
                </c:pt>
              </c:strCache>
            </c:strRef>
          </c:tx>
          <c:spPr>
            <a:solidFill>
              <a:srgbClr val="99C5CC"/>
            </a:solidFill>
            <a:ln>
              <a:solidFill>
                <a:srgbClr val="99C5CC"/>
              </a:solid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'[INSUMOS BOLETIN ENTI 2022.xlsx]G3'!$C$47:$J$47</c:f>
                <c:numCache>
                  <c:formatCode>General</c:formatCode>
                  <c:ptCount val="8"/>
                  <c:pt idx="0">
                    <c:v>3.906444334159509E-2</c:v>
                  </c:pt>
                  <c:pt idx="1">
                    <c:v>3.9064443341594979E-2</c:v>
                  </c:pt>
                  <c:pt idx="2">
                    <c:v>3.9064443341595034E-2</c:v>
                  </c:pt>
                  <c:pt idx="3">
                    <c:v>3.9064443341594979E-2</c:v>
                  </c:pt>
                  <c:pt idx="4">
                    <c:v>3.9064443341594979E-2</c:v>
                  </c:pt>
                  <c:pt idx="5">
                    <c:v>3.9064443341594979E-2</c:v>
                  </c:pt>
                  <c:pt idx="6">
                    <c:v>4.8951124519306E-2</c:v>
                  </c:pt>
                  <c:pt idx="7">
                    <c:v>3.3552485413547328E-2</c:v>
                  </c:pt>
                </c:numCache>
              </c:numRef>
            </c:plus>
            <c:minus>
              <c:numRef>
                <c:f>'[INSUMOS BOLETIN ENTI 2022.xlsx]G3'!$C$47:$J$47</c:f>
                <c:numCache>
                  <c:formatCode>General</c:formatCode>
                  <c:ptCount val="8"/>
                  <c:pt idx="0">
                    <c:v>3.906444334159509E-2</c:v>
                  </c:pt>
                  <c:pt idx="1">
                    <c:v>3.9064443341594979E-2</c:v>
                  </c:pt>
                  <c:pt idx="2">
                    <c:v>3.9064443341595034E-2</c:v>
                  </c:pt>
                  <c:pt idx="3">
                    <c:v>3.9064443341594979E-2</c:v>
                  </c:pt>
                  <c:pt idx="4">
                    <c:v>3.9064443341594979E-2</c:v>
                  </c:pt>
                  <c:pt idx="5">
                    <c:v>3.9064443341594979E-2</c:v>
                  </c:pt>
                  <c:pt idx="6">
                    <c:v>4.8951124519306E-2</c:v>
                  </c:pt>
                  <c:pt idx="7">
                    <c:v>3.3552485413547328E-2</c:v>
                  </c:pt>
                </c:numCache>
              </c:numRef>
            </c:minus>
            <c:spPr>
              <a:noFill/>
              <a:ln w="25400" cap="flat" cmpd="sng" algn="ctr">
                <a:solidFill>
                  <a:srgbClr val="006E80"/>
                </a:solidFill>
                <a:round/>
              </a:ln>
              <a:effectLst/>
            </c:spPr>
          </c:errBars>
          <c:cat>
            <c:numRef>
              <c:f>'[INSUMOS BOLETIN ENTI 2022.xlsx]G3'!$C$28:$J$28</c:f>
              <c:numCache>
                <c:formatCode>General</c:formatCode>
                <c:ptCount val="8"/>
                <c:pt idx="0">
                  <c:v>2007</c:v>
                </c:pt>
                <c:pt idx="1">
                  <c:v>2009</c:v>
                </c:pt>
                <c:pt idx="2">
                  <c:v>2011</c:v>
                </c:pt>
                <c:pt idx="3">
                  <c:v>2013</c:v>
                </c:pt>
                <c:pt idx="4">
                  <c:v>2015</c:v>
                </c:pt>
                <c:pt idx="5">
                  <c:v>2017</c:v>
                </c:pt>
                <c:pt idx="6">
                  <c:v>2019</c:v>
                </c:pt>
                <c:pt idx="7">
                  <c:v>2022</c:v>
                </c:pt>
              </c:numCache>
            </c:numRef>
          </c:cat>
          <c:val>
            <c:numRef>
              <c:f>'[INSUMOS BOLETIN ENTI 2022.xlsx]G3'!$C$31:$J$31</c:f>
              <c:numCache>
                <c:formatCode>0.0</c:formatCode>
                <c:ptCount val="8"/>
                <c:pt idx="0">
                  <c:v>1.0488869999999999</c:v>
                </c:pt>
                <c:pt idx="1">
                  <c:v>0.87476799999999999</c:v>
                </c:pt>
                <c:pt idx="2">
                  <c:v>0.81392200000000003</c:v>
                </c:pt>
                <c:pt idx="3">
                  <c:v>0.66913699999999998</c:v>
                </c:pt>
                <c:pt idx="4">
                  <c:v>0.60009800000000002</c:v>
                </c:pt>
                <c:pt idx="5">
                  <c:v>0.54826900000000001</c:v>
                </c:pt>
                <c:pt idx="6">
                  <c:v>0.58352199999999999</c:v>
                </c:pt>
                <c:pt idx="7">
                  <c:v>0.59865900000000005</c:v>
                </c:pt>
              </c:numCache>
            </c:numRef>
          </c:val>
          <c:extLst>
            <c:ext xmlns:c16="http://schemas.microsoft.com/office/drawing/2014/chart" uri="{C3380CC4-5D6E-409C-BE32-E72D297353CC}">
              <c16:uniqueId val="{00000002-BC63-46C6-95D3-B490978ACFDA}"/>
            </c:ext>
          </c:extLst>
        </c:ser>
        <c:dLbls>
          <c:showLegendKey val="0"/>
          <c:showVal val="0"/>
          <c:showCatName val="0"/>
          <c:showSerName val="0"/>
          <c:showPercent val="0"/>
          <c:showBubbleSize val="0"/>
        </c:dLbls>
        <c:gapWidth val="20"/>
        <c:overlap val="-5"/>
        <c:axId val="221373184"/>
        <c:axId val="221366128"/>
      </c:barChart>
      <c:catAx>
        <c:axId val="221373184"/>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221366128"/>
        <c:crosses val="autoZero"/>
        <c:auto val="1"/>
        <c:lblAlgn val="ctr"/>
        <c:lblOffset val="100"/>
        <c:noMultiLvlLbl val="0"/>
      </c:catAx>
      <c:valAx>
        <c:axId val="221366128"/>
        <c:scaling>
          <c:orientation val="minMax"/>
          <c:max val="3.7"/>
          <c:min val="0"/>
        </c:scaling>
        <c:delete val="1"/>
        <c:axPos val="l"/>
        <c:numFmt formatCode="0.0" sourceLinked="1"/>
        <c:majorTickMark val="out"/>
        <c:minorTickMark val="none"/>
        <c:tickLblPos val="nextTo"/>
        <c:crossAx val="221373184"/>
        <c:crosses val="autoZero"/>
        <c:crossBetween val="between"/>
        <c:majorUnit val="1"/>
      </c:valAx>
      <c:spPr>
        <a:noFill/>
        <a:ln w="25400">
          <a:noFill/>
        </a:ln>
        <a:effectLst/>
      </c:spPr>
    </c:plotArea>
    <c:legend>
      <c:legendPos val="b"/>
      <c:layout>
        <c:manualLayout>
          <c:xMode val="edge"/>
          <c:yMode val="edge"/>
          <c:x val="0.3819126579500402"/>
          <c:y val="0.92959697794785001"/>
          <c:w val="0.23617468409991962"/>
          <c:h val="6.6249335655472974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9525" cap="flat" cmpd="sng" algn="ctr">
      <a:noFill/>
      <a:round/>
    </a:ln>
    <a:effectLst/>
  </c:spPr>
  <c:txPr>
    <a:bodyPr/>
    <a:lstStyle/>
    <a:p>
      <a:pPr>
        <a:defRPr sz="1100">
          <a:latin typeface="Arial" panose="020B0604020202020204" pitchFamily="34" charset="0"/>
          <a:cs typeface="Arial" panose="020B0604020202020204" pitchFamily="34" charset="0"/>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0684968395101903E-3"/>
          <c:y val="1.90171542085271E-2"/>
          <c:w val="0.99755597291070452"/>
          <c:h val="0.81496882816168636"/>
        </c:manualLayout>
      </c:layout>
      <c:barChart>
        <c:barDir val="col"/>
        <c:grouping val="clustered"/>
        <c:varyColors val="0"/>
        <c:ser>
          <c:idx val="0"/>
          <c:order val="0"/>
          <c:tx>
            <c:strRef>
              <c:f>'[INSUMOS BOLETIN ENTI 2022.xlsx]G03'!$B$23</c:f>
              <c:strCache>
                <c:ptCount val="1"/>
                <c:pt idx="0">
                  <c:v>Total</c:v>
                </c:pt>
              </c:strCache>
            </c:strRef>
          </c:tx>
          <c:spPr>
            <a:solidFill>
              <a:srgbClr val="338B99"/>
            </a:solidFill>
            <a:ln>
              <a:solidFill>
                <a:srgbClr val="338B99"/>
              </a:solid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'[INSUMOS BOLETIN ENTI 2022.xlsx]G03'!$C$39:$F$39</c:f>
                <c:numCache>
                  <c:formatCode>General</c:formatCode>
                  <c:ptCount val="4"/>
                  <c:pt idx="0">
                    <c:v>0.10537975416703982</c:v>
                  </c:pt>
                  <c:pt idx="1">
                    <c:v>0.10537975416704004</c:v>
                  </c:pt>
                  <c:pt idx="2">
                    <c:v>0.18765013266644015</c:v>
                  </c:pt>
                  <c:pt idx="3">
                    <c:v>0.11960921878888775</c:v>
                  </c:pt>
                </c:numCache>
              </c:numRef>
            </c:plus>
            <c:minus>
              <c:numRef>
                <c:f>'[INSUMOS BOLETIN ENTI 2022.xlsx]G03'!$C$39:$F$39</c:f>
                <c:numCache>
                  <c:formatCode>General</c:formatCode>
                  <c:ptCount val="4"/>
                  <c:pt idx="0">
                    <c:v>0.10537975416703982</c:v>
                  </c:pt>
                  <c:pt idx="1">
                    <c:v>0.10537975416704004</c:v>
                  </c:pt>
                  <c:pt idx="2">
                    <c:v>0.18765013266644015</c:v>
                  </c:pt>
                  <c:pt idx="3">
                    <c:v>0.11960921878888775</c:v>
                  </c:pt>
                </c:numCache>
              </c:numRef>
            </c:minus>
            <c:spPr>
              <a:noFill/>
              <a:ln w="25400" cap="flat" cmpd="sng" algn="ctr">
                <a:solidFill>
                  <a:srgbClr val="006E80"/>
                </a:solidFill>
                <a:round/>
              </a:ln>
              <a:effectLst/>
            </c:spPr>
          </c:errBars>
          <c:cat>
            <c:numRef>
              <c:f>'[INSUMOS BOLETIN ENTI 2022.xlsx]G03'!$C$22:$F$22</c:f>
              <c:numCache>
                <c:formatCode>General</c:formatCode>
                <c:ptCount val="4"/>
                <c:pt idx="0">
                  <c:v>2015</c:v>
                </c:pt>
                <c:pt idx="1">
                  <c:v>2017</c:v>
                </c:pt>
                <c:pt idx="2">
                  <c:v>2019</c:v>
                </c:pt>
                <c:pt idx="3">
                  <c:v>2022</c:v>
                </c:pt>
              </c:numCache>
            </c:numRef>
          </c:cat>
          <c:val>
            <c:numRef>
              <c:f>'[INSUMOS BOLETIN ENTI 2022.xlsx]G03'!$C$23:$F$23</c:f>
              <c:numCache>
                <c:formatCode>0.0</c:formatCode>
                <c:ptCount val="4"/>
                <c:pt idx="0">
                  <c:v>3.5753180000000002</c:v>
                </c:pt>
                <c:pt idx="1">
                  <c:v>3.193587</c:v>
                </c:pt>
                <c:pt idx="2">
                  <c:v>3.2658689999999999</c:v>
                </c:pt>
                <c:pt idx="3">
                  <c:v>3.7318669999999998</c:v>
                </c:pt>
              </c:numCache>
            </c:numRef>
          </c:val>
          <c:extLst>
            <c:ext xmlns:c16="http://schemas.microsoft.com/office/drawing/2014/chart" uri="{C3380CC4-5D6E-409C-BE32-E72D297353CC}">
              <c16:uniqueId val="{00000000-DADE-4174-8256-E23E4F80F654}"/>
            </c:ext>
          </c:extLst>
        </c:ser>
        <c:ser>
          <c:idx val="1"/>
          <c:order val="1"/>
          <c:tx>
            <c:strRef>
              <c:f>'[INSUMOS BOLETIN ENTI 2022.xlsx]G03'!$B$24</c:f>
              <c:strCache>
                <c:ptCount val="1"/>
                <c:pt idx="0">
                  <c:v>Niños</c:v>
                </c:pt>
              </c:strCache>
            </c:strRef>
          </c:tx>
          <c:spPr>
            <a:solidFill>
              <a:srgbClr val="66A8B3"/>
            </a:solidFill>
            <a:ln>
              <a:solidFill>
                <a:srgbClr val="66A8B3"/>
              </a:solid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'[INSUMOS BOLETIN ENTI 2022.xlsx]G03'!$C$40:$F$40</c:f>
                <c:numCache>
                  <c:formatCode>General</c:formatCode>
                  <c:ptCount val="4"/>
                  <c:pt idx="0">
                    <c:v>7.9434960228599971E-2</c:v>
                  </c:pt>
                  <c:pt idx="1">
                    <c:v>7.9434960228600193E-2</c:v>
                  </c:pt>
                  <c:pt idx="2">
                    <c:v>0.13372529871429994</c:v>
                  </c:pt>
                  <c:pt idx="3">
                    <c:v>8.2205051860746448E-2</c:v>
                  </c:pt>
                </c:numCache>
              </c:numRef>
            </c:plus>
            <c:minus>
              <c:numRef>
                <c:f>'[INSUMOS BOLETIN ENTI 2022.xlsx]G03'!$C$40:$F$40</c:f>
                <c:numCache>
                  <c:formatCode>General</c:formatCode>
                  <c:ptCount val="4"/>
                  <c:pt idx="0">
                    <c:v>7.9434960228599971E-2</c:v>
                  </c:pt>
                  <c:pt idx="1">
                    <c:v>7.9434960228600193E-2</c:v>
                  </c:pt>
                  <c:pt idx="2">
                    <c:v>0.13372529871429994</c:v>
                  </c:pt>
                  <c:pt idx="3">
                    <c:v>8.2205051860746448E-2</c:v>
                  </c:pt>
                </c:numCache>
              </c:numRef>
            </c:minus>
            <c:spPr>
              <a:noFill/>
              <a:ln w="25400" cap="flat" cmpd="sng" algn="ctr">
                <a:solidFill>
                  <a:srgbClr val="006E80"/>
                </a:solidFill>
                <a:round/>
              </a:ln>
              <a:effectLst/>
            </c:spPr>
          </c:errBars>
          <c:cat>
            <c:numRef>
              <c:f>'[INSUMOS BOLETIN ENTI 2022.xlsx]G03'!$C$22:$F$22</c:f>
              <c:numCache>
                <c:formatCode>General</c:formatCode>
                <c:ptCount val="4"/>
                <c:pt idx="0">
                  <c:v>2015</c:v>
                </c:pt>
                <c:pt idx="1">
                  <c:v>2017</c:v>
                </c:pt>
                <c:pt idx="2">
                  <c:v>2019</c:v>
                </c:pt>
                <c:pt idx="3">
                  <c:v>2022</c:v>
                </c:pt>
              </c:numCache>
            </c:numRef>
          </c:cat>
          <c:val>
            <c:numRef>
              <c:f>'[INSUMOS BOLETIN ENTI 2022.xlsx]G03'!$C$24:$F$24</c:f>
              <c:numCache>
                <c:formatCode>0.0</c:formatCode>
                <c:ptCount val="4"/>
                <c:pt idx="0">
                  <c:v>2.2120579999999999</c:v>
                </c:pt>
                <c:pt idx="1">
                  <c:v>2.0005190000000002</c:v>
                </c:pt>
                <c:pt idx="2">
                  <c:v>1.9938530000000001</c:v>
                </c:pt>
                <c:pt idx="3">
                  <c:v>2.2456140000000002</c:v>
                </c:pt>
              </c:numCache>
            </c:numRef>
          </c:val>
          <c:extLst>
            <c:ext xmlns:c16="http://schemas.microsoft.com/office/drawing/2014/chart" uri="{C3380CC4-5D6E-409C-BE32-E72D297353CC}">
              <c16:uniqueId val="{00000001-DADE-4174-8256-E23E4F80F654}"/>
            </c:ext>
          </c:extLst>
        </c:ser>
        <c:ser>
          <c:idx val="2"/>
          <c:order val="2"/>
          <c:tx>
            <c:strRef>
              <c:f>'[INSUMOS BOLETIN ENTI 2022.xlsx]G03'!$B$25</c:f>
              <c:strCache>
                <c:ptCount val="1"/>
                <c:pt idx="0">
                  <c:v>Niñas</c:v>
                </c:pt>
              </c:strCache>
            </c:strRef>
          </c:tx>
          <c:spPr>
            <a:solidFill>
              <a:srgbClr val="99C5CC"/>
            </a:solidFill>
            <a:ln>
              <a:solidFill>
                <a:srgbClr val="99C5CC"/>
              </a:solid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'[INSUMOS BOLETIN ENTI 2022.xlsx]G03'!$C$41:$F$41</c:f>
                <c:numCache>
                  <c:formatCode>General</c:formatCode>
                  <c:ptCount val="4"/>
                  <c:pt idx="0">
                    <c:v>6.6540203078540028E-2</c:v>
                  </c:pt>
                  <c:pt idx="1">
                    <c:v>6.6540203078540028E-2</c:v>
                  </c:pt>
                  <c:pt idx="2">
                    <c:v>0.11746900292390006</c:v>
                  </c:pt>
                  <c:pt idx="3">
                    <c:v>7.9570697362595921E-2</c:v>
                  </c:pt>
                </c:numCache>
              </c:numRef>
            </c:plus>
            <c:minus>
              <c:numRef>
                <c:f>'[INSUMOS BOLETIN ENTI 2022.xlsx]G03'!$C$41:$F$41</c:f>
                <c:numCache>
                  <c:formatCode>General</c:formatCode>
                  <c:ptCount val="4"/>
                  <c:pt idx="0">
                    <c:v>6.6540203078540028E-2</c:v>
                  </c:pt>
                  <c:pt idx="1">
                    <c:v>6.6540203078540028E-2</c:v>
                  </c:pt>
                  <c:pt idx="2">
                    <c:v>0.11746900292390006</c:v>
                  </c:pt>
                  <c:pt idx="3">
                    <c:v>7.9570697362595921E-2</c:v>
                  </c:pt>
                </c:numCache>
              </c:numRef>
            </c:minus>
            <c:spPr>
              <a:noFill/>
              <a:ln w="25400" cap="flat" cmpd="sng" algn="ctr">
                <a:solidFill>
                  <a:srgbClr val="006E80"/>
                </a:solidFill>
                <a:round/>
              </a:ln>
              <a:effectLst/>
            </c:spPr>
          </c:errBars>
          <c:cat>
            <c:numRef>
              <c:f>'[INSUMOS BOLETIN ENTI 2022.xlsx]G03'!$C$22:$F$22</c:f>
              <c:numCache>
                <c:formatCode>General</c:formatCode>
                <c:ptCount val="4"/>
                <c:pt idx="0">
                  <c:v>2015</c:v>
                </c:pt>
                <c:pt idx="1">
                  <c:v>2017</c:v>
                </c:pt>
                <c:pt idx="2">
                  <c:v>2019</c:v>
                </c:pt>
                <c:pt idx="3">
                  <c:v>2022</c:v>
                </c:pt>
              </c:numCache>
            </c:numRef>
          </c:cat>
          <c:val>
            <c:numRef>
              <c:f>'[INSUMOS BOLETIN ENTI 2022.xlsx]G03'!$C$25:$F$25</c:f>
              <c:numCache>
                <c:formatCode>0.0</c:formatCode>
                <c:ptCount val="4"/>
                <c:pt idx="0">
                  <c:v>1.3632599999999999</c:v>
                </c:pt>
                <c:pt idx="1">
                  <c:v>1.193068</c:v>
                </c:pt>
                <c:pt idx="2">
                  <c:v>1.272016</c:v>
                </c:pt>
                <c:pt idx="3">
                  <c:v>1.486253</c:v>
                </c:pt>
              </c:numCache>
            </c:numRef>
          </c:val>
          <c:extLst>
            <c:ext xmlns:c16="http://schemas.microsoft.com/office/drawing/2014/chart" uri="{C3380CC4-5D6E-409C-BE32-E72D297353CC}">
              <c16:uniqueId val="{00000002-DADE-4174-8256-E23E4F80F654}"/>
            </c:ext>
          </c:extLst>
        </c:ser>
        <c:dLbls>
          <c:dLblPos val="outEnd"/>
          <c:showLegendKey val="0"/>
          <c:showVal val="1"/>
          <c:showCatName val="0"/>
          <c:showSerName val="0"/>
          <c:showPercent val="0"/>
          <c:showBubbleSize val="0"/>
        </c:dLbls>
        <c:gapWidth val="20"/>
        <c:overlap val="-5"/>
        <c:axId val="221373184"/>
        <c:axId val="221366128"/>
      </c:barChart>
      <c:catAx>
        <c:axId val="221373184"/>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221366128"/>
        <c:crosses val="autoZero"/>
        <c:auto val="1"/>
        <c:lblAlgn val="ctr"/>
        <c:lblOffset val="100"/>
        <c:noMultiLvlLbl val="0"/>
      </c:catAx>
      <c:valAx>
        <c:axId val="221366128"/>
        <c:scaling>
          <c:orientation val="minMax"/>
          <c:max val="4"/>
        </c:scaling>
        <c:delete val="1"/>
        <c:axPos val="l"/>
        <c:numFmt formatCode="0.0" sourceLinked="1"/>
        <c:majorTickMark val="out"/>
        <c:minorTickMark val="none"/>
        <c:tickLblPos val="nextTo"/>
        <c:crossAx val="221373184"/>
        <c:crosses val="autoZero"/>
        <c:crossBetween val="between"/>
        <c:majorUnit val="1"/>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9525" cap="flat" cmpd="sng" algn="ctr">
      <a:noFill/>
      <a:round/>
    </a:ln>
    <a:effectLst/>
  </c:spPr>
  <c:txPr>
    <a:bodyPr/>
    <a:lstStyle/>
    <a:p>
      <a:pPr>
        <a:defRPr sz="1400" b="1">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0684968395101903E-3"/>
          <c:y val="1.90171542085271E-2"/>
          <c:w val="0.99755597291070452"/>
          <c:h val="0.81089840096535148"/>
        </c:manualLayout>
      </c:layout>
      <c:barChart>
        <c:barDir val="col"/>
        <c:grouping val="clustered"/>
        <c:varyColors val="0"/>
        <c:ser>
          <c:idx val="1"/>
          <c:order val="0"/>
          <c:tx>
            <c:strRef>
              <c:f>'[INSUMOS BOLETIN ENTI 2022.xlsx]G04'!$B$24</c:f>
              <c:strCache>
                <c:ptCount val="1"/>
                <c:pt idx="0">
                  <c:v>Ocupación no permitida</c:v>
                </c:pt>
              </c:strCache>
            </c:strRef>
          </c:tx>
          <c:spPr>
            <a:solidFill>
              <a:srgbClr val="338B99"/>
            </a:solidFill>
            <a:ln>
              <a:solidFill>
                <a:srgbClr val="338B99"/>
              </a:solid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'[INSUMOS BOLETIN ENTI 2022.xlsx]G04'!$C$40:$F$40</c:f>
                <c:numCache>
                  <c:formatCode>General</c:formatCode>
                  <c:ptCount val="4"/>
                  <c:pt idx="0">
                    <c:v>7.9434960228600193E-2</c:v>
                  </c:pt>
                  <c:pt idx="1">
                    <c:v>7.9434960228600193E-2</c:v>
                  </c:pt>
                  <c:pt idx="2">
                    <c:v>0.13372529871429994</c:v>
                  </c:pt>
                  <c:pt idx="3">
                    <c:v>8.2205051860746448E-2</c:v>
                  </c:pt>
                </c:numCache>
              </c:numRef>
            </c:plus>
            <c:minus>
              <c:numRef>
                <c:f>'[INSUMOS BOLETIN ENTI 2022.xlsx]G04'!$C$40:$F$40</c:f>
                <c:numCache>
                  <c:formatCode>General</c:formatCode>
                  <c:ptCount val="4"/>
                  <c:pt idx="0">
                    <c:v>7.9434960228600193E-2</c:v>
                  </c:pt>
                  <c:pt idx="1">
                    <c:v>7.9434960228600193E-2</c:v>
                  </c:pt>
                  <c:pt idx="2">
                    <c:v>0.13372529871429994</c:v>
                  </c:pt>
                  <c:pt idx="3">
                    <c:v>8.2205051860746448E-2</c:v>
                  </c:pt>
                </c:numCache>
              </c:numRef>
            </c:minus>
            <c:spPr>
              <a:noFill/>
              <a:ln w="25400" cap="flat" cmpd="sng" algn="ctr">
                <a:solidFill>
                  <a:srgbClr val="006E80"/>
                </a:solidFill>
                <a:round/>
              </a:ln>
              <a:effectLst/>
            </c:spPr>
          </c:errBars>
          <c:cat>
            <c:numRef>
              <c:f>'[INSUMOS BOLETIN ENTI 2022.xlsx]G04'!$C$22:$F$22</c:f>
              <c:numCache>
                <c:formatCode>General</c:formatCode>
                <c:ptCount val="4"/>
                <c:pt idx="0">
                  <c:v>2015</c:v>
                </c:pt>
                <c:pt idx="1">
                  <c:v>2017</c:v>
                </c:pt>
                <c:pt idx="2">
                  <c:v>2019</c:v>
                </c:pt>
                <c:pt idx="3">
                  <c:v>2022</c:v>
                </c:pt>
              </c:numCache>
            </c:numRef>
          </c:cat>
          <c:val>
            <c:numRef>
              <c:f>'[INSUMOS BOLETIN ENTI 2022.xlsx]G04'!$C$24:$F$24</c:f>
              <c:numCache>
                <c:formatCode>0.0</c:formatCode>
                <c:ptCount val="4"/>
                <c:pt idx="0">
                  <c:v>2.180917</c:v>
                </c:pt>
                <c:pt idx="1">
                  <c:v>2.0400130000000001</c:v>
                </c:pt>
                <c:pt idx="2">
                  <c:v>2.018643</c:v>
                </c:pt>
                <c:pt idx="3">
                  <c:v>2.1319710000000001</c:v>
                </c:pt>
              </c:numCache>
            </c:numRef>
          </c:val>
          <c:extLst>
            <c:ext xmlns:c16="http://schemas.microsoft.com/office/drawing/2014/chart" uri="{C3380CC4-5D6E-409C-BE32-E72D297353CC}">
              <c16:uniqueId val="{00000000-3E7E-40C2-9D4F-4A1AC8BF76BA}"/>
            </c:ext>
          </c:extLst>
        </c:ser>
        <c:ser>
          <c:idx val="2"/>
          <c:order val="1"/>
          <c:tx>
            <c:strRef>
              <c:f>'[INSUMOS BOLETIN ENTI 2022.xlsx]G04'!$B$25</c:f>
              <c:strCache>
                <c:ptCount val="1"/>
                <c:pt idx="0">
                  <c:v>Quehaceres domésticos no adecuados</c:v>
                </c:pt>
              </c:strCache>
            </c:strRef>
          </c:tx>
          <c:spPr>
            <a:solidFill>
              <a:srgbClr val="99C5CC"/>
            </a:solidFill>
            <a:ln>
              <a:solidFill>
                <a:srgbClr val="99C5CC"/>
              </a:solid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'[INSUMOS BOLETIN ENTI 2022.xlsx]G04'!$C$41:$F$41</c:f>
                <c:numCache>
                  <c:formatCode>General</c:formatCode>
                  <c:ptCount val="4"/>
                  <c:pt idx="0">
                    <c:v>6.6540203078540028E-2</c:v>
                  </c:pt>
                  <c:pt idx="1">
                    <c:v>6.6540203078540028E-2</c:v>
                  </c:pt>
                  <c:pt idx="2">
                    <c:v>0.11746900292390006</c:v>
                  </c:pt>
                  <c:pt idx="3">
                    <c:v>7.9570697362595921E-2</c:v>
                  </c:pt>
                </c:numCache>
              </c:numRef>
            </c:plus>
            <c:minus>
              <c:numRef>
                <c:f>'[INSUMOS BOLETIN ENTI 2022.xlsx]G04'!$C$41:$F$41</c:f>
                <c:numCache>
                  <c:formatCode>General</c:formatCode>
                  <c:ptCount val="4"/>
                  <c:pt idx="0">
                    <c:v>6.6540203078540028E-2</c:v>
                  </c:pt>
                  <c:pt idx="1">
                    <c:v>6.6540203078540028E-2</c:v>
                  </c:pt>
                  <c:pt idx="2">
                    <c:v>0.11746900292390006</c:v>
                  </c:pt>
                  <c:pt idx="3">
                    <c:v>7.9570697362595921E-2</c:v>
                  </c:pt>
                </c:numCache>
              </c:numRef>
            </c:minus>
            <c:spPr>
              <a:noFill/>
              <a:ln w="25400" cap="flat" cmpd="sng" algn="ctr">
                <a:solidFill>
                  <a:srgbClr val="006E80"/>
                </a:solidFill>
                <a:round/>
              </a:ln>
              <a:effectLst/>
            </c:spPr>
          </c:errBars>
          <c:cat>
            <c:numRef>
              <c:f>'[INSUMOS BOLETIN ENTI 2022.xlsx]G04'!$C$22:$F$22</c:f>
              <c:numCache>
                <c:formatCode>General</c:formatCode>
                <c:ptCount val="4"/>
                <c:pt idx="0">
                  <c:v>2015</c:v>
                </c:pt>
                <c:pt idx="1">
                  <c:v>2017</c:v>
                </c:pt>
                <c:pt idx="2">
                  <c:v>2019</c:v>
                </c:pt>
                <c:pt idx="3">
                  <c:v>2022</c:v>
                </c:pt>
              </c:numCache>
            </c:numRef>
          </c:cat>
          <c:val>
            <c:numRef>
              <c:f>'[INSUMOS BOLETIN ENTI 2022.xlsx]G04'!$C$25:$F$25</c:f>
              <c:numCache>
                <c:formatCode>0.0</c:formatCode>
                <c:ptCount val="4"/>
                <c:pt idx="0">
                  <c:v>1.6561349999999999</c:v>
                </c:pt>
                <c:pt idx="1">
                  <c:v>1.354492</c:v>
                </c:pt>
                <c:pt idx="2">
                  <c:v>1.5087809999999999</c:v>
                </c:pt>
                <c:pt idx="3">
                  <c:v>1.9178360000000001</c:v>
                </c:pt>
              </c:numCache>
            </c:numRef>
          </c:val>
          <c:extLst>
            <c:ext xmlns:c16="http://schemas.microsoft.com/office/drawing/2014/chart" uri="{C3380CC4-5D6E-409C-BE32-E72D297353CC}">
              <c16:uniqueId val="{00000001-3E7E-40C2-9D4F-4A1AC8BF76BA}"/>
            </c:ext>
          </c:extLst>
        </c:ser>
        <c:dLbls>
          <c:dLblPos val="outEnd"/>
          <c:showLegendKey val="0"/>
          <c:showVal val="1"/>
          <c:showCatName val="0"/>
          <c:showSerName val="0"/>
          <c:showPercent val="0"/>
          <c:showBubbleSize val="0"/>
        </c:dLbls>
        <c:gapWidth val="20"/>
        <c:overlap val="-5"/>
        <c:axId val="221373184"/>
        <c:axId val="221366128"/>
      </c:barChart>
      <c:catAx>
        <c:axId val="221373184"/>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221366128"/>
        <c:crosses val="autoZero"/>
        <c:auto val="1"/>
        <c:lblAlgn val="ctr"/>
        <c:lblOffset val="100"/>
        <c:noMultiLvlLbl val="0"/>
      </c:catAx>
      <c:valAx>
        <c:axId val="221366128"/>
        <c:scaling>
          <c:orientation val="minMax"/>
          <c:max val="2.5"/>
          <c:min val="0"/>
        </c:scaling>
        <c:delete val="1"/>
        <c:axPos val="l"/>
        <c:numFmt formatCode="0.0" sourceLinked="1"/>
        <c:majorTickMark val="out"/>
        <c:minorTickMark val="none"/>
        <c:tickLblPos val="nextTo"/>
        <c:crossAx val="221373184"/>
        <c:crosses val="autoZero"/>
        <c:crossBetween val="between"/>
        <c:majorUnit val="1"/>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9525" cap="flat" cmpd="sng" algn="ctr">
      <a:noFill/>
      <a:round/>
    </a:ln>
    <a:effectLst/>
  </c:spPr>
  <c:txPr>
    <a:bodyPr/>
    <a:lstStyle/>
    <a:p>
      <a:pPr>
        <a:defRPr sz="1400" b="1">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0684968395101903E-3"/>
          <c:y val="1.90171542085271E-2"/>
          <c:w val="0.99755597291070452"/>
          <c:h val="0.81198396541131634"/>
        </c:manualLayout>
      </c:layout>
      <c:barChart>
        <c:barDir val="col"/>
        <c:grouping val="clustered"/>
        <c:varyColors val="0"/>
        <c:ser>
          <c:idx val="0"/>
          <c:order val="0"/>
          <c:tx>
            <c:strRef>
              <c:f>'[INSUMOS BOLETIN ENTI 2022.xlsx]G05'!$B$42</c:f>
              <c:strCache>
                <c:ptCount val="1"/>
                <c:pt idx="0">
                  <c:v>Total</c:v>
                </c:pt>
              </c:strCache>
            </c:strRef>
          </c:tx>
          <c:spPr>
            <a:solidFill>
              <a:srgbClr val="338B99"/>
            </a:solidFill>
            <a:ln>
              <a:solidFill>
                <a:srgbClr val="338B99"/>
              </a:solid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'[INSUMOS BOLETIN ENTI 2022.xlsx]G05'!$C$58:$F$58</c:f>
                <c:numCache>
                  <c:formatCode>General</c:formatCode>
                  <c:ptCount val="4"/>
                  <c:pt idx="0">
                    <c:v>0.22157231472060968</c:v>
                  </c:pt>
                  <c:pt idx="1">
                    <c:v>0.23660367278121175</c:v>
                  </c:pt>
                  <c:pt idx="2">
                    <c:v>0.41036788054872186</c:v>
                  </c:pt>
                  <c:pt idx="3">
                    <c:v>0.23490370322692833</c:v>
                  </c:pt>
                </c:numCache>
              </c:numRef>
            </c:plus>
            <c:minus>
              <c:numRef>
                <c:f>'[INSUMOS BOLETIN ENTI 2022.xlsx]G05'!$C$58:$F$58</c:f>
                <c:numCache>
                  <c:formatCode>General</c:formatCode>
                  <c:ptCount val="4"/>
                  <c:pt idx="0">
                    <c:v>0.22157231472060968</c:v>
                  </c:pt>
                  <c:pt idx="1">
                    <c:v>0.23660367278121175</c:v>
                  </c:pt>
                  <c:pt idx="2">
                    <c:v>0.41036788054872186</c:v>
                  </c:pt>
                  <c:pt idx="3">
                    <c:v>0.23490370322692833</c:v>
                  </c:pt>
                </c:numCache>
              </c:numRef>
            </c:minus>
            <c:spPr>
              <a:noFill/>
              <a:ln w="25400" cap="flat" cmpd="sng" algn="ctr">
                <a:solidFill>
                  <a:srgbClr val="006E80"/>
                </a:solidFill>
                <a:round/>
              </a:ln>
              <a:effectLst/>
            </c:spPr>
          </c:errBars>
          <c:cat>
            <c:numRef>
              <c:f>'[INSUMOS BOLETIN ENTI 2022.xlsx]G05'!$C$41:$F$41</c:f>
              <c:numCache>
                <c:formatCode>General</c:formatCode>
                <c:ptCount val="4"/>
                <c:pt idx="0">
                  <c:v>2015</c:v>
                </c:pt>
                <c:pt idx="1">
                  <c:v>2017</c:v>
                </c:pt>
                <c:pt idx="2">
                  <c:v>2019</c:v>
                </c:pt>
                <c:pt idx="3">
                  <c:v>2022</c:v>
                </c:pt>
              </c:numCache>
            </c:numRef>
          </c:cat>
          <c:val>
            <c:numRef>
              <c:f>'[INSUMOS BOLETIN ENTI 2022.xlsx]G05'!$C$42:$F$42</c:f>
              <c:numCache>
                <c:formatCode>0.0</c:formatCode>
                <c:ptCount val="4"/>
                <c:pt idx="0">
                  <c:v>12.345150337781611</c:v>
                </c:pt>
                <c:pt idx="1">
                  <c:v>11.010415186325902</c:v>
                </c:pt>
                <c:pt idx="2">
                  <c:v>11.429003270449831</c:v>
                </c:pt>
                <c:pt idx="3">
                  <c:v>13.134166242307465</c:v>
                </c:pt>
              </c:numCache>
            </c:numRef>
          </c:val>
          <c:extLst>
            <c:ext xmlns:c16="http://schemas.microsoft.com/office/drawing/2014/chart" uri="{C3380CC4-5D6E-409C-BE32-E72D297353CC}">
              <c16:uniqueId val="{00000000-5394-4DF8-AA43-1EED7F0D6AB8}"/>
            </c:ext>
          </c:extLst>
        </c:ser>
        <c:ser>
          <c:idx val="1"/>
          <c:order val="1"/>
          <c:tx>
            <c:strRef>
              <c:f>'[INSUMOS BOLETIN ENTI 2022.xlsx]G05'!$B$43</c:f>
              <c:strCache>
                <c:ptCount val="1"/>
                <c:pt idx="0">
                  <c:v>Niños</c:v>
                </c:pt>
              </c:strCache>
            </c:strRef>
          </c:tx>
          <c:spPr>
            <a:solidFill>
              <a:srgbClr val="66A8B3"/>
            </a:solidFill>
            <a:ln>
              <a:solidFill>
                <a:srgbClr val="66A8B3"/>
              </a:solid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'[INSUMOS BOLETIN ENTI 2022.xlsx]G05'!$C$59:$F$59</c:f>
                <c:numCache>
                  <c:formatCode>General</c:formatCode>
                  <c:ptCount val="4"/>
                  <c:pt idx="0">
                    <c:v>0.32989176034115708</c:v>
                  </c:pt>
                  <c:pt idx="1">
                    <c:v>0.34599762330315809</c:v>
                  </c:pt>
                  <c:pt idx="2">
                    <c:v>0.52503714149904468</c:v>
                  </c:pt>
                  <c:pt idx="3">
                    <c:v>0.30133628365823117</c:v>
                  </c:pt>
                </c:numCache>
              </c:numRef>
            </c:plus>
            <c:minus>
              <c:numRef>
                <c:f>'[INSUMOS BOLETIN ENTI 2022.xlsx]G05'!$C$59:$F$59</c:f>
                <c:numCache>
                  <c:formatCode>General</c:formatCode>
                  <c:ptCount val="4"/>
                  <c:pt idx="0">
                    <c:v>0.32989176034115708</c:v>
                  </c:pt>
                  <c:pt idx="1">
                    <c:v>0.34599762330315809</c:v>
                  </c:pt>
                  <c:pt idx="2">
                    <c:v>0.52503714149904468</c:v>
                  </c:pt>
                  <c:pt idx="3">
                    <c:v>0.30133628365823117</c:v>
                  </c:pt>
                </c:numCache>
              </c:numRef>
            </c:minus>
            <c:spPr>
              <a:noFill/>
              <a:ln w="25400" cap="flat" cmpd="sng" algn="ctr">
                <a:solidFill>
                  <a:srgbClr val="006E80"/>
                </a:solidFill>
                <a:round/>
              </a:ln>
              <a:effectLst/>
            </c:spPr>
          </c:errBars>
          <c:cat>
            <c:numRef>
              <c:f>'[INSUMOS BOLETIN ENTI 2022.xlsx]G05'!$C$41:$F$41</c:f>
              <c:numCache>
                <c:formatCode>General</c:formatCode>
                <c:ptCount val="4"/>
                <c:pt idx="0">
                  <c:v>2015</c:v>
                </c:pt>
                <c:pt idx="1">
                  <c:v>2017</c:v>
                </c:pt>
                <c:pt idx="2">
                  <c:v>2019</c:v>
                </c:pt>
                <c:pt idx="3">
                  <c:v>2022</c:v>
                </c:pt>
              </c:numCache>
            </c:numRef>
          </c:cat>
          <c:val>
            <c:numRef>
              <c:f>'[INSUMOS BOLETIN ENTI 2022.xlsx]G05'!$C$43:$F$43</c:f>
              <c:numCache>
                <c:formatCode>0.0</c:formatCode>
                <c:ptCount val="4"/>
                <c:pt idx="0">
                  <c:v>15.006335804632942</c:v>
                </c:pt>
                <c:pt idx="1">
                  <c:v>13.557473756659991</c:v>
                </c:pt>
                <c:pt idx="2">
                  <c:v>13.580433253209225</c:v>
                </c:pt>
                <c:pt idx="3">
                  <c:v>15.491356324084659</c:v>
                </c:pt>
              </c:numCache>
            </c:numRef>
          </c:val>
          <c:extLst>
            <c:ext xmlns:c16="http://schemas.microsoft.com/office/drawing/2014/chart" uri="{C3380CC4-5D6E-409C-BE32-E72D297353CC}">
              <c16:uniqueId val="{00000001-5394-4DF8-AA43-1EED7F0D6AB8}"/>
            </c:ext>
          </c:extLst>
        </c:ser>
        <c:ser>
          <c:idx val="2"/>
          <c:order val="2"/>
          <c:tx>
            <c:strRef>
              <c:f>'[INSUMOS BOLETIN ENTI 2022.xlsx]G05'!$B$44</c:f>
              <c:strCache>
                <c:ptCount val="1"/>
                <c:pt idx="0">
                  <c:v>Niñas</c:v>
                </c:pt>
              </c:strCache>
            </c:strRef>
          </c:tx>
          <c:spPr>
            <a:solidFill>
              <a:srgbClr val="99C5CC"/>
            </a:solidFill>
            <a:ln>
              <a:solidFill>
                <a:srgbClr val="99C5CC"/>
              </a:solid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'[INSUMOS BOLETIN ENTI 2022.xlsx]G05'!$C$60:$F$60</c:f>
                <c:numCache>
                  <c:formatCode>General</c:formatCode>
                  <c:ptCount val="4"/>
                  <c:pt idx="0">
                    <c:v>0.3301911191003768</c:v>
                  </c:pt>
                  <c:pt idx="1">
                    <c:v>0.33068408097827273</c:v>
                  </c:pt>
                  <c:pt idx="2">
                    <c:v>0.57477989549446562</c:v>
                  </c:pt>
                  <c:pt idx="3">
                    <c:v>0.29332170526003143</c:v>
                  </c:pt>
                </c:numCache>
              </c:numRef>
            </c:plus>
            <c:minus>
              <c:numRef>
                <c:f>'[INSUMOS BOLETIN ENTI 2022.xlsx]G05'!$C$60:$F$60</c:f>
                <c:numCache>
                  <c:formatCode>General</c:formatCode>
                  <c:ptCount val="4"/>
                  <c:pt idx="0">
                    <c:v>0.3301911191003768</c:v>
                  </c:pt>
                  <c:pt idx="1">
                    <c:v>0.33068408097827273</c:v>
                  </c:pt>
                  <c:pt idx="2">
                    <c:v>0.57477989549446562</c:v>
                  </c:pt>
                  <c:pt idx="3">
                    <c:v>0.29332170526003143</c:v>
                  </c:pt>
                </c:numCache>
              </c:numRef>
            </c:minus>
            <c:spPr>
              <a:noFill/>
              <a:ln w="25400" cap="flat" cmpd="sng" algn="ctr">
                <a:solidFill>
                  <a:srgbClr val="006E80"/>
                </a:solidFill>
                <a:round/>
              </a:ln>
              <a:effectLst/>
            </c:spPr>
          </c:errBars>
          <c:cat>
            <c:numRef>
              <c:f>'[INSUMOS BOLETIN ENTI 2022.xlsx]G05'!$C$41:$F$41</c:f>
              <c:numCache>
                <c:formatCode>General</c:formatCode>
                <c:ptCount val="4"/>
                <c:pt idx="0">
                  <c:v>2015</c:v>
                </c:pt>
                <c:pt idx="1">
                  <c:v>2017</c:v>
                </c:pt>
                <c:pt idx="2">
                  <c:v>2019</c:v>
                </c:pt>
                <c:pt idx="3">
                  <c:v>2022</c:v>
                </c:pt>
              </c:numCache>
            </c:numRef>
          </c:cat>
          <c:val>
            <c:numRef>
              <c:f>'[INSUMOS BOLETIN ENTI 2022.xlsx]G05'!$C$44:$F$44</c:f>
              <c:numCache>
                <c:formatCode>0.0</c:formatCode>
                <c:ptCount val="4"/>
                <c:pt idx="0">
                  <c:v>9.5865901657812191</c:v>
                </c:pt>
                <c:pt idx="1">
                  <c:v>8.3728142007186737</c:v>
                </c:pt>
                <c:pt idx="2">
                  <c:v>9.1554973283486394</c:v>
                </c:pt>
                <c:pt idx="3">
                  <c:v>10.679012837997709</c:v>
                </c:pt>
              </c:numCache>
            </c:numRef>
          </c:val>
          <c:extLst>
            <c:ext xmlns:c16="http://schemas.microsoft.com/office/drawing/2014/chart" uri="{C3380CC4-5D6E-409C-BE32-E72D297353CC}">
              <c16:uniqueId val="{00000002-5394-4DF8-AA43-1EED7F0D6AB8}"/>
            </c:ext>
          </c:extLst>
        </c:ser>
        <c:dLbls>
          <c:showLegendKey val="0"/>
          <c:showVal val="0"/>
          <c:showCatName val="0"/>
          <c:showSerName val="0"/>
          <c:showPercent val="0"/>
          <c:showBubbleSize val="0"/>
        </c:dLbls>
        <c:gapWidth val="20"/>
        <c:overlap val="-5"/>
        <c:axId val="221373184"/>
        <c:axId val="221366128"/>
      </c:barChart>
      <c:catAx>
        <c:axId val="221373184"/>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221366128"/>
        <c:crosses val="autoZero"/>
        <c:auto val="1"/>
        <c:lblAlgn val="ctr"/>
        <c:lblOffset val="100"/>
        <c:noMultiLvlLbl val="0"/>
      </c:catAx>
      <c:valAx>
        <c:axId val="221366128"/>
        <c:scaling>
          <c:orientation val="minMax"/>
          <c:max val="16"/>
          <c:min val="0"/>
        </c:scaling>
        <c:delete val="1"/>
        <c:axPos val="l"/>
        <c:numFmt formatCode="0.0" sourceLinked="1"/>
        <c:majorTickMark val="out"/>
        <c:minorTickMark val="none"/>
        <c:tickLblPos val="nextTo"/>
        <c:crossAx val="221373184"/>
        <c:crosses val="autoZero"/>
        <c:crossBetween val="between"/>
        <c:majorUnit val="5"/>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9525" cap="flat" cmpd="sng" algn="ctr">
      <a:noFill/>
      <a:round/>
    </a:ln>
    <a:effectLst/>
  </c:spPr>
  <c:txPr>
    <a:bodyPr/>
    <a:lstStyle/>
    <a:p>
      <a:pPr>
        <a:defRPr sz="1400" b="1">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0684968395101903E-3"/>
          <c:y val="1.90171542085271E-2"/>
          <c:w val="0.99755597291070452"/>
          <c:h val="0.79705965165946613"/>
        </c:manualLayout>
      </c:layout>
      <c:barChart>
        <c:barDir val="col"/>
        <c:grouping val="clustered"/>
        <c:varyColors val="0"/>
        <c:ser>
          <c:idx val="1"/>
          <c:order val="0"/>
          <c:tx>
            <c:strRef>
              <c:f>'[INSUMOS BOLETIN ENTI 2022.xlsx]G06'!$B$35</c:f>
              <c:strCache>
                <c:ptCount val="1"/>
                <c:pt idx="0">
                  <c:v>Ocupación no permitida</c:v>
                </c:pt>
              </c:strCache>
            </c:strRef>
          </c:tx>
          <c:spPr>
            <a:solidFill>
              <a:srgbClr val="338B99"/>
            </a:solidFill>
            <a:ln>
              <a:solidFill>
                <a:srgbClr val="338B99"/>
              </a:solid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'[INSUMOS BOLETIN ENTI 2022.xlsx]G06'!$C$51:$F$51</c:f>
                <c:numCache>
                  <c:formatCode>General</c:formatCode>
                  <c:ptCount val="4"/>
                  <c:pt idx="0">
                    <c:v>0.18748972949089593</c:v>
                  </c:pt>
                  <c:pt idx="1">
                    <c:v>0.19293004267197178</c:v>
                  </c:pt>
                  <c:pt idx="2">
                    <c:v>0.31575384797390349</c:v>
                  </c:pt>
                  <c:pt idx="3">
                    <c:v>0.18303557427271189</c:v>
                  </c:pt>
                </c:numCache>
              </c:numRef>
            </c:plus>
            <c:minus>
              <c:numRef>
                <c:f>'[INSUMOS BOLETIN ENTI 2022.xlsx]G06'!$C$51:$F$51</c:f>
                <c:numCache>
                  <c:formatCode>General</c:formatCode>
                  <c:ptCount val="4"/>
                  <c:pt idx="0">
                    <c:v>0.18748972949089593</c:v>
                  </c:pt>
                  <c:pt idx="1">
                    <c:v>0.19293004267197178</c:v>
                  </c:pt>
                  <c:pt idx="2">
                    <c:v>0.31575384797390349</c:v>
                  </c:pt>
                  <c:pt idx="3">
                    <c:v>0.18303557427271189</c:v>
                  </c:pt>
                </c:numCache>
              </c:numRef>
            </c:minus>
            <c:spPr>
              <a:noFill/>
              <a:ln w="25400" cap="flat" cmpd="sng" algn="ctr">
                <a:solidFill>
                  <a:srgbClr val="006E80"/>
                </a:solidFill>
                <a:round/>
              </a:ln>
              <a:effectLst/>
            </c:spPr>
          </c:errBars>
          <c:cat>
            <c:numRef>
              <c:f>'[INSUMOS BOLETIN ENTI 2022.xlsx]G06'!$C$33:$F$33</c:f>
              <c:numCache>
                <c:formatCode>General</c:formatCode>
                <c:ptCount val="4"/>
                <c:pt idx="0">
                  <c:v>2015</c:v>
                </c:pt>
                <c:pt idx="1">
                  <c:v>2017</c:v>
                </c:pt>
                <c:pt idx="2">
                  <c:v>2019</c:v>
                </c:pt>
                <c:pt idx="3">
                  <c:v>2022</c:v>
                </c:pt>
              </c:numCache>
            </c:numRef>
          </c:cat>
          <c:val>
            <c:numRef>
              <c:f>'[INSUMOS BOLETIN ENTI 2022.xlsx]G06'!$C$35:$F$35</c:f>
              <c:numCache>
                <c:formatCode>0.0</c:formatCode>
                <c:ptCount val="4"/>
                <c:pt idx="0">
                  <c:v>7.5304485472966771</c:v>
                </c:pt>
                <c:pt idx="1">
                  <c:v>7.0332795428783568</c:v>
                </c:pt>
                <c:pt idx="2">
                  <c:v>7.0642997159012371</c:v>
                </c:pt>
                <c:pt idx="3">
                  <c:v>7.5033921460165898</c:v>
                </c:pt>
              </c:numCache>
            </c:numRef>
          </c:val>
          <c:extLst>
            <c:ext xmlns:c16="http://schemas.microsoft.com/office/drawing/2014/chart" uri="{C3380CC4-5D6E-409C-BE32-E72D297353CC}">
              <c16:uniqueId val="{00000000-03F6-4776-B6E5-15D28B1FB642}"/>
            </c:ext>
          </c:extLst>
        </c:ser>
        <c:ser>
          <c:idx val="2"/>
          <c:order val="1"/>
          <c:tx>
            <c:strRef>
              <c:f>'[INSUMOS BOLETIN ENTI 2022.xlsx]G06'!$B$36</c:f>
              <c:strCache>
                <c:ptCount val="1"/>
                <c:pt idx="0">
                  <c:v>Quehaceres domésticos no adecuados</c:v>
                </c:pt>
              </c:strCache>
            </c:strRef>
          </c:tx>
          <c:spPr>
            <a:solidFill>
              <a:srgbClr val="99C5CC"/>
            </a:solidFill>
            <a:ln>
              <a:solidFill>
                <a:srgbClr val="99C5CC"/>
              </a:solid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'[INSUMOS BOLETIN ENTI 2022.xlsx]G06'!$C$52:$F$52</c:f>
                <c:numCache>
                  <c:formatCode>General</c:formatCode>
                  <c:ptCount val="4"/>
                  <c:pt idx="0">
                    <c:v>0.22713690806182507</c:v>
                  </c:pt>
                  <c:pt idx="1">
                    <c:v>0.22679758491661417</c:v>
                  </c:pt>
                  <c:pt idx="2">
                    <c:v>0.40240674370489993</c:v>
                  </c:pt>
                  <c:pt idx="3">
                    <c:v>0.27613343846802785</c:v>
                  </c:pt>
                </c:numCache>
              </c:numRef>
            </c:plus>
            <c:minus>
              <c:numRef>
                <c:f>'[INSUMOS BOLETIN ENTI 2022.xlsx]G06'!$C$52:$F$52</c:f>
                <c:numCache>
                  <c:formatCode>General</c:formatCode>
                  <c:ptCount val="4"/>
                  <c:pt idx="0">
                    <c:v>0.22713690806182507</c:v>
                  </c:pt>
                  <c:pt idx="1">
                    <c:v>0.22679758491661417</c:v>
                  </c:pt>
                  <c:pt idx="2">
                    <c:v>0.40240674370489993</c:v>
                  </c:pt>
                  <c:pt idx="3">
                    <c:v>0.27613343846802785</c:v>
                  </c:pt>
                </c:numCache>
              </c:numRef>
            </c:minus>
            <c:spPr>
              <a:noFill/>
              <a:ln w="25400" cap="flat" cmpd="sng" algn="ctr">
                <a:solidFill>
                  <a:srgbClr val="006E80"/>
                </a:solidFill>
                <a:round/>
              </a:ln>
              <a:effectLst/>
            </c:spPr>
          </c:errBars>
          <c:cat>
            <c:numRef>
              <c:f>'[INSUMOS BOLETIN ENTI 2022.xlsx]G06'!$C$33:$F$33</c:f>
              <c:numCache>
                <c:formatCode>General</c:formatCode>
                <c:ptCount val="4"/>
                <c:pt idx="0">
                  <c:v>2015</c:v>
                </c:pt>
                <c:pt idx="1">
                  <c:v>2017</c:v>
                </c:pt>
                <c:pt idx="2">
                  <c:v>2019</c:v>
                </c:pt>
                <c:pt idx="3">
                  <c:v>2022</c:v>
                </c:pt>
              </c:numCache>
            </c:numRef>
          </c:cat>
          <c:val>
            <c:numRef>
              <c:f>'[INSUMOS BOLETIN ENTI 2022.xlsx]G06'!$C$36:$F$36</c:f>
              <c:numCache>
                <c:formatCode>0.0</c:formatCode>
                <c:ptCount val="4"/>
                <c:pt idx="0">
                  <c:v>5.7184383472077025</c:v>
                </c:pt>
                <c:pt idx="1">
                  <c:v>4.6698334150774485</c:v>
                </c:pt>
                <c:pt idx="2">
                  <c:v>5.2800228617230411</c:v>
                </c:pt>
                <c:pt idx="3">
                  <c:v>6.749752027465604</c:v>
                </c:pt>
              </c:numCache>
            </c:numRef>
          </c:val>
          <c:extLst>
            <c:ext xmlns:c16="http://schemas.microsoft.com/office/drawing/2014/chart" uri="{C3380CC4-5D6E-409C-BE32-E72D297353CC}">
              <c16:uniqueId val="{00000001-03F6-4776-B6E5-15D28B1FB642}"/>
            </c:ext>
          </c:extLst>
        </c:ser>
        <c:dLbls>
          <c:showLegendKey val="0"/>
          <c:showVal val="0"/>
          <c:showCatName val="0"/>
          <c:showSerName val="0"/>
          <c:showPercent val="0"/>
          <c:showBubbleSize val="0"/>
        </c:dLbls>
        <c:gapWidth val="20"/>
        <c:overlap val="-5"/>
        <c:axId val="221373184"/>
        <c:axId val="221366128"/>
      </c:barChart>
      <c:catAx>
        <c:axId val="221373184"/>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221366128"/>
        <c:crosses val="autoZero"/>
        <c:auto val="1"/>
        <c:lblAlgn val="ctr"/>
        <c:lblOffset val="100"/>
        <c:noMultiLvlLbl val="0"/>
      </c:catAx>
      <c:valAx>
        <c:axId val="221366128"/>
        <c:scaling>
          <c:orientation val="minMax"/>
          <c:max val="8"/>
          <c:min val="0"/>
        </c:scaling>
        <c:delete val="1"/>
        <c:axPos val="l"/>
        <c:numFmt formatCode="0.0" sourceLinked="1"/>
        <c:majorTickMark val="out"/>
        <c:minorTickMark val="none"/>
        <c:tickLblPos val="nextTo"/>
        <c:crossAx val="221373184"/>
        <c:crosses val="autoZero"/>
        <c:crossBetween val="between"/>
        <c:majorUnit val="5"/>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9525" cap="flat" cmpd="sng" algn="ctr">
      <a:noFill/>
      <a:round/>
    </a:ln>
    <a:effectLst/>
  </c:spPr>
  <c:txPr>
    <a:bodyPr/>
    <a:lstStyle/>
    <a:p>
      <a:pPr>
        <a:defRPr sz="1400" b="1">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'[INSUMOS BOLETIN ENTI 2022.xlsx]G02'!$O$3</c:f>
              <c:strCache>
                <c:ptCount val="1"/>
                <c:pt idx="0">
                  <c:v>2022</c:v>
                </c:pt>
              </c:strCache>
            </c:strRef>
          </c:tx>
          <c:spPr>
            <a:solidFill>
              <a:srgbClr val="66A8B3"/>
            </a:solidFill>
            <a:ln>
              <a:solidFill>
                <a:srgbClr val="66A8B3"/>
              </a:solidFill>
            </a:ln>
            <a:effectLst/>
          </c:spPr>
          <c:invertIfNegative val="0"/>
          <c:dPt>
            <c:idx val="16"/>
            <c:invertIfNegative val="0"/>
            <c:bubble3D val="0"/>
            <c:spPr>
              <a:solidFill>
                <a:srgbClr val="006E80"/>
              </a:solidFill>
              <a:ln>
                <a:solidFill>
                  <a:srgbClr val="66A8B3"/>
                </a:solidFill>
              </a:ln>
              <a:effectLst/>
            </c:spPr>
            <c:extLst>
              <c:ext xmlns:c16="http://schemas.microsoft.com/office/drawing/2014/chart" uri="{C3380CC4-5D6E-409C-BE32-E72D297353CC}">
                <c16:uniqueId val="{00000001-BC89-4E87-8723-33DDD1140961}"/>
              </c:ext>
            </c:extLst>
          </c:dPt>
          <c:dLbls>
            <c:dLbl>
              <c:idx val="16"/>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extLst>
                <c:ext xmlns:c16="http://schemas.microsoft.com/office/drawing/2014/chart" uri="{C3380CC4-5D6E-409C-BE32-E72D297353CC}">
                  <c16:uniqueId val="{00000001-BC89-4E87-8723-33DDD114096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'[INSUMOS BOLETIN ENTI 2022.xlsx]G02'!$Q$4:$Q$36</c:f>
                <c:numCache>
                  <c:formatCode>General</c:formatCode>
                  <c:ptCount val="33"/>
                  <c:pt idx="0">
                    <c:v>0.23490370322692833</c:v>
                  </c:pt>
                  <c:pt idx="1">
                    <c:v>1.096061981546284</c:v>
                  </c:pt>
                  <c:pt idx="2">
                    <c:v>0.8418191243051325</c:v>
                  </c:pt>
                  <c:pt idx="3">
                    <c:v>2.5066639851440824</c:v>
                  </c:pt>
                  <c:pt idx="4">
                    <c:v>0.71599212676657764</c:v>
                  </c:pt>
                  <c:pt idx="5">
                    <c:v>0.49039532376119022</c:v>
                  </c:pt>
                  <c:pt idx="6">
                    <c:v>1.5063652695022371</c:v>
                  </c:pt>
                  <c:pt idx="7">
                    <c:v>1.070322011986649</c:v>
                  </c:pt>
                  <c:pt idx="8">
                    <c:v>1.093940358089907</c:v>
                  </c:pt>
                  <c:pt idx="9">
                    <c:v>0.6569097687000014</c:v>
                  </c:pt>
                  <c:pt idx="10">
                    <c:v>0.83862144699912378</c:v>
                  </c:pt>
                  <c:pt idx="11">
                    <c:v>1.3029583734458141</c:v>
                  </c:pt>
                  <c:pt idx="12">
                    <c:v>1.0432525508642154</c:v>
                  </c:pt>
                  <c:pt idx="13">
                    <c:v>0.84554691343018185</c:v>
                  </c:pt>
                  <c:pt idx="14">
                    <c:v>0.85092256622789542</c:v>
                  </c:pt>
                  <c:pt idx="15">
                    <c:v>1.3129635602356142</c:v>
                  </c:pt>
                  <c:pt idx="16">
                    <c:v>0.84574613540813992</c:v>
                  </c:pt>
                  <c:pt idx="17">
                    <c:v>1.228644239974086</c:v>
                  </c:pt>
                  <c:pt idx="18">
                    <c:v>0.80648848382525529</c:v>
                  </c:pt>
                  <c:pt idx="19">
                    <c:v>0.89224427391488348</c:v>
                  </c:pt>
                  <c:pt idx="20">
                    <c:v>0.82640291561252965</c:v>
                  </c:pt>
                  <c:pt idx="21">
                    <c:v>0.499520607820509</c:v>
                  </c:pt>
                  <c:pt idx="22">
                    <c:v>0.71126481854272638</c:v>
                  </c:pt>
                  <c:pt idx="23">
                    <c:v>0.86447499185180909</c:v>
                  </c:pt>
                  <c:pt idx="24">
                    <c:v>0.81660521022514221</c:v>
                  </c:pt>
                  <c:pt idx="25">
                    <c:v>1.0333218748450448</c:v>
                  </c:pt>
                  <c:pt idx="26">
                    <c:v>0.94569041227750539</c:v>
                  </c:pt>
                  <c:pt idx="27">
                    <c:v>0.94144248331401936</c:v>
                  </c:pt>
                  <c:pt idx="28">
                    <c:v>0.89843847659907849</c:v>
                  </c:pt>
                  <c:pt idx="29">
                    <c:v>1.1996453705790708</c:v>
                  </c:pt>
                  <c:pt idx="30">
                    <c:v>0.87550330646773933</c:v>
                  </c:pt>
                  <c:pt idx="31">
                    <c:v>0.92126914664611981</c:v>
                  </c:pt>
                  <c:pt idx="32">
                    <c:v>0.92390817074207465</c:v>
                  </c:pt>
                </c:numCache>
              </c:numRef>
            </c:plus>
            <c:minus>
              <c:numLit>
                <c:formatCode>General</c:formatCode>
                <c:ptCount val="1"/>
                <c:pt idx="0">
                  <c:v>1</c:v>
                </c:pt>
              </c:numLit>
            </c:minus>
            <c:spPr>
              <a:noFill/>
              <a:ln w="22225" cap="flat" cmpd="sng" algn="ctr">
                <a:solidFill>
                  <a:srgbClr val="006E80"/>
                </a:solidFill>
                <a:round/>
              </a:ln>
              <a:effectLst/>
            </c:spPr>
          </c:errBars>
          <c:cat>
            <c:strRef>
              <c:f>'[INSUMOS BOLETIN ENTI 2022.xlsx]G02'!$N$4:$N$36</c:f>
              <c:strCache>
                <c:ptCount val="33"/>
                <c:pt idx="0">
                  <c:v>Ciudad de México</c:v>
                </c:pt>
                <c:pt idx="1">
                  <c:v>Coahuila de Zaragoza</c:v>
                </c:pt>
                <c:pt idx="2">
                  <c:v>Baja California</c:v>
                </c:pt>
                <c:pt idx="3">
                  <c:v>Quintana Roo</c:v>
                </c:pt>
                <c:pt idx="4">
                  <c:v>Querétaro</c:v>
                </c:pt>
                <c:pt idx="5">
                  <c:v>Nuevo León</c:v>
                </c:pt>
                <c:pt idx="6">
                  <c:v>Tamaulipas</c:v>
                </c:pt>
                <c:pt idx="7">
                  <c:v>Sinaloa</c:v>
                </c:pt>
                <c:pt idx="8">
                  <c:v>México</c:v>
                </c:pt>
                <c:pt idx="9">
                  <c:v>Tlaxcala</c:v>
                </c:pt>
                <c:pt idx="10">
                  <c:v>Chihuahua</c:v>
                </c:pt>
                <c:pt idx="11">
                  <c:v>Morelos</c:v>
                </c:pt>
                <c:pt idx="12">
                  <c:v>Sonora</c:v>
                </c:pt>
                <c:pt idx="13">
                  <c:v>Aguascalientes</c:v>
                </c:pt>
                <c:pt idx="14">
                  <c:v>Campeche</c:v>
                </c:pt>
                <c:pt idx="15">
                  <c:v>Baja California Sur</c:v>
                </c:pt>
                <c:pt idx="16">
                  <c:v>Nacional</c:v>
                </c:pt>
                <c:pt idx="17">
                  <c:v>Durango</c:v>
                </c:pt>
                <c:pt idx="18">
                  <c:v>San Luis Potosí</c:v>
                </c:pt>
                <c:pt idx="19">
                  <c:v>Yucatán</c:v>
                </c:pt>
                <c:pt idx="20">
                  <c:v>Tabasco</c:v>
                </c:pt>
                <c:pt idx="21">
                  <c:v>Jalisco</c:v>
                </c:pt>
                <c:pt idx="22">
                  <c:v>Hidalgo</c:v>
                </c:pt>
                <c:pt idx="23">
                  <c:v>Guanajuato</c:v>
                </c:pt>
                <c:pt idx="24">
                  <c:v>Veracruz de Ignacio de la Llave</c:v>
                </c:pt>
                <c:pt idx="25">
                  <c:v>Zacatecas</c:v>
                </c:pt>
                <c:pt idx="26">
                  <c:v>Colima</c:v>
                </c:pt>
                <c:pt idx="27">
                  <c:v>Puebla</c:v>
                </c:pt>
                <c:pt idx="28">
                  <c:v>Michoacán de Ocampo</c:v>
                </c:pt>
                <c:pt idx="29">
                  <c:v>Oaxaca</c:v>
                </c:pt>
                <c:pt idx="30">
                  <c:v>Nayarit</c:v>
                </c:pt>
                <c:pt idx="31">
                  <c:v>Chiapas</c:v>
                </c:pt>
                <c:pt idx="32">
                  <c:v>Guerrero</c:v>
                </c:pt>
              </c:strCache>
            </c:strRef>
          </c:cat>
          <c:val>
            <c:numRef>
              <c:f>'[INSUMOS BOLETIN ENTI 2022.xlsx]G02'!$O$4:$O$36</c:f>
              <c:numCache>
                <c:formatCode>0.0</c:formatCode>
                <c:ptCount val="33"/>
                <c:pt idx="0">
                  <c:v>3.9579480087133558</c:v>
                </c:pt>
                <c:pt idx="1">
                  <c:v>6.413895280684236</c:v>
                </c:pt>
                <c:pt idx="2">
                  <c:v>6.4632136072323529</c:v>
                </c:pt>
                <c:pt idx="3">
                  <c:v>6.9455339997401113</c:v>
                </c:pt>
                <c:pt idx="4">
                  <c:v>7.0990409376314458</c:v>
                </c:pt>
                <c:pt idx="5">
                  <c:v>8.6665509804407641</c:v>
                </c:pt>
                <c:pt idx="6">
                  <c:v>8.7366760659147271</c:v>
                </c:pt>
                <c:pt idx="7">
                  <c:v>8.8051206253747143</c:v>
                </c:pt>
                <c:pt idx="8">
                  <c:v>8.8494811608678763</c:v>
                </c:pt>
                <c:pt idx="9">
                  <c:v>9.9885164957340464</c:v>
                </c:pt>
                <c:pt idx="10">
                  <c:v>10.095413676442909</c:v>
                </c:pt>
                <c:pt idx="11">
                  <c:v>10.413530903170773</c:v>
                </c:pt>
                <c:pt idx="12">
                  <c:v>10.635806213328689</c:v>
                </c:pt>
                <c:pt idx="13">
                  <c:v>11.642199901664677</c:v>
                </c:pt>
                <c:pt idx="14">
                  <c:v>12.620072713356295</c:v>
                </c:pt>
                <c:pt idx="15">
                  <c:v>13.038411030860145</c:v>
                </c:pt>
                <c:pt idx="16">
                  <c:v>13.134166242307465</c:v>
                </c:pt>
                <c:pt idx="17">
                  <c:v>13.148266598439298</c:v>
                </c:pt>
                <c:pt idx="18">
                  <c:v>14.35643251076594</c:v>
                </c:pt>
                <c:pt idx="19">
                  <c:v>15.04708640917899</c:v>
                </c:pt>
                <c:pt idx="20">
                  <c:v>15.131059110857228</c:v>
                </c:pt>
                <c:pt idx="21">
                  <c:v>15.386564662058651</c:v>
                </c:pt>
                <c:pt idx="22">
                  <c:v>15.454658493394829</c:v>
                </c:pt>
                <c:pt idx="23">
                  <c:v>15.884327591015413</c:v>
                </c:pt>
                <c:pt idx="24">
                  <c:v>16.29418416169543</c:v>
                </c:pt>
                <c:pt idx="25">
                  <c:v>16.679538995658401</c:v>
                </c:pt>
                <c:pt idx="26">
                  <c:v>17.019312148957454</c:v>
                </c:pt>
                <c:pt idx="27">
                  <c:v>17.92536350310111</c:v>
                </c:pt>
                <c:pt idx="28">
                  <c:v>17.992564239245308</c:v>
                </c:pt>
                <c:pt idx="29">
                  <c:v>18.528495539423407</c:v>
                </c:pt>
                <c:pt idx="30">
                  <c:v>19.077183526810394</c:v>
                </c:pt>
                <c:pt idx="31">
                  <c:v>20.800983154442914</c:v>
                </c:pt>
                <c:pt idx="32">
                  <c:v>24.4801693130742</c:v>
                </c:pt>
              </c:numCache>
            </c:numRef>
          </c:val>
          <c:extLst>
            <c:ext xmlns:c16="http://schemas.microsoft.com/office/drawing/2014/chart" uri="{C3380CC4-5D6E-409C-BE32-E72D297353CC}">
              <c16:uniqueId val="{00000002-BC89-4E87-8723-33DDD1140961}"/>
            </c:ext>
          </c:extLst>
        </c:ser>
        <c:ser>
          <c:idx val="1"/>
          <c:order val="1"/>
          <c:tx>
            <c:strRef>
              <c:f>'[INSUMOS BOLETIN ENTI 2022.xlsx]G02'!$P$3</c:f>
              <c:strCache>
                <c:ptCount val="1"/>
                <c:pt idx="0">
                  <c:v>2019</c:v>
                </c:pt>
              </c:strCache>
            </c:strRef>
          </c:tx>
          <c:spPr>
            <a:solidFill>
              <a:srgbClr val="99C5CC"/>
            </a:solidFill>
            <a:ln>
              <a:solidFill>
                <a:srgbClr val="99C5CC"/>
              </a:solidFill>
            </a:ln>
            <a:effectLst/>
          </c:spPr>
          <c:invertIfNegative val="0"/>
          <c:dPt>
            <c:idx val="16"/>
            <c:invertIfNegative val="0"/>
            <c:bubble3D val="0"/>
            <c:spPr>
              <a:solidFill>
                <a:srgbClr val="006E80"/>
              </a:solidFill>
              <a:ln>
                <a:solidFill>
                  <a:srgbClr val="338B99"/>
                </a:solidFill>
              </a:ln>
              <a:effectLst/>
            </c:spPr>
            <c:extLst>
              <c:ext xmlns:c16="http://schemas.microsoft.com/office/drawing/2014/chart" uri="{C3380CC4-5D6E-409C-BE32-E72D297353CC}">
                <c16:uniqueId val="{00000004-BC89-4E87-8723-33DDD1140961}"/>
              </c:ext>
            </c:extLst>
          </c:dPt>
          <c:dLbls>
            <c:dLbl>
              <c:idx val="16"/>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extLst>
                <c:ext xmlns:c16="http://schemas.microsoft.com/office/drawing/2014/chart" uri="{C3380CC4-5D6E-409C-BE32-E72D297353CC}">
                  <c16:uniqueId val="{00000004-BC89-4E87-8723-33DDD114096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'[INSUMOS BOLETIN ENTI 2022.xlsx]G02'!$R$4:$R$36</c:f>
                <c:numCache>
                  <c:formatCode>General</c:formatCode>
                  <c:ptCount val="33"/>
                  <c:pt idx="0">
                    <c:v>0.25370394999999979</c:v>
                  </c:pt>
                  <c:pt idx="1">
                    <c:v>0.71679910500000021</c:v>
                  </c:pt>
                  <c:pt idx="2">
                    <c:v>0.79770938999999985</c:v>
                  </c:pt>
                  <c:pt idx="3">
                    <c:v>1.02025503</c:v>
                  </c:pt>
                  <c:pt idx="4">
                    <c:v>1.6249749850000006</c:v>
                  </c:pt>
                  <c:pt idx="5">
                    <c:v>0.78689559499999984</c:v>
                  </c:pt>
                  <c:pt idx="6">
                    <c:v>1.4268485349999995</c:v>
                  </c:pt>
                  <c:pt idx="7">
                    <c:v>1.20389838</c:v>
                  </c:pt>
                  <c:pt idx="8">
                    <c:v>0.9410773600000002</c:v>
                  </c:pt>
                  <c:pt idx="9">
                    <c:v>1.1158967200000001</c:v>
                  </c:pt>
                  <c:pt idx="10">
                    <c:v>1.192869285</c:v>
                  </c:pt>
                  <c:pt idx="11">
                    <c:v>1.2029533199999998</c:v>
                  </c:pt>
                  <c:pt idx="12">
                    <c:v>1.9632508050000013</c:v>
                  </c:pt>
                  <c:pt idx="13">
                    <c:v>1.6110594650000003</c:v>
                  </c:pt>
                  <c:pt idx="14">
                    <c:v>1.0092196049999997</c:v>
                  </c:pt>
                  <c:pt idx="15">
                    <c:v>0.76855706500000043</c:v>
                  </c:pt>
                  <c:pt idx="16">
                    <c:v>1.6379947249999995</c:v>
                  </c:pt>
                  <c:pt idx="17">
                    <c:v>0.97490412999999965</c:v>
                  </c:pt>
                  <c:pt idx="18">
                    <c:v>1.244616745000001</c:v>
                  </c:pt>
                  <c:pt idx="19">
                    <c:v>0.65603223499999985</c:v>
                  </c:pt>
                  <c:pt idx="20">
                    <c:v>1.6477592200000002</c:v>
                  </c:pt>
                  <c:pt idx="21">
                    <c:v>1.8014764449999996</c:v>
                  </c:pt>
                  <c:pt idx="22">
                    <c:v>0.72040301500000004</c:v>
                  </c:pt>
                  <c:pt idx="23">
                    <c:v>1.1815710150000001</c:v>
                  </c:pt>
                  <c:pt idx="24">
                    <c:v>1.0781056799999997</c:v>
                  </c:pt>
                  <c:pt idx="25">
                    <c:v>1.2779797950000003</c:v>
                  </c:pt>
                  <c:pt idx="26">
                    <c:v>0.97494606999999966</c:v>
                  </c:pt>
                  <c:pt idx="27">
                    <c:v>0.92408580499999982</c:v>
                  </c:pt>
                  <c:pt idx="28">
                    <c:v>0.98154502999999993</c:v>
                  </c:pt>
                  <c:pt idx="29">
                    <c:v>0.90031749000000039</c:v>
                  </c:pt>
                  <c:pt idx="30">
                    <c:v>1.00023259</c:v>
                  </c:pt>
                  <c:pt idx="31">
                    <c:v>1.1056258350000001</c:v>
                  </c:pt>
                  <c:pt idx="32">
                    <c:v>1.5192821750000007</c:v>
                  </c:pt>
                </c:numCache>
              </c:numRef>
            </c:plus>
            <c:minus>
              <c:numLit>
                <c:formatCode>General</c:formatCode>
                <c:ptCount val="1"/>
                <c:pt idx="0">
                  <c:v>1</c:v>
                </c:pt>
              </c:numLit>
            </c:minus>
            <c:spPr>
              <a:noFill/>
              <a:ln w="22225" cap="flat" cmpd="sng" algn="ctr">
                <a:solidFill>
                  <a:srgbClr val="006E80"/>
                </a:solidFill>
                <a:round/>
              </a:ln>
              <a:effectLst/>
            </c:spPr>
          </c:errBars>
          <c:cat>
            <c:strRef>
              <c:f>'[INSUMOS BOLETIN ENTI 2022.xlsx]G02'!$N$4:$N$36</c:f>
              <c:strCache>
                <c:ptCount val="33"/>
                <c:pt idx="0">
                  <c:v>Ciudad de México</c:v>
                </c:pt>
                <c:pt idx="1">
                  <c:v>Coahuila de Zaragoza</c:v>
                </c:pt>
                <c:pt idx="2">
                  <c:v>Baja California</c:v>
                </c:pt>
                <c:pt idx="3">
                  <c:v>Quintana Roo</c:v>
                </c:pt>
                <c:pt idx="4">
                  <c:v>Querétaro</c:v>
                </c:pt>
                <c:pt idx="5">
                  <c:v>Nuevo León</c:v>
                </c:pt>
                <c:pt idx="6">
                  <c:v>Tamaulipas</c:v>
                </c:pt>
                <c:pt idx="7">
                  <c:v>Sinaloa</c:v>
                </c:pt>
                <c:pt idx="8">
                  <c:v>México</c:v>
                </c:pt>
                <c:pt idx="9">
                  <c:v>Tlaxcala</c:v>
                </c:pt>
                <c:pt idx="10">
                  <c:v>Chihuahua</c:v>
                </c:pt>
                <c:pt idx="11">
                  <c:v>Morelos</c:v>
                </c:pt>
                <c:pt idx="12">
                  <c:v>Sonora</c:v>
                </c:pt>
                <c:pt idx="13">
                  <c:v>Aguascalientes</c:v>
                </c:pt>
                <c:pt idx="14">
                  <c:v>Campeche</c:v>
                </c:pt>
                <c:pt idx="15">
                  <c:v>Baja California Sur</c:v>
                </c:pt>
                <c:pt idx="16">
                  <c:v>Nacional</c:v>
                </c:pt>
                <c:pt idx="17">
                  <c:v>Durango</c:v>
                </c:pt>
                <c:pt idx="18">
                  <c:v>San Luis Potosí</c:v>
                </c:pt>
                <c:pt idx="19">
                  <c:v>Yucatán</c:v>
                </c:pt>
                <c:pt idx="20">
                  <c:v>Tabasco</c:v>
                </c:pt>
                <c:pt idx="21">
                  <c:v>Jalisco</c:v>
                </c:pt>
                <c:pt idx="22">
                  <c:v>Hidalgo</c:v>
                </c:pt>
                <c:pt idx="23">
                  <c:v>Guanajuato</c:v>
                </c:pt>
                <c:pt idx="24">
                  <c:v>Veracruz de Ignacio de la Llave</c:v>
                </c:pt>
                <c:pt idx="25">
                  <c:v>Zacatecas</c:v>
                </c:pt>
                <c:pt idx="26">
                  <c:v>Colima</c:v>
                </c:pt>
                <c:pt idx="27">
                  <c:v>Puebla</c:v>
                </c:pt>
                <c:pt idx="28">
                  <c:v>Michoacán de Ocampo</c:v>
                </c:pt>
                <c:pt idx="29">
                  <c:v>Oaxaca</c:v>
                </c:pt>
                <c:pt idx="30">
                  <c:v>Nayarit</c:v>
                </c:pt>
                <c:pt idx="31">
                  <c:v>Chiapas</c:v>
                </c:pt>
                <c:pt idx="32">
                  <c:v>Guerrero</c:v>
                </c:pt>
              </c:strCache>
            </c:strRef>
          </c:cat>
          <c:val>
            <c:numRef>
              <c:f>'[INSUMOS BOLETIN ENTI 2022.xlsx]G02'!$P$4:$P$36</c:f>
              <c:numCache>
                <c:formatCode>0.0</c:formatCode>
                <c:ptCount val="33"/>
                <c:pt idx="0">
                  <c:v>5.4101556359063041</c:v>
                </c:pt>
                <c:pt idx="1">
                  <c:v>6.9552301844291149</c:v>
                </c:pt>
                <c:pt idx="2">
                  <c:v>5.3068905052976136</c:v>
                </c:pt>
                <c:pt idx="3">
                  <c:v>10.19221904231412</c:v>
                </c:pt>
                <c:pt idx="4">
                  <c:v>7.7543378861597985</c:v>
                </c:pt>
                <c:pt idx="5">
                  <c:v>6.2887507329792509</c:v>
                </c:pt>
                <c:pt idx="6">
                  <c:v>6.8755920042010823</c:v>
                </c:pt>
                <c:pt idx="7">
                  <c:v>9.6541695548657369</c:v>
                </c:pt>
                <c:pt idx="8">
                  <c:v>9.7837213999555743</c:v>
                </c:pt>
                <c:pt idx="9">
                  <c:v>13.932713553701767</c:v>
                </c:pt>
                <c:pt idx="10">
                  <c:v>9.4906494326732549</c:v>
                </c:pt>
                <c:pt idx="11">
                  <c:v>10.859579024024422</c:v>
                </c:pt>
                <c:pt idx="12">
                  <c:v>9.9132950620257372</c:v>
                </c:pt>
                <c:pt idx="13">
                  <c:v>12.43028140827956</c:v>
                </c:pt>
                <c:pt idx="14">
                  <c:v>11.057160533173356</c:v>
                </c:pt>
                <c:pt idx="15">
                  <c:v>8.0574491572682074</c:v>
                </c:pt>
                <c:pt idx="16">
                  <c:v>11.429003270449831</c:v>
                </c:pt>
                <c:pt idx="17">
                  <c:v>10.971820131576866</c:v>
                </c:pt>
                <c:pt idx="18">
                  <c:v>14.280114514237255</c:v>
                </c:pt>
                <c:pt idx="19">
                  <c:v>11.8982685613845</c:v>
                </c:pt>
                <c:pt idx="20">
                  <c:v>12.376036004763517</c:v>
                </c:pt>
                <c:pt idx="21">
                  <c:v>9.9205572095955503</c:v>
                </c:pt>
                <c:pt idx="22">
                  <c:v>8.429934876457013</c:v>
                </c:pt>
                <c:pt idx="23">
                  <c:v>13.006883745762678</c:v>
                </c:pt>
                <c:pt idx="24">
                  <c:v>13.090914464538027</c:v>
                </c:pt>
                <c:pt idx="25">
                  <c:v>12.420526961236082</c:v>
                </c:pt>
                <c:pt idx="26">
                  <c:v>13.888924641225303</c:v>
                </c:pt>
                <c:pt idx="27">
                  <c:v>18.332347309427025</c:v>
                </c:pt>
                <c:pt idx="28">
                  <c:v>17.561807253863325</c:v>
                </c:pt>
                <c:pt idx="29">
                  <c:v>21.51297310624556</c:v>
                </c:pt>
                <c:pt idx="30">
                  <c:v>13.730181862549056</c:v>
                </c:pt>
                <c:pt idx="31">
                  <c:v>18.264699132726435</c:v>
                </c:pt>
                <c:pt idx="32">
                  <c:v>9.0061643672598315</c:v>
                </c:pt>
              </c:numCache>
            </c:numRef>
          </c:val>
          <c:extLst>
            <c:ext xmlns:c16="http://schemas.microsoft.com/office/drawing/2014/chart" uri="{C3380CC4-5D6E-409C-BE32-E72D297353CC}">
              <c16:uniqueId val="{00000005-BC89-4E87-8723-33DDD1140961}"/>
            </c:ext>
          </c:extLst>
        </c:ser>
        <c:dLbls>
          <c:showLegendKey val="0"/>
          <c:showVal val="1"/>
          <c:showCatName val="0"/>
          <c:showSerName val="0"/>
          <c:showPercent val="0"/>
          <c:showBubbleSize val="0"/>
        </c:dLbls>
        <c:gapWidth val="20"/>
        <c:overlap val="-25"/>
        <c:axId val="983552720"/>
        <c:axId val="2079282288"/>
      </c:barChart>
      <c:catAx>
        <c:axId val="9835527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079282288"/>
        <c:crosses val="autoZero"/>
        <c:auto val="1"/>
        <c:lblAlgn val="ctr"/>
        <c:lblOffset val="100"/>
        <c:noMultiLvlLbl val="0"/>
      </c:catAx>
      <c:valAx>
        <c:axId val="2079282288"/>
        <c:scaling>
          <c:orientation val="minMax"/>
        </c:scaling>
        <c:delete val="1"/>
        <c:axPos val="b"/>
        <c:numFmt formatCode="0.0" sourceLinked="1"/>
        <c:majorTickMark val="none"/>
        <c:minorTickMark val="none"/>
        <c:tickLblPos val="nextTo"/>
        <c:crossAx val="9835527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0684968395101903E-3"/>
          <c:y val="1.90171542085271E-2"/>
          <c:w val="0.99755597291070452"/>
          <c:h val="0.84780231841575704"/>
        </c:manualLayout>
      </c:layout>
      <c:barChart>
        <c:barDir val="col"/>
        <c:grouping val="clustered"/>
        <c:varyColors val="0"/>
        <c:ser>
          <c:idx val="0"/>
          <c:order val="0"/>
          <c:tx>
            <c:strRef>
              <c:f>'[INSUMOS BOLETIN ENTI 2022.xlsx]G08'!$B$29</c:f>
              <c:strCache>
                <c:ptCount val="1"/>
                <c:pt idx="0">
                  <c:v>Total</c:v>
                </c:pt>
              </c:strCache>
            </c:strRef>
          </c:tx>
          <c:spPr>
            <a:solidFill>
              <a:srgbClr val="338B99"/>
            </a:solidFill>
            <a:ln>
              <a:solidFill>
                <a:srgbClr val="338B99"/>
              </a:solid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'[INSUMOS BOLETIN ENTI 2022.xlsx]G08'!$C$45:$J$45</c:f>
                <c:numCache>
                  <c:formatCode>General</c:formatCode>
                  <c:ptCount val="8"/>
                  <c:pt idx="0">
                    <c:v>7.9434960228600193E-2</c:v>
                  </c:pt>
                  <c:pt idx="1">
                    <c:v>7.9434960228599971E-2</c:v>
                  </c:pt>
                  <c:pt idx="2">
                    <c:v>7.9434960228600193E-2</c:v>
                  </c:pt>
                  <c:pt idx="3">
                    <c:v>7.9434960228600193E-2</c:v>
                  </c:pt>
                  <c:pt idx="4">
                    <c:v>7.9434960228600193E-2</c:v>
                  </c:pt>
                  <c:pt idx="5">
                    <c:v>7.9434960228600193E-2</c:v>
                  </c:pt>
                  <c:pt idx="6">
                    <c:v>0.13372529871429994</c:v>
                  </c:pt>
                  <c:pt idx="7">
                    <c:v>8.2205051860746448E-2</c:v>
                  </c:pt>
                </c:numCache>
              </c:numRef>
            </c:plus>
            <c:minus>
              <c:numRef>
                <c:f>'[INSUMOS BOLETIN ENTI 2022.xlsx]G08'!$C$45:$J$45</c:f>
                <c:numCache>
                  <c:formatCode>General</c:formatCode>
                  <c:ptCount val="8"/>
                  <c:pt idx="0">
                    <c:v>7.9434960228600193E-2</c:v>
                  </c:pt>
                  <c:pt idx="1">
                    <c:v>7.9434960228599971E-2</c:v>
                  </c:pt>
                  <c:pt idx="2">
                    <c:v>7.9434960228600193E-2</c:v>
                  </c:pt>
                  <c:pt idx="3">
                    <c:v>7.9434960228600193E-2</c:v>
                  </c:pt>
                  <c:pt idx="4">
                    <c:v>7.9434960228600193E-2</c:v>
                  </c:pt>
                  <c:pt idx="5">
                    <c:v>7.9434960228600193E-2</c:v>
                  </c:pt>
                  <c:pt idx="6">
                    <c:v>0.13372529871429994</c:v>
                  </c:pt>
                  <c:pt idx="7">
                    <c:v>8.2205051860746448E-2</c:v>
                  </c:pt>
                </c:numCache>
              </c:numRef>
            </c:minus>
            <c:spPr>
              <a:noFill/>
              <a:ln w="25400" cap="flat" cmpd="sng" algn="ctr">
                <a:solidFill>
                  <a:srgbClr val="006E80"/>
                </a:solidFill>
                <a:round/>
              </a:ln>
              <a:effectLst/>
            </c:spPr>
          </c:errBars>
          <c:cat>
            <c:numRef>
              <c:f>'[INSUMOS BOLETIN ENTI 2022.xlsx]G08'!$C$28:$J$28</c:f>
              <c:numCache>
                <c:formatCode>General</c:formatCode>
                <c:ptCount val="8"/>
                <c:pt idx="0">
                  <c:v>2007</c:v>
                </c:pt>
                <c:pt idx="1">
                  <c:v>2009</c:v>
                </c:pt>
                <c:pt idx="2">
                  <c:v>2011</c:v>
                </c:pt>
                <c:pt idx="3">
                  <c:v>2013</c:v>
                </c:pt>
                <c:pt idx="4">
                  <c:v>2015</c:v>
                </c:pt>
                <c:pt idx="5">
                  <c:v>2017</c:v>
                </c:pt>
                <c:pt idx="6">
                  <c:v>2019</c:v>
                </c:pt>
                <c:pt idx="7">
                  <c:v>2022</c:v>
                </c:pt>
              </c:numCache>
            </c:numRef>
          </c:cat>
          <c:val>
            <c:numRef>
              <c:f>'[INSUMOS BOLETIN ENTI 2022.xlsx]G08'!$C$29:$J$29</c:f>
              <c:numCache>
                <c:formatCode>0.0</c:formatCode>
                <c:ptCount val="8"/>
                <c:pt idx="0">
                  <c:v>3.5101800000000001</c:v>
                </c:pt>
                <c:pt idx="1">
                  <c:v>2.9267280000000002</c:v>
                </c:pt>
                <c:pt idx="2">
                  <c:v>2.795118</c:v>
                </c:pt>
                <c:pt idx="3">
                  <c:v>2.2829090000000001</c:v>
                </c:pt>
                <c:pt idx="4">
                  <c:v>2.180917</c:v>
                </c:pt>
                <c:pt idx="5">
                  <c:v>2.0400130000000001</c:v>
                </c:pt>
                <c:pt idx="6">
                  <c:v>2.018643</c:v>
                </c:pt>
                <c:pt idx="7">
                  <c:v>2.1319710000000001</c:v>
                </c:pt>
              </c:numCache>
            </c:numRef>
          </c:val>
          <c:extLst>
            <c:ext xmlns:c16="http://schemas.microsoft.com/office/drawing/2014/chart" uri="{C3380CC4-5D6E-409C-BE32-E72D297353CC}">
              <c16:uniqueId val="{00000000-3A84-4521-8616-903F0BD86CA1}"/>
            </c:ext>
          </c:extLst>
        </c:ser>
        <c:ser>
          <c:idx val="1"/>
          <c:order val="1"/>
          <c:tx>
            <c:strRef>
              <c:f>'[INSUMOS BOLETIN ENTI 2022.xlsx]G08'!$B$30</c:f>
              <c:strCache>
                <c:ptCount val="1"/>
                <c:pt idx="0">
                  <c:v>Niños</c:v>
                </c:pt>
              </c:strCache>
            </c:strRef>
          </c:tx>
          <c:spPr>
            <a:solidFill>
              <a:srgbClr val="66A8B3"/>
            </a:solidFill>
            <a:ln>
              <a:solidFill>
                <a:srgbClr val="66A8B3"/>
              </a:solid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'[INSUMOS BOLETIN ENTI 2022.xlsx]G08'!$C$46:$J$46</c:f>
                <c:numCache>
                  <c:formatCode>General</c:formatCode>
                  <c:ptCount val="8"/>
                  <c:pt idx="0">
                    <c:v>6.2499337066479921E-2</c:v>
                  </c:pt>
                  <c:pt idx="1">
                    <c:v>6.2499337066480032E-2</c:v>
                  </c:pt>
                  <c:pt idx="2">
                    <c:v>6.2499337066480032E-2</c:v>
                  </c:pt>
                  <c:pt idx="3">
                    <c:v>6.2499337066479921E-2</c:v>
                  </c:pt>
                  <c:pt idx="4">
                    <c:v>6.2499337066479921E-2</c:v>
                  </c:pt>
                  <c:pt idx="5">
                    <c:v>6.2499337066479921E-2</c:v>
                  </c:pt>
                  <c:pt idx="6">
                    <c:v>0.10807247981429013</c:v>
                  </c:pt>
                  <c:pt idx="7">
                    <c:v>6.6885455113497194E-2</c:v>
                  </c:pt>
                </c:numCache>
              </c:numRef>
            </c:plus>
            <c:minus>
              <c:numRef>
                <c:f>'[INSUMOS BOLETIN ENTI 2022.xlsx]G08'!$C$46:$J$46</c:f>
                <c:numCache>
                  <c:formatCode>General</c:formatCode>
                  <c:ptCount val="8"/>
                  <c:pt idx="0">
                    <c:v>6.2499337066479921E-2</c:v>
                  </c:pt>
                  <c:pt idx="1">
                    <c:v>6.2499337066480032E-2</c:v>
                  </c:pt>
                  <c:pt idx="2">
                    <c:v>6.2499337066480032E-2</c:v>
                  </c:pt>
                  <c:pt idx="3">
                    <c:v>6.2499337066479921E-2</c:v>
                  </c:pt>
                  <c:pt idx="4">
                    <c:v>6.2499337066479921E-2</c:v>
                  </c:pt>
                  <c:pt idx="5">
                    <c:v>6.2499337066479921E-2</c:v>
                  </c:pt>
                  <c:pt idx="6">
                    <c:v>0.10807247981429013</c:v>
                  </c:pt>
                  <c:pt idx="7">
                    <c:v>6.6885455113497194E-2</c:v>
                  </c:pt>
                </c:numCache>
              </c:numRef>
            </c:minus>
            <c:spPr>
              <a:noFill/>
              <a:ln w="25400" cap="flat" cmpd="sng" algn="ctr">
                <a:solidFill>
                  <a:srgbClr val="006E80"/>
                </a:solidFill>
                <a:round/>
              </a:ln>
              <a:effectLst/>
            </c:spPr>
          </c:errBars>
          <c:cat>
            <c:numRef>
              <c:f>'[INSUMOS BOLETIN ENTI 2022.xlsx]G08'!$C$28:$J$28</c:f>
              <c:numCache>
                <c:formatCode>General</c:formatCode>
                <c:ptCount val="8"/>
                <c:pt idx="0">
                  <c:v>2007</c:v>
                </c:pt>
                <c:pt idx="1">
                  <c:v>2009</c:v>
                </c:pt>
                <c:pt idx="2">
                  <c:v>2011</c:v>
                </c:pt>
                <c:pt idx="3">
                  <c:v>2013</c:v>
                </c:pt>
                <c:pt idx="4">
                  <c:v>2015</c:v>
                </c:pt>
                <c:pt idx="5">
                  <c:v>2017</c:v>
                </c:pt>
                <c:pt idx="6">
                  <c:v>2019</c:v>
                </c:pt>
                <c:pt idx="7">
                  <c:v>2022</c:v>
                </c:pt>
              </c:numCache>
            </c:numRef>
          </c:cat>
          <c:val>
            <c:numRef>
              <c:f>'[INSUMOS BOLETIN ENTI 2022.xlsx]G08'!$C$30:$J$30</c:f>
              <c:numCache>
                <c:formatCode>0.0</c:formatCode>
                <c:ptCount val="8"/>
                <c:pt idx="0">
                  <c:v>2.461293</c:v>
                </c:pt>
                <c:pt idx="1">
                  <c:v>2.0519599999999998</c:v>
                </c:pt>
                <c:pt idx="2">
                  <c:v>1.981196</c:v>
                </c:pt>
                <c:pt idx="3">
                  <c:v>1.613772</c:v>
                </c:pt>
                <c:pt idx="4">
                  <c:v>1.580819</c:v>
                </c:pt>
                <c:pt idx="5">
                  <c:v>1.491744</c:v>
                </c:pt>
                <c:pt idx="6">
                  <c:v>1.4351210000000001</c:v>
                </c:pt>
                <c:pt idx="7">
                  <c:v>1.533312</c:v>
                </c:pt>
              </c:numCache>
            </c:numRef>
          </c:val>
          <c:extLst>
            <c:ext xmlns:c16="http://schemas.microsoft.com/office/drawing/2014/chart" uri="{C3380CC4-5D6E-409C-BE32-E72D297353CC}">
              <c16:uniqueId val="{00000001-3A84-4521-8616-903F0BD86CA1}"/>
            </c:ext>
          </c:extLst>
        </c:ser>
        <c:ser>
          <c:idx val="2"/>
          <c:order val="2"/>
          <c:tx>
            <c:strRef>
              <c:f>'[INSUMOS BOLETIN ENTI 2022.xlsx]G08'!$B$31</c:f>
              <c:strCache>
                <c:ptCount val="1"/>
                <c:pt idx="0">
                  <c:v>Niñas</c:v>
                </c:pt>
              </c:strCache>
            </c:strRef>
          </c:tx>
          <c:spPr>
            <a:solidFill>
              <a:srgbClr val="99C5CC"/>
            </a:solidFill>
            <a:ln>
              <a:solidFill>
                <a:srgbClr val="99C5CC"/>
              </a:solid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'[INSUMOS BOLETIN ENTI 2022.xlsx]G08'!$C$47:$J$47</c:f>
                <c:numCache>
                  <c:formatCode>General</c:formatCode>
                  <c:ptCount val="8"/>
                  <c:pt idx="0">
                    <c:v>3.906444334159509E-2</c:v>
                  </c:pt>
                  <c:pt idx="1">
                    <c:v>3.9064443341594979E-2</c:v>
                  </c:pt>
                  <c:pt idx="2">
                    <c:v>3.9064443341595034E-2</c:v>
                  </c:pt>
                  <c:pt idx="3">
                    <c:v>3.9064443341594979E-2</c:v>
                  </c:pt>
                  <c:pt idx="4">
                    <c:v>3.9064443341594979E-2</c:v>
                  </c:pt>
                  <c:pt idx="5">
                    <c:v>3.9064443341594979E-2</c:v>
                  </c:pt>
                  <c:pt idx="6">
                    <c:v>4.8951124519306E-2</c:v>
                  </c:pt>
                  <c:pt idx="7">
                    <c:v>3.3552485413547328E-2</c:v>
                  </c:pt>
                </c:numCache>
              </c:numRef>
            </c:plus>
            <c:minus>
              <c:numRef>
                <c:f>'[INSUMOS BOLETIN ENTI 2022.xlsx]G08'!$C$47:$J$47</c:f>
                <c:numCache>
                  <c:formatCode>General</c:formatCode>
                  <c:ptCount val="8"/>
                  <c:pt idx="0">
                    <c:v>3.906444334159509E-2</c:v>
                  </c:pt>
                  <c:pt idx="1">
                    <c:v>3.9064443341594979E-2</c:v>
                  </c:pt>
                  <c:pt idx="2">
                    <c:v>3.9064443341595034E-2</c:v>
                  </c:pt>
                  <c:pt idx="3">
                    <c:v>3.9064443341594979E-2</c:v>
                  </c:pt>
                  <c:pt idx="4">
                    <c:v>3.9064443341594979E-2</c:v>
                  </c:pt>
                  <c:pt idx="5">
                    <c:v>3.9064443341594979E-2</c:v>
                  </c:pt>
                  <c:pt idx="6">
                    <c:v>4.8951124519306E-2</c:v>
                  </c:pt>
                  <c:pt idx="7">
                    <c:v>3.3552485413547328E-2</c:v>
                  </c:pt>
                </c:numCache>
              </c:numRef>
            </c:minus>
            <c:spPr>
              <a:noFill/>
              <a:ln w="25400" cap="flat" cmpd="sng" algn="ctr">
                <a:solidFill>
                  <a:srgbClr val="006E80"/>
                </a:solidFill>
                <a:round/>
              </a:ln>
              <a:effectLst/>
            </c:spPr>
          </c:errBars>
          <c:cat>
            <c:numRef>
              <c:f>'[INSUMOS BOLETIN ENTI 2022.xlsx]G08'!$C$28:$J$28</c:f>
              <c:numCache>
                <c:formatCode>General</c:formatCode>
                <c:ptCount val="8"/>
                <c:pt idx="0">
                  <c:v>2007</c:v>
                </c:pt>
                <c:pt idx="1">
                  <c:v>2009</c:v>
                </c:pt>
                <c:pt idx="2">
                  <c:v>2011</c:v>
                </c:pt>
                <c:pt idx="3">
                  <c:v>2013</c:v>
                </c:pt>
                <c:pt idx="4">
                  <c:v>2015</c:v>
                </c:pt>
                <c:pt idx="5">
                  <c:v>2017</c:v>
                </c:pt>
                <c:pt idx="6">
                  <c:v>2019</c:v>
                </c:pt>
                <c:pt idx="7">
                  <c:v>2022</c:v>
                </c:pt>
              </c:numCache>
            </c:numRef>
          </c:cat>
          <c:val>
            <c:numRef>
              <c:f>'[INSUMOS BOLETIN ENTI 2022.xlsx]G08'!$C$31:$J$31</c:f>
              <c:numCache>
                <c:formatCode>0.0</c:formatCode>
                <c:ptCount val="8"/>
                <c:pt idx="0">
                  <c:v>1.0488869999999999</c:v>
                </c:pt>
                <c:pt idx="1">
                  <c:v>0.87476799999999999</c:v>
                </c:pt>
                <c:pt idx="2">
                  <c:v>0.81392200000000003</c:v>
                </c:pt>
                <c:pt idx="3">
                  <c:v>0.66913699999999998</c:v>
                </c:pt>
                <c:pt idx="4">
                  <c:v>0.60009800000000002</c:v>
                </c:pt>
                <c:pt idx="5">
                  <c:v>0.54826900000000001</c:v>
                </c:pt>
                <c:pt idx="6">
                  <c:v>0.58352199999999999</c:v>
                </c:pt>
                <c:pt idx="7">
                  <c:v>0.59865900000000005</c:v>
                </c:pt>
              </c:numCache>
            </c:numRef>
          </c:val>
          <c:extLst>
            <c:ext xmlns:c16="http://schemas.microsoft.com/office/drawing/2014/chart" uri="{C3380CC4-5D6E-409C-BE32-E72D297353CC}">
              <c16:uniqueId val="{00000002-3A84-4521-8616-903F0BD86CA1}"/>
            </c:ext>
          </c:extLst>
        </c:ser>
        <c:dLbls>
          <c:showLegendKey val="0"/>
          <c:showVal val="0"/>
          <c:showCatName val="0"/>
          <c:showSerName val="0"/>
          <c:showPercent val="0"/>
          <c:showBubbleSize val="0"/>
        </c:dLbls>
        <c:gapWidth val="20"/>
        <c:overlap val="-5"/>
        <c:axId val="221373184"/>
        <c:axId val="221366128"/>
      </c:barChart>
      <c:catAx>
        <c:axId val="221373184"/>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21366128"/>
        <c:crosses val="autoZero"/>
        <c:auto val="1"/>
        <c:lblAlgn val="ctr"/>
        <c:lblOffset val="100"/>
        <c:noMultiLvlLbl val="0"/>
      </c:catAx>
      <c:valAx>
        <c:axId val="221366128"/>
        <c:scaling>
          <c:orientation val="minMax"/>
          <c:max val="3.7"/>
          <c:min val="0"/>
        </c:scaling>
        <c:delete val="1"/>
        <c:axPos val="l"/>
        <c:numFmt formatCode="0.0" sourceLinked="1"/>
        <c:majorTickMark val="out"/>
        <c:minorTickMark val="none"/>
        <c:tickLblPos val="nextTo"/>
        <c:crossAx val="221373184"/>
        <c:crosses val="autoZero"/>
        <c:crossBetween val="between"/>
        <c:majorUnit val="1"/>
      </c:valAx>
      <c:spPr>
        <a:noFill/>
        <a:ln w="25400">
          <a:noFill/>
        </a:ln>
        <a:effectLst/>
      </c:spPr>
    </c:plotArea>
    <c:legend>
      <c:legendPos val="b"/>
      <c:layout>
        <c:manualLayout>
          <c:xMode val="edge"/>
          <c:yMode val="edge"/>
          <c:x val="0.40040681669044287"/>
          <c:y val="0.94577397491117099"/>
          <c:w val="0.19918636661911432"/>
          <c:h val="5.4226025088829045E-2"/>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9525" cap="flat" cmpd="sng" algn="ctr">
      <a:noFill/>
      <a:round/>
    </a:ln>
    <a:effectLst/>
  </c:spPr>
  <c:txPr>
    <a:bodyPr/>
    <a:lstStyle/>
    <a:p>
      <a:pPr>
        <a:defRPr sz="1100">
          <a:latin typeface="Arial" panose="020B0604020202020204" pitchFamily="34" charset="0"/>
          <a:cs typeface="Arial" panose="020B0604020202020204" pitchFamily="34" charset="0"/>
        </a:defRPr>
      </a:pPr>
      <a:endParaRPr lang="es-MX"/>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0684968395101903E-3"/>
          <c:y val="1.90171542085271E-2"/>
          <c:w val="0.99755597291070452"/>
          <c:h val="0.83884773016464675"/>
        </c:manualLayout>
      </c:layout>
      <c:barChart>
        <c:barDir val="col"/>
        <c:grouping val="clustered"/>
        <c:varyColors val="0"/>
        <c:ser>
          <c:idx val="0"/>
          <c:order val="0"/>
          <c:tx>
            <c:strRef>
              <c:f>'[INSUMOS BOLETIN ENTI 2022.xlsx]G09'!$B$49</c:f>
              <c:strCache>
                <c:ptCount val="1"/>
                <c:pt idx="0">
                  <c:v>Total</c:v>
                </c:pt>
              </c:strCache>
            </c:strRef>
          </c:tx>
          <c:spPr>
            <a:solidFill>
              <a:srgbClr val="338B99"/>
            </a:solidFill>
            <a:ln>
              <a:solidFill>
                <a:srgbClr val="338B99"/>
              </a:solidFill>
            </a:ln>
            <a:effectLst/>
          </c:spPr>
          <c:invertIfNegative val="0"/>
          <c:dLbls>
            <c:dLbl>
              <c:idx val="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extLst>
                <c:ext xmlns:c16="http://schemas.microsoft.com/office/drawing/2014/chart" uri="{C3380CC4-5D6E-409C-BE32-E72D297353CC}">
                  <c16:uniqueId val="{00000000-5963-4872-A1E4-31D4D667BCA5}"/>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'[INSUMOS BOLETIN ENTI 2022.xlsx]G09'!$C$65:$J$65</c:f>
                <c:numCache>
                  <c:formatCode>General</c:formatCode>
                  <c:ptCount val="8"/>
                  <c:pt idx="0">
                    <c:v>0.13448488038517148</c:v>
                  </c:pt>
                  <c:pt idx="1">
                    <c:v>0.15642658875465898</c:v>
                  </c:pt>
                  <c:pt idx="2">
                    <c:v>0.16231776082048199</c:v>
                  </c:pt>
                  <c:pt idx="3">
                    <c:v>0.18222666066270277</c:v>
                  </c:pt>
                  <c:pt idx="4">
                    <c:v>0.18748972949089593</c:v>
                  </c:pt>
                  <c:pt idx="5">
                    <c:v>0.19293004267197178</c:v>
                  </c:pt>
                  <c:pt idx="6">
                    <c:v>0.31575384797390349</c:v>
                  </c:pt>
                  <c:pt idx="7">
                    <c:v>0.18303557427271189</c:v>
                  </c:pt>
                </c:numCache>
              </c:numRef>
            </c:plus>
            <c:minus>
              <c:numRef>
                <c:f>'[INSUMOS BOLETIN ENTI 2022.xlsx]G09'!$C$65:$J$65</c:f>
                <c:numCache>
                  <c:formatCode>General</c:formatCode>
                  <c:ptCount val="8"/>
                  <c:pt idx="0">
                    <c:v>0.13448488038517148</c:v>
                  </c:pt>
                  <c:pt idx="1">
                    <c:v>0.15642658875465898</c:v>
                  </c:pt>
                  <c:pt idx="2">
                    <c:v>0.16231776082048199</c:v>
                  </c:pt>
                  <c:pt idx="3">
                    <c:v>0.18222666066270277</c:v>
                  </c:pt>
                  <c:pt idx="4">
                    <c:v>0.18748972949089593</c:v>
                  </c:pt>
                  <c:pt idx="5">
                    <c:v>0.19293004267197178</c:v>
                  </c:pt>
                  <c:pt idx="6">
                    <c:v>0.31575384797390349</c:v>
                  </c:pt>
                  <c:pt idx="7">
                    <c:v>0.18303557427271189</c:v>
                  </c:pt>
                </c:numCache>
              </c:numRef>
            </c:minus>
            <c:spPr>
              <a:noFill/>
              <a:ln w="25400" cap="flat" cmpd="sng" algn="ctr">
                <a:solidFill>
                  <a:srgbClr val="006E80"/>
                </a:solidFill>
                <a:round/>
              </a:ln>
              <a:effectLst/>
            </c:spPr>
          </c:errBars>
          <c:cat>
            <c:numRef>
              <c:f>'[INSUMOS BOLETIN ENTI 2022.xlsx]G09'!$C$48:$J$48</c:f>
              <c:numCache>
                <c:formatCode>General</c:formatCode>
                <c:ptCount val="8"/>
                <c:pt idx="0">
                  <c:v>2007</c:v>
                </c:pt>
                <c:pt idx="1">
                  <c:v>2009</c:v>
                </c:pt>
                <c:pt idx="2">
                  <c:v>2011</c:v>
                </c:pt>
                <c:pt idx="3">
                  <c:v>2013</c:v>
                </c:pt>
                <c:pt idx="4">
                  <c:v>2015</c:v>
                </c:pt>
                <c:pt idx="5">
                  <c:v>2017</c:v>
                </c:pt>
                <c:pt idx="6">
                  <c:v>2019</c:v>
                </c:pt>
                <c:pt idx="7">
                  <c:v>2022</c:v>
                </c:pt>
              </c:numCache>
            </c:numRef>
          </c:cat>
          <c:val>
            <c:numRef>
              <c:f>'[INSUMOS BOLETIN ENTI 2022.xlsx]G09'!$C$49:$J$49</c:f>
              <c:numCache>
                <c:formatCode>0.0</c:formatCode>
                <c:ptCount val="8"/>
                <c:pt idx="0">
                  <c:v>11.525033025242205</c:v>
                </c:pt>
                <c:pt idx="1">
                  <c:v>9.7969237344550599</c:v>
                </c:pt>
                <c:pt idx="2">
                  <c:v>9.5209356024290539</c:v>
                </c:pt>
                <c:pt idx="3">
                  <c:v>7.7815071570222809</c:v>
                </c:pt>
                <c:pt idx="4">
                  <c:v>7.5304485472966771</c:v>
                </c:pt>
                <c:pt idx="5">
                  <c:v>7.0332795428783568</c:v>
                </c:pt>
                <c:pt idx="6">
                  <c:v>7.0642997159012371</c:v>
                </c:pt>
                <c:pt idx="7">
                  <c:v>7.5033921460165898</c:v>
                </c:pt>
              </c:numCache>
            </c:numRef>
          </c:val>
          <c:extLst>
            <c:ext xmlns:c16="http://schemas.microsoft.com/office/drawing/2014/chart" uri="{C3380CC4-5D6E-409C-BE32-E72D297353CC}">
              <c16:uniqueId val="{00000001-5963-4872-A1E4-31D4D667BCA5}"/>
            </c:ext>
          </c:extLst>
        </c:ser>
        <c:ser>
          <c:idx val="1"/>
          <c:order val="1"/>
          <c:tx>
            <c:strRef>
              <c:f>'[INSUMOS BOLETIN ENTI 2022.xlsx]G09'!$B$50</c:f>
              <c:strCache>
                <c:ptCount val="1"/>
                <c:pt idx="0">
                  <c:v>Niños</c:v>
                </c:pt>
              </c:strCache>
            </c:strRef>
          </c:tx>
          <c:spPr>
            <a:solidFill>
              <a:srgbClr val="66A8B3"/>
            </a:solidFill>
            <a:ln>
              <a:solidFill>
                <a:srgbClr val="66A8B3"/>
              </a:solid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'[INSUMOS BOLETIN ENTI 2022.xlsx]G09'!$C$66:$J$66</c:f>
                <c:numCache>
                  <c:formatCode>General</c:formatCode>
                  <c:ptCount val="8"/>
                  <c:pt idx="0">
                    <c:v>0.19271464954345419</c:v>
                  </c:pt>
                  <c:pt idx="1">
                    <c:v>0.22898474908329991</c:v>
                  </c:pt>
                  <c:pt idx="2">
                    <c:v>0.23647570031042342</c:v>
                  </c:pt>
                  <c:pt idx="3">
                    <c:v>0.2698798232013937</c:v>
                  </c:pt>
                  <c:pt idx="4">
                    <c:v>0.27464674742598394</c:v>
                  </c:pt>
                  <c:pt idx="5">
                    <c:v>0.28292158567145265</c:v>
                  </c:pt>
                  <c:pt idx="6">
                    <c:v>0.46189965762850704</c:v>
                  </c:pt>
                  <c:pt idx="7">
                    <c:v>0.2873174188234433</c:v>
                  </c:pt>
                </c:numCache>
              </c:numRef>
            </c:plus>
            <c:minus>
              <c:numRef>
                <c:f>'[INSUMOS BOLETIN ENTI 2022.xlsx]G09'!$C$66:$J$66</c:f>
                <c:numCache>
                  <c:formatCode>General</c:formatCode>
                  <c:ptCount val="8"/>
                  <c:pt idx="0">
                    <c:v>0.19271464954345419</c:v>
                  </c:pt>
                  <c:pt idx="1">
                    <c:v>0.22898474908329991</c:v>
                  </c:pt>
                  <c:pt idx="2">
                    <c:v>0.23647570031042342</c:v>
                  </c:pt>
                  <c:pt idx="3">
                    <c:v>0.2698798232013937</c:v>
                  </c:pt>
                  <c:pt idx="4">
                    <c:v>0.27464674742598394</c:v>
                  </c:pt>
                  <c:pt idx="5">
                    <c:v>0.28292158567145265</c:v>
                  </c:pt>
                  <c:pt idx="6">
                    <c:v>0.46189965762850704</c:v>
                  </c:pt>
                  <c:pt idx="7">
                    <c:v>0.2873174188234433</c:v>
                  </c:pt>
                </c:numCache>
              </c:numRef>
            </c:minus>
            <c:spPr>
              <a:noFill/>
              <a:ln w="25400" cap="flat" cmpd="sng" algn="ctr">
                <a:solidFill>
                  <a:srgbClr val="006E80"/>
                </a:solidFill>
                <a:round/>
              </a:ln>
              <a:effectLst/>
            </c:spPr>
          </c:errBars>
          <c:cat>
            <c:numRef>
              <c:f>'[INSUMOS BOLETIN ENTI 2022.xlsx]G09'!$C$48:$J$48</c:f>
              <c:numCache>
                <c:formatCode>General</c:formatCode>
                <c:ptCount val="8"/>
                <c:pt idx="0">
                  <c:v>2007</c:v>
                </c:pt>
                <c:pt idx="1">
                  <c:v>2009</c:v>
                </c:pt>
                <c:pt idx="2">
                  <c:v>2011</c:v>
                </c:pt>
                <c:pt idx="3">
                  <c:v>2013</c:v>
                </c:pt>
                <c:pt idx="4">
                  <c:v>2015</c:v>
                </c:pt>
                <c:pt idx="5">
                  <c:v>2017</c:v>
                </c:pt>
                <c:pt idx="6">
                  <c:v>2019</c:v>
                </c:pt>
                <c:pt idx="7">
                  <c:v>2022</c:v>
                </c:pt>
              </c:numCache>
            </c:numRef>
          </c:cat>
          <c:val>
            <c:numRef>
              <c:f>'[INSUMOS BOLETIN ENTI 2022.xlsx]G09'!$C$50:$J$50</c:f>
              <c:numCache>
                <c:formatCode>0.0</c:formatCode>
                <c:ptCount val="8"/>
                <c:pt idx="0">
                  <c:v>16.015083488774799</c:v>
                </c:pt>
                <c:pt idx="1">
                  <c:v>13.541894899120155</c:v>
                </c:pt>
                <c:pt idx="2">
                  <c:v>13.353921906899682</c:v>
                </c:pt>
                <c:pt idx="3">
                  <c:v>10.798377123905597</c:v>
                </c:pt>
                <c:pt idx="4">
                  <c:v>10.72408624020891</c:v>
                </c:pt>
                <c:pt idx="5">
                  <c:v>10.109516646257797</c:v>
                </c:pt>
                <c:pt idx="6">
                  <c:v>9.7748254012602125</c:v>
                </c:pt>
                <c:pt idx="7">
                  <c:v>10.577544737428115</c:v>
                </c:pt>
              </c:numCache>
            </c:numRef>
          </c:val>
          <c:extLst>
            <c:ext xmlns:c16="http://schemas.microsoft.com/office/drawing/2014/chart" uri="{C3380CC4-5D6E-409C-BE32-E72D297353CC}">
              <c16:uniqueId val="{00000002-5963-4872-A1E4-31D4D667BCA5}"/>
            </c:ext>
          </c:extLst>
        </c:ser>
        <c:ser>
          <c:idx val="2"/>
          <c:order val="2"/>
          <c:tx>
            <c:strRef>
              <c:f>'[INSUMOS BOLETIN ENTI 2022.xlsx]G09'!$B$51</c:f>
              <c:strCache>
                <c:ptCount val="1"/>
                <c:pt idx="0">
                  <c:v>Niñas</c:v>
                </c:pt>
              </c:strCache>
            </c:strRef>
          </c:tx>
          <c:spPr>
            <a:solidFill>
              <a:srgbClr val="99C5CC"/>
            </a:solidFill>
            <a:ln>
              <a:solidFill>
                <a:srgbClr val="99C5CC"/>
              </a:solid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'[INSUMOS BOLETIN ENTI 2022.xlsx]G09'!$C$67:$J$67</c:f>
                <c:numCache>
                  <c:formatCode>General</c:formatCode>
                  <c:ptCount val="8"/>
                  <c:pt idx="0">
                    <c:v>0.16476109673113504</c:v>
                  </c:pt>
                  <c:pt idx="1">
                    <c:v>0.18288974243083311</c:v>
                  </c:pt>
                  <c:pt idx="2">
                    <c:v>0.19015456677492537</c:v>
                  </c:pt>
                  <c:pt idx="3">
                    <c:v>0.20543071557740689</c:v>
                  </c:pt>
                  <c:pt idx="4">
                    <c:v>0.2140931656369629</c:v>
                  </c:pt>
                  <c:pt idx="5">
                    <c:v>0.21900110337285383</c:v>
                  </c:pt>
                  <c:pt idx="6">
                    <c:v>0.24764731012389474</c:v>
                  </c:pt>
                  <c:pt idx="7">
                    <c:v>0.17091934053316171</c:v>
                  </c:pt>
                </c:numCache>
              </c:numRef>
            </c:plus>
            <c:minus>
              <c:numRef>
                <c:f>'[INSUMOS BOLETIN ENTI 2022.xlsx]G09'!$C$67:$J$67</c:f>
                <c:numCache>
                  <c:formatCode>General</c:formatCode>
                  <c:ptCount val="8"/>
                  <c:pt idx="0">
                    <c:v>0.16476109673113504</c:v>
                  </c:pt>
                  <c:pt idx="1">
                    <c:v>0.18288974243083311</c:v>
                  </c:pt>
                  <c:pt idx="2">
                    <c:v>0.19015456677492537</c:v>
                  </c:pt>
                  <c:pt idx="3">
                    <c:v>0.20543071557740689</c:v>
                  </c:pt>
                  <c:pt idx="4">
                    <c:v>0.2140931656369629</c:v>
                  </c:pt>
                  <c:pt idx="5">
                    <c:v>0.21900110337285383</c:v>
                  </c:pt>
                  <c:pt idx="6">
                    <c:v>0.24764731012389474</c:v>
                  </c:pt>
                  <c:pt idx="7">
                    <c:v>0.17091934053316171</c:v>
                  </c:pt>
                </c:numCache>
              </c:numRef>
            </c:minus>
            <c:spPr>
              <a:noFill/>
              <a:ln w="25400" cap="flat" cmpd="sng" algn="ctr">
                <a:solidFill>
                  <a:srgbClr val="006E80"/>
                </a:solidFill>
                <a:round/>
              </a:ln>
              <a:effectLst/>
            </c:spPr>
          </c:errBars>
          <c:cat>
            <c:numRef>
              <c:f>'[INSUMOS BOLETIN ENTI 2022.xlsx]G09'!$C$48:$J$48</c:f>
              <c:numCache>
                <c:formatCode>General</c:formatCode>
                <c:ptCount val="8"/>
                <c:pt idx="0">
                  <c:v>2007</c:v>
                </c:pt>
                <c:pt idx="1">
                  <c:v>2009</c:v>
                </c:pt>
                <c:pt idx="2">
                  <c:v>2011</c:v>
                </c:pt>
                <c:pt idx="3">
                  <c:v>2013</c:v>
                </c:pt>
                <c:pt idx="4">
                  <c:v>2015</c:v>
                </c:pt>
                <c:pt idx="5">
                  <c:v>2017</c:v>
                </c:pt>
                <c:pt idx="6">
                  <c:v>2019</c:v>
                </c:pt>
                <c:pt idx="7">
                  <c:v>2022</c:v>
                </c:pt>
              </c:numCache>
            </c:numRef>
          </c:cat>
          <c:val>
            <c:numRef>
              <c:f>'[INSUMOS BOLETIN ENTI 2022.xlsx]G09'!$C$51:$J$51</c:f>
              <c:numCache>
                <c:formatCode>0.0</c:formatCode>
                <c:ptCount val="8"/>
                <c:pt idx="0">
                  <c:v>6.9516058448294062</c:v>
                </c:pt>
                <c:pt idx="1">
                  <c:v>5.9422051183223408</c:v>
                </c:pt>
                <c:pt idx="2">
                  <c:v>5.6049301117367953</c:v>
                </c:pt>
                <c:pt idx="3">
                  <c:v>4.6490314312312462</c:v>
                </c:pt>
                <c:pt idx="4">
                  <c:v>4.2199533363444814</c:v>
                </c:pt>
                <c:pt idx="5">
                  <c:v>3.8476888735711845</c:v>
                </c:pt>
                <c:pt idx="6">
                  <c:v>4.1999739877742543</c:v>
                </c:pt>
                <c:pt idx="7">
                  <c:v>4.3014797255802817</c:v>
                </c:pt>
              </c:numCache>
            </c:numRef>
          </c:val>
          <c:extLst>
            <c:ext xmlns:c16="http://schemas.microsoft.com/office/drawing/2014/chart" uri="{C3380CC4-5D6E-409C-BE32-E72D297353CC}">
              <c16:uniqueId val="{00000003-5963-4872-A1E4-31D4D667BCA5}"/>
            </c:ext>
          </c:extLst>
        </c:ser>
        <c:dLbls>
          <c:showLegendKey val="0"/>
          <c:showVal val="0"/>
          <c:showCatName val="0"/>
          <c:showSerName val="0"/>
          <c:showPercent val="0"/>
          <c:showBubbleSize val="0"/>
        </c:dLbls>
        <c:gapWidth val="20"/>
        <c:overlap val="-5"/>
        <c:axId val="221373184"/>
        <c:axId val="221366128"/>
      </c:barChart>
      <c:catAx>
        <c:axId val="221373184"/>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221366128"/>
        <c:crosses val="autoZero"/>
        <c:auto val="1"/>
        <c:lblAlgn val="ctr"/>
        <c:lblOffset val="100"/>
        <c:noMultiLvlLbl val="0"/>
      </c:catAx>
      <c:valAx>
        <c:axId val="221366128"/>
        <c:scaling>
          <c:orientation val="minMax"/>
          <c:max val="16.5"/>
          <c:min val="0"/>
        </c:scaling>
        <c:delete val="1"/>
        <c:axPos val="l"/>
        <c:numFmt formatCode="0.0" sourceLinked="1"/>
        <c:majorTickMark val="out"/>
        <c:minorTickMark val="none"/>
        <c:tickLblPos val="nextTo"/>
        <c:crossAx val="221373184"/>
        <c:crosses val="autoZero"/>
        <c:crossBetween val="between"/>
        <c:majorUnit val="1"/>
      </c:valAx>
      <c:spPr>
        <a:noFill/>
        <a:ln w="25400">
          <a:noFill/>
        </a:ln>
        <a:effectLst/>
      </c:spPr>
    </c:plotArea>
    <c:legend>
      <c:legendPos val="b"/>
      <c:layout>
        <c:manualLayout>
          <c:xMode val="edge"/>
          <c:yMode val="edge"/>
          <c:x val="0.37990744439479646"/>
          <c:y val="0.92278106129154391"/>
          <c:w val="0.23617468409991962"/>
          <c:h val="6.4993999833150434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9525" cap="flat" cmpd="sng" algn="ctr">
      <a:noFill/>
      <a:round/>
    </a:ln>
    <a:effectLst/>
  </c:spPr>
  <c:txPr>
    <a:bodyPr/>
    <a:lstStyle/>
    <a:p>
      <a:pPr>
        <a:defRPr sz="1100">
          <a:latin typeface="Arial" panose="020B0604020202020204" pitchFamily="34" charset="0"/>
          <a:cs typeface="Arial" panose="020B0604020202020204" pitchFamily="34" charset="0"/>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89CFE6C4CAB2D34FACDF5502E5598C7F" ma:contentTypeVersion="5" ma:contentTypeDescription="Crear nuevo documento." ma:contentTypeScope="" ma:versionID="3b0fc476433213ca2ae49c4811c4a5e0">
  <xsd:schema xmlns:xsd="http://www.w3.org/2001/XMLSchema" xmlns:xs="http://www.w3.org/2001/XMLSchema" xmlns:p="http://schemas.microsoft.com/office/2006/metadata/properties" xmlns:ns2="f629b3c2-5aef-4569-a20f-f77b459c1dc9" xmlns:ns3="36267f70-ae8b-485f-8ea6-ce774d591928" targetNamespace="http://schemas.microsoft.com/office/2006/metadata/properties" ma:root="true" ma:fieldsID="8d247971bf053cc153229041010167ee" ns2:_="" ns3:_="">
    <xsd:import namespace="f629b3c2-5aef-4569-a20f-f77b459c1dc9"/>
    <xsd:import namespace="36267f70-ae8b-485f-8ea6-ce774d59192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29b3c2-5aef-4569-a20f-f77b459c1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267f70-ae8b-485f-8ea6-ce774d591928"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A5964-2FCB-4760-A47C-A515DB6E8BB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F12CB9-B6F4-47AD-ADCA-3599E839A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29b3c2-5aef-4569-a20f-f77b459c1dc9"/>
    <ds:schemaRef ds:uri="36267f70-ae8b-485f-8ea6-ce774d591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630A46-A038-4858-9EB4-E311C5752F79}">
  <ds:schemaRefs>
    <ds:schemaRef ds:uri="http://schemas.microsoft.com/sharepoint/v3/contenttype/forms"/>
  </ds:schemaRefs>
</ds:datastoreItem>
</file>

<file path=customXml/itemProps4.xml><?xml version="1.0" encoding="utf-8"?>
<ds:datastoreItem xmlns:ds="http://schemas.openxmlformats.org/officeDocument/2006/customXml" ds:itemID="{8C8B5751-0F1C-4EEF-8D39-EC155E53E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44</Pages>
  <Words>11331</Words>
  <Characters>62326</Characters>
  <Application>Microsoft Office Word</Application>
  <DocSecurity>0</DocSecurity>
  <Lines>519</Lines>
  <Paragraphs>147</Paragraphs>
  <ScaleCrop>false</ScaleCrop>
  <HeadingPairs>
    <vt:vector size="2" baseType="variant">
      <vt:variant>
        <vt:lpstr>Título</vt:lpstr>
      </vt:variant>
      <vt:variant>
        <vt:i4>1</vt:i4>
      </vt:variant>
    </vt:vector>
  </HeadingPairs>
  <TitlesOfParts>
    <vt:vector size="1" baseType="lpstr">
      <vt:lpstr>EL INEGI PRESENTA LA ENCUESTA NACIONAL DE TRABAJO INFANTIL (ENTI) 2022</vt:lpstr>
    </vt:vector>
  </TitlesOfParts>
  <Company>INEGI</Company>
  <LinksUpToDate>false</LinksUpToDate>
  <CharactersWithSpaces>73510</CharactersWithSpaces>
  <SharedDoc>false</SharedDoc>
  <HLinks>
    <vt:vector size="12" baseType="variant">
      <vt:variant>
        <vt:i4>262226</vt:i4>
      </vt:variant>
      <vt:variant>
        <vt:i4>3</vt:i4>
      </vt:variant>
      <vt:variant>
        <vt:i4>0</vt:i4>
      </vt:variant>
      <vt:variant>
        <vt:i4>5</vt:i4>
      </vt:variant>
      <vt:variant>
        <vt:lpwstr>https://www.inegi.org.mx/programas/enti/2022/</vt:lpwstr>
      </vt:variant>
      <vt:variant>
        <vt:lpwstr/>
      </vt:variant>
      <vt:variant>
        <vt:i4>6225973</vt:i4>
      </vt:variant>
      <vt:variant>
        <vt:i4>0</vt:i4>
      </vt:variant>
      <vt:variant>
        <vt:i4>0</vt:i4>
      </vt:variant>
      <vt:variant>
        <vt:i4>5</vt:i4>
      </vt:variant>
      <vt:variant>
        <vt:lpwstr>mailto:comunicacionsocial@inegi.org.mx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INEGI PRESENTA LA ENCUESTA NACIONAL DE TRABAJO INFANTIL (ENTI) 2022</dc:title>
  <dc:subject/>
  <dc:creator>INEGI</dc:creator>
  <cp:keywords/>
  <cp:lastModifiedBy>GUILLEN MEDINA MOISES</cp:lastModifiedBy>
  <cp:revision>6</cp:revision>
  <cp:lastPrinted>2023-10-05T15:57:00Z</cp:lastPrinted>
  <dcterms:created xsi:type="dcterms:W3CDTF">2023-10-05T15:54:00Z</dcterms:created>
  <dcterms:modified xsi:type="dcterms:W3CDTF">2023-10-05T18:20:00Z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9839331bb4f61caaeebf5b2e189030e24f1900502fddfc0901ffeef5dc1a68ce</vt:lpwstr>
  </property>
  <property fmtid="{D5CDD505-2E9C-101B-9397-08002B2CF9AE}" pid="3" name="ContentTypeId">
    <vt:lpwstr>0x01010089CFE6C4CAB2D34FACDF5502E5598C7F</vt:lpwstr>
  </property>
</Properties>
</file>