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Hlk117510934"/>
    <w:bookmarkStart w:id="1" w:name="_Hlk147934602"/>
    <w:bookmarkEnd w:id="0"/>
    <w:p w14:paraId="0B28A21D" w14:textId="77777777" w:rsidR="00E05EB1" w:rsidRPr="003C0955" w:rsidRDefault="00E05EB1" w:rsidP="00E05EB1">
      <w:pPr>
        <w:pStyle w:val="Textoindependiente"/>
        <w:rPr>
          <w:rFonts w:cs="Arial"/>
          <w:caps/>
          <w:smallCaps/>
          <w:color w:val="244061" w:themeColor="accent1" w:themeShade="80"/>
          <w:sz w:val="28"/>
        </w:rPr>
      </w:pPr>
      <w:r w:rsidRPr="003C0955">
        <w:rPr>
          <w:noProof/>
          <w:color w:val="244061" w:themeColor="accent1" w:themeShade="80"/>
          <w:lang w:eastAsia="es-MX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0DFE710" wp14:editId="59709F6A">
                <wp:simplePos x="0" y="0"/>
                <wp:positionH relativeFrom="margin">
                  <wp:posOffset>2947035</wp:posOffset>
                </wp:positionH>
                <wp:positionV relativeFrom="paragraph">
                  <wp:posOffset>12065</wp:posOffset>
                </wp:positionV>
                <wp:extent cx="3336290" cy="266700"/>
                <wp:effectExtent l="0" t="0" r="0" b="0"/>
                <wp:wrapSquare wrapText="bothSides"/>
                <wp:docPr id="610586331" name="Cuadro de texto 6105863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6290" cy="266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C66FDD" w14:textId="72F4C7AA" w:rsidR="00E05EB1" w:rsidRPr="00B30160" w:rsidRDefault="00E05EB1" w:rsidP="00E05EB1">
                            <w:pPr>
                              <w:jc w:val="right"/>
                              <w:rPr>
                                <w:rFonts w:ascii="Arial Negrita" w:hAnsi="Arial Negrita" w:cs="Arial"/>
                                <w:color w:val="07BFBA"/>
                              </w:rPr>
                            </w:pPr>
                            <w:r w:rsidRPr="00B30160">
                              <w:rPr>
                                <w:rFonts w:ascii="Arial Negrita" w:hAnsi="Arial Negrita" w:cs="Arial"/>
                                <w:color w:val="07BFBA"/>
                              </w:rPr>
                              <w:t xml:space="preserve">Próxima publicación: </w:t>
                            </w:r>
                            <w:r>
                              <w:rPr>
                                <w:rFonts w:ascii="Arial Negrita" w:hAnsi="Arial Negrita" w:cs="Arial"/>
                                <w:color w:val="07BFBA"/>
                              </w:rPr>
                              <w:t>2</w:t>
                            </w:r>
                            <w:r w:rsidRPr="00B30160">
                              <w:rPr>
                                <w:rFonts w:ascii="Arial Negrita" w:hAnsi="Arial Negrita" w:cs="Arial"/>
                                <w:b/>
                                <w:bCs/>
                                <w:color w:val="07BFBA"/>
                              </w:rPr>
                              <w:t xml:space="preserve"> de </w:t>
                            </w:r>
                            <w:r>
                              <w:rPr>
                                <w:rFonts w:ascii="Arial Negrita" w:hAnsi="Arial Negrita" w:cs="Arial"/>
                                <w:b/>
                                <w:bCs/>
                                <w:color w:val="07BFBA"/>
                              </w:rPr>
                              <w:t>febrero</w:t>
                            </w:r>
                          </w:p>
                          <w:p w14:paraId="05BE2EF4" w14:textId="77777777" w:rsidR="00E05EB1" w:rsidRDefault="00E05EB1" w:rsidP="00E05EB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type w14:anchorId="30DFE710" id="_x0000_t202" coordsize="21600,21600" o:spt="202" path="m,l,21600r21600,l21600,xe">
                <v:stroke joinstyle="miter"/>
                <v:path gradientshapeok="t" o:connecttype="rect"/>
              </v:shapetype>
              <v:shape id="Cuadro de texto 610586331" o:spid="_x0000_s1026" type="#_x0000_t202" style="position:absolute;margin-left:232.05pt;margin-top:.95pt;width:262.7pt;height:21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" filled="f" stroked="f">
                <v:textbox>
                  <w:txbxContent>
                    <w:p w14:paraId="06C66FDD" w14:textId="72F4C7AA" w:rsidR="00E05EB1" w:rsidRPr="00B30160" w:rsidRDefault="00E05EB1" w:rsidP="00E05EB1">
                      <w:pPr>
                        <w:jc w:val="right"/>
                        <w:rPr>
                          <w:rFonts w:ascii="Arial Negrita" w:hAnsi="Arial Negrita" w:cs="Arial"/>
                          <w:color w:val="07BFBA"/>
                        </w:rPr>
                      </w:pPr>
                      <w:r w:rsidRPr="00B30160">
                        <w:rPr>
                          <w:rFonts w:ascii="Arial Negrita" w:hAnsi="Arial Negrita" w:cs="Arial"/>
                          <w:color w:val="07BFBA"/>
                        </w:rPr>
                        <w:t xml:space="preserve">Próxima publicación: </w:t>
                      </w:r>
                      <w:r>
                        <w:rPr>
                          <w:rFonts w:ascii="Arial Negrita" w:hAnsi="Arial Negrita" w:cs="Arial"/>
                          <w:color w:val="07BFBA"/>
                        </w:rPr>
                        <w:t>2</w:t>
                      </w:r>
                      <w:r w:rsidRPr="00B30160">
                        <w:rPr>
                          <w:rFonts w:ascii="Arial Negrita" w:hAnsi="Arial Negrita" w:cs="Arial"/>
                          <w:b/>
                          <w:bCs/>
                          <w:color w:val="07BFBA"/>
                        </w:rPr>
                        <w:t xml:space="preserve"> de </w:t>
                      </w:r>
                      <w:r>
                        <w:rPr>
                          <w:rFonts w:ascii="Arial Negrita" w:hAnsi="Arial Negrita" w:cs="Arial"/>
                          <w:b/>
                          <w:bCs/>
                          <w:color w:val="07BFBA"/>
                        </w:rPr>
                        <w:t>febrero</w:t>
                      </w:r>
                    </w:p>
                    <w:p w14:paraId="05BE2EF4" w14:textId="77777777" w:rsidR="00E05EB1" w:rsidRDefault="00E05EB1" w:rsidP="00E05EB1"/>
                  </w:txbxContent>
                </v:textbox>
                <w10:wrap type="square" anchorx="margin"/>
              </v:shape>
            </w:pict>
          </mc:Fallback>
        </mc:AlternateContent>
      </w:r>
    </w:p>
    <w:bookmarkEnd w:id="1"/>
    <w:p w14:paraId="1F999B0F" w14:textId="3D0D1E15" w:rsidR="00E05EB1" w:rsidRDefault="00E05EB1" w:rsidP="005822F2">
      <w:pPr>
        <w:pStyle w:val="Default"/>
        <w:tabs>
          <w:tab w:val="left" w:pos="2410"/>
          <w:tab w:val="left" w:pos="3402"/>
          <w:tab w:val="left" w:pos="3686"/>
        </w:tabs>
        <w:spacing w:before="240"/>
        <w:jc w:val="center"/>
        <w:rPr>
          <w:rFonts w:eastAsia="Times New Roman"/>
          <w:b/>
          <w:bCs/>
          <w:smallCaps/>
          <w:sz w:val="28"/>
          <w:szCs w:val="28"/>
          <w:lang w:val="es-MX"/>
        </w:rPr>
      </w:pPr>
    </w:p>
    <w:p w14:paraId="4E9F9A2F" w14:textId="27E88DEE" w:rsidR="008452B0" w:rsidRPr="00E9509E" w:rsidRDefault="00A97FB9" w:rsidP="005822F2">
      <w:pPr>
        <w:pStyle w:val="Default"/>
        <w:tabs>
          <w:tab w:val="left" w:pos="2410"/>
          <w:tab w:val="left" w:pos="3402"/>
          <w:tab w:val="left" w:pos="3686"/>
        </w:tabs>
        <w:spacing w:before="240"/>
        <w:jc w:val="center"/>
        <w:rPr>
          <w:rFonts w:eastAsia="Times New Roman"/>
          <w:b/>
          <w:bCs/>
          <w:smallCaps/>
          <w:lang w:val="es-MX"/>
        </w:rPr>
      </w:pPr>
      <w:bookmarkStart w:id="2" w:name="_GoBack"/>
      <w:r w:rsidRPr="00E9509E">
        <w:rPr>
          <w:rFonts w:eastAsia="Times New Roman"/>
          <w:b/>
          <w:bCs/>
          <w:smallCaps/>
          <w:lang w:val="es-MX"/>
        </w:rPr>
        <w:t>INDICADORES TRIMESTRALES DE LA ACTIVIDAD TURÍSTICA</w:t>
      </w:r>
      <w:bookmarkEnd w:id="2"/>
    </w:p>
    <w:p w14:paraId="5BEAED9D" w14:textId="68E2734A" w:rsidR="00F203A4" w:rsidRPr="00E9509E" w:rsidRDefault="00FE2892" w:rsidP="00735900">
      <w:pPr>
        <w:pStyle w:val="Default"/>
        <w:tabs>
          <w:tab w:val="left" w:pos="2410"/>
          <w:tab w:val="left" w:pos="3402"/>
          <w:tab w:val="left" w:pos="3686"/>
        </w:tabs>
        <w:jc w:val="center"/>
        <w:rPr>
          <w:rFonts w:eastAsia="Times New Roman"/>
          <w:lang w:val="es-MX"/>
        </w:rPr>
      </w:pPr>
      <w:r w:rsidRPr="00E9509E">
        <w:rPr>
          <w:rFonts w:eastAsia="Times New Roman"/>
          <w:lang w:val="es-MX"/>
        </w:rPr>
        <w:t xml:space="preserve">Segundo </w:t>
      </w:r>
      <w:r w:rsidR="00A97FB9" w:rsidRPr="00E9509E">
        <w:rPr>
          <w:rFonts w:eastAsia="Times New Roman"/>
          <w:lang w:val="es-MX"/>
        </w:rPr>
        <w:t>trimestre de 202</w:t>
      </w:r>
      <w:r w:rsidR="007C7D23" w:rsidRPr="00E9509E">
        <w:rPr>
          <w:rFonts w:eastAsia="Times New Roman"/>
          <w:lang w:val="es-MX"/>
        </w:rPr>
        <w:t>3</w:t>
      </w:r>
    </w:p>
    <w:p w14:paraId="0C8E9A44" w14:textId="319D9417" w:rsidR="00FE2892" w:rsidRPr="00BF08B6" w:rsidRDefault="00FE2892" w:rsidP="00BF08B6">
      <w:pPr>
        <w:pStyle w:val="bullet"/>
        <w:widowControl/>
        <w:numPr>
          <w:ilvl w:val="0"/>
          <w:numId w:val="0"/>
        </w:numPr>
        <w:tabs>
          <w:tab w:val="left" w:pos="8364"/>
        </w:tabs>
        <w:spacing w:before="360"/>
        <w:ind w:right="51"/>
        <w:rPr>
          <w:rFonts w:cs="Arial"/>
          <w:b w:val="0"/>
          <w:snapToGrid/>
          <w:color w:val="auto"/>
          <w:sz w:val="24"/>
          <w:szCs w:val="24"/>
        </w:rPr>
      </w:pPr>
      <w:r w:rsidRPr="00BF08B6">
        <w:rPr>
          <w:rFonts w:cs="Arial"/>
          <w:b w:val="0"/>
          <w:snapToGrid/>
          <w:color w:val="auto"/>
          <w:sz w:val="24"/>
          <w:szCs w:val="24"/>
        </w:rPr>
        <w:t xml:space="preserve">El Instituto Nacional de Estadística y Geografía </w:t>
      </w:r>
      <w:r w:rsidR="00E9509E">
        <w:rPr>
          <w:rFonts w:cs="Arial"/>
          <w:b w:val="0"/>
          <w:snapToGrid/>
          <w:color w:val="auto"/>
          <w:sz w:val="24"/>
          <w:szCs w:val="24"/>
        </w:rPr>
        <w:t>(</w:t>
      </w:r>
      <w:proofErr w:type="spellStart"/>
      <w:r w:rsidR="00E9509E" w:rsidRPr="00E9509E">
        <w:rPr>
          <w:rFonts w:cs="Arial"/>
          <w:b w:val="0"/>
          <w:smallCaps/>
          <w:snapToGrid/>
          <w:color w:val="auto"/>
          <w:sz w:val="24"/>
          <w:szCs w:val="24"/>
        </w:rPr>
        <w:t>inegi</w:t>
      </w:r>
      <w:proofErr w:type="spellEnd"/>
      <w:r w:rsidR="00E9509E">
        <w:rPr>
          <w:rFonts w:cs="Arial"/>
          <w:b w:val="0"/>
          <w:snapToGrid/>
          <w:color w:val="auto"/>
          <w:sz w:val="24"/>
          <w:szCs w:val="24"/>
        </w:rPr>
        <w:t xml:space="preserve">) </w:t>
      </w:r>
      <w:r w:rsidRPr="00BF08B6">
        <w:rPr>
          <w:rFonts w:cs="Arial"/>
          <w:b w:val="0"/>
          <w:snapToGrid/>
          <w:color w:val="auto"/>
          <w:sz w:val="24"/>
          <w:szCs w:val="24"/>
        </w:rPr>
        <w:t>presenta los resultados de los Indicadores Trimestrales de la Actividad Turística (</w:t>
      </w:r>
      <w:proofErr w:type="spellStart"/>
      <w:r w:rsidRPr="00BF08B6">
        <w:rPr>
          <w:rFonts w:cs="Arial"/>
          <w:b w:val="0"/>
          <w:smallCaps/>
          <w:snapToGrid/>
          <w:color w:val="auto"/>
          <w:sz w:val="24"/>
          <w:szCs w:val="24"/>
        </w:rPr>
        <w:t>itat</w:t>
      </w:r>
      <w:proofErr w:type="spellEnd"/>
      <w:r w:rsidRPr="00BF08B6">
        <w:rPr>
          <w:rFonts w:cs="Arial"/>
          <w:b w:val="0"/>
          <w:snapToGrid/>
          <w:color w:val="auto"/>
          <w:sz w:val="24"/>
          <w:szCs w:val="24"/>
        </w:rPr>
        <w:t>)</w:t>
      </w:r>
      <w:r w:rsidR="00F804E9" w:rsidRPr="00BF08B6">
        <w:rPr>
          <w:rFonts w:cs="Arial"/>
          <w:b w:val="0"/>
          <w:snapToGrid/>
          <w:color w:val="auto"/>
          <w:sz w:val="24"/>
          <w:szCs w:val="24"/>
        </w:rPr>
        <w:t xml:space="preserve">, los cuales permiten </w:t>
      </w:r>
      <w:r w:rsidRPr="00BF08B6">
        <w:rPr>
          <w:rFonts w:cs="Arial"/>
          <w:b w:val="0"/>
          <w:snapToGrid/>
          <w:color w:val="auto"/>
          <w:sz w:val="24"/>
          <w:szCs w:val="24"/>
        </w:rPr>
        <w:t xml:space="preserve">conocer y dar seguimiento a la evolución del </w:t>
      </w:r>
      <w:r w:rsidR="00655837" w:rsidRPr="00BF08B6">
        <w:rPr>
          <w:rFonts w:cs="Arial"/>
          <w:b w:val="0"/>
          <w:snapToGrid/>
          <w:color w:val="auto"/>
          <w:sz w:val="24"/>
          <w:szCs w:val="24"/>
        </w:rPr>
        <w:t xml:space="preserve">Producto Interno Bruto Turístico </w:t>
      </w:r>
      <w:r w:rsidR="005A4AC9" w:rsidRPr="00BF08B6">
        <w:rPr>
          <w:rFonts w:cs="Arial"/>
          <w:b w:val="0"/>
          <w:snapToGrid/>
          <w:color w:val="auto"/>
          <w:sz w:val="24"/>
          <w:szCs w:val="24"/>
        </w:rPr>
        <w:t>(</w:t>
      </w:r>
      <w:proofErr w:type="spellStart"/>
      <w:r w:rsidR="005A4AC9" w:rsidRPr="00BF08B6">
        <w:rPr>
          <w:rFonts w:cs="Arial"/>
          <w:b w:val="0"/>
          <w:smallCaps/>
          <w:snapToGrid/>
          <w:color w:val="auto"/>
          <w:sz w:val="24"/>
          <w:szCs w:val="24"/>
        </w:rPr>
        <w:t>itpibt</w:t>
      </w:r>
      <w:proofErr w:type="spellEnd"/>
      <w:r w:rsidR="005A4AC9" w:rsidRPr="00BF08B6">
        <w:rPr>
          <w:rFonts w:cs="Arial"/>
          <w:b w:val="0"/>
          <w:smallCaps/>
          <w:snapToGrid/>
          <w:color w:val="auto"/>
          <w:sz w:val="24"/>
          <w:szCs w:val="24"/>
        </w:rPr>
        <w:t xml:space="preserve">) </w:t>
      </w:r>
      <w:r w:rsidR="00655837" w:rsidRPr="00BF08B6">
        <w:rPr>
          <w:rFonts w:cs="Arial"/>
          <w:b w:val="0"/>
          <w:snapToGrid/>
          <w:color w:val="auto"/>
          <w:sz w:val="24"/>
          <w:szCs w:val="24"/>
        </w:rPr>
        <w:t>y del Consumo Turístico Interior</w:t>
      </w:r>
      <w:r w:rsidR="005A4AC9" w:rsidRPr="00BF08B6">
        <w:rPr>
          <w:rFonts w:cs="Arial"/>
          <w:b w:val="0"/>
          <w:snapToGrid/>
          <w:color w:val="auto"/>
          <w:sz w:val="24"/>
          <w:szCs w:val="24"/>
        </w:rPr>
        <w:t xml:space="preserve"> (</w:t>
      </w:r>
      <w:proofErr w:type="spellStart"/>
      <w:r w:rsidR="005A4AC9" w:rsidRPr="00BF08B6">
        <w:rPr>
          <w:rFonts w:cs="Arial"/>
          <w:b w:val="0"/>
          <w:smallCaps/>
          <w:snapToGrid/>
          <w:color w:val="auto"/>
          <w:sz w:val="24"/>
          <w:szCs w:val="24"/>
        </w:rPr>
        <w:t>itcti</w:t>
      </w:r>
      <w:proofErr w:type="spellEnd"/>
      <w:r w:rsidR="005A4AC9" w:rsidRPr="00BF08B6">
        <w:rPr>
          <w:rFonts w:cs="Arial"/>
          <w:b w:val="0"/>
          <w:snapToGrid/>
          <w:color w:val="auto"/>
          <w:sz w:val="24"/>
          <w:szCs w:val="24"/>
        </w:rPr>
        <w:t>)</w:t>
      </w:r>
      <w:r w:rsidR="00655837" w:rsidRPr="00BF08B6">
        <w:rPr>
          <w:rFonts w:cs="Arial"/>
          <w:b w:val="0"/>
          <w:snapToGrid/>
          <w:color w:val="auto"/>
          <w:sz w:val="24"/>
          <w:szCs w:val="24"/>
        </w:rPr>
        <w:t>.</w:t>
      </w:r>
    </w:p>
    <w:p w14:paraId="1BDB2B9C" w14:textId="082DAED3" w:rsidR="0053018F" w:rsidRDefault="009760C2" w:rsidP="00BF08B6">
      <w:pPr>
        <w:pStyle w:val="bullet"/>
        <w:widowControl/>
        <w:numPr>
          <w:ilvl w:val="0"/>
          <w:numId w:val="0"/>
        </w:numPr>
        <w:tabs>
          <w:tab w:val="left" w:pos="8364"/>
        </w:tabs>
        <w:spacing w:before="360"/>
        <w:ind w:right="51"/>
        <w:rPr>
          <w:rFonts w:cs="Arial"/>
          <w:b w:val="0"/>
          <w:snapToGrid/>
          <w:color w:val="auto"/>
          <w:sz w:val="24"/>
          <w:szCs w:val="24"/>
        </w:rPr>
      </w:pPr>
      <w:r w:rsidRPr="00BF08B6">
        <w:rPr>
          <w:rFonts w:cs="Arial"/>
          <w:b w:val="0"/>
          <w:snapToGrid/>
          <w:color w:val="auto"/>
          <w:sz w:val="24"/>
          <w:szCs w:val="24"/>
        </w:rPr>
        <w:t>En</w:t>
      </w:r>
      <w:r w:rsidR="0053018F" w:rsidRPr="00BF08B6">
        <w:rPr>
          <w:rFonts w:cs="Arial"/>
          <w:b w:val="0"/>
          <w:snapToGrid/>
          <w:color w:val="auto"/>
          <w:sz w:val="24"/>
          <w:szCs w:val="24"/>
        </w:rPr>
        <w:t xml:space="preserve"> </w:t>
      </w:r>
      <w:r w:rsidR="001755B3" w:rsidRPr="00BF08B6">
        <w:rPr>
          <w:rFonts w:cs="Arial"/>
          <w:b w:val="0"/>
          <w:snapToGrid/>
          <w:color w:val="auto"/>
          <w:sz w:val="24"/>
          <w:szCs w:val="24"/>
        </w:rPr>
        <w:t xml:space="preserve">el </w:t>
      </w:r>
      <w:r w:rsidR="00FE2892" w:rsidRPr="00BF08B6">
        <w:rPr>
          <w:rFonts w:cs="Arial"/>
          <w:b w:val="0"/>
          <w:snapToGrid/>
          <w:color w:val="auto"/>
          <w:sz w:val="24"/>
          <w:szCs w:val="24"/>
        </w:rPr>
        <w:t>segundo</w:t>
      </w:r>
      <w:r w:rsidR="00D52558" w:rsidRPr="00BF08B6">
        <w:rPr>
          <w:rFonts w:cs="Arial"/>
          <w:b w:val="0"/>
          <w:snapToGrid/>
          <w:color w:val="auto"/>
          <w:sz w:val="24"/>
          <w:szCs w:val="24"/>
        </w:rPr>
        <w:t xml:space="preserve"> </w:t>
      </w:r>
      <w:r w:rsidR="006855C9" w:rsidRPr="00BF08B6">
        <w:rPr>
          <w:rFonts w:cs="Arial"/>
          <w:b w:val="0"/>
          <w:snapToGrid/>
          <w:color w:val="auto"/>
          <w:sz w:val="24"/>
          <w:szCs w:val="24"/>
        </w:rPr>
        <w:t>trimestre</w:t>
      </w:r>
      <w:r w:rsidR="002224F5" w:rsidRPr="00BF08B6">
        <w:rPr>
          <w:rFonts w:cs="Arial"/>
          <w:b w:val="0"/>
          <w:snapToGrid/>
          <w:color w:val="auto"/>
          <w:sz w:val="24"/>
          <w:szCs w:val="24"/>
        </w:rPr>
        <w:t xml:space="preserve"> </w:t>
      </w:r>
      <w:r w:rsidR="00D41962" w:rsidRPr="00BF08B6">
        <w:rPr>
          <w:rFonts w:cs="Arial"/>
          <w:b w:val="0"/>
          <w:snapToGrid/>
          <w:color w:val="auto"/>
          <w:sz w:val="24"/>
          <w:szCs w:val="24"/>
        </w:rPr>
        <w:t>de</w:t>
      </w:r>
      <w:r w:rsidR="002D0961" w:rsidRPr="00BF08B6">
        <w:rPr>
          <w:rFonts w:cs="Arial"/>
          <w:b w:val="0"/>
          <w:snapToGrid/>
          <w:color w:val="auto"/>
          <w:sz w:val="24"/>
          <w:szCs w:val="24"/>
        </w:rPr>
        <w:t xml:space="preserve"> 202</w:t>
      </w:r>
      <w:r w:rsidR="003842B8" w:rsidRPr="00BF08B6">
        <w:rPr>
          <w:rFonts w:cs="Arial"/>
          <w:b w:val="0"/>
          <w:snapToGrid/>
          <w:color w:val="auto"/>
          <w:sz w:val="24"/>
          <w:szCs w:val="24"/>
        </w:rPr>
        <w:t>3</w:t>
      </w:r>
      <w:r w:rsidR="006575E8" w:rsidRPr="00BF08B6">
        <w:rPr>
          <w:rFonts w:cs="Arial"/>
          <w:b w:val="0"/>
          <w:snapToGrid/>
          <w:color w:val="auto"/>
          <w:sz w:val="24"/>
          <w:szCs w:val="24"/>
        </w:rPr>
        <w:t xml:space="preserve"> y con cifras desestacionalizadas</w:t>
      </w:r>
      <w:r w:rsidR="00B9598B" w:rsidRPr="00BF08B6">
        <w:rPr>
          <w:rFonts w:cs="Arial"/>
          <w:b w:val="0"/>
          <w:snapToGrid/>
          <w:color w:val="auto"/>
          <w:sz w:val="24"/>
          <w:szCs w:val="24"/>
        </w:rPr>
        <w:t>,</w:t>
      </w:r>
      <w:r w:rsidR="00B42EA3" w:rsidRPr="00BF08B6">
        <w:rPr>
          <w:rFonts w:cs="Arial"/>
          <w:b w:val="0"/>
          <w:snapToGrid/>
          <w:color w:val="auto"/>
          <w:sz w:val="24"/>
          <w:szCs w:val="24"/>
        </w:rPr>
        <w:t xml:space="preserve"> </w:t>
      </w:r>
      <w:r w:rsidR="0084694C" w:rsidRPr="00BF08B6">
        <w:rPr>
          <w:rFonts w:cs="Arial"/>
          <w:b w:val="0"/>
          <w:snapToGrid/>
          <w:color w:val="auto"/>
          <w:sz w:val="24"/>
          <w:szCs w:val="24"/>
        </w:rPr>
        <w:t xml:space="preserve">el </w:t>
      </w:r>
      <w:proofErr w:type="spellStart"/>
      <w:r w:rsidR="005A4AC9" w:rsidRPr="00BF08B6">
        <w:rPr>
          <w:rFonts w:cs="Arial"/>
          <w:b w:val="0"/>
          <w:smallCaps/>
          <w:snapToGrid/>
          <w:color w:val="auto"/>
          <w:sz w:val="24"/>
          <w:szCs w:val="24"/>
        </w:rPr>
        <w:t>itpibt</w:t>
      </w:r>
      <w:proofErr w:type="spellEnd"/>
      <w:r w:rsidR="005A4AC9" w:rsidRPr="00BF08B6">
        <w:rPr>
          <w:rFonts w:cs="Arial"/>
          <w:b w:val="0"/>
          <w:snapToGrid/>
          <w:color w:val="auto"/>
          <w:sz w:val="24"/>
          <w:szCs w:val="24"/>
        </w:rPr>
        <w:t xml:space="preserve"> </w:t>
      </w:r>
      <w:r w:rsidR="003B5EBA" w:rsidRPr="00BF08B6">
        <w:rPr>
          <w:rFonts w:cs="Arial"/>
          <w:b w:val="0"/>
          <w:snapToGrid/>
          <w:color w:val="auto"/>
          <w:sz w:val="24"/>
          <w:szCs w:val="24"/>
        </w:rPr>
        <w:t>aument</w:t>
      </w:r>
      <w:r w:rsidR="00EB0FB4" w:rsidRPr="00BF08B6">
        <w:rPr>
          <w:rFonts w:cs="Arial"/>
          <w:b w:val="0"/>
          <w:snapToGrid/>
          <w:color w:val="auto"/>
          <w:sz w:val="24"/>
          <w:szCs w:val="24"/>
        </w:rPr>
        <w:t>ó</w:t>
      </w:r>
      <w:r w:rsidR="003B5EBA" w:rsidRPr="00BF08B6">
        <w:rPr>
          <w:rFonts w:cs="Arial"/>
          <w:b w:val="0"/>
          <w:snapToGrid/>
          <w:color w:val="auto"/>
          <w:sz w:val="24"/>
          <w:szCs w:val="24"/>
        </w:rPr>
        <w:t xml:space="preserve"> </w:t>
      </w:r>
      <w:r w:rsidR="00F76831" w:rsidRPr="00BF08B6">
        <w:rPr>
          <w:rFonts w:cs="Arial"/>
          <w:b w:val="0"/>
          <w:snapToGrid/>
          <w:color w:val="auto"/>
          <w:sz w:val="24"/>
          <w:szCs w:val="24"/>
        </w:rPr>
        <w:t>2.6</w:t>
      </w:r>
      <w:r w:rsidR="00581DE4" w:rsidRPr="00BF08B6">
        <w:rPr>
          <w:rFonts w:cs="Arial"/>
          <w:b w:val="0"/>
          <w:snapToGrid/>
          <w:color w:val="auto"/>
          <w:sz w:val="24"/>
          <w:szCs w:val="24"/>
        </w:rPr>
        <w:t> %</w:t>
      </w:r>
      <w:r w:rsidR="003B5EBA" w:rsidRPr="00BF08B6">
        <w:rPr>
          <w:rFonts w:cs="Arial"/>
          <w:b w:val="0"/>
          <w:snapToGrid/>
          <w:color w:val="auto"/>
          <w:sz w:val="24"/>
          <w:szCs w:val="24"/>
        </w:rPr>
        <w:t xml:space="preserve"> </w:t>
      </w:r>
      <w:r w:rsidR="00AB7EB8" w:rsidRPr="00BF08B6">
        <w:rPr>
          <w:rFonts w:cs="Arial"/>
          <w:b w:val="0"/>
          <w:snapToGrid/>
          <w:color w:val="auto"/>
          <w:sz w:val="24"/>
          <w:szCs w:val="24"/>
        </w:rPr>
        <w:t>en términos reales</w:t>
      </w:r>
      <w:r w:rsidR="009A64B8" w:rsidRPr="00BF08B6">
        <w:rPr>
          <w:rFonts w:cs="Arial"/>
          <w:b w:val="0"/>
          <w:snapToGrid/>
          <w:color w:val="auto"/>
          <w:sz w:val="24"/>
          <w:szCs w:val="24"/>
        </w:rPr>
        <w:t>,</w:t>
      </w:r>
      <w:r w:rsidR="00AB7EB8" w:rsidRPr="00BF08B6">
        <w:rPr>
          <w:rFonts w:cs="Arial"/>
          <w:b w:val="0"/>
          <w:snapToGrid/>
          <w:color w:val="auto"/>
          <w:sz w:val="24"/>
          <w:szCs w:val="24"/>
        </w:rPr>
        <w:t xml:space="preserve"> </w:t>
      </w:r>
      <w:r w:rsidR="00A72DF4" w:rsidRPr="00BF08B6">
        <w:rPr>
          <w:rFonts w:cs="Arial"/>
          <w:b w:val="0"/>
          <w:snapToGrid/>
          <w:color w:val="auto"/>
          <w:sz w:val="24"/>
          <w:szCs w:val="24"/>
        </w:rPr>
        <w:t>con respecto al trimestre previo</w:t>
      </w:r>
      <w:r w:rsidR="009A64B8" w:rsidRPr="00BF08B6">
        <w:rPr>
          <w:rFonts w:cs="Arial"/>
          <w:b w:val="0"/>
          <w:snapToGrid/>
          <w:color w:val="auto"/>
          <w:sz w:val="24"/>
          <w:szCs w:val="24"/>
        </w:rPr>
        <w:t xml:space="preserve">. Por su parte, el </w:t>
      </w:r>
      <w:proofErr w:type="spellStart"/>
      <w:r w:rsidR="005A4AC9" w:rsidRPr="00BF08B6">
        <w:rPr>
          <w:rFonts w:cs="Arial"/>
          <w:b w:val="0"/>
          <w:smallCaps/>
          <w:snapToGrid/>
          <w:color w:val="auto"/>
          <w:sz w:val="24"/>
          <w:szCs w:val="24"/>
        </w:rPr>
        <w:t>itcti</w:t>
      </w:r>
      <w:proofErr w:type="spellEnd"/>
      <w:r w:rsidR="005A4AC9" w:rsidRPr="00BF08B6">
        <w:rPr>
          <w:rFonts w:cs="Arial"/>
          <w:b w:val="0"/>
          <w:snapToGrid/>
          <w:color w:val="auto"/>
          <w:sz w:val="24"/>
          <w:szCs w:val="24"/>
        </w:rPr>
        <w:t xml:space="preserve"> </w:t>
      </w:r>
      <w:r w:rsidR="009A64B8" w:rsidRPr="00BF08B6">
        <w:rPr>
          <w:rFonts w:cs="Arial"/>
          <w:b w:val="0"/>
          <w:snapToGrid/>
          <w:color w:val="auto"/>
          <w:sz w:val="24"/>
          <w:szCs w:val="24"/>
        </w:rPr>
        <w:t>creció</w:t>
      </w:r>
      <w:r w:rsidR="003B5EBA" w:rsidRPr="00BF08B6">
        <w:rPr>
          <w:rFonts w:cs="Arial"/>
          <w:b w:val="0"/>
          <w:snapToGrid/>
          <w:color w:val="auto"/>
          <w:sz w:val="24"/>
          <w:szCs w:val="24"/>
        </w:rPr>
        <w:t xml:space="preserve"> </w:t>
      </w:r>
      <w:r w:rsidR="00742EE9" w:rsidRPr="00BF08B6">
        <w:rPr>
          <w:rFonts w:cs="Arial"/>
          <w:b w:val="0"/>
          <w:snapToGrid/>
          <w:color w:val="auto"/>
          <w:sz w:val="24"/>
          <w:szCs w:val="24"/>
        </w:rPr>
        <w:t>0.</w:t>
      </w:r>
      <w:r w:rsidR="00F76831" w:rsidRPr="00BF08B6">
        <w:rPr>
          <w:rFonts w:cs="Arial"/>
          <w:b w:val="0"/>
          <w:snapToGrid/>
          <w:color w:val="auto"/>
          <w:sz w:val="24"/>
          <w:szCs w:val="24"/>
        </w:rPr>
        <w:t>5</w:t>
      </w:r>
      <w:r w:rsidR="00901DFC" w:rsidRPr="00BF08B6">
        <w:rPr>
          <w:rFonts w:cs="Arial"/>
          <w:b w:val="0"/>
          <w:snapToGrid/>
          <w:color w:val="auto"/>
          <w:sz w:val="24"/>
          <w:szCs w:val="24"/>
        </w:rPr>
        <w:t> </w:t>
      </w:r>
      <w:r w:rsidR="00C13B5D" w:rsidRPr="00BF08B6">
        <w:rPr>
          <w:rFonts w:cs="Arial"/>
          <w:b w:val="0"/>
          <w:snapToGrid/>
          <w:color w:val="auto"/>
          <w:sz w:val="24"/>
          <w:szCs w:val="24"/>
        </w:rPr>
        <w:t>por ciento</w:t>
      </w:r>
      <w:r w:rsidR="006410E5" w:rsidRPr="00BF08B6">
        <w:rPr>
          <w:rFonts w:cs="Arial"/>
          <w:b w:val="0"/>
          <w:snapToGrid/>
          <w:color w:val="auto"/>
          <w:sz w:val="24"/>
          <w:szCs w:val="24"/>
        </w:rPr>
        <w:t>.</w:t>
      </w:r>
    </w:p>
    <w:p w14:paraId="5B9884AE" w14:textId="77777777" w:rsidR="00BF08B6" w:rsidRDefault="00BF08B6" w:rsidP="00BF08B6">
      <w:pPr>
        <w:pStyle w:val="bullet"/>
        <w:widowControl/>
        <w:numPr>
          <w:ilvl w:val="0"/>
          <w:numId w:val="0"/>
        </w:numPr>
        <w:tabs>
          <w:tab w:val="left" w:pos="8364"/>
        </w:tabs>
        <w:spacing w:before="360"/>
        <w:ind w:right="51"/>
        <w:rPr>
          <w:rFonts w:cs="Arial"/>
          <w:b w:val="0"/>
          <w:snapToGrid/>
          <w:color w:val="auto"/>
          <w:sz w:val="24"/>
          <w:szCs w:val="24"/>
        </w:rPr>
      </w:pPr>
    </w:p>
    <w:p w14:paraId="546B87B2" w14:textId="77777777" w:rsidR="00BF08B6" w:rsidRPr="005A4AC9" w:rsidRDefault="00BF08B6" w:rsidP="00BF08B6">
      <w:pPr>
        <w:pStyle w:val="Default"/>
        <w:jc w:val="center"/>
        <w:rPr>
          <w:rFonts w:eastAsia="Times New Roman"/>
          <w:b/>
          <w:smallCaps/>
          <w:snapToGrid w:val="0"/>
          <w:color w:val="auto"/>
          <w:sz w:val="22"/>
          <w:szCs w:val="22"/>
          <w:lang w:val="es-MX"/>
        </w:rPr>
      </w:pPr>
      <w:r w:rsidRPr="005A4AC9">
        <w:rPr>
          <w:rFonts w:eastAsia="Times New Roman"/>
          <w:b/>
          <w:smallCaps/>
          <w:snapToGrid w:val="0"/>
          <w:color w:val="auto"/>
          <w:sz w:val="22"/>
          <w:szCs w:val="22"/>
          <w:lang w:val="es-MX"/>
        </w:rPr>
        <w:t>Variación trimestral y anual de los</w:t>
      </w:r>
    </w:p>
    <w:p w14:paraId="3C418E0F" w14:textId="77777777" w:rsidR="00BF08B6" w:rsidRPr="005A4AC9" w:rsidRDefault="00BF08B6" w:rsidP="00BF08B6">
      <w:pPr>
        <w:pStyle w:val="Default"/>
        <w:jc w:val="center"/>
        <w:rPr>
          <w:b/>
          <w:smallCaps/>
          <w:color w:val="auto"/>
          <w:sz w:val="22"/>
          <w:szCs w:val="22"/>
          <w:lang w:val="es-MX"/>
        </w:rPr>
      </w:pPr>
      <w:r w:rsidRPr="005A4AC9">
        <w:rPr>
          <w:rFonts w:eastAsia="Times New Roman"/>
          <w:b/>
          <w:smallCaps/>
          <w:snapToGrid w:val="0"/>
          <w:color w:val="auto"/>
          <w:sz w:val="22"/>
          <w:szCs w:val="22"/>
          <w:lang w:val="es-MX"/>
        </w:rPr>
        <w:t xml:space="preserve">Indicadores Trimestrales del Producto Interno Bruto </w:t>
      </w:r>
      <w:r w:rsidRPr="005A4AC9">
        <w:rPr>
          <w:rFonts w:eastAsia="Times New Roman"/>
          <w:b/>
          <w:smallCaps/>
          <w:snapToGrid w:val="0"/>
          <w:color w:val="auto"/>
          <w:sz w:val="22"/>
          <w:szCs w:val="22"/>
          <w:lang w:val="es-MX"/>
        </w:rPr>
        <w:br/>
        <w:t xml:space="preserve">Turístico </w:t>
      </w:r>
      <w:r w:rsidRPr="005A4AC9">
        <w:rPr>
          <w:b/>
          <w:smallCaps/>
          <w:color w:val="auto"/>
          <w:sz w:val="22"/>
          <w:szCs w:val="22"/>
          <w:lang w:val="es-MX"/>
        </w:rPr>
        <w:t xml:space="preserve">y del Consumo Turístico Interior </w:t>
      </w:r>
    </w:p>
    <w:p w14:paraId="39F3997C" w14:textId="77777777" w:rsidR="00BF08B6" w:rsidRPr="005A4AC9" w:rsidRDefault="00BF08B6" w:rsidP="00BF08B6">
      <w:pPr>
        <w:pStyle w:val="Default"/>
        <w:jc w:val="center"/>
        <w:rPr>
          <w:b/>
          <w:smallCaps/>
          <w:color w:val="auto"/>
          <w:sz w:val="20"/>
          <w:szCs w:val="20"/>
          <w:lang w:val="es-MX"/>
        </w:rPr>
      </w:pPr>
      <w:r w:rsidRPr="005A4AC9">
        <w:rPr>
          <w:b/>
          <w:smallCaps/>
          <w:color w:val="auto"/>
          <w:sz w:val="20"/>
          <w:szCs w:val="20"/>
          <w:lang w:val="es-MX"/>
        </w:rPr>
        <w:t xml:space="preserve">cifras desestacionalizadas </w:t>
      </w:r>
    </w:p>
    <w:p w14:paraId="51540130" w14:textId="77777777" w:rsidR="00BF08B6" w:rsidRPr="002F1A9D" w:rsidRDefault="00BF08B6" w:rsidP="00BF08B6">
      <w:pPr>
        <w:pStyle w:val="Default"/>
        <w:jc w:val="center"/>
        <w:rPr>
          <w:bCs/>
          <w:iCs/>
          <w:color w:val="auto"/>
          <w:sz w:val="20"/>
          <w:szCs w:val="20"/>
          <w:lang w:val="es-MX" w:eastAsia="es-MX"/>
        </w:rPr>
      </w:pPr>
      <w:r w:rsidRPr="002F1A9D">
        <w:rPr>
          <w:bCs/>
          <w:color w:val="auto"/>
          <w:sz w:val="20"/>
          <w:szCs w:val="20"/>
          <w:lang w:val="es-MX"/>
        </w:rPr>
        <w:t>segundo trimestre de 2023</w:t>
      </w:r>
      <w:r w:rsidRPr="002F1A9D">
        <w:rPr>
          <w:bCs/>
          <w:iCs/>
          <w:sz w:val="20"/>
          <w:szCs w:val="20"/>
          <w:lang w:val="es-MX" w:eastAsia="es-MX"/>
        </w:rPr>
        <w:t xml:space="preserve"> </w:t>
      </w:r>
    </w:p>
    <w:tbl>
      <w:tblPr>
        <w:tblW w:w="0" w:type="auto"/>
        <w:jc w:val="center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3104"/>
        <w:gridCol w:w="1701"/>
        <w:gridCol w:w="1701"/>
      </w:tblGrid>
      <w:tr w:rsidR="00BF08B6" w:rsidRPr="005A4AC9" w14:paraId="71385FBB" w14:textId="77777777" w:rsidTr="00C74D9D">
        <w:trPr>
          <w:cantSplit/>
          <w:trHeight w:val="340"/>
          <w:jc w:val="center"/>
        </w:trPr>
        <w:tc>
          <w:tcPr>
            <w:tcW w:w="310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1EBE71CB" w14:textId="77777777" w:rsidR="00BF08B6" w:rsidRPr="005A4AC9" w:rsidRDefault="00BF08B6" w:rsidP="00C74D9D">
            <w:pPr>
              <w:pStyle w:val="p0"/>
              <w:keepLines w:val="0"/>
              <w:tabs>
                <w:tab w:val="left" w:pos="546"/>
              </w:tabs>
              <w:spacing w:before="120" w:after="120"/>
              <w:ind w:right="284"/>
              <w:jc w:val="center"/>
              <w:rPr>
                <w:rFonts w:cs="Arial"/>
                <w:color w:val="auto"/>
                <w:sz w:val="18"/>
              </w:rPr>
            </w:pPr>
            <w:r w:rsidRPr="005A4AC9">
              <w:rPr>
                <w:rFonts w:cs="Arial"/>
                <w:color w:val="auto"/>
                <w:sz w:val="18"/>
              </w:rPr>
              <w:t>Indicador</w:t>
            </w:r>
          </w:p>
        </w:tc>
        <w:tc>
          <w:tcPr>
            <w:tcW w:w="3402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C2D69B" w:themeFill="accent3" w:themeFillTint="99"/>
            <w:vAlign w:val="center"/>
            <w:hideMark/>
          </w:tcPr>
          <w:p w14:paraId="0B204D0B" w14:textId="77777777" w:rsidR="00BF08B6" w:rsidRPr="005A4AC9" w:rsidRDefault="00BF08B6" w:rsidP="00C74D9D">
            <w:pPr>
              <w:pStyle w:val="p0"/>
              <w:keepNext/>
              <w:spacing w:before="0"/>
              <w:jc w:val="center"/>
              <w:rPr>
                <w:rFonts w:cs="Arial"/>
                <w:color w:val="auto"/>
                <w:sz w:val="18"/>
              </w:rPr>
            </w:pPr>
            <w:r w:rsidRPr="005A4AC9">
              <w:rPr>
                <w:rFonts w:cs="Arial"/>
                <w:color w:val="auto"/>
                <w:sz w:val="18"/>
              </w:rPr>
              <w:t>Variación porcentual real respecto al:</w:t>
            </w:r>
          </w:p>
        </w:tc>
      </w:tr>
      <w:tr w:rsidR="00BF08B6" w:rsidRPr="005A4AC9" w14:paraId="1F99A4D7" w14:textId="77777777" w:rsidTr="00C74D9D">
        <w:trPr>
          <w:cantSplit/>
          <w:trHeight w:val="510"/>
          <w:jc w:val="center"/>
        </w:trPr>
        <w:tc>
          <w:tcPr>
            <w:tcW w:w="3104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1ABD86BE" w14:textId="77777777" w:rsidR="00BF08B6" w:rsidRPr="005A4AC9" w:rsidRDefault="00BF08B6" w:rsidP="00C74D9D">
            <w:pPr>
              <w:pStyle w:val="p0"/>
              <w:keepLines w:val="0"/>
              <w:tabs>
                <w:tab w:val="left" w:pos="546"/>
              </w:tabs>
              <w:spacing w:before="120" w:after="120"/>
              <w:ind w:right="284"/>
              <w:jc w:val="center"/>
              <w:rPr>
                <w:rFonts w:cs="Arial"/>
                <w:color w:val="auto"/>
                <w:sz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73E6D999" w14:textId="77777777" w:rsidR="00BF08B6" w:rsidRPr="005A4AC9" w:rsidRDefault="00BF08B6" w:rsidP="00C74D9D">
            <w:pPr>
              <w:pStyle w:val="p0"/>
              <w:keepNext/>
              <w:spacing w:before="0"/>
              <w:jc w:val="center"/>
              <w:rPr>
                <w:rFonts w:cs="Arial"/>
                <w:color w:val="auto"/>
                <w:sz w:val="18"/>
              </w:rPr>
            </w:pPr>
            <w:r w:rsidRPr="005A4AC9">
              <w:rPr>
                <w:rFonts w:cs="Arial"/>
                <w:color w:val="auto"/>
                <w:sz w:val="18"/>
              </w:rPr>
              <w:t>primer trimestre de 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C2D69B" w:themeFill="accent3" w:themeFillTint="99"/>
            <w:vAlign w:val="center"/>
          </w:tcPr>
          <w:p w14:paraId="7A36B3B8" w14:textId="77777777" w:rsidR="00BF08B6" w:rsidRPr="005A4AC9" w:rsidRDefault="00BF08B6" w:rsidP="00C74D9D">
            <w:pPr>
              <w:pStyle w:val="p0"/>
              <w:keepNext/>
              <w:spacing w:before="0"/>
              <w:jc w:val="center"/>
              <w:rPr>
                <w:rFonts w:cs="Arial"/>
                <w:color w:val="auto"/>
                <w:sz w:val="18"/>
              </w:rPr>
            </w:pPr>
            <w:r w:rsidRPr="005A4AC9">
              <w:rPr>
                <w:rFonts w:cs="Arial"/>
                <w:color w:val="auto"/>
                <w:sz w:val="18"/>
              </w:rPr>
              <w:t>segundo trimestre de 2022</w:t>
            </w:r>
          </w:p>
        </w:tc>
      </w:tr>
      <w:tr w:rsidR="00BF08B6" w:rsidRPr="005A4AC9" w14:paraId="5EFB5BD5" w14:textId="77777777" w:rsidTr="00C74D9D">
        <w:trPr>
          <w:cantSplit/>
          <w:trHeight w:val="283"/>
          <w:jc w:val="center"/>
        </w:trPr>
        <w:tc>
          <w:tcPr>
            <w:tcW w:w="3104" w:type="dxa"/>
            <w:tcBorders>
              <w:top w:val="single" w:sz="4" w:space="0" w:color="auto"/>
              <w:left w:val="single" w:sz="4" w:space="0" w:color="000000" w:themeColor="text1"/>
              <w:bottom w:val="nil"/>
              <w:right w:val="single" w:sz="4" w:space="0" w:color="auto"/>
            </w:tcBorders>
            <w:vAlign w:val="center"/>
            <w:hideMark/>
          </w:tcPr>
          <w:p w14:paraId="64557D7B" w14:textId="77777777" w:rsidR="00BF08B6" w:rsidRPr="005A4AC9" w:rsidRDefault="00BF08B6" w:rsidP="00C74D9D">
            <w:pPr>
              <w:pStyle w:val="p0"/>
              <w:keepLines w:val="0"/>
              <w:spacing w:before="0"/>
              <w:jc w:val="left"/>
              <w:rPr>
                <w:rFonts w:cs="Arial"/>
                <w:b/>
                <w:color w:val="auto"/>
                <w:sz w:val="18"/>
              </w:rPr>
            </w:pPr>
            <w:r w:rsidRPr="005A4AC9">
              <w:rPr>
                <w:rFonts w:cs="Arial"/>
                <w:sz w:val="18"/>
              </w:rPr>
              <w:br w:type="page"/>
            </w:r>
            <w:r w:rsidRPr="005A4AC9">
              <w:rPr>
                <w:rFonts w:cs="Arial"/>
                <w:b/>
                <w:color w:val="auto"/>
                <w:sz w:val="18"/>
              </w:rPr>
              <w:t>PIB turístico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EBBCC6C" w14:textId="77777777" w:rsidR="00BF08B6" w:rsidRPr="005A4AC9" w:rsidRDefault="00BF08B6" w:rsidP="00C74D9D">
            <w:pPr>
              <w:tabs>
                <w:tab w:val="decimal" w:pos="662"/>
              </w:tabs>
              <w:rPr>
                <w:rFonts w:cs="Arial"/>
                <w:b/>
                <w:sz w:val="18"/>
                <w:lang w:eastAsia="en-US"/>
              </w:rPr>
            </w:pPr>
            <w:r w:rsidRPr="005A4AC9">
              <w:rPr>
                <w:rFonts w:cs="Arial"/>
                <w:b/>
                <w:sz w:val="18"/>
                <w:lang w:eastAsia="en-US"/>
              </w:rPr>
              <w:t>2.6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 w:themeColor="text1"/>
            </w:tcBorders>
            <w:vAlign w:val="center"/>
          </w:tcPr>
          <w:p w14:paraId="459E24EC" w14:textId="77777777" w:rsidR="00BF08B6" w:rsidRPr="005A4AC9" w:rsidRDefault="00BF08B6" w:rsidP="00C74D9D">
            <w:pPr>
              <w:tabs>
                <w:tab w:val="decimal" w:pos="662"/>
              </w:tabs>
              <w:rPr>
                <w:rFonts w:cs="Arial"/>
                <w:b/>
                <w:sz w:val="18"/>
                <w:lang w:eastAsia="en-US"/>
              </w:rPr>
            </w:pPr>
            <w:r w:rsidRPr="005A4AC9">
              <w:rPr>
                <w:rFonts w:cs="Arial"/>
                <w:b/>
                <w:sz w:val="18"/>
                <w:lang w:eastAsia="en-US"/>
              </w:rPr>
              <w:t>3.8</w:t>
            </w:r>
          </w:p>
        </w:tc>
      </w:tr>
      <w:tr w:rsidR="00BF08B6" w:rsidRPr="005A4AC9" w14:paraId="69217585" w14:textId="77777777" w:rsidTr="00C74D9D">
        <w:trPr>
          <w:cantSplit/>
          <w:trHeight w:val="283"/>
          <w:jc w:val="center"/>
        </w:trPr>
        <w:tc>
          <w:tcPr>
            <w:tcW w:w="3104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auto"/>
            </w:tcBorders>
            <w:vAlign w:val="center"/>
            <w:hideMark/>
          </w:tcPr>
          <w:p w14:paraId="6BFEDC02" w14:textId="77777777" w:rsidR="00BF08B6" w:rsidRPr="005A4AC9" w:rsidRDefault="00BF08B6" w:rsidP="00C74D9D">
            <w:pPr>
              <w:pStyle w:val="p0"/>
              <w:keepLines w:val="0"/>
              <w:spacing w:before="0"/>
              <w:ind w:firstLine="215"/>
              <w:jc w:val="left"/>
              <w:rPr>
                <w:rFonts w:cs="Arial"/>
                <w:color w:val="auto"/>
                <w:sz w:val="18"/>
              </w:rPr>
            </w:pPr>
            <w:r w:rsidRPr="005A4AC9">
              <w:rPr>
                <w:rFonts w:cs="Arial"/>
                <w:color w:val="auto"/>
                <w:sz w:val="18"/>
              </w:rPr>
              <w:t>Bienes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B4B2C91" w14:textId="77777777" w:rsidR="00BF08B6" w:rsidRPr="005A4AC9" w:rsidRDefault="00BF08B6" w:rsidP="00C74D9D">
            <w:pPr>
              <w:tabs>
                <w:tab w:val="decimal" w:pos="662"/>
              </w:tabs>
              <w:rPr>
                <w:rFonts w:cs="Arial"/>
                <w:sz w:val="18"/>
                <w:lang w:eastAsia="en-US"/>
              </w:rPr>
            </w:pPr>
            <w:r w:rsidRPr="005A4AC9">
              <w:rPr>
                <w:rFonts w:cs="Arial"/>
                <w:sz w:val="18"/>
                <w:lang w:eastAsia="en-US"/>
              </w:rPr>
              <w:t>-0.7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vAlign w:val="center"/>
            <w:hideMark/>
          </w:tcPr>
          <w:p w14:paraId="7DF9899E" w14:textId="77777777" w:rsidR="00BF08B6" w:rsidRPr="005A4AC9" w:rsidRDefault="00BF08B6" w:rsidP="00C74D9D">
            <w:pPr>
              <w:tabs>
                <w:tab w:val="decimal" w:pos="662"/>
              </w:tabs>
              <w:rPr>
                <w:rFonts w:cs="Arial"/>
                <w:sz w:val="18"/>
                <w:lang w:eastAsia="en-US"/>
              </w:rPr>
            </w:pPr>
            <w:r w:rsidRPr="005A4AC9">
              <w:rPr>
                <w:rFonts w:cs="Arial"/>
                <w:sz w:val="18"/>
                <w:lang w:eastAsia="en-US"/>
              </w:rPr>
              <w:t>-5.0</w:t>
            </w:r>
          </w:p>
        </w:tc>
      </w:tr>
      <w:tr w:rsidR="00BF08B6" w:rsidRPr="005A4AC9" w14:paraId="0318443A" w14:textId="77777777" w:rsidTr="00C74D9D">
        <w:trPr>
          <w:cantSplit/>
          <w:trHeight w:val="283"/>
          <w:jc w:val="center"/>
        </w:trPr>
        <w:tc>
          <w:tcPr>
            <w:tcW w:w="3104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auto"/>
            </w:tcBorders>
            <w:vAlign w:val="center"/>
            <w:hideMark/>
          </w:tcPr>
          <w:p w14:paraId="43A66AB9" w14:textId="77777777" w:rsidR="00BF08B6" w:rsidRPr="005A4AC9" w:rsidRDefault="00BF08B6" w:rsidP="00C74D9D">
            <w:pPr>
              <w:pStyle w:val="p0"/>
              <w:keepLines w:val="0"/>
              <w:spacing w:before="0"/>
              <w:ind w:firstLine="215"/>
              <w:jc w:val="left"/>
              <w:rPr>
                <w:rFonts w:cs="Arial"/>
                <w:color w:val="auto"/>
                <w:sz w:val="18"/>
              </w:rPr>
            </w:pPr>
            <w:r w:rsidRPr="005A4AC9">
              <w:rPr>
                <w:rFonts w:cs="Arial"/>
                <w:color w:val="auto"/>
                <w:sz w:val="18"/>
              </w:rPr>
              <w:t>Servicios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2591B43" w14:textId="77777777" w:rsidR="00BF08B6" w:rsidRPr="005A4AC9" w:rsidRDefault="00BF08B6" w:rsidP="00C74D9D">
            <w:pPr>
              <w:tabs>
                <w:tab w:val="decimal" w:pos="662"/>
              </w:tabs>
              <w:rPr>
                <w:rFonts w:cs="Arial"/>
                <w:sz w:val="18"/>
                <w:lang w:eastAsia="en-US"/>
              </w:rPr>
            </w:pPr>
            <w:r w:rsidRPr="005A4AC9">
              <w:rPr>
                <w:rFonts w:cs="Arial"/>
                <w:sz w:val="18"/>
                <w:lang w:eastAsia="en-US"/>
              </w:rPr>
              <w:t>3.2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vAlign w:val="center"/>
            <w:hideMark/>
          </w:tcPr>
          <w:p w14:paraId="0F77D44D" w14:textId="77777777" w:rsidR="00BF08B6" w:rsidRPr="005A4AC9" w:rsidRDefault="00BF08B6" w:rsidP="00C74D9D">
            <w:pPr>
              <w:tabs>
                <w:tab w:val="decimal" w:pos="662"/>
              </w:tabs>
              <w:rPr>
                <w:rFonts w:cs="Arial"/>
                <w:sz w:val="18"/>
                <w:lang w:eastAsia="en-US"/>
              </w:rPr>
            </w:pPr>
            <w:r w:rsidRPr="005A4AC9">
              <w:rPr>
                <w:rFonts w:cs="Arial"/>
                <w:sz w:val="18"/>
                <w:lang w:eastAsia="en-US"/>
              </w:rPr>
              <w:t>6.3</w:t>
            </w:r>
          </w:p>
        </w:tc>
      </w:tr>
      <w:tr w:rsidR="00BF08B6" w:rsidRPr="005A4AC9" w14:paraId="12089B8A" w14:textId="77777777" w:rsidTr="00C74D9D">
        <w:trPr>
          <w:cantSplit/>
          <w:trHeight w:val="283"/>
          <w:jc w:val="center"/>
        </w:trPr>
        <w:tc>
          <w:tcPr>
            <w:tcW w:w="3104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auto"/>
            </w:tcBorders>
            <w:vAlign w:val="center"/>
            <w:hideMark/>
          </w:tcPr>
          <w:p w14:paraId="54FE05AA" w14:textId="77777777" w:rsidR="00BF08B6" w:rsidRPr="005A4AC9" w:rsidRDefault="00BF08B6" w:rsidP="00C74D9D">
            <w:pPr>
              <w:pStyle w:val="p0"/>
              <w:keepLines w:val="0"/>
              <w:spacing w:before="0"/>
              <w:jc w:val="left"/>
              <w:rPr>
                <w:rFonts w:cs="Arial"/>
                <w:b/>
                <w:color w:val="auto"/>
                <w:sz w:val="18"/>
              </w:rPr>
            </w:pPr>
            <w:r w:rsidRPr="005A4AC9">
              <w:rPr>
                <w:rFonts w:cs="Arial"/>
                <w:b/>
                <w:color w:val="auto"/>
                <w:sz w:val="18"/>
              </w:rPr>
              <w:t>Consumo turístico interior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02C2520" w14:textId="77777777" w:rsidR="00BF08B6" w:rsidRPr="005A4AC9" w:rsidRDefault="00BF08B6" w:rsidP="00C74D9D">
            <w:pPr>
              <w:tabs>
                <w:tab w:val="decimal" w:pos="662"/>
              </w:tabs>
              <w:rPr>
                <w:rFonts w:cs="Arial"/>
                <w:b/>
                <w:sz w:val="18"/>
                <w:lang w:eastAsia="en-US"/>
              </w:rPr>
            </w:pPr>
            <w:r w:rsidRPr="005A4AC9">
              <w:rPr>
                <w:rFonts w:cs="Arial"/>
                <w:b/>
                <w:sz w:val="18"/>
                <w:lang w:eastAsia="en-US"/>
              </w:rPr>
              <w:t>0.5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vAlign w:val="center"/>
          </w:tcPr>
          <w:p w14:paraId="2899095A" w14:textId="77777777" w:rsidR="00BF08B6" w:rsidRPr="005A4AC9" w:rsidRDefault="00BF08B6" w:rsidP="00C74D9D">
            <w:pPr>
              <w:tabs>
                <w:tab w:val="decimal" w:pos="662"/>
              </w:tabs>
              <w:rPr>
                <w:rFonts w:cs="Arial"/>
                <w:b/>
                <w:sz w:val="18"/>
                <w:lang w:eastAsia="en-US"/>
              </w:rPr>
            </w:pPr>
            <w:r w:rsidRPr="005A4AC9">
              <w:rPr>
                <w:rFonts w:cs="Arial"/>
                <w:b/>
                <w:sz w:val="18"/>
                <w:lang w:eastAsia="en-US"/>
              </w:rPr>
              <w:t>3.5</w:t>
            </w:r>
          </w:p>
        </w:tc>
      </w:tr>
      <w:tr w:rsidR="00BF08B6" w:rsidRPr="005A4AC9" w14:paraId="5D92486A" w14:textId="77777777" w:rsidTr="00C74D9D">
        <w:trPr>
          <w:cantSplit/>
          <w:trHeight w:val="283"/>
          <w:jc w:val="center"/>
        </w:trPr>
        <w:tc>
          <w:tcPr>
            <w:tcW w:w="3104" w:type="dxa"/>
            <w:tcBorders>
              <w:top w:val="nil"/>
              <w:left w:val="single" w:sz="4" w:space="0" w:color="000000" w:themeColor="text1"/>
              <w:right w:val="single" w:sz="4" w:space="0" w:color="auto"/>
            </w:tcBorders>
            <w:vAlign w:val="center"/>
          </w:tcPr>
          <w:p w14:paraId="6F43A870" w14:textId="77777777" w:rsidR="00BF08B6" w:rsidRPr="005A4AC9" w:rsidRDefault="00BF08B6" w:rsidP="00C74D9D">
            <w:pPr>
              <w:pStyle w:val="p0"/>
              <w:keepLines w:val="0"/>
              <w:spacing w:before="0"/>
              <w:ind w:firstLine="215"/>
              <w:jc w:val="left"/>
              <w:rPr>
                <w:rFonts w:cs="Arial"/>
                <w:color w:val="auto"/>
                <w:sz w:val="18"/>
              </w:rPr>
            </w:pPr>
            <w:r w:rsidRPr="005A4AC9">
              <w:rPr>
                <w:rFonts w:cs="Arial"/>
                <w:color w:val="auto"/>
                <w:sz w:val="18"/>
              </w:rPr>
              <w:t>Interno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1A1D072" w14:textId="77777777" w:rsidR="00BF08B6" w:rsidRPr="005A4AC9" w:rsidRDefault="00BF08B6" w:rsidP="00C74D9D">
            <w:pPr>
              <w:tabs>
                <w:tab w:val="decimal" w:pos="662"/>
              </w:tabs>
              <w:rPr>
                <w:rFonts w:cs="Arial"/>
                <w:sz w:val="18"/>
              </w:rPr>
            </w:pPr>
            <w:r w:rsidRPr="005A4AC9">
              <w:rPr>
                <w:rFonts w:cs="Arial"/>
                <w:sz w:val="18"/>
              </w:rPr>
              <w:t>4.9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right w:val="single" w:sz="4" w:space="0" w:color="000000" w:themeColor="text1"/>
            </w:tcBorders>
            <w:vAlign w:val="center"/>
          </w:tcPr>
          <w:p w14:paraId="07C64D5B" w14:textId="77777777" w:rsidR="00BF08B6" w:rsidRPr="005A4AC9" w:rsidRDefault="00BF08B6" w:rsidP="00C74D9D">
            <w:pPr>
              <w:tabs>
                <w:tab w:val="decimal" w:pos="662"/>
              </w:tabs>
              <w:rPr>
                <w:rFonts w:cs="Arial"/>
                <w:sz w:val="18"/>
              </w:rPr>
            </w:pPr>
            <w:r w:rsidRPr="005A4AC9">
              <w:rPr>
                <w:rFonts w:cs="Arial"/>
                <w:sz w:val="18"/>
              </w:rPr>
              <w:t>7.8</w:t>
            </w:r>
          </w:p>
        </w:tc>
      </w:tr>
      <w:tr w:rsidR="00BF08B6" w:rsidRPr="005A4AC9" w14:paraId="7AB7707D" w14:textId="77777777" w:rsidTr="00C74D9D">
        <w:trPr>
          <w:cantSplit/>
          <w:trHeight w:val="283"/>
          <w:jc w:val="center"/>
        </w:trPr>
        <w:tc>
          <w:tcPr>
            <w:tcW w:w="3104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4FF0F8BA" w14:textId="77777777" w:rsidR="00BF08B6" w:rsidRPr="005A4AC9" w:rsidRDefault="00BF08B6" w:rsidP="00C74D9D">
            <w:pPr>
              <w:pStyle w:val="p0"/>
              <w:keepLines w:val="0"/>
              <w:spacing w:before="0"/>
              <w:ind w:firstLine="215"/>
              <w:jc w:val="left"/>
              <w:rPr>
                <w:rFonts w:cs="Arial"/>
                <w:color w:val="auto"/>
                <w:sz w:val="18"/>
              </w:rPr>
            </w:pPr>
            <w:r w:rsidRPr="005A4AC9">
              <w:rPr>
                <w:rFonts w:cs="Arial"/>
                <w:color w:val="auto"/>
                <w:sz w:val="18"/>
              </w:rPr>
              <w:t>Receptivo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6A82D8D3" w14:textId="77777777" w:rsidR="00BF08B6" w:rsidRPr="005A4AC9" w:rsidRDefault="00BF08B6" w:rsidP="00C74D9D">
            <w:pPr>
              <w:tabs>
                <w:tab w:val="decimal" w:pos="662"/>
              </w:tabs>
              <w:rPr>
                <w:rFonts w:cs="Arial"/>
                <w:sz w:val="18"/>
              </w:rPr>
            </w:pPr>
            <w:r w:rsidRPr="005A4AC9">
              <w:rPr>
                <w:rFonts w:cs="Arial"/>
                <w:sz w:val="18"/>
              </w:rPr>
              <w:t>-18.0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8C50E04" w14:textId="77777777" w:rsidR="00BF08B6" w:rsidRPr="005A4AC9" w:rsidRDefault="00BF08B6" w:rsidP="00C74D9D">
            <w:pPr>
              <w:tabs>
                <w:tab w:val="decimal" w:pos="662"/>
              </w:tabs>
              <w:rPr>
                <w:rFonts w:cs="Arial"/>
                <w:sz w:val="18"/>
              </w:rPr>
            </w:pPr>
            <w:r w:rsidRPr="005A4AC9">
              <w:rPr>
                <w:rFonts w:cs="Arial"/>
                <w:sz w:val="18"/>
              </w:rPr>
              <w:t>-15.2</w:t>
            </w:r>
          </w:p>
        </w:tc>
      </w:tr>
    </w:tbl>
    <w:p w14:paraId="6A635EB9" w14:textId="74E28AE7" w:rsidR="00BF08B6" w:rsidRPr="005A4AC9" w:rsidRDefault="00BF08B6" w:rsidP="00BF08B6">
      <w:pPr>
        <w:pStyle w:val="Textoindependiente"/>
        <w:ind w:left="2450" w:rightChars="737" w:right="1769" w:hanging="607"/>
        <w:contextualSpacing/>
        <w:jc w:val="both"/>
        <w:rPr>
          <w:sz w:val="16"/>
          <w:szCs w:val="16"/>
          <w:lang w:val="es-MX"/>
        </w:rPr>
      </w:pPr>
      <w:r w:rsidRPr="005A4AC9">
        <w:rPr>
          <w:sz w:val="16"/>
          <w:szCs w:val="16"/>
          <w:lang w:val="es-MX"/>
        </w:rPr>
        <w:t>Nota:</w:t>
      </w:r>
      <w:r w:rsidRPr="005A4AC9">
        <w:rPr>
          <w:sz w:val="16"/>
          <w:szCs w:val="16"/>
          <w:lang w:val="es-MX"/>
        </w:rPr>
        <w:tab/>
        <w:t>L</w:t>
      </w:r>
      <w:r w:rsidRPr="005A4AC9">
        <w:rPr>
          <w:color w:val="auto"/>
          <w:sz w:val="16"/>
          <w:lang w:val="es-MX"/>
        </w:rPr>
        <w:t xml:space="preserve">as series desestacionalizadas del </w:t>
      </w:r>
      <w:r w:rsidRPr="005A4AC9">
        <w:rPr>
          <w:snapToGrid/>
          <w:color w:val="auto"/>
          <w:sz w:val="16"/>
          <w:szCs w:val="22"/>
          <w:lang w:val="es-MX"/>
        </w:rPr>
        <w:t xml:space="preserve">Indicador </w:t>
      </w:r>
      <w:proofErr w:type="spellStart"/>
      <w:r w:rsidRPr="005A4AC9">
        <w:rPr>
          <w:smallCaps/>
          <w:color w:val="auto"/>
          <w:sz w:val="16"/>
          <w:lang w:val="es-MX"/>
        </w:rPr>
        <w:t>itpibt</w:t>
      </w:r>
      <w:proofErr w:type="spellEnd"/>
      <w:r w:rsidRPr="005A4AC9">
        <w:rPr>
          <w:color w:val="auto"/>
          <w:sz w:val="16"/>
          <w:lang w:val="es-MX"/>
        </w:rPr>
        <w:t xml:space="preserve"> y del </w:t>
      </w:r>
      <w:proofErr w:type="spellStart"/>
      <w:r w:rsidRPr="005A4AC9">
        <w:rPr>
          <w:smallCaps/>
          <w:color w:val="auto"/>
          <w:sz w:val="16"/>
          <w:lang w:val="es-MX"/>
        </w:rPr>
        <w:t>tcti</w:t>
      </w:r>
      <w:proofErr w:type="spellEnd"/>
      <w:r w:rsidRPr="005A4AC9">
        <w:rPr>
          <w:color w:val="auto"/>
          <w:sz w:val="16"/>
          <w:lang w:val="es-MX"/>
        </w:rPr>
        <w:t xml:space="preserve"> se calculan de manera independiente a las de sus componentes.</w:t>
      </w:r>
    </w:p>
    <w:p w14:paraId="0135CE08" w14:textId="15C3F1F5" w:rsidR="00BF08B6" w:rsidRPr="005A4AC9" w:rsidRDefault="00BF08B6" w:rsidP="00BF08B6">
      <w:pPr>
        <w:pStyle w:val="Textoindependiente"/>
        <w:ind w:left="2450" w:rightChars="737" w:right="1769" w:hanging="607"/>
        <w:contextualSpacing/>
        <w:jc w:val="both"/>
        <w:rPr>
          <w:sz w:val="16"/>
          <w:szCs w:val="16"/>
          <w:lang w:val="es-MX"/>
        </w:rPr>
      </w:pPr>
      <w:r w:rsidRPr="005A4AC9">
        <w:rPr>
          <w:sz w:val="16"/>
          <w:szCs w:val="16"/>
          <w:lang w:val="es-MX"/>
        </w:rPr>
        <w:t>Fuente:</w:t>
      </w:r>
      <w:r w:rsidRPr="005A4AC9">
        <w:rPr>
          <w:sz w:val="16"/>
          <w:szCs w:val="16"/>
          <w:lang w:val="es-MX"/>
        </w:rPr>
        <w:tab/>
      </w:r>
      <w:proofErr w:type="spellStart"/>
      <w:r w:rsidRPr="005A4AC9">
        <w:rPr>
          <w:bCs/>
          <w:smallCaps/>
          <w:color w:val="auto"/>
          <w:sz w:val="16"/>
          <w:szCs w:val="16"/>
          <w:lang w:val="es-MX"/>
        </w:rPr>
        <w:t>inegi</w:t>
      </w:r>
      <w:proofErr w:type="spellEnd"/>
      <w:r w:rsidRPr="005A4AC9">
        <w:rPr>
          <w:bCs/>
          <w:color w:val="auto"/>
          <w:sz w:val="16"/>
          <w:szCs w:val="16"/>
          <w:lang w:val="es-MX"/>
        </w:rPr>
        <w:t>. Sistema de Cuentas Nacionales de México</w:t>
      </w:r>
      <w:r>
        <w:rPr>
          <w:bCs/>
          <w:color w:val="auto"/>
          <w:sz w:val="16"/>
          <w:szCs w:val="16"/>
          <w:lang w:val="es-MX"/>
        </w:rPr>
        <w:t xml:space="preserve">, </w:t>
      </w:r>
      <w:proofErr w:type="spellStart"/>
      <w:r w:rsidRPr="005A4AC9">
        <w:rPr>
          <w:bCs/>
          <w:smallCaps/>
          <w:color w:val="auto"/>
          <w:sz w:val="16"/>
          <w:szCs w:val="16"/>
          <w:lang w:val="es-MX"/>
        </w:rPr>
        <w:t>itat</w:t>
      </w:r>
      <w:proofErr w:type="spellEnd"/>
      <w:r w:rsidR="00E9509E">
        <w:rPr>
          <w:bCs/>
          <w:color w:val="auto"/>
          <w:sz w:val="16"/>
          <w:szCs w:val="16"/>
          <w:lang w:val="es-MX"/>
        </w:rPr>
        <w:t>. C</w:t>
      </w:r>
      <w:r w:rsidRPr="005A4AC9">
        <w:rPr>
          <w:bCs/>
          <w:color w:val="auto"/>
          <w:sz w:val="16"/>
          <w:szCs w:val="16"/>
          <w:lang w:val="es-MX"/>
        </w:rPr>
        <w:t xml:space="preserve">ifras elaboradas mediante </w:t>
      </w:r>
      <w:bookmarkStart w:id="3" w:name="OLE_LINK1"/>
      <w:r w:rsidRPr="005A4AC9">
        <w:rPr>
          <w:bCs/>
          <w:color w:val="auto"/>
          <w:sz w:val="16"/>
          <w:szCs w:val="16"/>
          <w:lang w:val="es-MX"/>
        </w:rPr>
        <w:t>métodos econométricos, 2023</w:t>
      </w:r>
      <w:bookmarkEnd w:id="3"/>
      <w:r w:rsidRPr="005A4AC9">
        <w:rPr>
          <w:bCs/>
          <w:color w:val="auto"/>
          <w:sz w:val="16"/>
          <w:szCs w:val="16"/>
          <w:lang w:val="es-MX"/>
        </w:rPr>
        <w:t>.</w:t>
      </w:r>
    </w:p>
    <w:p w14:paraId="4224D28B" w14:textId="38D9A719" w:rsidR="003C6E13" w:rsidRPr="00BF08B6" w:rsidRDefault="006575E8" w:rsidP="00BF08B6">
      <w:pPr>
        <w:pStyle w:val="bullet"/>
        <w:widowControl/>
        <w:numPr>
          <w:ilvl w:val="0"/>
          <w:numId w:val="0"/>
        </w:numPr>
        <w:tabs>
          <w:tab w:val="left" w:pos="8364"/>
        </w:tabs>
        <w:spacing w:before="360"/>
        <w:ind w:right="51"/>
        <w:rPr>
          <w:rFonts w:cs="Arial"/>
          <w:b w:val="0"/>
          <w:snapToGrid/>
          <w:color w:val="auto"/>
          <w:sz w:val="24"/>
          <w:szCs w:val="24"/>
        </w:rPr>
      </w:pPr>
      <w:r w:rsidRPr="00BF08B6">
        <w:rPr>
          <w:rFonts w:cs="Arial"/>
          <w:b w:val="0"/>
          <w:snapToGrid/>
          <w:color w:val="auto"/>
          <w:sz w:val="24"/>
          <w:szCs w:val="24"/>
        </w:rPr>
        <w:t>A tasa</w:t>
      </w:r>
      <w:r w:rsidR="00274992" w:rsidRPr="00BF08B6">
        <w:rPr>
          <w:rFonts w:cs="Arial"/>
          <w:b w:val="0"/>
          <w:snapToGrid/>
          <w:color w:val="auto"/>
          <w:sz w:val="24"/>
          <w:szCs w:val="24"/>
        </w:rPr>
        <w:t xml:space="preserve"> anual, el</w:t>
      </w:r>
      <w:r w:rsidR="00D87EA6" w:rsidRPr="00BF08B6">
        <w:rPr>
          <w:rFonts w:cs="Arial"/>
          <w:b w:val="0"/>
          <w:snapToGrid/>
          <w:color w:val="auto"/>
          <w:sz w:val="24"/>
          <w:szCs w:val="24"/>
        </w:rPr>
        <w:t xml:space="preserve"> </w:t>
      </w:r>
      <w:proofErr w:type="spellStart"/>
      <w:r w:rsidR="00F76831" w:rsidRPr="00BF08B6">
        <w:rPr>
          <w:rFonts w:cs="Arial"/>
          <w:b w:val="0"/>
          <w:smallCaps/>
          <w:snapToGrid/>
          <w:color w:val="auto"/>
          <w:sz w:val="24"/>
          <w:szCs w:val="24"/>
        </w:rPr>
        <w:t>itpibt</w:t>
      </w:r>
      <w:proofErr w:type="spellEnd"/>
      <w:r w:rsidR="00EC1D9C" w:rsidRPr="00BF08B6">
        <w:rPr>
          <w:rFonts w:cs="Arial"/>
          <w:b w:val="0"/>
          <w:snapToGrid/>
          <w:color w:val="auto"/>
          <w:sz w:val="24"/>
          <w:szCs w:val="24"/>
        </w:rPr>
        <w:t xml:space="preserve"> </w:t>
      </w:r>
      <w:r w:rsidR="00D22AC4" w:rsidRPr="00BF08B6">
        <w:rPr>
          <w:rFonts w:cs="Arial"/>
          <w:b w:val="0"/>
          <w:snapToGrid/>
          <w:color w:val="auto"/>
          <w:sz w:val="24"/>
          <w:szCs w:val="24"/>
        </w:rPr>
        <w:t>increment</w:t>
      </w:r>
      <w:r w:rsidR="00EB0FB4" w:rsidRPr="00BF08B6">
        <w:rPr>
          <w:rFonts w:cs="Arial"/>
          <w:b w:val="0"/>
          <w:snapToGrid/>
          <w:color w:val="auto"/>
          <w:sz w:val="24"/>
          <w:szCs w:val="24"/>
        </w:rPr>
        <w:t>ó</w:t>
      </w:r>
      <w:r w:rsidR="0075369F" w:rsidRPr="00BF08B6">
        <w:rPr>
          <w:rFonts w:cs="Arial"/>
          <w:b w:val="0"/>
          <w:snapToGrid/>
          <w:color w:val="auto"/>
          <w:sz w:val="24"/>
          <w:szCs w:val="24"/>
        </w:rPr>
        <w:t xml:space="preserve"> </w:t>
      </w:r>
      <w:r w:rsidR="00F76831" w:rsidRPr="00BF08B6">
        <w:rPr>
          <w:rFonts w:cs="Arial"/>
          <w:b w:val="0"/>
          <w:snapToGrid/>
          <w:color w:val="auto"/>
          <w:sz w:val="24"/>
          <w:szCs w:val="24"/>
        </w:rPr>
        <w:t>3.8</w:t>
      </w:r>
      <w:r w:rsidR="00CE7279" w:rsidRPr="00BF08B6">
        <w:rPr>
          <w:rFonts w:cs="Arial"/>
          <w:b w:val="0"/>
          <w:snapToGrid/>
          <w:color w:val="auto"/>
          <w:sz w:val="24"/>
          <w:szCs w:val="24"/>
        </w:rPr>
        <w:t> </w:t>
      </w:r>
      <w:r w:rsidR="003B5EBA" w:rsidRPr="00BF08B6">
        <w:rPr>
          <w:rFonts w:cs="Arial"/>
          <w:b w:val="0"/>
          <w:snapToGrid/>
          <w:color w:val="auto"/>
          <w:sz w:val="24"/>
          <w:szCs w:val="24"/>
        </w:rPr>
        <w:t>%</w:t>
      </w:r>
      <w:r w:rsidR="00551781" w:rsidRPr="00BF08B6">
        <w:rPr>
          <w:rFonts w:cs="Arial"/>
          <w:b w:val="0"/>
          <w:snapToGrid/>
          <w:color w:val="auto"/>
          <w:sz w:val="24"/>
          <w:szCs w:val="24"/>
        </w:rPr>
        <w:t xml:space="preserve"> </w:t>
      </w:r>
      <w:r w:rsidR="00D41962" w:rsidRPr="00BF08B6">
        <w:rPr>
          <w:rFonts w:cs="Arial"/>
          <w:b w:val="0"/>
          <w:snapToGrid/>
          <w:color w:val="auto"/>
          <w:sz w:val="24"/>
          <w:szCs w:val="24"/>
        </w:rPr>
        <w:t>y el</w:t>
      </w:r>
      <w:r w:rsidR="00D01084" w:rsidRPr="00BF08B6">
        <w:rPr>
          <w:rFonts w:cs="Arial"/>
          <w:b w:val="0"/>
          <w:snapToGrid/>
          <w:color w:val="auto"/>
          <w:sz w:val="24"/>
          <w:szCs w:val="24"/>
        </w:rPr>
        <w:t xml:space="preserve"> </w:t>
      </w:r>
      <w:proofErr w:type="spellStart"/>
      <w:r w:rsidR="00F76831" w:rsidRPr="00BF08B6">
        <w:rPr>
          <w:rFonts w:cs="Arial"/>
          <w:b w:val="0"/>
          <w:smallCaps/>
          <w:snapToGrid/>
          <w:color w:val="auto"/>
          <w:sz w:val="24"/>
          <w:szCs w:val="24"/>
        </w:rPr>
        <w:t>itct</w:t>
      </w:r>
      <w:r w:rsidR="00C218E4" w:rsidRPr="00BF08B6">
        <w:rPr>
          <w:rFonts w:cs="Arial"/>
          <w:b w:val="0"/>
          <w:smallCaps/>
          <w:snapToGrid/>
          <w:color w:val="auto"/>
          <w:sz w:val="24"/>
          <w:szCs w:val="24"/>
        </w:rPr>
        <w:t>i</w:t>
      </w:r>
      <w:proofErr w:type="spellEnd"/>
      <w:r w:rsidR="00024272" w:rsidRPr="00BF08B6">
        <w:rPr>
          <w:rFonts w:cs="Arial"/>
          <w:b w:val="0"/>
          <w:snapToGrid/>
          <w:color w:val="auto"/>
          <w:sz w:val="24"/>
          <w:szCs w:val="24"/>
        </w:rPr>
        <w:t>,</w:t>
      </w:r>
      <w:r w:rsidR="00EC1D9C" w:rsidRPr="00BF08B6">
        <w:rPr>
          <w:rFonts w:cs="Arial"/>
          <w:b w:val="0"/>
          <w:snapToGrid/>
          <w:color w:val="auto"/>
          <w:sz w:val="24"/>
          <w:szCs w:val="24"/>
        </w:rPr>
        <w:t xml:space="preserve"> </w:t>
      </w:r>
      <w:r w:rsidR="00F76831" w:rsidRPr="00BF08B6">
        <w:rPr>
          <w:rFonts w:cs="Arial"/>
          <w:b w:val="0"/>
          <w:snapToGrid/>
          <w:color w:val="auto"/>
          <w:sz w:val="24"/>
          <w:szCs w:val="24"/>
        </w:rPr>
        <w:t>3.5</w:t>
      </w:r>
      <w:r w:rsidR="003614DA" w:rsidRPr="00BF08B6">
        <w:rPr>
          <w:rFonts w:cs="Arial"/>
          <w:b w:val="0"/>
          <w:snapToGrid/>
          <w:color w:val="auto"/>
          <w:sz w:val="24"/>
          <w:szCs w:val="24"/>
        </w:rPr>
        <w:t> </w:t>
      </w:r>
      <w:r w:rsidR="00C13B5D" w:rsidRPr="00BF08B6">
        <w:rPr>
          <w:rFonts w:cs="Arial"/>
          <w:b w:val="0"/>
          <w:snapToGrid/>
          <w:color w:val="auto"/>
          <w:sz w:val="24"/>
          <w:szCs w:val="24"/>
        </w:rPr>
        <w:t>por</w:t>
      </w:r>
      <w:r w:rsidR="009C48BA" w:rsidRPr="00BF08B6">
        <w:rPr>
          <w:rFonts w:cs="Arial"/>
          <w:b w:val="0"/>
          <w:snapToGrid/>
          <w:color w:val="auto"/>
          <w:sz w:val="24"/>
          <w:szCs w:val="24"/>
        </w:rPr>
        <w:t> </w:t>
      </w:r>
      <w:r w:rsidR="00C13B5D" w:rsidRPr="00BF08B6">
        <w:rPr>
          <w:rFonts w:cs="Arial"/>
          <w:b w:val="0"/>
          <w:snapToGrid/>
          <w:color w:val="auto"/>
          <w:sz w:val="24"/>
          <w:szCs w:val="24"/>
        </w:rPr>
        <w:t>ciento</w:t>
      </w:r>
      <w:r w:rsidR="0008247B" w:rsidRPr="00BF08B6">
        <w:rPr>
          <w:rFonts w:cs="Arial"/>
          <w:b w:val="0"/>
          <w:snapToGrid/>
          <w:color w:val="auto"/>
          <w:sz w:val="24"/>
          <w:szCs w:val="24"/>
        </w:rPr>
        <w:t>.</w:t>
      </w:r>
      <w:r w:rsidR="00DB7239" w:rsidRPr="00BF08B6">
        <w:rPr>
          <w:rFonts w:cs="Arial"/>
          <w:b w:val="0"/>
          <w:snapToGrid/>
          <w:color w:val="auto"/>
          <w:sz w:val="24"/>
          <w:szCs w:val="24"/>
        </w:rPr>
        <w:t xml:space="preserve"> </w:t>
      </w:r>
    </w:p>
    <w:p w14:paraId="3D191101" w14:textId="3F96FDA8" w:rsidR="00905C6D" w:rsidRPr="005A4AC9" w:rsidRDefault="00905C6D" w:rsidP="001D6BA6">
      <w:pPr>
        <w:pStyle w:val="Default"/>
        <w:spacing w:before="360"/>
        <w:jc w:val="center"/>
        <w:rPr>
          <w:rFonts w:eastAsia="Times New Roman"/>
          <w:bCs/>
          <w:snapToGrid w:val="0"/>
          <w:color w:val="auto"/>
          <w:sz w:val="20"/>
          <w:szCs w:val="20"/>
          <w:lang w:val="es-MX"/>
        </w:rPr>
      </w:pPr>
    </w:p>
    <w:p w14:paraId="0909E491" w14:textId="77777777" w:rsidR="00905C6D" w:rsidRDefault="00905C6D">
      <w:pPr>
        <w:widowControl/>
        <w:rPr>
          <w:rFonts w:cs="Arial"/>
          <w:b/>
          <w:iCs/>
          <w:smallCaps/>
          <w:snapToGrid/>
          <w:szCs w:val="24"/>
          <w:lang w:eastAsia="es-MX"/>
        </w:rPr>
      </w:pPr>
      <w:r w:rsidRPr="005A4AC9">
        <w:rPr>
          <w:rFonts w:cs="Arial"/>
          <w:b/>
          <w:iCs/>
          <w:smallCaps/>
          <w:snapToGrid/>
          <w:szCs w:val="24"/>
          <w:lang w:eastAsia="es-MX"/>
        </w:rPr>
        <w:br w:type="page"/>
      </w:r>
    </w:p>
    <w:p w14:paraId="7FEFF1C3" w14:textId="77777777" w:rsidR="00E05EB1" w:rsidRDefault="00E05EB1" w:rsidP="00E05EB1">
      <w:pPr>
        <w:pStyle w:val="p0"/>
        <w:spacing w:before="480"/>
        <w:rPr>
          <w:rFonts w:ascii="Arial Negrita" w:hAnsi="Arial Negrita"/>
          <w:b/>
          <w:iCs/>
          <w:smallCaps/>
          <w:color w:val="auto"/>
        </w:rPr>
      </w:pPr>
    </w:p>
    <w:p w14:paraId="3C09BDE3" w14:textId="45C05E56" w:rsidR="00E05EB1" w:rsidRPr="005A4AC9" w:rsidRDefault="00E05EB1" w:rsidP="00E05EB1">
      <w:pPr>
        <w:pStyle w:val="p0"/>
        <w:spacing w:before="480"/>
        <w:rPr>
          <w:rFonts w:ascii="Arial Negrita" w:hAnsi="Arial Negrita"/>
          <w:b/>
          <w:iCs/>
          <w:smallCaps/>
          <w:color w:val="auto"/>
        </w:rPr>
      </w:pPr>
      <w:r w:rsidRPr="005A4AC9">
        <w:rPr>
          <w:rFonts w:ascii="Arial Negrita" w:hAnsi="Arial Negrita"/>
          <w:b/>
          <w:iCs/>
          <w:smallCaps/>
          <w:color w:val="auto"/>
        </w:rPr>
        <w:t>Nota al usuario</w:t>
      </w:r>
    </w:p>
    <w:p w14:paraId="6BA69C15" w14:textId="77777777" w:rsidR="00E05EB1" w:rsidRDefault="00E05EB1" w:rsidP="00E05EB1">
      <w:pPr>
        <w:widowControl/>
        <w:jc w:val="both"/>
      </w:pPr>
    </w:p>
    <w:p w14:paraId="6F40B420" w14:textId="7B74392D" w:rsidR="00E05EB1" w:rsidRDefault="00E05EB1" w:rsidP="00E05EB1">
      <w:pPr>
        <w:widowControl/>
        <w:jc w:val="both"/>
        <w:rPr>
          <w:rFonts w:cs="Arial"/>
          <w:bCs/>
          <w:iCs/>
          <w:snapToGrid/>
          <w:szCs w:val="24"/>
          <w:lang w:eastAsia="es-MX"/>
        </w:rPr>
      </w:pPr>
      <w:r w:rsidRPr="005A4AC9">
        <w:t xml:space="preserve">Las encuestas económicas que se consideraron para la integración de los </w:t>
      </w:r>
      <w:proofErr w:type="spellStart"/>
      <w:r w:rsidRPr="005A4AC9">
        <w:rPr>
          <w:smallCaps/>
        </w:rPr>
        <w:t>itat</w:t>
      </w:r>
      <w:proofErr w:type="spellEnd"/>
      <w:r w:rsidRPr="005A4AC9">
        <w:t xml:space="preserve">, en el segundo trimestre de 2023, registraron porcentajes apropiados de acuerdo con el diseño estadístico de las muestras. Asimismo, la captación de los registros administrativos y los datos primarios que divulga el </w:t>
      </w:r>
      <w:proofErr w:type="spellStart"/>
      <w:r w:rsidRPr="005A4AC9">
        <w:rPr>
          <w:smallCaps/>
        </w:rPr>
        <w:t>inegi</w:t>
      </w:r>
      <w:proofErr w:type="spellEnd"/>
      <w:r w:rsidRPr="005A4AC9">
        <w:t xml:space="preserve"> permitió la generación de estadísticas con niveles altos de cobertura y precisión.</w:t>
      </w:r>
    </w:p>
    <w:p w14:paraId="7FC44658" w14:textId="77777777" w:rsidR="00E05EB1" w:rsidRDefault="00E05EB1">
      <w:pPr>
        <w:widowControl/>
        <w:rPr>
          <w:rFonts w:cs="Arial"/>
          <w:bCs/>
          <w:iCs/>
          <w:snapToGrid/>
          <w:szCs w:val="24"/>
          <w:lang w:eastAsia="es-MX"/>
        </w:rPr>
      </w:pPr>
    </w:p>
    <w:p w14:paraId="46581426" w14:textId="6D34E891" w:rsidR="00E05EB1" w:rsidRDefault="00E05EB1">
      <w:pPr>
        <w:widowControl/>
        <w:rPr>
          <w:rFonts w:cs="Arial"/>
          <w:bCs/>
          <w:iCs/>
          <w:snapToGrid/>
          <w:szCs w:val="24"/>
          <w:lang w:eastAsia="es-MX"/>
        </w:rPr>
      </w:pPr>
    </w:p>
    <w:p w14:paraId="21CAFB2A" w14:textId="031230BC" w:rsidR="00E05EB1" w:rsidRDefault="00E05EB1">
      <w:pPr>
        <w:widowControl/>
        <w:rPr>
          <w:rFonts w:cs="Arial"/>
          <w:bCs/>
          <w:iCs/>
          <w:snapToGrid/>
          <w:szCs w:val="24"/>
          <w:lang w:eastAsia="es-MX"/>
        </w:rPr>
      </w:pPr>
    </w:p>
    <w:p w14:paraId="6BE451CB" w14:textId="3122CD1D" w:rsidR="00E05EB1" w:rsidRDefault="00E05EB1">
      <w:pPr>
        <w:widowControl/>
        <w:rPr>
          <w:rFonts w:cs="Arial"/>
          <w:bCs/>
          <w:iCs/>
          <w:snapToGrid/>
          <w:szCs w:val="24"/>
          <w:lang w:eastAsia="es-MX"/>
        </w:rPr>
      </w:pPr>
    </w:p>
    <w:p w14:paraId="34A6683D" w14:textId="77777777" w:rsidR="00E05EB1" w:rsidRPr="002F4F9D" w:rsidRDefault="00E05EB1" w:rsidP="00E05EB1">
      <w:pPr>
        <w:pStyle w:val="Textoindependiente"/>
        <w:tabs>
          <w:tab w:val="left" w:pos="7288"/>
        </w:tabs>
        <w:jc w:val="center"/>
        <w:rPr>
          <w:rFonts w:cs="Arial"/>
          <w:caps/>
          <w:smallCaps/>
          <w:color w:val="244061" w:themeColor="accent1" w:themeShade="80"/>
          <w:sz w:val="28"/>
        </w:rPr>
      </w:pPr>
      <w:r w:rsidRPr="002F4F9D">
        <w:rPr>
          <w:szCs w:val="22"/>
        </w:rPr>
        <w:t>Se anexa Nota técnica</w:t>
      </w:r>
    </w:p>
    <w:p w14:paraId="6EF9CCBD" w14:textId="77777777" w:rsidR="00E05EB1" w:rsidRPr="00DA25C5" w:rsidRDefault="00E05EB1" w:rsidP="00E05EB1">
      <w:pPr>
        <w:pStyle w:val="NormalWeb"/>
        <w:ind w:left="-426" w:right="-518"/>
        <w:contextualSpacing/>
        <w:jc w:val="center"/>
        <w:rPr>
          <w:sz w:val="24"/>
          <w:szCs w:val="24"/>
          <w:lang w:val="es-ES_tradnl"/>
        </w:rPr>
      </w:pPr>
      <w:bookmarkStart w:id="4" w:name="_Hlk147145049"/>
      <w:r w:rsidRPr="00DA25C5">
        <w:rPr>
          <w:sz w:val="24"/>
          <w:szCs w:val="24"/>
          <w:lang w:val="es-ES_tradnl"/>
        </w:rPr>
        <w:t xml:space="preserve">Para consultas de medios y periodistas, escribir a: </w:t>
      </w:r>
      <w:hyperlink r:id="rId8" w:history="1">
        <w:r w:rsidRPr="00DA25C5">
          <w:rPr>
            <w:rStyle w:val="Hipervnculo"/>
            <w:rFonts w:eastAsiaTheme="majorEastAsia"/>
            <w:sz w:val="24"/>
            <w:szCs w:val="24"/>
          </w:rPr>
          <w:t>comunicacionsocial@inegi.org.mx</w:t>
        </w:r>
      </w:hyperlink>
      <w:r w:rsidRPr="00DA25C5">
        <w:rPr>
          <w:sz w:val="24"/>
          <w:szCs w:val="24"/>
          <w:lang w:val="es-ES_tradnl"/>
        </w:rPr>
        <w:t xml:space="preserve">    </w:t>
      </w:r>
    </w:p>
    <w:p w14:paraId="00307409" w14:textId="77777777" w:rsidR="00E05EB1" w:rsidRPr="00DA25C5" w:rsidRDefault="00E05EB1" w:rsidP="00E05EB1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sz w:val="24"/>
          <w:szCs w:val="24"/>
          <w:lang w:val="es-ES_tradnl"/>
        </w:rPr>
      </w:pPr>
      <w:r w:rsidRPr="00DA25C5">
        <w:rPr>
          <w:sz w:val="24"/>
          <w:szCs w:val="24"/>
          <w:lang w:val="es-ES_tradnl"/>
        </w:rPr>
        <w:t>o llamar al teléfono (55) 52-78-10-00, ext</w:t>
      </w:r>
      <w:r>
        <w:rPr>
          <w:sz w:val="24"/>
          <w:szCs w:val="24"/>
          <w:lang w:val="es-ES_tradnl"/>
        </w:rPr>
        <w:t>ensiones</w:t>
      </w:r>
      <w:r w:rsidRPr="00DA25C5">
        <w:rPr>
          <w:sz w:val="24"/>
          <w:szCs w:val="24"/>
          <w:lang w:val="es-ES_tradnl"/>
        </w:rPr>
        <w:t xml:space="preserve"> 321064, 321134 y 321241</w:t>
      </w:r>
    </w:p>
    <w:p w14:paraId="5DE03D08" w14:textId="77777777" w:rsidR="00E05EB1" w:rsidRDefault="00E05EB1" w:rsidP="00E05EB1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sz w:val="24"/>
          <w:szCs w:val="24"/>
        </w:rPr>
      </w:pPr>
      <w:r w:rsidRPr="00DA25C5">
        <w:rPr>
          <w:sz w:val="24"/>
          <w:szCs w:val="24"/>
        </w:rPr>
        <w:t>Dirección de Atención a Medios/ Dirección General Adjunta de Comunicación</w:t>
      </w:r>
    </w:p>
    <w:p w14:paraId="7E924BD9" w14:textId="77777777" w:rsidR="00E05EB1" w:rsidRPr="00DA25C5" w:rsidRDefault="00E05EB1" w:rsidP="00E05EB1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sz w:val="24"/>
          <w:szCs w:val="24"/>
        </w:rPr>
      </w:pPr>
    </w:p>
    <w:p w14:paraId="4D74BA4B" w14:textId="34C262C4" w:rsidR="00E05EB1" w:rsidRPr="00DA25C5" w:rsidRDefault="00E05EB1" w:rsidP="00E05EB1">
      <w:pPr>
        <w:pStyle w:val="Piedepgina"/>
        <w:jc w:val="center"/>
        <w:rPr>
          <w:rFonts w:cs="Arial"/>
          <w:b/>
          <w:color w:val="244061" w:themeColor="accent1" w:themeShade="80"/>
          <w:szCs w:val="24"/>
        </w:rPr>
      </w:pPr>
      <w:r w:rsidRPr="00DA25C5">
        <w:rPr>
          <w:noProof/>
          <w:szCs w:val="24"/>
          <w:lang w:eastAsia="es-MX"/>
        </w:rPr>
        <w:drawing>
          <wp:inline distT="0" distB="0" distL="0" distR="0" wp14:anchorId="121BAFD5" wp14:editId="478ED05F">
            <wp:extent cx="372725" cy="360438"/>
            <wp:effectExtent l="0" t="0" r="0" b="0"/>
            <wp:docPr id="9" name="Imagen 9" descr="Icono&#10;&#10;Descripción generada automáticamente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n 9" descr="Icono&#10;&#10;Descripción generada automáticamente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48" b="16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725" cy="3604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DA25C5">
        <w:rPr>
          <w:noProof/>
          <w:szCs w:val="24"/>
          <w:lang w:eastAsia="es-MX"/>
        </w:rPr>
        <w:t xml:space="preserve"> </w:t>
      </w:r>
      <w:r w:rsidRPr="00DA25C5">
        <w:rPr>
          <w:noProof/>
          <w:szCs w:val="24"/>
          <w:lang w:eastAsia="es-MX"/>
        </w:rPr>
        <w:drawing>
          <wp:inline distT="0" distB="0" distL="0" distR="0" wp14:anchorId="538CC74E" wp14:editId="47DEC094">
            <wp:extent cx="365760" cy="365760"/>
            <wp:effectExtent l="0" t="0" r="2540" b="2540"/>
            <wp:docPr id="2" name="Imagen 2" descr="Icono&#10;&#10;Descripción generada automáticamente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Icono&#10;&#10;Descripción generada automáticamente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A25C5">
        <w:rPr>
          <w:noProof/>
          <w:szCs w:val="24"/>
          <w:lang w:eastAsia="es-MX"/>
        </w:rPr>
        <w:t xml:space="preserve"> </w:t>
      </w:r>
      <w:r w:rsidRPr="00DA25C5">
        <w:rPr>
          <w:noProof/>
          <w:szCs w:val="24"/>
          <w:lang w:eastAsia="es-MX"/>
        </w:rPr>
        <w:drawing>
          <wp:inline distT="0" distB="0" distL="0" distR="0" wp14:anchorId="1C3CEADF" wp14:editId="3736AEDA">
            <wp:extent cx="365760" cy="365760"/>
            <wp:effectExtent l="0" t="0" r="2540" b="2540"/>
            <wp:docPr id="4" name="Imagen 4" descr="Imagen que contiene objeto, reloj&#10;&#10;Descripción generada automáticamente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 descr="Imagen que contiene objeto, reloj&#10;&#10;Descripción generada automáticamente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A25C5">
        <w:rPr>
          <w:noProof/>
          <w:szCs w:val="24"/>
          <w:lang w:eastAsia="es-MX"/>
        </w:rPr>
        <w:t xml:space="preserve"> </w:t>
      </w:r>
      <w:r w:rsidRPr="00DA25C5">
        <w:rPr>
          <w:noProof/>
          <w:szCs w:val="24"/>
          <w:lang w:eastAsia="es-MX"/>
        </w:rPr>
        <w:drawing>
          <wp:inline distT="0" distB="0" distL="0" distR="0" wp14:anchorId="0FA1F94C" wp14:editId="648AADB4">
            <wp:extent cx="365760" cy="365760"/>
            <wp:effectExtent l="0" t="0" r="2540" b="2540"/>
            <wp:docPr id="5" name="Imagen 5" descr="Logotipo&#10;&#10;Descripción generada automáticamente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5" descr="Logotipo&#10;&#10;Descripción generada automáticamente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A25C5">
        <w:rPr>
          <w:noProof/>
          <w:szCs w:val="24"/>
          <w:lang w:eastAsia="es-MX"/>
        </w:rPr>
        <w:t xml:space="preserve">  </w:t>
      </w:r>
      <w:r w:rsidRPr="00DA25C5">
        <w:rPr>
          <w:noProof/>
          <w:szCs w:val="24"/>
          <w:lang w:eastAsia="es-MX"/>
        </w:rPr>
        <w:drawing>
          <wp:inline distT="0" distB="0" distL="0" distR="0" wp14:anchorId="2B697511" wp14:editId="192611EF">
            <wp:extent cx="1436914" cy="152592"/>
            <wp:effectExtent l="0" t="0" r="0" b="0"/>
            <wp:docPr id="33" name="Imagen 33" descr="Icono&#10;&#10;Descripción generada automáticamente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n 33" descr="Icono&#10;&#10;Descripción generada automáticamente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9956" cy="1815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4"/>
    <w:p w14:paraId="1F239F63" w14:textId="77777777" w:rsidR="00E05EB1" w:rsidRDefault="00E05EB1">
      <w:pPr>
        <w:widowControl/>
        <w:rPr>
          <w:rFonts w:cs="Arial"/>
          <w:bCs/>
          <w:iCs/>
          <w:snapToGrid/>
          <w:szCs w:val="24"/>
          <w:lang w:eastAsia="es-MX"/>
        </w:rPr>
      </w:pPr>
    </w:p>
    <w:p w14:paraId="6F851AD8" w14:textId="27CB891E" w:rsidR="00E05EB1" w:rsidRDefault="00E05EB1">
      <w:pPr>
        <w:widowControl/>
        <w:rPr>
          <w:rFonts w:cs="Arial"/>
          <w:bCs/>
          <w:iCs/>
          <w:snapToGrid/>
          <w:szCs w:val="24"/>
          <w:lang w:eastAsia="es-MX"/>
        </w:rPr>
      </w:pPr>
      <w:r>
        <w:rPr>
          <w:rFonts w:cs="Arial"/>
          <w:bCs/>
          <w:iCs/>
          <w:snapToGrid/>
          <w:szCs w:val="24"/>
          <w:lang w:eastAsia="es-MX"/>
        </w:rPr>
        <w:br w:type="page"/>
      </w:r>
    </w:p>
    <w:p w14:paraId="2BCA6690" w14:textId="77777777" w:rsidR="00F110A1" w:rsidRDefault="00F110A1" w:rsidP="00F110A1">
      <w:pPr>
        <w:pStyle w:val="Default"/>
        <w:tabs>
          <w:tab w:val="left" w:pos="2410"/>
          <w:tab w:val="left" w:pos="3402"/>
          <w:tab w:val="left" w:pos="3686"/>
        </w:tabs>
        <w:spacing w:before="240"/>
        <w:jc w:val="center"/>
        <w:rPr>
          <w:rFonts w:eastAsia="Times New Roman"/>
          <w:b/>
          <w:bCs/>
          <w:smallCaps/>
          <w:lang w:val="es-MX"/>
        </w:rPr>
      </w:pPr>
      <w:r>
        <w:rPr>
          <w:rFonts w:eastAsia="Times New Roman"/>
          <w:b/>
          <w:bCs/>
          <w:smallCaps/>
          <w:lang w:val="es-MX"/>
        </w:rPr>
        <w:lastRenderedPageBreak/>
        <w:t>NOTA TÉCNICA</w:t>
      </w:r>
    </w:p>
    <w:p w14:paraId="4B320153" w14:textId="77777777" w:rsidR="00F110A1" w:rsidRDefault="00F110A1" w:rsidP="002F1A9D">
      <w:pPr>
        <w:widowControl/>
        <w:jc w:val="both"/>
        <w:rPr>
          <w:rFonts w:cs="Arial"/>
          <w:bCs/>
          <w:iCs/>
          <w:snapToGrid/>
          <w:szCs w:val="24"/>
          <w:lang w:eastAsia="es-MX"/>
        </w:rPr>
      </w:pPr>
    </w:p>
    <w:p w14:paraId="32A61008" w14:textId="0638C6DF" w:rsidR="00040900" w:rsidRPr="002F1A9D" w:rsidRDefault="00040900" w:rsidP="002F1A9D">
      <w:pPr>
        <w:widowControl/>
        <w:jc w:val="both"/>
        <w:rPr>
          <w:rFonts w:cs="Arial"/>
          <w:bCs/>
          <w:iCs/>
          <w:snapToGrid/>
          <w:szCs w:val="24"/>
          <w:lang w:eastAsia="es-MX"/>
        </w:rPr>
      </w:pPr>
      <w:r>
        <w:rPr>
          <w:rFonts w:cs="Arial"/>
          <w:bCs/>
          <w:iCs/>
          <w:snapToGrid/>
          <w:szCs w:val="24"/>
          <w:lang w:eastAsia="es-MX"/>
        </w:rPr>
        <w:t>L</w:t>
      </w:r>
      <w:r w:rsidRPr="002F1A9D">
        <w:rPr>
          <w:rFonts w:cs="Arial"/>
          <w:bCs/>
          <w:iCs/>
          <w:snapToGrid/>
          <w:szCs w:val="24"/>
          <w:lang w:eastAsia="es-MX"/>
        </w:rPr>
        <w:t xml:space="preserve">os Indicadores Trimestrales de la Actividad Turística (ITAT) permiten conocer y dar seguimiento a la evolución del Producto Interno Bruto Turístico </w:t>
      </w:r>
      <w:r w:rsidR="00D021A2">
        <w:rPr>
          <w:rFonts w:cs="Arial"/>
          <w:bCs/>
          <w:iCs/>
          <w:snapToGrid/>
          <w:szCs w:val="24"/>
          <w:lang w:eastAsia="es-MX"/>
        </w:rPr>
        <w:t>y</w:t>
      </w:r>
      <w:r w:rsidRPr="002F1A9D">
        <w:rPr>
          <w:rFonts w:cs="Arial"/>
          <w:bCs/>
          <w:iCs/>
          <w:snapToGrid/>
          <w:szCs w:val="24"/>
          <w:lang w:eastAsia="es-MX"/>
        </w:rPr>
        <w:t xml:space="preserve"> del Consumo Turístico Interior</w:t>
      </w:r>
      <w:r w:rsidR="00D021A2">
        <w:rPr>
          <w:rFonts w:cs="Arial"/>
          <w:bCs/>
          <w:iCs/>
          <w:snapToGrid/>
          <w:szCs w:val="24"/>
          <w:lang w:eastAsia="es-MX"/>
        </w:rPr>
        <w:t>.</w:t>
      </w:r>
    </w:p>
    <w:p w14:paraId="1BA71ED7" w14:textId="77777777" w:rsidR="0008392C" w:rsidRPr="005A4AC9" w:rsidRDefault="0008392C" w:rsidP="00415691">
      <w:pPr>
        <w:pStyle w:val="bulnot"/>
        <w:widowControl w:val="0"/>
        <w:numPr>
          <w:ilvl w:val="0"/>
          <w:numId w:val="27"/>
        </w:numPr>
        <w:ind w:right="0"/>
        <w:jc w:val="center"/>
        <w:rPr>
          <w:b w:val="0"/>
          <w:i/>
          <w:color w:val="auto"/>
        </w:rPr>
      </w:pPr>
      <w:bookmarkStart w:id="5" w:name="_Hlk117757830"/>
      <w:r w:rsidRPr="005A4AC9">
        <w:rPr>
          <w:rFonts w:cs="Arial"/>
          <w:bCs/>
          <w:iCs/>
          <w:smallCaps/>
          <w:color w:val="auto"/>
          <w:spacing w:val="0"/>
          <w:sz w:val="24"/>
          <w:szCs w:val="24"/>
        </w:rPr>
        <w:t>Cifras desestacionalizadas</w:t>
      </w:r>
      <w:r w:rsidRPr="005A4AC9">
        <w:rPr>
          <w:rFonts w:cs="Arial"/>
          <w:color w:val="auto"/>
          <w:spacing w:val="9"/>
          <w:sz w:val="24"/>
          <w:szCs w:val="24"/>
          <w:vertAlign w:val="superscript"/>
        </w:rPr>
        <w:footnoteReference w:id="2"/>
      </w:r>
    </w:p>
    <w:p w14:paraId="41B7A019" w14:textId="54FE2563" w:rsidR="00B25993" w:rsidRPr="005A4AC9" w:rsidRDefault="00BA49C8" w:rsidP="000B5486">
      <w:pPr>
        <w:pStyle w:val="Textoindependiente"/>
        <w:tabs>
          <w:tab w:val="center" w:pos="3348"/>
        </w:tabs>
        <w:spacing w:before="240"/>
        <w:ind w:left="284"/>
        <w:rPr>
          <w:rFonts w:cs="Arial"/>
          <w:b/>
          <w:iCs/>
          <w:snapToGrid/>
          <w:color w:val="auto"/>
          <w:szCs w:val="24"/>
          <w:lang w:val="es-MX" w:eastAsia="es-MX"/>
        </w:rPr>
      </w:pPr>
      <w:r w:rsidRPr="005A4AC9">
        <w:rPr>
          <w:rFonts w:cs="Arial"/>
          <w:b/>
          <w:iCs/>
          <w:snapToGrid/>
          <w:color w:val="auto"/>
          <w:szCs w:val="24"/>
          <w:lang w:val="es-MX" w:eastAsia="es-MX"/>
        </w:rPr>
        <w:t xml:space="preserve">Indicador </w:t>
      </w:r>
      <w:r w:rsidR="000F6F45" w:rsidRPr="005A4AC9">
        <w:rPr>
          <w:rFonts w:cs="Arial"/>
          <w:b/>
          <w:iCs/>
          <w:snapToGrid/>
          <w:color w:val="auto"/>
          <w:szCs w:val="24"/>
          <w:lang w:val="es-MX" w:eastAsia="es-MX"/>
        </w:rPr>
        <w:t xml:space="preserve">Trimestral del Producto Interno Bruto Turístico </w:t>
      </w:r>
      <w:r w:rsidR="00B4687E" w:rsidRPr="005A4AC9">
        <w:rPr>
          <w:rFonts w:cs="Arial"/>
          <w:b/>
          <w:iCs/>
          <w:snapToGrid/>
          <w:color w:val="auto"/>
          <w:szCs w:val="24"/>
          <w:lang w:val="es-MX" w:eastAsia="es-MX"/>
        </w:rPr>
        <w:t>(</w:t>
      </w:r>
      <w:proofErr w:type="spellStart"/>
      <w:r w:rsidR="008E7D37" w:rsidRPr="005A4AC9">
        <w:rPr>
          <w:rFonts w:cs="Arial"/>
          <w:b/>
          <w:iCs/>
          <w:smallCaps/>
          <w:snapToGrid/>
          <w:color w:val="auto"/>
          <w:szCs w:val="24"/>
          <w:lang w:val="es-MX" w:eastAsia="es-MX"/>
        </w:rPr>
        <w:t>itpibt</w:t>
      </w:r>
      <w:proofErr w:type="spellEnd"/>
      <w:r w:rsidR="00B4687E" w:rsidRPr="005A4AC9">
        <w:rPr>
          <w:rFonts w:cs="Arial"/>
          <w:b/>
          <w:iCs/>
          <w:snapToGrid/>
          <w:color w:val="auto"/>
          <w:szCs w:val="24"/>
          <w:lang w:val="es-MX" w:eastAsia="es-MX"/>
        </w:rPr>
        <w:t>)</w:t>
      </w:r>
    </w:p>
    <w:p w14:paraId="3C85C702" w14:textId="1124AE81" w:rsidR="006F48F0" w:rsidRPr="005A4AC9" w:rsidRDefault="001468E4" w:rsidP="00E1763C">
      <w:pPr>
        <w:pStyle w:val="Default"/>
        <w:spacing w:before="240"/>
        <w:jc w:val="both"/>
        <w:rPr>
          <w:color w:val="auto"/>
          <w:szCs w:val="22"/>
          <w:lang w:val="es-MX"/>
        </w:rPr>
      </w:pPr>
      <w:r w:rsidRPr="005A4AC9">
        <w:rPr>
          <w:color w:val="auto"/>
          <w:lang w:val="es-MX"/>
        </w:rPr>
        <w:t xml:space="preserve">En el </w:t>
      </w:r>
      <w:r w:rsidR="0008392C" w:rsidRPr="005A4AC9">
        <w:rPr>
          <w:color w:val="auto"/>
          <w:lang w:val="es-MX"/>
        </w:rPr>
        <w:t>segundo</w:t>
      </w:r>
      <w:r w:rsidRPr="005A4AC9">
        <w:rPr>
          <w:color w:val="auto"/>
          <w:lang w:val="es-MX"/>
        </w:rPr>
        <w:t xml:space="preserve"> trimestre de 202</w:t>
      </w:r>
      <w:r w:rsidR="003842B8" w:rsidRPr="005A4AC9">
        <w:rPr>
          <w:color w:val="auto"/>
          <w:lang w:val="es-MX"/>
        </w:rPr>
        <w:t>3</w:t>
      </w:r>
      <w:r w:rsidRPr="005A4AC9">
        <w:rPr>
          <w:color w:val="auto"/>
          <w:lang w:val="es-MX"/>
        </w:rPr>
        <w:t xml:space="preserve"> y a tasa trimestral, e</w:t>
      </w:r>
      <w:r w:rsidR="00DC6CFE" w:rsidRPr="005A4AC9">
        <w:rPr>
          <w:color w:val="auto"/>
          <w:lang w:val="es-MX"/>
        </w:rPr>
        <w:t>l</w:t>
      </w:r>
      <w:r w:rsidR="00280516" w:rsidRPr="005A4AC9">
        <w:rPr>
          <w:color w:val="auto"/>
          <w:lang w:val="es-MX"/>
        </w:rPr>
        <w:t xml:space="preserve"> </w:t>
      </w:r>
      <w:proofErr w:type="spellStart"/>
      <w:r w:rsidR="00D14185" w:rsidRPr="005A4AC9">
        <w:rPr>
          <w:smallCaps/>
          <w:color w:val="auto"/>
          <w:lang w:val="es-MX"/>
        </w:rPr>
        <w:t>itpibt</w:t>
      </w:r>
      <w:proofErr w:type="spellEnd"/>
      <w:r w:rsidR="00847CE2" w:rsidRPr="005A4AC9">
        <w:rPr>
          <w:color w:val="auto"/>
          <w:lang w:val="es-MX"/>
        </w:rPr>
        <w:t xml:space="preserve"> </w:t>
      </w:r>
      <w:r w:rsidR="000F6F45" w:rsidRPr="005A4AC9">
        <w:rPr>
          <w:color w:val="auto"/>
          <w:lang w:val="es-MX"/>
        </w:rPr>
        <w:t xml:space="preserve">aumentó </w:t>
      </w:r>
      <w:r w:rsidR="00F851B7" w:rsidRPr="005A4AC9">
        <w:rPr>
          <w:color w:val="auto"/>
          <w:lang w:val="es-MX"/>
        </w:rPr>
        <w:t>2.6</w:t>
      </w:r>
      <w:r w:rsidR="00581DE4" w:rsidRPr="005A4AC9">
        <w:rPr>
          <w:color w:val="auto"/>
          <w:lang w:val="es-MX"/>
        </w:rPr>
        <w:t> %</w:t>
      </w:r>
      <w:r w:rsidR="000F6F45" w:rsidRPr="005A4AC9">
        <w:rPr>
          <w:color w:val="auto"/>
          <w:lang w:val="es-MX"/>
        </w:rPr>
        <w:t xml:space="preserve"> en términos reales. </w:t>
      </w:r>
      <w:r w:rsidR="006F48F0" w:rsidRPr="005A4AC9">
        <w:rPr>
          <w:color w:val="auto"/>
          <w:szCs w:val="22"/>
          <w:lang w:val="es-MX"/>
        </w:rPr>
        <w:t>A su interior</w:t>
      </w:r>
      <w:r w:rsidR="002F10D1" w:rsidRPr="005A4AC9">
        <w:rPr>
          <w:color w:val="auto"/>
          <w:szCs w:val="22"/>
          <w:lang w:val="es-MX"/>
        </w:rPr>
        <w:t>,</w:t>
      </w:r>
      <w:r w:rsidR="00D7231E" w:rsidRPr="005A4AC9">
        <w:rPr>
          <w:color w:val="auto"/>
          <w:szCs w:val="22"/>
          <w:lang w:val="es-MX"/>
        </w:rPr>
        <w:t xml:space="preserve"> </w:t>
      </w:r>
      <w:r w:rsidR="00F851B7" w:rsidRPr="005A4AC9">
        <w:rPr>
          <w:color w:val="auto"/>
          <w:lang w:val="es-MX"/>
        </w:rPr>
        <w:t xml:space="preserve">el </w:t>
      </w:r>
      <w:proofErr w:type="spellStart"/>
      <w:r w:rsidR="00F851B7" w:rsidRPr="005A4AC9">
        <w:rPr>
          <w:smallCaps/>
          <w:color w:val="auto"/>
          <w:szCs w:val="22"/>
          <w:lang w:val="es-MX"/>
        </w:rPr>
        <w:t>pib</w:t>
      </w:r>
      <w:proofErr w:type="spellEnd"/>
      <w:r w:rsidR="00F851B7" w:rsidRPr="005A4AC9">
        <w:rPr>
          <w:color w:val="auto"/>
          <w:szCs w:val="22"/>
          <w:lang w:val="es-MX"/>
        </w:rPr>
        <w:t xml:space="preserve"> turístico de </w:t>
      </w:r>
      <w:r w:rsidR="00F851B7" w:rsidRPr="005A4AC9">
        <w:rPr>
          <w:color w:val="auto"/>
          <w:lang w:val="es-MX"/>
        </w:rPr>
        <w:t>servicios creció</w:t>
      </w:r>
      <w:r w:rsidR="00F851B7" w:rsidRPr="005A4AC9">
        <w:rPr>
          <w:color w:val="auto"/>
          <w:szCs w:val="22"/>
          <w:lang w:val="es-MX"/>
        </w:rPr>
        <w:t xml:space="preserve"> </w:t>
      </w:r>
      <w:r w:rsidR="00F851B7" w:rsidRPr="005A4AC9">
        <w:rPr>
          <w:color w:val="auto"/>
          <w:lang w:val="es-MX"/>
        </w:rPr>
        <w:t xml:space="preserve">3.2 % y </w:t>
      </w:r>
      <w:r w:rsidR="00F851B7" w:rsidRPr="005A4AC9">
        <w:rPr>
          <w:color w:val="auto"/>
          <w:szCs w:val="22"/>
          <w:lang w:val="es-MX"/>
        </w:rPr>
        <w:t xml:space="preserve">el </w:t>
      </w:r>
      <w:r w:rsidR="007C5E0E" w:rsidRPr="005A4AC9">
        <w:rPr>
          <w:color w:val="auto"/>
          <w:lang w:val="es-MX"/>
        </w:rPr>
        <w:t xml:space="preserve">de </w:t>
      </w:r>
      <w:r w:rsidR="00742EE9" w:rsidRPr="005A4AC9">
        <w:rPr>
          <w:color w:val="auto"/>
          <w:lang w:val="es-MX"/>
        </w:rPr>
        <w:t xml:space="preserve">bienes </w:t>
      </w:r>
      <w:r w:rsidR="00F851B7" w:rsidRPr="005A4AC9">
        <w:rPr>
          <w:color w:val="auto"/>
          <w:lang w:val="es-MX"/>
        </w:rPr>
        <w:t>cayó 0.7</w:t>
      </w:r>
      <w:r w:rsidR="00742EE9" w:rsidRPr="005A4AC9">
        <w:rPr>
          <w:color w:val="auto"/>
          <w:lang w:val="es-MX"/>
        </w:rPr>
        <w:t> </w:t>
      </w:r>
      <w:r w:rsidR="003943E8" w:rsidRPr="005A4AC9">
        <w:rPr>
          <w:color w:val="auto"/>
          <w:lang w:val="es-MX"/>
        </w:rPr>
        <w:t>por</w:t>
      </w:r>
      <w:r w:rsidR="00C1513A" w:rsidRPr="005A4AC9">
        <w:rPr>
          <w:color w:val="auto"/>
          <w:lang w:val="es-MX"/>
        </w:rPr>
        <w:t> </w:t>
      </w:r>
      <w:r w:rsidR="003943E8" w:rsidRPr="005A4AC9">
        <w:rPr>
          <w:color w:val="auto"/>
          <w:lang w:val="es-MX"/>
        </w:rPr>
        <w:t>ciento</w:t>
      </w:r>
      <w:r w:rsidR="006F48F0" w:rsidRPr="005A4AC9">
        <w:rPr>
          <w:color w:val="auto"/>
          <w:szCs w:val="22"/>
          <w:lang w:val="es-MX"/>
        </w:rPr>
        <w:t xml:space="preserve">. </w:t>
      </w:r>
    </w:p>
    <w:bookmarkEnd w:id="5"/>
    <w:p w14:paraId="2422BD9E" w14:textId="1414E4D5" w:rsidR="00280516" w:rsidRPr="005A4AC9" w:rsidRDefault="00280516" w:rsidP="005822F2">
      <w:pPr>
        <w:spacing w:before="240"/>
        <w:contextualSpacing/>
        <w:jc w:val="center"/>
        <w:rPr>
          <w:rFonts w:cs="Arial"/>
          <w:sz w:val="18"/>
          <w:szCs w:val="18"/>
        </w:rPr>
      </w:pPr>
      <w:r w:rsidRPr="005A4AC9">
        <w:rPr>
          <w:rFonts w:cs="Arial"/>
          <w:sz w:val="20"/>
        </w:rPr>
        <w:t xml:space="preserve">Gráfica </w:t>
      </w:r>
      <w:r w:rsidR="00B4562D" w:rsidRPr="005A4AC9">
        <w:rPr>
          <w:rFonts w:cs="Arial"/>
          <w:sz w:val="20"/>
        </w:rPr>
        <w:t>1</w:t>
      </w:r>
    </w:p>
    <w:p w14:paraId="470C9DCF" w14:textId="3F57DD82" w:rsidR="00D14185" w:rsidRPr="005A4AC9" w:rsidRDefault="00D14185" w:rsidP="005822F2">
      <w:pPr>
        <w:contextualSpacing/>
        <w:jc w:val="center"/>
        <w:rPr>
          <w:rFonts w:cs="Arial"/>
          <w:b/>
          <w:iCs/>
          <w:smallCaps/>
          <w:snapToGrid/>
          <w:sz w:val="22"/>
          <w:szCs w:val="22"/>
          <w:lang w:eastAsia="es-MX"/>
        </w:rPr>
      </w:pPr>
      <w:r w:rsidRPr="005A4AC9">
        <w:rPr>
          <w:b/>
          <w:smallCaps/>
          <w:sz w:val="22"/>
          <w:szCs w:val="22"/>
        </w:rPr>
        <w:t xml:space="preserve">Series desestacionalizada y de tendencia-ciclo </w:t>
      </w:r>
      <w:r w:rsidRPr="005A4AC9">
        <w:rPr>
          <w:rFonts w:cs="Arial"/>
          <w:b/>
          <w:smallCaps/>
          <w:sz w:val="22"/>
          <w:szCs w:val="22"/>
        </w:rPr>
        <w:t>del</w:t>
      </w:r>
    </w:p>
    <w:p w14:paraId="63D11E67" w14:textId="4D8D769F" w:rsidR="00280516" w:rsidRPr="005A4AC9" w:rsidRDefault="00BA49C8" w:rsidP="005822F2">
      <w:pPr>
        <w:contextualSpacing/>
        <w:jc w:val="center"/>
        <w:rPr>
          <w:rFonts w:cs="Arial"/>
          <w:b/>
          <w:iCs/>
          <w:smallCaps/>
          <w:snapToGrid/>
          <w:sz w:val="22"/>
          <w:szCs w:val="22"/>
          <w:lang w:eastAsia="es-MX"/>
        </w:rPr>
      </w:pPr>
      <w:r w:rsidRPr="005A4AC9">
        <w:rPr>
          <w:rFonts w:cs="Arial"/>
          <w:b/>
          <w:iCs/>
          <w:smallCaps/>
          <w:snapToGrid/>
          <w:sz w:val="22"/>
          <w:szCs w:val="22"/>
          <w:lang w:eastAsia="es-MX"/>
        </w:rPr>
        <w:t xml:space="preserve">Indicador </w:t>
      </w:r>
      <w:r w:rsidR="00CE7279" w:rsidRPr="005A4AC9">
        <w:rPr>
          <w:rFonts w:cs="Arial"/>
          <w:b/>
          <w:iCs/>
          <w:smallCaps/>
          <w:snapToGrid/>
          <w:sz w:val="22"/>
          <w:szCs w:val="22"/>
          <w:lang w:eastAsia="es-MX"/>
        </w:rPr>
        <w:t xml:space="preserve">Trimestral </w:t>
      </w:r>
      <w:r w:rsidRPr="005A4AC9">
        <w:rPr>
          <w:rFonts w:cs="Arial"/>
          <w:b/>
          <w:iCs/>
          <w:smallCaps/>
          <w:snapToGrid/>
          <w:sz w:val="22"/>
          <w:szCs w:val="22"/>
          <w:lang w:eastAsia="es-MX"/>
        </w:rPr>
        <w:t xml:space="preserve">del </w:t>
      </w:r>
      <w:r w:rsidR="00CE7279" w:rsidRPr="005A4AC9">
        <w:rPr>
          <w:rFonts w:cs="Arial"/>
          <w:b/>
          <w:iCs/>
          <w:smallCaps/>
          <w:snapToGrid/>
          <w:sz w:val="22"/>
          <w:szCs w:val="22"/>
          <w:lang w:eastAsia="es-MX"/>
        </w:rPr>
        <w:t>Producto Interno Bruto Turístico</w:t>
      </w:r>
    </w:p>
    <w:p w14:paraId="741229CD" w14:textId="5582D854" w:rsidR="00F804E9" w:rsidRPr="002F1A9D" w:rsidRDefault="00F804E9" w:rsidP="005822F2">
      <w:pPr>
        <w:contextualSpacing/>
        <w:jc w:val="center"/>
        <w:rPr>
          <w:rFonts w:cs="Arial"/>
          <w:bCs/>
          <w:sz w:val="20"/>
        </w:rPr>
      </w:pPr>
      <w:r w:rsidRPr="002F1A9D">
        <w:rPr>
          <w:rFonts w:cs="Arial"/>
          <w:bCs/>
          <w:iCs/>
          <w:snapToGrid/>
          <w:sz w:val="20"/>
          <w:lang w:eastAsia="es-MX"/>
        </w:rPr>
        <w:t>al segundo trimestre de 2023</w:t>
      </w:r>
    </w:p>
    <w:p w14:paraId="4EBD03CA" w14:textId="1C8287F7" w:rsidR="00280516" w:rsidRPr="005A4AC9" w:rsidRDefault="00280516" w:rsidP="005822F2">
      <w:pPr>
        <w:contextualSpacing/>
        <w:jc w:val="center"/>
        <w:rPr>
          <w:rFonts w:cs="Arial"/>
          <w:sz w:val="18"/>
          <w:szCs w:val="18"/>
        </w:rPr>
      </w:pPr>
      <w:r w:rsidRPr="005A4AC9">
        <w:rPr>
          <w:rFonts w:cs="Arial"/>
          <w:sz w:val="18"/>
          <w:szCs w:val="18"/>
        </w:rPr>
        <w:t>(</w:t>
      </w:r>
      <w:r w:rsidR="00E57151" w:rsidRPr="005A4AC9">
        <w:rPr>
          <w:rFonts w:cs="Arial"/>
          <w:sz w:val="18"/>
          <w:szCs w:val="18"/>
        </w:rPr>
        <w:t>í</w:t>
      </w:r>
      <w:r w:rsidRPr="005A4AC9">
        <w:rPr>
          <w:rFonts w:cs="Arial"/>
          <w:sz w:val="18"/>
          <w:szCs w:val="18"/>
        </w:rPr>
        <w:t xml:space="preserve">ndice </w:t>
      </w:r>
      <w:r w:rsidR="00B604CA" w:rsidRPr="005A4AC9">
        <w:rPr>
          <w:rFonts w:cs="Arial"/>
          <w:sz w:val="18"/>
          <w:szCs w:val="18"/>
        </w:rPr>
        <w:t>20</w:t>
      </w:r>
      <w:r w:rsidR="002A618E" w:rsidRPr="005A4AC9">
        <w:rPr>
          <w:rFonts w:cs="Arial"/>
          <w:sz w:val="18"/>
          <w:szCs w:val="18"/>
        </w:rPr>
        <w:t>1</w:t>
      </w:r>
      <w:r w:rsidR="00D14185" w:rsidRPr="005A4AC9">
        <w:rPr>
          <w:rFonts w:cs="Arial"/>
          <w:sz w:val="18"/>
          <w:szCs w:val="18"/>
        </w:rPr>
        <w:t>8</w:t>
      </w:r>
      <w:r w:rsidRPr="005A4AC9">
        <w:rPr>
          <w:rFonts w:cs="Arial"/>
          <w:sz w:val="18"/>
          <w:szCs w:val="18"/>
        </w:rPr>
        <w:t>=100)</w:t>
      </w:r>
      <w:r w:rsidR="00FF3110" w:rsidRPr="005A4AC9">
        <w:rPr>
          <w:snapToGrid/>
        </w:rPr>
        <w:t xml:space="preserve"> </w:t>
      </w:r>
    </w:p>
    <w:p w14:paraId="44474488" w14:textId="47934362" w:rsidR="00BA6B74" w:rsidRPr="005A4AC9" w:rsidRDefault="00C218E4" w:rsidP="6172BC4F">
      <w:pPr>
        <w:contextualSpacing/>
        <w:jc w:val="center"/>
        <w:rPr>
          <w:rFonts w:cs="Arial"/>
        </w:rPr>
      </w:pPr>
      <w:r w:rsidRPr="005A4AC9">
        <w:rPr>
          <w:noProof/>
          <w:snapToGrid/>
        </w:rPr>
        <w:drawing>
          <wp:inline distT="0" distB="0" distL="0" distR="0" wp14:anchorId="778CEDC6" wp14:editId="207DCBED">
            <wp:extent cx="5400000" cy="2520000"/>
            <wp:effectExtent l="0" t="0" r="10795" b="13970"/>
            <wp:docPr id="2091200549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00263632-9E2B-E43B-BA3A-853ACCE3C97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14:paraId="76F74215" w14:textId="6BB76B1B" w:rsidR="00F851B7" w:rsidRPr="005A4AC9" w:rsidRDefault="000E2C66" w:rsidP="00464809">
      <w:pPr>
        <w:pStyle w:val="Textoindependiente"/>
        <w:ind w:left="1470" w:right="791" w:hanging="623"/>
        <w:jc w:val="both"/>
        <w:rPr>
          <w:rFonts w:cs="Arial"/>
          <w:sz w:val="20"/>
          <w:lang w:val="es-MX"/>
        </w:rPr>
      </w:pPr>
      <w:r w:rsidRPr="005A4AC9">
        <w:rPr>
          <w:rFonts w:cs="Arial"/>
          <w:sz w:val="16"/>
          <w:szCs w:val="16"/>
          <w:lang w:val="es-MX"/>
        </w:rPr>
        <w:t>Fuente:</w:t>
      </w:r>
      <w:r w:rsidR="00040900">
        <w:rPr>
          <w:rFonts w:cs="Arial"/>
          <w:sz w:val="16"/>
          <w:szCs w:val="16"/>
          <w:lang w:val="es-MX"/>
        </w:rPr>
        <w:tab/>
      </w:r>
      <w:proofErr w:type="spellStart"/>
      <w:r w:rsidR="00E174E6" w:rsidRPr="005A4AC9">
        <w:rPr>
          <w:bCs/>
          <w:smallCaps/>
          <w:color w:val="auto"/>
          <w:sz w:val="16"/>
          <w:szCs w:val="16"/>
          <w:lang w:val="es-MX"/>
        </w:rPr>
        <w:t>inegi</w:t>
      </w:r>
      <w:proofErr w:type="spellEnd"/>
      <w:r w:rsidR="00E174E6" w:rsidRPr="005A4AC9">
        <w:rPr>
          <w:bCs/>
          <w:color w:val="auto"/>
          <w:sz w:val="16"/>
          <w:szCs w:val="16"/>
          <w:lang w:val="es-MX"/>
        </w:rPr>
        <w:t>.</w:t>
      </w:r>
      <w:r w:rsidR="00E174E6" w:rsidRPr="005A4AC9">
        <w:rPr>
          <w:rFonts w:cs="Arial"/>
          <w:bCs/>
          <w:sz w:val="16"/>
          <w:szCs w:val="16"/>
          <w:lang w:val="es-MX"/>
        </w:rPr>
        <w:t xml:space="preserve"> Sistema de Cuentas Nacionales de México</w:t>
      </w:r>
      <w:r w:rsidR="00E174E6" w:rsidRPr="005A4AC9">
        <w:rPr>
          <w:rFonts w:cs="Arial"/>
          <w:bCs/>
          <w:smallCaps/>
          <w:sz w:val="16"/>
          <w:szCs w:val="16"/>
          <w:lang w:val="es-MX"/>
        </w:rPr>
        <w:t xml:space="preserve"> (</w:t>
      </w:r>
      <w:proofErr w:type="spellStart"/>
      <w:r w:rsidR="00E174E6" w:rsidRPr="005A4AC9">
        <w:rPr>
          <w:rFonts w:cs="Arial"/>
          <w:bCs/>
          <w:smallCaps/>
          <w:sz w:val="16"/>
          <w:szCs w:val="16"/>
          <w:lang w:val="es-MX"/>
        </w:rPr>
        <w:t>scnm</w:t>
      </w:r>
      <w:proofErr w:type="spellEnd"/>
      <w:r w:rsidR="00E174E6" w:rsidRPr="005A4AC9">
        <w:rPr>
          <w:rFonts w:cs="Arial"/>
          <w:bCs/>
          <w:smallCaps/>
          <w:sz w:val="16"/>
          <w:szCs w:val="16"/>
          <w:lang w:val="es-MX"/>
        </w:rPr>
        <w:t>).</w:t>
      </w:r>
      <w:r w:rsidR="00E174E6" w:rsidRPr="005A4AC9">
        <w:rPr>
          <w:bCs/>
          <w:color w:val="auto"/>
          <w:sz w:val="16"/>
          <w:szCs w:val="16"/>
          <w:lang w:val="es-MX"/>
        </w:rPr>
        <w:t xml:space="preserve"> </w:t>
      </w:r>
      <w:r w:rsidR="00380156" w:rsidRPr="005A4AC9">
        <w:rPr>
          <w:bCs/>
          <w:color w:val="auto"/>
          <w:sz w:val="16"/>
          <w:szCs w:val="16"/>
          <w:lang w:val="es-MX"/>
        </w:rPr>
        <w:t>Indicadores Trimestrales de la Actividad Turística (</w:t>
      </w:r>
      <w:proofErr w:type="spellStart"/>
      <w:r w:rsidR="00380156" w:rsidRPr="005A4AC9">
        <w:rPr>
          <w:bCs/>
          <w:smallCaps/>
          <w:color w:val="auto"/>
          <w:sz w:val="16"/>
          <w:szCs w:val="16"/>
          <w:lang w:val="es-MX"/>
        </w:rPr>
        <w:t>itat</w:t>
      </w:r>
      <w:proofErr w:type="spellEnd"/>
      <w:r w:rsidR="00380156" w:rsidRPr="005A4AC9">
        <w:rPr>
          <w:bCs/>
          <w:color w:val="auto"/>
          <w:sz w:val="16"/>
          <w:szCs w:val="16"/>
          <w:lang w:val="es-MX"/>
        </w:rPr>
        <w:t>)</w:t>
      </w:r>
      <w:r w:rsidR="00380156">
        <w:rPr>
          <w:bCs/>
          <w:color w:val="auto"/>
          <w:sz w:val="16"/>
          <w:szCs w:val="16"/>
        </w:rPr>
        <w:t>.</w:t>
      </w:r>
      <w:r w:rsidR="00E174E6" w:rsidRPr="005A4AC9">
        <w:rPr>
          <w:bCs/>
          <w:color w:val="auto"/>
          <w:sz w:val="16"/>
          <w:szCs w:val="16"/>
          <w:lang w:val="es-MX"/>
        </w:rPr>
        <w:t xml:space="preserve"> Series elaboradas mediante métodos econométricos, 2023.</w:t>
      </w:r>
      <w:r w:rsidR="00F851B7" w:rsidRPr="005A4AC9">
        <w:rPr>
          <w:rFonts w:cs="Arial"/>
          <w:sz w:val="20"/>
          <w:lang w:val="es-MX"/>
        </w:rPr>
        <w:br w:type="page"/>
      </w:r>
    </w:p>
    <w:p w14:paraId="6659C02F" w14:textId="60DF70CD" w:rsidR="00506982" w:rsidRPr="005A4AC9" w:rsidRDefault="00506982" w:rsidP="005822F2">
      <w:pPr>
        <w:spacing w:before="240"/>
        <w:jc w:val="center"/>
        <w:rPr>
          <w:rFonts w:cs="Arial"/>
          <w:sz w:val="20"/>
        </w:rPr>
      </w:pPr>
      <w:r w:rsidRPr="005A4AC9">
        <w:rPr>
          <w:rFonts w:cs="Arial"/>
          <w:sz w:val="20"/>
        </w:rPr>
        <w:lastRenderedPageBreak/>
        <w:t xml:space="preserve">Gráfica </w:t>
      </w:r>
      <w:r w:rsidR="00146BEE" w:rsidRPr="005A4AC9">
        <w:rPr>
          <w:rFonts w:cs="Arial"/>
          <w:sz w:val="20"/>
        </w:rPr>
        <w:t>2</w:t>
      </w:r>
    </w:p>
    <w:p w14:paraId="6ECD5788" w14:textId="77777777" w:rsidR="0075091A" w:rsidRPr="005A4AC9" w:rsidRDefault="0075091A" w:rsidP="0075091A">
      <w:pPr>
        <w:contextualSpacing/>
        <w:jc w:val="center"/>
        <w:rPr>
          <w:rFonts w:cs="Arial"/>
          <w:b/>
          <w:iCs/>
          <w:smallCaps/>
          <w:snapToGrid/>
          <w:sz w:val="22"/>
          <w:szCs w:val="22"/>
          <w:lang w:eastAsia="es-MX"/>
        </w:rPr>
      </w:pPr>
      <w:r w:rsidRPr="005A4AC9">
        <w:rPr>
          <w:b/>
          <w:smallCaps/>
          <w:sz w:val="22"/>
          <w:szCs w:val="22"/>
        </w:rPr>
        <w:t xml:space="preserve">Series desestacionalizada y de tendencia-ciclo </w:t>
      </w:r>
      <w:r w:rsidRPr="005A4AC9">
        <w:rPr>
          <w:rFonts w:cs="Arial"/>
          <w:b/>
          <w:smallCaps/>
          <w:sz w:val="22"/>
          <w:szCs w:val="22"/>
        </w:rPr>
        <w:t>del</w:t>
      </w:r>
    </w:p>
    <w:p w14:paraId="5A38319A" w14:textId="77777777" w:rsidR="00E57151" w:rsidRPr="005A4AC9" w:rsidRDefault="00E86D0C" w:rsidP="00E86D0C">
      <w:pPr>
        <w:spacing w:before="240"/>
        <w:ind w:hanging="45"/>
        <w:contextualSpacing/>
        <w:jc w:val="center"/>
        <w:rPr>
          <w:rFonts w:cs="Arial"/>
          <w:b/>
          <w:smallCaps/>
          <w:sz w:val="22"/>
          <w:szCs w:val="22"/>
        </w:rPr>
      </w:pPr>
      <w:r w:rsidRPr="005A4AC9">
        <w:rPr>
          <w:rFonts w:cs="Arial"/>
          <w:b/>
          <w:iCs/>
          <w:smallCaps/>
          <w:snapToGrid/>
          <w:sz w:val="22"/>
          <w:szCs w:val="22"/>
          <w:lang w:eastAsia="es-MX"/>
        </w:rPr>
        <w:t>Indicador Trimestral del Producto Interno Bruto Turístico</w:t>
      </w:r>
      <w:r w:rsidRPr="005A4AC9">
        <w:rPr>
          <w:rFonts w:cs="Arial"/>
          <w:b/>
          <w:smallCaps/>
          <w:sz w:val="22"/>
          <w:szCs w:val="22"/>
        </w:rPr>
        <w:t xml:space="preserve"> de bienes</w:t>
      </w:r>
    </w:p>
    <w:p w14:paraId="36AB9201" w14:textId="77777777" w:rsidR="00E57151" w:rsidRPr="002F1A9D" w:rsidRDefault="00E57151" w:rsidP="00E57151">
      <w:pPr>
        <w:contextualSpacing/>
        <w:jc w:val="center"/>
        <w:rPr>
          <w:rFonts w:cs="Arial"/>
          <w:bCs/>
          <w:sz w:val="20"/>
        </w:rPr>
      </w:pPr>
      <w:r w:rsidRPr="002F1A9D">
        <w:rPr>
          <w:rFonts w:cs="Arial"/>
          <w:bCs/>
          <w:iCs/>
          <w:snapToGrid/>
          <w:sz w:val="20"/>
          <w:lang w:eastAsia="es-MX"/>
        </w:rPr>
        <w:t>al segundo trimestre de 2023</w:t>
      </w:r>
    </w:p>
    <w:p w14:paraId="6F0CF033" w14:textId="3D5D3392" w:rsidR="00E57151" w:rsidRPr="005A4AC9" w:rsidRDefault="00E57151" w:rsidP="00E57151">
      <w:pPr>
        <w:contextualSpacing/>
        <w:jc w:val="center"/>
        <w:rPr>
          <w:rFonts w:cs="Arial"/>
          <w:sz w:val="18"/>
          <w:szCs w:val="18"/>
        </w:rPr>
      </w:pPr>
      <w:r w:rsidRPr="005A4AC9">
        <w:rPr>
          <w:rFonts w:cs="Arial"/>
          <w:sz w:val="18"/>
          <w:szCs w:val="18"/>
        </w:rPr>
        <w:t>(índice 2018=100)</w:t>
      </w:r>
      <w:r w:rsidRPr="005A4AC9">
        <w:rPr>
          <w:snapToGrid/>
        </w:rPr>
        <w:t xml:space="preserve"> </w:t>
      </w:r>
    </w:p>
    <w:p w14:paraId="5764147C" w14:textId="324C16AC" w:rsidR="00506982" w:rsidRPr="005A4AC9" w:rsidRDefault="00C218E4" w:rsidP="6172BC4F">
      <w:pPr>
        <w:contextualSpacing/>
        <w:jc w:val="center"/>
        <w:rPr>
          <w:rFonts w:cs="Arial"/>
          <w:sz w:val="20"/>
          <w14:shadow w14:blurRad="50800" w14:dist="50800" w14:dir="3600000" w14:sx="0" w14:sy="0" w14:kx="0" w14:ky="0" w14:algn="ctr">
            <w14:srgbClr w14:val="000000">
              <w14:alpha w14:val="56870"/>
            </w14:srgbClr>
          </w14:shadow>
        </w:rPr>
      </w:pPr>
      <w:r w:rsidRPr="005A4AC9">
        <w:rPr>
          <w:noProof/>
          <w:snapToGrid/>
        </w:rPr>
        <w:drawing>
          <wp:inline distT="0" distB="0" distL="0" distR="0" wp14:anchorId="2C0E8CDE" wp14:editId="5B23BA57">
            <wp:extent cx="5400000" cy="2520000"/>
            <wp:effectExtent l="0" t="0" r="29845" b="33020"/>
            <wp:docPr id="707381127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F5676B55-7E3A-A411-8267-B0E7D258920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14:paraId="65771857" w14:textId="6CB13D34" w:rsidR="004A3B87" w:rsidRPr="005A4AC9" w:rsidRDefault="0075091A" w:rsidP="00464809">
      <w:pPr>
        <w:pStyle w:val="Textoindependiente"/>
        <w:ind w:left="1470" w:right="791" w:hanging="623"/>
        <w:jc w:val="both"/>
        <w:rPr>
          <w:rFonts w:cs="Arial"/>
          <w:sz w:val="20"/>
          <w:lang w:val="es-MX"/>
        </w:rPr>
      </w:pPr>
      <w:r w:rsidRPr="005A4AC9">
        <w:rPr>
          <w:rFonts w:cs="Arial"/>
          <w:sz w:val="16"/>
          <w:szCs w:val="16"/>
          <w:lang w:val="es-MX"/>
        </w:rPr>
        <w:t xml:space="preserve">Fuente: </w:t>
      </w:r>
      <w:proofErr w:type="spellStart"/>
      <w:r w:rsidRPr="005A4AC9">
        <w:rPr>
          <w:bCs/>
          <w:smallCaps/>
          <w:color w:val="auto"/>
          <w:sz w:val="16"/>
          <w:szCs w:val="16"/>
          <w:lang w:val="es-MX"/>
        </w:rPr>
        <w:t>inegi</w:t>
      </w:r>
      <w:proofErr w:type="spellEnd"/>
      <w:r w:rsidRPr="005A4AC9">
        <w:rPr>
          <w:bCs/>
          <w:color w:val="auto"/>
          <w:sz w:val="16"/>
          <w:szCs w:val="16"/>
          <w:lang w:val="es-MX"/>
        </w:rPr>
        <w:t>.</w:t>
      </w:r>
      <w:r w:rsidRPr="005A4AC9">
        <w:rPr>
          <w:rFonts w:cs="Arial"/>
          <w:bCs/>
          <w:sz w:val="16"/>
          <w:szCs w:val="16"/>
          <w:lang w:val="es-MX"/>
        </w:rPr>
        <w:t xml:space="preserve"> Sistema de Cuentas Nacionales de México</w:t>
      </w:r>
      <w:r w:rsidRPr="005A4AC9">
        <w:rPr>
          <w:rFonts w:cs="Arial"/>
          <w:bCs/>
          <w:smallCaps/>
          <w:sz w:val="16"/>
          <w:szCs w:val="16"/>
          <w:lang w:val="es-MX"/>
        </w:rPr>
        <w:t xml:space="preserve"> (</w:t>
      </w:r>
      <w:proofErr w:type="spellStart"/>
      <w:r w:rsidRPr="005A4AC9">
        <w:rPr>
          <w:rFonts w:cs="Arial"/>
          <w:bCs/>
          <w:smallCaps/>
          <w:sz w:val="16"/>
          <w:szCs w:val="16"/>
          <w:lang w:val="es-MX"/>
        </w:rPr>
        <w:t>scnm</w:t>
      </w:r>
      <w:proofErr w:type="spellEnd"/>
      <w:r w:rsidRPr="005A4AC9">
        <w:rPr>
          <w:rFonts w:cs="Arial"/>
          <w:bCs/>
          <w:smallCaps/>
          <w:sz w:val="16"/>
          <w:szCs w:val="16"/>
          <w:lang w:val="es-MX"/>
        </w:rPr>
        <w:t>).</w:t>
      </w:r>
      <w:r w:rsidRPr="005A4AC9">
        <w:rPr>
          <w:bCs/>
          <w:color w:val="auto"/>
          <w:sz w:val="16"/>
          <w:szCs w:val="16"/>
          <w:lang w:val="es-MX"/>
        </w:rPr>
        <w:t xml:space="preserve"> </w:t>
      </w:r>
      <w:r w:rsidR="00380156" w:rsidRPr="005A4AC9">
        <w:rPr>
          <w:bCs/>
          <w:color w:val="auto"/>
          <w:sz w:val="16"/>
          <w:szCs w:val="16"/>
          <w:lang w:val="es-MX"/>
        </w:rPr>
        <w:t>Indicadores Trimestrales de la Actividad Turística (</w:t>
      </w:r>
      <w:proofErr w:type="spellStart"/>
      <w:r w:rsidR="00380156" w:rsidRPr="005A4AC9">
        <w:rPr>
          <w:bCs/>
          <w:smallCaps/>
          <w:color w:val="auto"/>
          <w:sz w:val="16"/>
          <w:szCs w:val="16"/>
          <w:lang w:val="es-MX"/>
        </w:rPr>
        <w:t>itat</w:t>
      </w:r>
      <w:proofErr w:type="spellEnd"/>
      <w:r w:rsidR="00380156" w:rsidRPr="005A4AC9">
        <w:rPr>
          <w:bCs/>
          <w:color w:val="auto"/>
          <w:sz w:val="16"/>
          <w:szCs w:val="16"/>
          <w:lang w:val="es-MX"/>
        </w:rPr>
        <w:t>)</w:t>
      </w:r>
      <w:r w:rsidR="00380156">
        <w:rPr>
          <w:bCs/>
          <w:color w:val="auto"/>
          <w:sz w:val="16"/>
          <w:szCs w:val="16"/>
        </w:rPr>
        <w:t xml:space="preserve">. </w:t>
      </w:r>
      <w:r w:rsidRPr="005A4AC9">
        <w:rPr>
          <w:bCs/>
          <w:color w:val="auto"/>
          <w:sz w:val="16"/>
          <w:szCs w:val="16"/>
          <w:lang w:val="es-MX"/>
        </w:rPr>
        <w:t>Series elaboradas mediante métodos</w:t>
      </w:r>
      <w:r w:rsidR="00E66C76" w:rsidRPr="005A4AC9">
        <w:rPr>
          <w:bCs/>
          <w:color w:val="auto"/>
          <w:sz w:val="16"/>
          <w:szCs w:val="16"/>
          <w:lang w:val="es-MX"/>
        </w:rPr>
        <w:t xml:space="preserve"> </w:t>
      </w:r>
      <w:r w:rsidRPr="005A4AC9">
        <w:rPr>
          <w:bCs/>
          <w:color w:val="auto"/>
          <w:sz w:val="16"/>
          <w:szCs w:val="16"/>
          <w:lang w:val="es-MX"/>
        </w:rPr>
        <w:t>econométricos, 2023</w:t>
      </w:r>
      <w:r w:rsidR="00F851B7" w:rsidRPr="005A4AC9">
        <w:rPr>
          <w:bCs/>
          <w:sz w:val="16"/>
          <w:szCs w:val="16"/>
          <w:lang w:val="es-MX"/>
        </w:rPr>
        <w:t>.</w:t>
      </w:r>
    </w:p>
    <w:p w14:paraId="327F1BEB" w14:textId="6D0B4C32" w:rsidR="00A2172C" w:rsidRPr="005A4AC9" w:rsidRDefault="00A2172C" w:rsidP="00A2172C">
      <w:pPr>
        <w:spacing w:before="240"/>
        <w:ind w:hanging="45"/>
        <w:contextualSpacing/>
        <w:jc w:val="center"/>
        <w:rPr>
          <w:rFonts w:cs="Arial"/>
          <w:sz w:val="20"/>
        </w:rPr>
      </w:pPr>
      <w:r w:rsidRPr="005A4AC9">
        <w:rPr>
          <w:rFonts w:cs="Arial"/>
          <w:sz w:val="20"/>
        </w:rPr>
        <w:t>Gráfica 3</w:t>
      </w:r>
    </w:p>
    <w:p w14:paraId="19599D74" w14:textId="77777777" w:rsidR="0075091A" w:rsidRPr="005A4AC9" w:rsidRDefault="0075091A" w:rsidP="0075091A">
      <w:pPr>
        <w:contextualSpacing/>
        <w:jc w:val="center"/>
        <w:rPr>
          <w:rFonts w:cs="Arial"/>
          <w:b/>
          <w:iCs/>
          <w:smallCaps/>
          <w:snapToGrid/>
          <w:sz w:val="22"/>
          <w:szCs w:val="22"/>
          <w:lang w:eastAsia="es-MX"/>
        </w:rPr>
      </w:pPr>
      <w:r w:rsidRPr="005A4AC9">
        <w:rPr>
          <w:b/>
          <w:smallCaps/>
          <w:sz w:val="22"/>
          <w:szCs w:val="22"/>
        </w:rPr>
        <w:t xml:space="preserve">Series desestacionalizada y de tendencia-ciclo </w:t>
      </w:r>
      <w:r w:rsidRPr="005A4AC9">
        <w:rPr>
          <w:rFonts w:cs="Arial"/>
          <w:b/>
          <w:smallCaps/>
          <w:sz w:val="22"/>
          <w:szCs w:val="22"/>
        </w:rPr>
        <w:t>del</w:t>
      </w:r>
    </w:p>
    <w:p w14:paraId="08132DA6" w14:textId="62C0BA41" w:rsidR="00E86D0C" w:rsidRPr="005A4AC9" w:rsidRDefault="00E86D0C" w:rsidP="00E86D0C">
      <w:pPr>
        <w:contextualSpacing/>
        <w:jc w:val="center"/>
        <w:rPr>
          <w:rFonts w:cs="Arial"/>
          <w:b/>
          <w:smallCaps/>
          <w:sz w:val="22"/>
          <w:szCs w:val="22"/>
        </w:rPr>
      </w:pPr>
      <w:r w:rsidRPr="005A4AC9">
        <w:rPr>
          <w:rFonts w:cs="Arial"/>
          <w:b/>
          <w:iCs/>
          <w:smallCaps/>
          <w:snapToGrid/>
          <w:sz w:val="22"/>
          <w:szCs w:val="22"/>
          <w:lang w:eastAsia="es-MX"/>
        </w:rPr>
        <w:t>Indicador Trimestral del Producto Interno Bruto Turístico</w:t>
      </w:r>
      <w:r w:rsidRPr="005A4AC9">
        <w:rPr>
          <w:rFonts w:cs="Arial"/>
          <w:b/>
          <w:smallCaps/>
          <w:sz w:val="22"/>
          <w:szCs w:val="22"/>
        </w:rPr>
        <w:t xml:space="preserve"> de servicios</w:t>
      </w:r>
      <w:r w:rsidRPr="005A4AC9">
        <w:rPr>
          <w:rFonts w:cs="Arial"/>
          <w:b/>
          <w:iCs/>
          <w:smallCaps/>
          <w:snapToGrid/>
          <w:sz w:val="22"/>
          <w:szCs w:val="22"/>
          <w:lang w:eastAsia="es-MX"/>
        </w:rPr>
        <w:t xml:space="preserve"> </w:t>
      </w:r>
    </w:p>
    <w:p w14:paraId="5E67CB70" w14:textId="77777777" w:rsidR="00E57151" w:rsidRPr="002F1A9D" w:rsidRDefault="00E57151" w:rsidP="00E57151">
      <w:pPr>
        <w:contextualSpacing/>
        <w:jc w:val="center"/>
        <w:rPr>
          <w:rFonts w:cs="Arial"/>
          <w:bCs/>
          <w:sz w:val="20"/>
        </w:rPr>
      </w:pPr>
      <w:r w:rsidRPr="002F1A9D">
        <w:rPr>
          <w:rFonts w:cs="Arial"/>
          <w:bCs/>
          <w:iCs/>
          <w:snapToGrid/>
          <w:sz w:val="20"/>
          <w:lang w:eastAsia="es-MX"/>
        </w:rPr>
        <w:t>al segundo trimestre de 2023</w:t>
      </w:r>
    </w:p>
    <w:p w14:paraId="4EF46BB7" w14:textId="77777777" w:rsidR="00E57151" w:rsidRPr="005A4AC9" w:rsidRDefault="00E57151" w:rsidP="00E57151">
      <w:pPr>
        <w:contextualSpacing/>
        <w:jc w:val="center"/>
        <w:rPr>
          <w:rFonts w:cs="Arial"/>
          <w:sz w:val="18"/>
          <w:szCs w:val="18"/>
        </w:rPr>
      </w:pPr>
      <w:r w:rsidRPr="005A4AC9">
        <w:rPr>
          <w:rFonts w:cs="Arial"/>
          <w:sz w:val="18"/>
          <w:szCs w:val="18"/>
        </w:rPr>
        <w:t>(índice 2018=100)</w:t>
      </w:r>
      <w:r w:rsidRPr="005A4AC9">
        <w:rPr>
          <w:snapToGrid/>
        </w:rPr>
        <w:t xml:space="preserve"> </w:t>
      </w:r>
    </w:p>
    <w:p w14:paraId="4E57E86B" w14:textId="46E0C582" w:rsidR="00146BEE" w:rsidRPr="005A4AC9" w:rsidRDefault="00C218E4" w:rsidP="005822F2">
      <w:pPr>
        <w:spacing w:before="240"/>
        <w:ind w:hanging="45"/>
        <w:contextualSpacing/>
        <w:jc w:val="center"/>
        <w:rPr>
          <w:rFonts w:cs="Arial"/>
          <w:sz w:val="18"/>
          <w:szCs w:val="18"/>
        </w:rPr>
      </w:pPr>
      <w:r w:rsidRPr="005A4AC9">
        <w:rPr>
          <w:noProof/>
          <w:snapToGrid/>
        </w:rPr>
        <w:drawing>
          <wp:inline distT="0" distB="0" distL="0" distR="0" wp14:anchorId="3805DAAD" wp14:editId="5668DC0D">
            <wp:extent cx="5400000" cy="2520000"/>
            <wp:effectExtent l="0" t="0" r="29845" b="33020"/>
            <wp:docPr id="1869610662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542CCF86-CD18-9027-9FC0-EC0640FF403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14:paraId="2B74AAAF" w14:textId="1A39E340" w:rsidR="0075091A" w:rsidRPr="005A4AC9" w:rsidRDefault="0075091A" w:rsidP="00464809">
      <w:pPr>
        <w:pStyle w:val="Textoindependiente"/>
        <w:ind w:left="1470" w:right="791" w:hanging="623"/>
        <w:jc w:val="both"/>
        <w:rPr>
          <w:bCs/>
          <w:color w:val="auto"/>
          <w:sz w:val="16"/>
          <w:szCs w:val="16"/>
          <w:lang w:val="es-MX"/>
        </w:rPr>
      </w:pPr>
      <w:r w:rsidRPr="005A4AC9">
        <w:rPr>
          <w:rFonts w:cs="Arial"/>
          <w:sz w:val="16"/>
          <w:szCs w:val="16"/>
          <w:lang w:val="es-MX"/>
        </w:rPr>
        <w:t>Fuente:</w:t>
      </w:r>
      <w:r w:rsidR="00464809">
        <w:rPr>
          <w:rFonts w:cs="Arial"/>
          <w:sz w:val="16"/>
          <w:szCs w:val="16"/>
          <w:lang w:val="es-MX"/>
        </w:rPr>
        <w:tab/>
      </w:r>
      <w:proofErr w:type="spellStart"/>
      <w:r w:rsidRPr="005A4AC9">
        <w:rPr>
          <w:bCs/>
          <w:smallCaps/>
          <w:color w:val="auto"/>
          <w:sz w:val="16"/>
          <w:szCs w:val="16"/>
          <w:lang w:val="es-MX"/>
        </w:rPr>
        <w:t>inegi</w:t>
      </w:r>
      <w:proofErr w:type="spellEnd"/>
      <w:r w:rsidRPr="005A4AC9">
        <w:rPr>
          <w:bCs/>
          <w:color w:val="auto"/>
          <w:sz w:val="16"/>
          <w:szCs w:val="16"/>
          <w:lang w:val="es-MX"/>
        </w:rPr>
        <w:t>.</w:t>
      </w:r>
      <w:r w:rsidRPr="005A4AC9">
        <w:rPr>
          <w:rFonts w:cs="Arial"/>
          <w:bCs/>
          <w:sz w:val="16"/>
          <w:szCs w:val="16"/>
          <w:lang w:val="es-MX"/>
        </w:rPr>
        <w:t xml:space="preserve"> Sistema de Cuentas Nacionales de México</w:t>
      </w:r>
      <w:r w:rsidRPr="005A4AC9">
        <w:rPr>
          <w:rFonts w:cs="Arial"/>
          <w:bCs/>
          <w:smallCaps/>
          <w:sz w:val="16"/>
          <w:szCs w:val="16"/>
          <w:lang w:val="es-MX"/>
        </w:rPr>
        <w:t xml:space="preserve"> (</w:t>
      </w:r>
      <w:proofErr w:type="spellStart"/>
      <w:r w:rsidRPr="005A4AC9">
        <w:rPr>
          <w:rFonts w:cs="Arial"/>
          <w:bCs/>
          <w:smallCaps/>
          <w:sz w:val="16"/>
          <w:szCs w:val="16"/>
          <w:lang w:val="es-MX"/>
        </w:rPr>
        <w:t>scnm</w:t>
      </w:r>
      <w:proofErr w:type="spellEnd"/>
      <w:r w:rsidRPr="005A4AC9">
        <w:rPr>
          <w:rFonts w:cs="Arial"/>
          <w:bCs/>
          <w:smallCaps/>
          <w:sz w:val="16"/>
          <w:szCs w:val="16"/>
          <w:lang w:val="es-MX"/>
        </w:rPr>
        <w:t>).</w:t>
      </w:r>
      <w:r w:rsidRPr="005A4AC9">
        <w:rPr>
          <w:bCs/>
          <w:color w:val="auto"/>
          <w:sz w:val="16"/>
          <w:szCs w:val="16"/>
          <w:lang w:val="es-MX"/>
        </w:rPr>
        <w:t xml:space="preserve"> </w:t>
      </w:r>
      <w:r w:rsidR="00380156" w:rsidRPr="005A4AC9">
        <w:rPr>
          <w:bCs/>
          <w:color w:val="auto"/>
          <w:sz w:val="16"/>
          <w:szCs w:val="16"/>
          <w:lang w:val="es-MX"/>
        </w:rPr>
        <w:t>Indicadores Trimestrales de la Actividad Turística (</w:t>
      </w:r>
      <w:proofErr w:type="spellStart"/>
      <w:r w:rsidR="00380156" w:rsidRPr="005A4AC9">
        <w:rPr>
          <w:bCs/>
          <w:smallCaps/>
          <w:color w:val="auto"/>
          <w:sz w:val="16"/>
          <w:szCs w:val="16"/>
          <w:lang w:val="es-MX"/>
        </w:rPr>
        <w:t>itat</w:t>
      </w:r>
      <w:proofErr w:type="spellEnd"/>
      <w:r w:rsidR="00380156" w:rsidRPr="005A4AC9">
        <w:rPr>
          <w:bCs/>
          <w:color w:val="auto"/>
          <w:sz w:val="16"/>
          <w:szCs w:val="16"/>
          <w:lang w:val="es-MX"/>
        </w:rPr>
        <w:t>)</w:t>
      </w:r>
      <w:r w:rsidR="00380156">
        <w:rPr>
          <w:bCs/>
          <w:color w:val="auto"/>
          <w:sz w:val="16"/>
          <w:szCs w:val="16"/>
        </w:rPr>
        <w:t>.</w:t>
      </w:r>
      <w:r w:rsidRPr="005A4AC9">
        <w:rPr>
          <w:bCs/>
          <w:color w:val="auto"/>
          <w:sz w:val="16"/>
          <w:szCs w:val="16"/>
          <w:lang w:val="es-MX"/>
        </w:rPr>
        <w:t xml:space="preserve"> Series elaboradas mediante métodos</w:t>
      </w:r>
      <w:r w:rsidR="0020703F" w:rsidRPr="005A4AC9">
        <w:rPr>
          <w:bCs/>
          <w:color w:val="auto"/>
          <w:sz w:val="16"/>
          <w:szCs w:val="16"/>
          <w:lang w:val="es-MX"/>
        </w:rPr>
        <w:t xml:space="preserve"> </w:t>
      </w:r>
      <w:r w:rsidRPr="005A4AC9">
        <w:rPr>
          <w:bCs/>
          <w:color w:val="auto"/>
          <w:sz w:val="16"/>
          <w:szCs w:val="16"/>
          <w:lang w:val="es-MX"/>
        </w:rPr>
        <w:t>econométricos, 2023</w:t>
      </w:r>
      <w:r w:rsidR="00F851B7" w:rsidRPr="005A4AC9">
        <w:rPr>
          <w:bCs/>
          <w:color w:val="auto"/>
          <w:sz w:val="16"/>
          <w:szCs w:val="16"/>
          <w:lang w:val="es-MX"/>
        </w:rPr>
        <w:t>.</w:t>
      </w:r>
    </w:p>
    <w:p w14:paraId="5771CC77" w14:textId="462096A4" w:rsidR="001D0F96" w:rsidRPr="005A4AC9" w:rsidRDefault="00EA2E82" w:rsidP="0075091A">
      <w:pPr>
        <w:pStyle w:val="Textoindependiente"/>
        <w:tabs>
          <w:tab w:val="center" w:pos="3348"/>
        </w:tabs>
        <w:spacing w:before="200"/>
        <w:jc w:val="both"/>
        <w:rPr>
          <w:snapToGrid/>
          <w:color w:val="auto"/>
          <w:szCs w:val="22"/>
          <w:lang w:val="es-MX"/>
        </w:rPr>
      </w:pPr>
      <w:r w:rsidRPr="005A4AC9">
        <w:rPr>
          <w:snapToGrid/>
          <w:color w:val="auto"/>
          <w:szCs w:val="22"/>
          <w:lang w:val="es-MX"/>
        </w:rPr>
        <w:t>A tasa</w:t>
      </w:r>
      <w:r w:rsidR="001D0F96" w:rsidRPr="005A4AC9">
        <w:rPr>
          <w:snapToGrid/>
          <w:color w:val="auto"/>
          <w:szCs w:val="22"/>
          <w:lang w:val="es-MX"/>
        </w:rPr>
        <w:t xml:space="preserve"> anual</w:t>
      </w:r>
      <w:r w:rsidRPr="005A4AC9">
        <w:rPr>
          <w:snapToGrid/>
          <w:color w:val="auto"/>
          <w:szCs w:val="22"/>
          <w:lang w:val="es-MX"/>
        </w:rPr>
        <w:t xml:space="preserve"> y con cifras desestacionalizadas</w:t>
      </w:r>
      <w:r w:rsidR="001D0F96" w:rsidRPr="005A4AC9">
        <w:rPr>
          <w:snapToGrid/>
          <w:color w:val="auto"/>
          <w:szCs w:val="22"/>
          <w:lang w:val="es-MX"/>
        </w:rPr>
        <w:t xml:space="preserve">, el </w:t>
      </w:r>
      <w:proofErr w:type="spellStart"/>
      <w:r w:rsidR="00622742" w:rsidRPr="005A4AC9">
        <w:rPr>
          <w:smallCaps/>
          <w:snapToGrid/>
          <w:color w:val="auto"/>
          <w:szCs w:val="22"/>
          <w:lang w:val="es-MX"/>
        </w:rPr>
        <w:t>itpibt</w:t>
      </w:r>
      <w:proofErr w:type="spellEnd"/>
      <w:r w:rsidR="001D0F96" w:rsidRPr="005A4AC9">
        <w:rPr>
          <w:snapToGrid/>
          <w:color w:val="auto"/>
          <w:szCs w:val="22"/>
          <w:lang w:val="es-MX"/>
        </w:rPr>
        <w:t xml:space="preserve"> </w:t>
      </w:r>
      <w:r w:rsidR="00CE7279" w:rsidRPr="005A4AC9">
        <w:rPr>
          <w:snapToGrid/>
          <w:color w:val="auto"/>
          <w:szCs w:val="22"/>
          <w:lang w:val="es-MX"/>
        </w:rPr>
        <w:t xml:space="preserve">creció </w:t>
      </w:r>
      <w:r w:rsidR="00F851B7" w:rsidRPr="005A4AC9">
        <w:rPr>
          <w:snapToGrid/>
          <w:color w:val="auto"/>
          <w:szCs w:val="22"/>
          <w:lang w:val="es-MX"/>
        </w:rPr>
        <w:t>3.</w:t>
      </w:r>
      <w:r w:rsidR="00742EE9" w:rsidRPr="005A4AC9">
        <w:rPr>
          <w:snapToGrid/>
          <w:color w:val="auto"/>
          <w:szCs w:val="22"/>
          <w:lang w:val="es-MX"/>
        </w:rPr>
        <w:t>8</w:t>
      </w:r>
      <w:r w:rsidR="00581DE4" w:rsidRPr="005A4AC9">
        <w:rPr>
          <w:snapToGrid/>
          <w:color w:val="auto"/>
          <w:szCs w:val="22"/>
          <w:lang w:val="es-MX"/>
        </w:rPr>
        <w:t> %</w:t>
      </w:r>
      <w:r w:rsidR="00B301A1" w:rsidRPr="005A4AC9">
        <w:rPr>
          <w:snapToGrid/>
          <w:color w:val="auto"/>
          <w:szCs w:val="22"/>
          <w:lang w:val="es-MX"/>
        </w:rPr>
        <w:t xml:space="preserve"> en términos reales</w:t>
      </w:r>
      <w:r w:rsidR="00B6118B" w:rsidRPr="005A4AC9">
        <w:rPr>
          <w:snapToGrid/>
          <w:color w:val="auto"/>
          <w:szCs w:val="22"/>
          <w:lang w:val="es-MX"/>
        </w:rPr>
        <w:t>,</w:t>
      </w:r>
      <w:r w:rsidR="00B301A1" w:rsidRPr="005A4AC9">
        <w:rPr>
          <w:snapToGrid/>
          <w:color w:val="auto"/>
          <w:szCs w:val="22"/>
          <w:lang w:val="es-MX"/>
        </w:rPr>
        <w:t xml:space="preserve"> en el trimestre </w:t>
      </w:r>
      <w:r w:rsidR="0075091A" w:rsidRPr="005A4AC9">
        <w:rPr>
          <w:snapToGrid/>
          <w:color w:val="auto"/>
          <w:szCs w:val="22"/>
          <w:lang w:val="es-MX"/>
        </w:rPr>
        <w:t>abril-junio</w:t>
      </w:r>
      <w:r w:rsidR="00B301A1" w:rsidRPr="005A4AC9">
        <w:rPr>
          <w:snapToGrid/>
          <w:color w:val="auto"/>
          <w:szCs w:val="22"/>
          <w:lang w:val="es-MX"/>
        </w:rPr>
        <w:t xml:space="preserve"> de 20</w:t>
      </w:r>
      <w:r w:rsidR="0044791B" w:rsidRPr="005A4AC9">
        <w:rPr>
          <w:snapToGrid/>
          <w:color w:val="auto"/>
          <w:szCs w:val="22"/>
          <w:lang w:val="es-MX"/>
        </w:rPr>
        <w:t>2</w:t>
      </w:r>
      <w:r w:rsidR="00D3109D" w:rsidRPr="005A4AC9">
        <w:rPr>
          <w:snapToGrid/>
          <w:color w:val="auto"/>
          <w:szCs w:val="22"/>
          <w:lang w:val="es-MX"/>
        </w:rPr>
        <w:t>3</w:t>
      </w:r>
      <w:r w:rsidR="00B301A1" w:rsidRPr="005A4AC9">
        <w:rPr>
          <w:snapToGrid/>
          <w:color w:val="auto"/>
          <w:szCs w:val="22"/>
          <w:lang w:val="es-MX"/>
        </w:rPr>
        <w:t>. P</w:t>
      </w:r>
      <w:r w:rsidR="002637EF" w:rsidRPr="005A4AC9">
        <w:rPr>
          <w:snapToGrid/>
          <w:color w:val="auto"/>
          <w:szCs w:val="22"/>
          <w:lang w:val="es-MX"/>
        </w:rPr>
        <w:t>or componente</w:t>
      </w:r>
      <w:r w:rsidR="006D7CE5" w:rsidRPr="005A4AC9">
        <w:rPr>
          <w:snapToGrid/>
          <w:color w:val="auto"/>
          <w:szCs w:val="22"/>
          <w:lang w:val="es-MX"/>
        </w:rPr>
        <w:t>,</w:t>
      </w:r>
      <w:r w:rsidR="002637EF" w:rsidRPr="005A4AC9">
        <w:rPr>
          <w:snapToGrid/>
          <w:color w:val="auto"/>
          <w:szCs w:val="22"/>
          <w:lang w:val="es-MX"/>
        </w:rPr>
        <w:t xml:space="preserve"> </w:t>
      </w:r>
      <w:r w:rsidR="00AA6AEF" w:rsidRPr="005A4AC9">
        <w:rPr>
          <w:snapToGrid/>
          <w:color w:val="auto"/>
          <w:szCs w:val="22"/>
          <w:lang w:val="es-MX"/>
        </w:rPr>
        <w:t xml:space="preserve">el de </w:t>
      </w:r>
      <w:r w:rsidR="00B331A9" w:rsidRPr="005A4AC9">
        <w:rPr>
          <w:snapToGrid/>
          <w:color w:val="auto"/>
          <w:szCs w:val="22"/>
          <w:lang w:val="es-MX"/>
        </w:rPr>
        <w:t>s</w:t>
      </w:r>
      <w:r w:rsidR="00AA6AEF" w:rsidRPr="005A4AC9">
        <w:rPr>
          <w:snapToGrid/>
          <w:color w:val="auto"/>
          <w:szCs w:val="22"/>
          <w:lang w:val="es-MX"/>
        </w:rPr>
        <w:t>ervicios</w:t>
      </w:r>
      <w:r w:rsidR="00CA7244" w:rsidRPr="005A4AC9">
        <w:rPr>
          <w:snapToGrid/>
          <w:color w:val="auto"/>
          <w:szCs w:val="22"/>
          <w:lang w:val="es-MX"/>
        </w:rPr>
        <w:t xml:space="preserve"> </w:t>
      </w:r>
      <w:r w:rsidR="00B331A9" w:rsidRPr="005A4AC9">
        <w:rPr>
          <w:snapToGrid/>
          <w:color w:val="auto"/>
          <w:szCs w:val="22"/>
          <w:lang w:val="es-MX"/>
        </w:rPr>
        <w:t>incrementó</w:t>
      </w:r>
      <w:r w:rsidR="00AA6AEF" w:rsidRPr="005A4AC9">
        <w:rPr>
          <w:snapToGrid/>
          <w:color w:val="auto"/>
          <w:szCs w:val="22"/>
          <w:lang w:val="es-MX"/>
        </w:rPr>
        <w:t xml:space="preserve"> </w:t>
      </w:r>
      <w:r w:rsidR="00F851B7" w:rsidRPr="005A4AC9">
        <w:rPr>
          <w:snapToGrid/>
          <w:color w:val="auto"/>
          <w:szCs w:val="22"/>
          <w:lang w:val="es-MX"/>
        </w:rPr>
        <w:t>6.3</w:t>
      </w:r>
      <w:r w:rsidR="00C1513A" w:rsidRPr="005A4AC9">
        <w:rPr>
          <w:color w:val="auto"/>
          <w:lang w:val="es-MX"/>
        </w:rPr>
        <w:t> </w:t>
      </w:r>
      <w:r w:rsidR="00AA6AEF" w:rsidRPr="005A4AC9">
        <w:rPr>
          <w:snapToGrid/>
          <w:color w:val="auto"/>
          <w:szCs w:val="22"/>
          <w:lang w:val="es-MX"/>
        </w:rPr>
        <w:t xml:space="preserve">% y </w:t>
      </w:r>
      <w:r w:rsidR="00994340" w:rsidRPr="005A4AC9">
        <w:rPr>
          <w:snapToGrid/>
          <w:color w:val="auto"/>
          <w:szCs w:val="22"/>
          <w:lang w:val="es-MX"/>
        </w:rPr>
        <w:t xml:space="preserve">el de </w:t>
      </w:r>
      <w:r w:rsidR="00B331A9" w:rsidRPr="005A4AC9">
        <w:rPr>
          <w:snapToGrid/>
          <w:color w:val="auto"/>
          <w:szCs w:val="22"/>
          <w:lang w:val="es-MX"/>
        </w:rPr>
        <w:t>b</w:t>
      </w:r>
      <w:r w:rsidR="00130B75" w:rsidRPr="005A4AC9">
        <w:rPr>
          <w:snapToGrid/>
          <w:color w:val="auto"/>
          <w:szCs w:val="22"/>
          <w:lang w:val="es-MX"/>
        </w:rPr>
        <w:t>ienes</w:t>
      </w:r>
      <w:r w:rsidR="00F851B7" w:rsidRPr="005A4AC9">
        <w:rPr>
          <w:snapToGrid/>
          <w:color w:val="auto"/>
          <w:szCs w:val="22"/>
          <w:lang w:val="es-MX"/>
        </w:rPr>
        <w:t xml:space="preserve"> retrocedió</w:t>
      </w:r>
      <w:r w:rsidR="00130B75" w:rsidRPr="005A4AC9">
        <w:rPr>
          <w:snapToGrid/>
          <w:color w:val="auto"/>
          <w:szCs w:val="22"/>
          <w:lang w:val="es-MX"/>
        </w:rPr>
        <w:t xml:space="preserve"> </w:t>
      </w:r>
      <w:r w:rsidR="0076650F">
        <w:rPr>
          <w:snapToGrid/>
          <w:color w:val="auto"/>
          <w:szCs w:val="22"/>
          <w:lang w:val="es-MX"/>
        </w:rPr>
        <w:t xml:space="preserve">cinco </w:t>
      </w:r>
      <w:r w:rsidR="004E73A8" w:rsidRPr="005A4AC9">
        <w:rPr>
          <w:snapToGrid/>
          <w:color w:val="auto"/>
          <w:szCs w:val="22"/>
          <w:lang w:val="es-MX"/>
        </w:rPr>
        <w:t>por ciento</w:t>
      </w:r>
      <w:r w:rsidR="00B301A1" w:rsidRPr="005A4AC9">
        <w:rPr>
          <w:snapToGrid/>
          <w:color w:val="auto"/>
          <w:szCs w:val="22"/>
          <w:lang w:val="es-MX"/>
        </w:rPr>
        <w:t>.</w:t>
      </w:r>
      <w:r w:rsidR="001D0F96" w:rsidRPr="005A4AC9">
        <w:rPr>
          <w:snapToGrid/>
          <w:color w:val="auto"/>
          <w:szCs w:val="22"/>
          <w:lang w:val="es-MX"/>
        </w:rPr>
        <w:t xml:space="preserve"> </w:t>
      </w:r>
    </w:p>
    <w:p w14:paraId="43BDC513" w14:textId="1350A20F" w:rsidR="002C1ADA" w:rsidRPr="005A4AC9" w:rsidRDefault="00BA49C8" w:rsidP="00CC1672">
      <w:pPr>
        <w:pStyle w:val="Textoindependiente"/>
        <w:tabs>
          <w:tab w:val="center" w:pos="3348"/>
        </w:tabs>
        <w:spacing w:before="360"/>
        <w:ind w:firstLine="284"/>
        <w:rPr>
          <w:rFonts w:cs="Arial"/>
          <w:b/>
          <w:szCs w:val="24"/>
          <w:lang w:val="es-MX"/>
        </w:rPr>
      </w:pPr>
      <w:r w:rsidRPr="005A4AC9">
        <w:rPr>
          <w:rFonts w:cs="Arial"/>
          <w:b/>
          <w:szCs w:val="24"/>
          <w:lang w:val="es-MX"/>
        </w:rPr>
        <w:lastRenderedPageBreak/>
        <w:t xml:space="preserve">Indicador </w:t>
      </w:r>
      <w:r w:rsidR="00CF13DA" w:rsidRPr="005A4AC9">
        <w:rPr>
          <w:rFonts w:cs="Arial"/>
          <w:b/>
          <w:szCs w:val="24"/>
          <w:lang w:val="es-MX"/>
        </w:rPr>
        <w:t xml:space="preserve">Trimestral </w:t>
      </w:r>
      <w:r w:rsidRPr="005A4AC9">
        <w:rPr>
          <w:rFonts w:cs="Arial"/>
          <w:b/>
          <w:szCs w:val="24"/>
          <w:lang w:val="es-MX"/>
        </w:rPr>
        <w:t xml:space="preserve">del </w:t>
      </w:r>
      <w:r w:rsidR="00CF13DA" w:rsidRPr="005A4AC9">
        <w:rPr>
          <w:rFonts w:cs="Arial"/>
          <w:b/>
          <w:szCs w:val="24"/>
          <w:lang w:val="es-MX"/>
        </w:rPr>
        <w:t xml:space="preserve">Consumo Turístico Interior </w:t>
      </w:r>
      <w:r w:rsidR="00B4687E" w:rsidRPr="005A4AC9">
        <w:rPr>
          <w:rFonts w:cs="Arial"/>
          <w:b/>
          <w:szCs w:val="24"/>
          <w:lang w:val="es-MX"/>
        </w:rPr>
        <w:t>(</w:t>
      </w:r>
      <w:proofErr w:type="spellStart"/>
      <w:r w:rsidR="008E7D37" w:rsidRPr="005A4AC9">
        <w:rPr>
          <w:rFonts w:ascii="Arial Negrita" w:hAnsi="Arial Negrita" w:cs="Arial"/>
          <w:b/>
          <w:smallCaps/>
          <w:szCs w:val="24"/>
          <w:lang w:val="es-MX"/>
        </w:rPr>
        <w:t>itcti</w:t>
      </w:r>
      <w:proofErr w:type="spellEnd"/>
      <w:r w:rsidR="00B4687E" w:rsidRPr="005A4AC9">
        <w:rPr>
          <w:rFonts w:cs="Arial"/>
          <w:b/>
          <w:szCs w:val="24"/>
          <w:lang w:val="es-MX"/>
        </w:rPr>
        <w:t>)</w:t>
      </w:r>
    </w:p>
    <w:p w14:paraId="623E4D8E" w14:textId="4E1D5F44" w:rsidR="004E0EE9" w:rsidRPr="005A4AC9" w:rsidRDefault="00CB239A" w:rsidP="00E57151">
      <w:pPr>
        <w:pStyle w:val="Textoindependiente"/>
        <w:tabs>
          <w:tab w:val="center" w:pos="3348"/>
        </w:tabs>
        <w:spacing w:before="120"/>
        <w:jc w:val="both"/>
        <w:rPr>
          <w:rFonts w:cs="Arial"/>
          <w:b/>
          <w:smallCaps/>
          <w:szCs w:val="24"/>
          <w:lang w:val="es-MX"/>
        </w:rPr>
      </w:pPr>
      <w:r w:rsidRPr="005A4AC9">
        <w:rPr>
          <w:snapToGrid/>
          <w:color w:val="auto"/>
          <w:szCs w:val="22"/>
          <w:lang w:val="es-MX"/>
        </w:rPr>
        <w:t xml:space="preserve">En el </w:t>
      </w:r>
      <w:r w:rsidR="0075091A" w:rsidRPr="005A4AC9">
        <w:rPr>
          <w:snapToGrid/>
          <w:color w:val="auto"/>
          <w:szCs w:val="22"/>
          <w:lang w:val="es-MX"/>
        </w:rPr>
        <w:t>segundo</w:t>
      </w:r>
      <w:r w:rsidRPr="005A4AC9">
        <w:rPr>
          <w:snapToGrid/>
          <w:color w:val="auto"/>
          <w:szCs w:val="22"/>
          <w:lang w:val="es-MX"/>
        </w:rPr>
        <w:t xml:space="preserve"> trimestre de 202</w:t>
      </w:r>
      <w:r w:rsidR="00D3109D" w:rsidRPr="005A4AC9">
        <w:rPr>
          <w:snapToGrid/>
          <w:color w:val="auto"/>
          <w:szCs w:val="22"/>
          <w:lang w:val="es-MX"/>
        </w:rPr>
        <w:t>3</w:t>
      </w:r>
      <w:r w:rsidRPr="005A4AC9">
        <w:rPr>
          <w:snapToGrid/>
          <w:color w:val="auto"/>
          <w:szCs w:val="22"/>
          <w:lang w:val="es-MX"/>
        </w:rPr>
        <w:t xml:space="preserve"> y con datos ajustados por estacionalidad, e</w:t>
      </w:r>
      <w:r w:rsidR="00DD139F" w:rsidRPr="005A4AC9">
        <w:rPr>
          <w:snapToGrid/>
          <w:color w:val="auto"/>
          <w:szCs w:val="22"/>
          <w:lang w:val="es-MX"/>
        </w:rPr>
        <w:t xml:space="preserve">l </w:t>
      </w:r>
      <w:proofErr w:type="spellStart"/>
      <w:r w:rsidR="00622742" w:rsidRPr="005A4AC9">
        <w:rPr>
          <w:smallCaps/>
          <w:snapToGrid/>
          <w:color w:val="auto"/>
          <w:szCs w:val="22"/>
          <w:lang w:val="es-MX"/>
        </w:rPr>
        <w:t>itcti</w:t>
      </w:r>
      <w:proofErr w:type="spellEnd"/>
      <w:r w:rsidR="00DD139F" w:rsidRPr="005A4AC9">
        <w:rPr>
          <w:snapToGrid/>
          <w:color w:val="auto"/>
          <w:szCs w:val="22"/>
          <w:lang w:val="es-MX"/>
        </w:rPr>
        <w:t xml:space="preserve"> </w:t>
      </w:r>
      <w:r w:rsidR="00E57151" w:rsidRPr="005A4AC9">
        <w:rPr>
          <w:snapToGrid/>
          <w:color w:val="auto"/>
          <w:szCs w:val="22"/>
          <w:lang w:val="es-MX"/>
        </w:rPr>
        <w:t>creci</w:t>
      </w:r>
      <w:r w:rsidR="00A54AC2" w:rsidRPr="005A4AC9">
        <w:rPr>
          <w:snapToGrid/>
          <w:color w:val="auto"/>
          <w:szCs w:val="22"/>
          <w:lang w:val="es-MX"/>
        </w:rPr>
        <w:t xml:space="preserve">ó </w:t>
      </w:r>
      <w:r w:rsidR="00742EE9" w:rsidRPr="005A4AC9">
        <w:rPr>
          <w:snapToGrid/>
          <w:color w:val="auto"/>
          <w:szCs w:val="22"/>
          <w:lang w:val="es-MX"/>
        </w:rPr>
        <w:t>0.</w:t>
      </w:r>
      <w:r w:rsidR="00457B11" w:rsidRPr="005A4AC9">
        <w:rPr>
          <w:snapToGrid/>
          <w:color w:val="auto"/>
          <w:szCs w:val="22"/>
          <w:lang w:val="es-MX"/>
        </w:rPr>
        <w:t>5</w:t>
      </w:r>
      <w:r w:rsidR="00581DE4" w:rsidRPr="005A4AC9">
        <w:rPr>
          <w:snapToGrid/>
          <w:color w:val="auto"/>
          <w:szCs w:val="22"/>
          <w:lang w:val="es-MX"/>
        </w:rPr>
        <w:t> %</w:t>
      </w:r>
      <w:r w:rsidR="002A618E" w:rsidRPr="005A4AC9">
        <w:rPr>
          <w:snapToGrid/>
          <w:color w:val="auto"/>
          <w:szCs w:val="22"/>
          <w:lang w:val="es-MX"/>
        </w:rPr>
        <w:t xml:space="preserve"> </w:t>
      </w:r>
      <w:r w:rsidR="00BE227A" w:rsidRPr="005A4AC9">
        <w:rPr>
          <w:snapToGrid/>
          <w:color w:val="auto"/>
          <w:szCs w:val="22"/>
          <w:lang w:val="es-MX"/>
        </w:rPr>
        <w:t xml:space="preserve">con </w:t>
      </w:r>
      <w:r w:rsidR="00E81E9F" w:rsidRPr="005A4AC9">
        <w:rPr>
          <w:snapToGrid/>
          <w:color w:val="auto"/>
          <w:szCs w:val="22"/>
          <w:lang w:val="es-MX"/>
        </w:rPr>
        <w:t>respecto al</w:t>
      </w:r>
      <w:r w:rsidR="00E57151" w:rsidRPr="005A4AC9">
        <w:rPr>
          <w:snapToGrid/>
          <w:color w:val="auto"/>
          <w:szCs w:val="22"/>
          <w:lang w:val="es-MX"/>
        </w:rPr>
        <w:t xml:space="preserve"> primer </w:t>
      </w:r>
      <w:r w:rsidR="00E81E9F" w:rsidRPr="005A4AC9">
        <w:rPr>
          <w:snapToGrid/>
          <w:color w:val="auto"/>
          <w:szCs w:val="22"/>
          <w:lang w:val="es-MX"/>
        </w:rPr>
        <w:t>trimestre</w:t>
      </w:r>
      <w:r w:rsidR="00E57151" w:rsidRPr="005A4AC9">
        <w:rPr>
          <w:snapToGrid/>
          <w:color w:val="auto"/>
          <w:szCs w:val="22"/>
          <w:lang w:val="es-MX"/>
        </w:rPr>
        <w:t xml:space="preserve"> de 2023</w:t>
      </w:r>
      <w:r w:rsidR="00DD139F" w:rsidRPr="005A4AC9">
        <w:rPr>
          <w:snapToGrid/>
          <w:color w:val="auto"/>
          <w:szCs w:val="22"/>
          <w:lang w:val="es-MX"/>
        </w:rPr>
        <w:t xml:space="preserve">. </w:t>
      </w:r>
      <w:r w:rsidR="007449C3" w:rsidRPr="005A4AC9">
        <w:rPr>
          <w:snapToGrid/>
          <w:color w:val="auto"/>
          <w:szCs w:val="22"/>
          <w:lang w:val="es-MX"/>
        </w:rPr>
        <w:t>De manera desagregada</w:t>
      </w:r>
      <w:r w:rsidR="008B5024" w:rsidRPr="005A4AC9">
        <w:rPr>
          <w:snapToGrid/>
          <w:color w:val="auto"/>
          <w:szCs w:val="22"/>
          <w:lang w:val="es-MX"/>
        </w:rPr>
        <w:t xml:space="preserve">, </w:t>
      </w:r>
      <w:r w:rsidR="006A4B36" w:rsidRPr="005A4AC9">
        <w:rPr>
          <w:snapToGrid/>
          <w:color w:val="auto"/>
          <w:szCs w:val="22"/>
          <w:lang w:val="es-MX"/>
        </w:rPr>
        <w:t xml:space="preserve">el </w:t>
      </w:r>
      <w:proofErr w:type="spellStart"/>
      <w:r w:rsidR="00622742" w:rsidRPr="005A4AC9">
        <w:rPr>
          <w:smallCaps/>
          <w:snapToGrid/>
          <w:color w:val="auto"/>
          <w:szCs w:val="22"/>
          <w:lang w:val="es-MX"/>
        </w:rPr>
        <w:t>itcti</w:t>
      </w:r>
      <w:proofErr w:type="spellEnd"/>
      <w:r w:rsidR="00622742" w:rsidRPr="005A4AC9">
        <w:rPr>
          <w:rFonts w:cs="Arial"/>
          <w:bCs/>
          <w:smallCaps/>
          <w:szCs w:val="24"/>
          <w:lang w:val="es-MX"/>
        </w:rPr>
        <w:t xml:space="preserve"> </w:t>
      </w:r>
      <w:r w:rsidR="00457B11" w:rsidRPr="005A4AC9">
        <w:rPr>
          <w:snapToGrid/>
          <w:color w:val="auto"/>
          <w:szCs w:val="22"/>
          <w:lang w:val="es-MX"/>
        </w:rPr>
        <w:t xml:space="preserve">interno </w:t>
      </w:r>
      <w:r w:rsidR="00464809">
        <w:rPr>
          <w:snapToGrid/>
          <w:color w:val="auto"/>
          <w:szCs w:val="22"/>
          <w:lang w:val="es-MX"/>
        </w:rPr>
        <w:t>aument</w:t>
      </w:r>
      <w:r w:rsidR="00A95D57" w:rsidRPr="005A4AC9">
        <w:rPr>
          <w:snapToGrid/>
          <w:color w:val="auto"/>
          <w:szCs w:val="22"/>
          <w:lang w:val="es-MX"/>
        </w:rPr>
        <w:t>ó</w:t>
      </w:r>
      <w:r w:rsidR="00742EE9" w:rsidRPr="005A4AC9">
        <w:rPr>
          <w:snapToGrid/>
          <w:color w:val="auto"/>
          <w:szCs w:val="22"/>
          <w:lang w:val="es-MX"/>
        </w:rPr>
        <w:t xml:space="preserve"> </w:t>
      </w:r>
      <w:r w:rsidR="00457B11" w:rsidRPr="005A4AC9">
        <w:rPr>
          <w:snapToGrid/>
          <w:color w:val="auto"/>
          <w:szCs w:val="22"/>
          <w:lang w:val="es-MX"/>
        </w:rPr>
        <w:t>4.9 </w:t>
      </w:r>
      <w:r w:rsidR="00581DE4" w:rsidRPr="005A4AC9">
        <w:rPr>
          <w:snapToGrid/>
          <w:color w:val="auto"/>
          <w:szCs w:val="22"/>
          <w:lang w:val="es-MX"/>
        </w:rPr>
        <w:t>%</w:t>
      </w:r>
      <w:r w:rsidR="00A907A6" w:rsidRPr="005A4AC9">
        <w:rPr>
          <w:snapToGrid/>
          <w:color w:val="auto"/>
          <w:szCs w:val="22"/>
          <w:lang w:val="es-MX"/>
        </w:rPr>
        <w:t xml:space="preserve"> y </w:t>
      </w:r>
      <w:r w:rsidR="001C1997" w:rsidRPr="005A4AC9">
        <w:rPr>
          <w:snapToGrid/>
          <w:color w:val="auto"/>
          <w:szCs w:val="22"/>
          <w:lang w:val="es-MX"/>
        </w:rPr>
        <w:t>el</w:t>
      </w:r>
      <w:r w:rsidR="00B94AE2" w:rsidRPr="005A4AC9">
        <w:rPr>
          <w:snapToGrid/>
          <w:color w:val="auto"/>
          <w:szCs w:val="22"/>
          <w:lang w:val="es-MX"/>
        </w:rPr>
        <w:t xml:space="preserve"> </w:t>
      </w:r>
      <w:r w:rsidR="00457B11" w:rsidRPr="005A4AC9">
        <w:rPr>
          <w:snapToGrid/>
          <w:color w:val="auto"/>
          <w:szCs w:val="22"/>
          <w:lang w:val="es-MX"/>
        </w:rPr>
        <w:t xml:space="preserve">receptivo </w:t>
      </w:r>
      <w:r w:rsidR="00742EE9" w:rsidRPr="005A4AC9">
        <w:rPr>
          <w:snapToGrid/>
          <w:color w:val="auto"/>
          <w:szCs w:val="22"/>
          <w:lang w:val="es-MX"/>
        </w:rPr>
        <w:t xml:space="preserve">descendió </w:t>
      </w:r>
      <w:r w:rsidR="00457B11" w:rsidRPr="005A4AC9">
        <w:rPr>
          <w:snapToGrid/>
          <w:color w:val="auto"/>
          <w:szCs w:val="22"/>
          <w:lang w:val="es-MX"/>
        </w:rPr>
        <w:t>18 </w:t>
      </w:r>
      <w:r w:rsidR="001C1997" w:rsidRPr="005A4AC9">
        <w:rPr>
          <w:snapToGrid/>
          <w:color w:val="auto"/>
          <w:szCs w:val="22"/>
          <w:lang w:val="es-MX"/>
        </w:rPr>
        <w:t>por ciento.</w:t>
      </w:r>
    </w:p>
    <w:p w14:paraId="6D794427" w14:textId="77777777" w:rsidR="000D65E2" w:rsidRPr="005A4AC9" w:rsidRDefault="000D65E2" w:rsidP="00CC1672">
      <w:pPr>
        <w:pStyle w:val="Default"/>
        <w:spacing w:before="200"/>
        <w:jc w:val="center"/>
        <w:rPr>
          <w:sz w:val="20"/>
          <w:szCs w:val="20"/>
          <w:lang w:val="es-MX"/>
        </w:rPr>
      </w:pPr>
      <w:r w:rsidRPr="005A4AC9">
        <w:rPr>
          <w:sz w:val="20"/>
          <w:szCs w:val="20"/>
          <w:lang w:val="es-MX"/>
        </w:rPr>
        <w:t xml:space="preserve">Gráfica </w:t>
      </w:r>
      <w:r w:rsidR="009910DB" w:rsidRPr="005A4AC9">
        <w:rPr>
          <w:sz w:val="20"/>
          <w:szCs w:val="20"/>
          <w:lang w:val="es-MX"/>
        </w:rPr>
        <w:t>4</w:t>
      </w:r>
    </w:p>
    <w:p w14:paraId="01676984" w14:textId="77777777" w:rsidR="0075091A" w:rsidRPr="005A4AC9" w:rsidRDefault="0075091A" w:rsidP="0075091A">
      <w:pPr>
        <w:contextualSpacing/>
        <w:jc w:val="center"/>
        <w:rPr>
          <w:rFonts w:cs="Arial"/>
          <w:b/>
          <w:iCs/>
          <w:smallCaps/>
          <w:snapToGrid/>
          <w:sz w:val="22"/>
          <w:szCs w:val="22"/>
          <w:lang w:eastAsia="es-MX"/>
        </w:rPr>
      </w:pPr>
      <w:r w:rsidRPr="005A4AC9">
        <w:rPr>
          <w:b/>
          <w:smallCaps/>
          <w:sz w:val="22"/>
          <w:szCs w:val="22"/>
        </w:rPr>
        <w:t xml:space="preserve">Series desestacionalizada y de tendencia-ciclo </w:t>
      </w:r>
      <w:r w:rsidRPr="005A4AC9">
        <w:rPr>
          <w:rFonts w:cs="Arial"/>
          <w:b/>
          <w:smallCaps/>
          <w:sz w:val="22"/>
          <w:szCs w:val="22"/>
        </w:rPr>
        <w:t>del</w:t>
      </w:r>
    </w:p>
    <w:p w14:paraId="603870A5" w14:textId="5188BA40" w:rsidR="000D65E2" w:rsidRPr="005A4AC9" w:rsidRDefault="00BA49C8" w:rsidP="005822F2">
      <w:pPr>
        <w:contextualSpacing/>
        <w:jc w:val="center"/>
        <w:rPr>
          <w:rFonts w:cs="Arial"/>
          <w:b/>
          <w:smallCaps/>
          <w:sz w:val="22"/>
          <w:szCs w:val="22"/>
        </w:rPr>
      </w:pPr>
      <w:r w:rsidRPr="005A4AC9">
        <w:rPr>
          <w:rFonts w:cs="Arial"/>
          <w:b/>
          <w:smallCaps/>
          <w:sz w:val="22"/>
          <w:szCs w:val="22"/>
        </w:rPr>
        <w:t xml:space="preserve">Indicador </w:t>
      </w:r>
      <w:r w:rsidR="00A54AC2" w:rsidRPr="005A4AC9">
        <w:rPr>
          <w:rFonts w:cs="Arial"/>
          <w:b/>
          <w:smallCaps/>
          <w:sz w:val="22"/>
          <w:szCs w:val="22"/>
        </w:rPr>
        <w:t xml:space="preserve">Trimestral </w:t>
      </w:r>
      <w:r w:rsidRPr="005A4AC9">
        <w:rPr>
          <w:rFonts w:cs="Arial"/>
          <w:b/>
          <w:smallCaps/>
          <w:sz w:val="22"/>
          <w:szCs w:val="22"/>
        </w:rPr>
        <w:t xml:space="preserve">del </w:t>
      </w:r>
      <w:r w:rsidR="00A54AC2" w:rsidRPr="005A4AC9">
        <w:rPr>
          <w:rFonts w:cs="Arial"/>
          <w:b/>
          <w:smallCaps/>
          <w:sz w:val="22"/>
          <w:szCs w:val="22"/>
        </w:rPr>
        <w:t>Consumo Turístico Interior</w:t>
      </w:r>
      <w:r w:rsidR="00A54AC2" w:rsidRPr="005A4AC9" w:rsidDel="00CC2A9A">
        <w:rPr>
          <w:rFonts w:cs="Arial"/>
          <w:b/>
          <w:smallCaps/>
          <w:sz w:val="22"/>
          <w:szCs w:val="22"/>
        </w:rPr>
        <w:t xml:space="preserve"> </w:t>
      </w:r>
    </w:p>
    <w:p w14:paraId="11D53821" w14:textId="77777777" w:rsidR="00E57151" w:rsidRPr="002F1A9D" w:rsidRDefault="00E57151" w:rsidP="00E57151">
      <w:pPr>
        <w:contextualSpacing/>
        <w:jc w:val="center"/>
        <w:rPr>
          <w:rFonts w:cs="Arial"/>
          <w:bCs/>
          <w:sz w:val="20"/>
        </w:rPr>
      </w:pPr>
      <w:r w:rsidRPr="002F1A9D">
        <w:rPr>
          <w:rFonts w:cs="Arial"/>
          <w:bCs/>
          <w:iCs/>
          <w:snapToGrid/>
          <w:sz w:val="20"/>
          <w:lang w:eastAsia="es-MX"/>
        </w:rPr>
        <w:t>al segundo trimestre de 2023</w:t>
      </w:r>
    </w:p>
    <w:p w14:paraId="3BD70C00" w14:textId="77777777" w:rsidR="00E57151" w:rsidRPr="005A4AC9" w:rsidRDefault="00E57151" w:rsidP="00E57151">
      <w:pPr>
        <w:contextualSpacing/>
        <w:jc w:val="center"/>
        <w:rPr>
          <w:rFonts w:cs="Arial"/>
          <w:sz w:val="18"/>
          <w:szCs w:val="18"/>
        </w:rPr>
      </w:pPr>
      <w:r w:rsidRPr="005A4AC9">
        <w:rPr>
          <w:rFonts w:cs="Arial"/>
          <w:sz w:val="18"/>
          <w:szCs w:val="18"/>
        </w:rPr>
        <w:t>(índice 2018=100)</w:t>
      </w:r>
      <w:r w:rsidRPr="005A4AC9">
        <w:rPr>
          <w:snapToGrid/>
        </w:rPr>
        <w:t xml:space="preserve"> </w:t>
      </w:r>
    </w:p>
    <w:p w14:paraId="3539B053" w14:textId="4A85C804" w:rsidR="000D65E2" w:rsidRPr="005A4AC9" w:rsidRDefault="00C218E4" w:rsidP="005822F2">
      <w:pPr>
        <w:tabs>
          <w:tab w:val="left" w:pos="6145"/>
        </w:tabs>
        <w:jc w:val="center"/>
      </w:pPr>
      <w:r w:rsidRPr="005A4AC9">
        <w:rPr>
          <w:noProof/>
          <w:snapToGrid/>
        </w:rPr>
        <w:drawing>
          <wp:inline distT="0" distB="0" distL="0" distR="0" wp14:anchorId="09571082" wp14:editId="32C7BE6F">
            <wp:extent cx="5400000" cy="2448000"/>
            <wp:effectExtent l="0" t="0" r="10795" b="9525"/>
            <wp:docPr id="1142907199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25471BAD-144C-5A38-5CE0-3FE2A71B620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14:paraId="20230AD3" w14:textId="4D9D3431" w:rsidR="0075091A" w:rsidRPr="005A4AC9" w:rsidRDefault="0075091A" w:rsidP="00464809">
      <w:pPr>
        <w:pStyle w:val="Textoindependiente"/>
        <w:ind w:left="1470" w:right="791" w:hanging="623"/>
        <w:jc w:val="both"/>
        <w:rPr>
          <w:bCs/>
          <w:color w:val="auto"/>
          <w:sz w:val="16"/>
          <w:szCs w:val="16"/>
          <w:lang w:val="es-MX"/>
        </w:rPr>
      </w:pPr>
      <w:r w:rsidRPr="005A4AC9">
        <w:rPr>
          <w:rFonts w:cs="Arial"/>
          <w:sz w:val="16"/>
          <w:szCs w:val="16"/>
          <w:lang w:val="es-MX"/>
        </w:rPr>
        <w:t>Fuente:</w:t>
      </w:r>
      <w:r w:rsidR="0076650F">
        <w:rPr>
          <w:rFonts w:cs="Arial"/>
          <w:sz w:val="16"/>
          <w:szCs w:val="16"/>
          <w:lang w:val="es-MX"/>
        </w:rPr>
        <w:tab/>
      </w:r>
      <w:proofErr w:type="spellStart"/>
      <w:r w:rsidRPr="005A4AC9">
        <w:rPr>
          <w:bCs/>
          <w:smallCaps/>
          <w:color w:val="auto"/>
          <w:sz w:val="16"/>
          <w:szCs w:val="16"/>
          <w:lang w:val="es-MX"/>
        </w:rPr>
        <w:t>inegi</w:t>
      </w:r>
      <w:proofErr w:type="spellEnd"/>
      <w:r w:rsidRPr="005A4AC9">
        <w:rPr>
          <w:bCs/>
          <w:color w:val="auto"/>
          <w:sz w:val="16"/>
          <w:szCs w:val="16"/>
          <w:lang w:val="es-MX"/>
        </w:rPr>
        <w:t>.</w:t>
      </w:r>
      <w:r w:rsidRPr="005A4AC9">
        <w:rPr>
          <w:rFonts w:cs="Arial"/>
          <w:bCs/>
          <w:sz w:val="16"/>
          <w:szCs w:val="16"/>
          <w:lang w:val="es-MX"/>
        </w:rPr>
        <w:t xml:space="preserve"> Sistema de Cuentas Nacionales de México</w:t>
      </w:r>
      <w:r w:rsidRPr="005A4AC9">
        <w:rPr>
          <w:rFonts w:cs="Arial"/>
          <w:bCs/>
          <w:smallCaps/>
          <w:sz w:val="16"/>
          <w:szCs w:val="16"/>
          <w:lang w:val="es-MX"/>
        </w:rPr>
        <w:t xml:space="preserve"> (</w:t>
      </w:r>
      <w:proofErr w:type="spellStart"/>
      <w:r w:rsidRPr="005A4AC9">
        <w:rPr>
          <w:rFonts w:cs="Arial"/>
          <w:bCs/>
          <w:smallCaps/>
          <w:sz w:val="16"/>
          <w:szCs w:val="16"/>
          <w:lang w:val="es-MX"/>
        </w:rPr>
        <w:t>scnm</w:t>
      </w:r>
      <w:proofErr w:type="spellEnd"/>
      <w:r w:rsidRPr="005A4AC9">
        <w:rPr>
          <w:rFonts w:cs="Arial"/>
          <w:bCs/>
          <w:smallCaps/>
          <w:sz w:val="16"/>
          <w:szCs w:val="16"/>
          <w:lang w:val="es-MX"/>
        </w:rPr>
        <w:t>).</w:t>
      </w:r>
      <w:r w:rsidRPr="005A4AC9">
        <w:rPr>
          <w:bCs/>
          <w:color w:val="auto"/>
          <w:sz w:val="16"/>
          <w:szCs w:val="16"/>
          <w:lang w:val="es-MX"/>
        </w:rPr>
        <w:t xml:space="preserve"> </w:t>
      </w:r>
      <w:r w:rsidR="00380156" w:rsidRPr="005A4AC9">
        <w:rPr>
          <w:bCs/>
          <w:color w:val="auto"/>
          <w:sz w:val="16"/>
          <w:szCs w:val="16"/>
          <w:lang w:val="es-MX"/>
        </w:rPr>
        <w:t>Indicadores Trimestrales de la Actividad Turística (</w:t>
      </w:r>
      <w:proofErr w:type="spellStart"/>
      <w:r w:rsidR="00380156" w:rsidRPr="005A4AC9">
        <w:rPr>
          <w:bCs/>
          <w:smallCaps/>
          <w:color w:val="auto"/>
          <w:sz w:val="16"/>
          <w:szCs w:val="16"/>
          <w:lang w:val="es-MX"/>
        </w:rPr>
        <w:t>itat</w:t>
      </w:r>
      <w:proofErr w:type="spellEnd"/>
      <w:r w:rsidR="00380156" w:rsidRPr="005A4AC9">
        <w:rPr>
          <w:bCs/>
          <w:color w:val="auto"/>
          <w:sz w:val="16"/>
          <w:szCs w:val="16"/>
          <w:lang w:val="es-MX"/>
        </w:rPr>
        <w:t>)</w:t>
      </w:r>
      <w:r w:rsidR="00380156">
        <w:rPr>
          <w:bCs/>
          <w:color w:val="auto"/>
          <w:sz w:val="16"/>
          <w:szCs w:val="16"/>
        </w:rPr>
        <w:t>.</w:t>
      </w:r>
      <w:r w:rsidRPr="005A4AC9">
        <w:rPr>
          <w:bCs/>
          <w:color w:val="auto"/>
          <w:sz w:val="16"/>
          <w:szCs w:val="16"/>
          <w:lang w:val="es-MX"/>
        </w:rPr>
        <w:t xml:space="preserve"> Series elaboradas mediante métodos econométricos, 2023</w:t>
      </w:r>
      <w:r w:rsidR="00B00955">
        <w:rPr>
          <w:bCs/>
          <w:color w:val="auto"/>
          <w:sz w:val="16"/>
          <w:szCs w:val="16"/>
          <w:lang w:val="es-MX"/>
        </w:rPr>
        <w:t>.</w:t>
      </w:r>
    </w:p>
    <w:p w14:paraId="09297749" w14:textId="77777777" w:rsidR="005A4D85" w:rsidRPr="005A4AC9" w:rsidRDefault="005A4D85" w:rsidP="00E57151">
      <w:pPr>
        <w:pStyle w:val="Default"/>
        <w:spacing w:before="240"/>
        <w:jc w:val="center"/>
        <w:rPr>
          <w:sz w:val="20"/>
          <w:szCs w:val="20"/>
          <w:lang w:val="es-MX"/>
        </w:rPr>
      </w:pPr>
      <w:r w:rsidRPr="005A4AC9">
        <w:rPr>
          <w:sz w:val="20"/>
          <w:szCs w:val="20"/>
          <w:lang w:val="es-MX"/>
        </w:rPr>
        <w:t>Gráfica 5</w:t>
      </w:r>
    </w:p>
    <w:p w14:paraId="529ACD7E" w14:textId="17CA2A33" w:rsidR="0015718D" w:rsidRPr="005A4AC9" w:rsidRDefault="0015718D" w:rsidP="00B94AE2">
      <w:pPr>
        <w:contextualSpacing/>
        <w:jc w:val="center"/>
        <w:rPr>
          <w:rFonts w:cs="Arial"/>
          <w:b/>
          <w:smallCaps/>
          <w:sz w:val="22"/>
          <w:szCs w:val="22"/>
        </w:rPr>
      </w:pPr>
      <w:r w:rsidRPr="005A4AC9">
        <w:rPr>
          <w:b/>
          <w:smallCaps/>
          <w:sz w:val="22"/>
          <w:szCs w:val="22"/>
        </w:rPr>
        <w:t xml:space="preserve">Series desestacionalizada y de tendencia-ciclo </w:t>
      </w:r>
      <w:r w:rsidRPr="005A4AC9">
        <w:rPr>
          <w:rFonts w:cs="Arial"/>
          <w:b/>
          <w:smallCaps/>
          <w:sz w:val="22"/>
          <w:szCs w:val="22"/>
        </w:rPr>
        <w:t>del</w:t>
      </w:r>
    </w:p>
    <w:p w14:paraId="55351398" w14:textId="77777777" w:rsidR="00C218E4" w:rsidRPr="005A4AC9" w:rsidRDefault="00C218E4" w:rsidP="00C218E4">
      <w:pPr>
        <w:contextualSpacing/>
        <w:jc w:val="center"/>
        <w:rPr>
          <w:rFonts w:cs="Arial"/>
          <w:b/>
          <w:smallCaps/>
          <w:sz w:val="22"/>
          <w:szCs w:val="22"/>
        </w:rPr>
      </w:pPr>
      <w:r w:rsidRPr="005A4AC9">
        <w:rPr>
          <w:rFonts w:cs="Arial"/>
          <w:b/>
          <w:smallCaps/>
          <w:sz w:val="22"/>
          <w:szCs w:val="22"/>
        </w:rPr>
        <w:t>Indicador Trimestral del Consumo Turístico Interior,</w:t>
      </w:r>
      <w:r w:rsidRPr="005A4AC9" w:rsidDel="00CC2A9A">
        <w:rPr>
          <w:rFonts w:cs="Arial"/>
          <w:b/>
          <w:smallCaps/>
          <w:sz w:val="22"/>
          <w:szCs w:val="22"/>
        </w:rPr>
        <w:t xml:space="preserve"> </w:t>
      </w:r>
      <w:r w:rsidRPr="005A4AC9">
        <w:rPr>
          <w:rFonts w:cs="Arial"/>
          <w:b/>
          <w:smallCaps/>
          <w:sz w:val="22"/>
          <w:szCs w:val="22"/>
        </w:rPr>
        <w:t xml:space="preserve">interno </w:t>
      </w:r>
    </w:p>
    <w:p w14:paraId="43F436D0" w14:textId="77777777" w:rsidR="00E57151" w:rsidRPr="002F1A9D" w:rsidRDefault="00E57151" w:rsidP="00E57151">
      <w:pPr>
        <w:contextualSpacing/>
        <w:jc w:val="center"/>
        <w:rPr>
          <w:rFonts w:cs="Arial"/>
          <w:bCs/>
          <w:sz w:val="20"/>
        </w:rPr>
      </w:pPr>
      <w:r w:rsidRPr="002F1A9D">
        <w:rPr>
          <w:rFonts w:cs="Arial"/>
          <w:bCs/>
          <w:iCs/>
          <w:snapToGrid/>
          <w:sz w:val="20"/>
          <w:lang w:eastAsia="es-MX"/>
        </w:rPr>
        <w:t>al segundo trimestre de 2023</w:t>
      </w:r>
    </w:p>
    <w:p w14:paraId="0AE7A91A" w14:textId="77777777" w:rsidR="00E57151" w:rsidRPr="005A4AC9" w:rsidRDefault="00E57151" w:rsidP="00E57151">
      <w:pPr>
        <w:contextualSpacing/>
        <w:jc w:val="center"/>
        <w:rPr>
          <w:rFonts w:cs="Arial"/>
          <w:sz w:val="18"/>
          <w:szCs w:val="18"/>
        </w:rPr>
      </w:pPr>
      <w:r w:rsidRPr="005A4AC9">
        <w:rPr>
          <w:rFonts w:cs="Arial"/>
          <w:sz w:val="18"/>
          <w:szCs w:val="18"/>
        </w:rPr>
        <w:t>(índice 2018=100)</w:t>
      </w:r>
      <w:r w:rsidRPr="005A4AC9">
        <w:rPr>
          <w:snapToGrid/>
        </w:rPr>
        <w:t xml:space="preserve"> </w:t>
      </w:r>
    </w:p>
    <w:p w14:paraId="36BC2207" w14:textId="7B8C514F" w:rsidR="005A4D85" w:rsidRPr="005A4AC9" w:rsidRDefault="00C218E4" w:rsidP="005822F2">
      <w:pPr>
        <w:tabs>
          <w:tab w:val="left" w:pos="6145"/>
        </w:tabs>
        <w:jc w:val="center"/>
        <w:rPr>
          <w:sz w:val="16"/>
          <w:szCs w:val="16"/>
        </w:rPr>
      </w:pPr>
      <w:r w:rsidRPr="005A4AC9">
        <w:rPr>
          <w:noProof/>
          <w:snapToGrid/>
        </w:rPr>
        <w:drawing>
          <wp:inline distT="0" distB="0" distL="0" distR="0" wp14:anchorId="5118488C" wp14:editId="64F4D4B0">
            <wp:extent cx="5400000" cy="2448000"/>
            <wp:effectExtent l="0" t="0" r="29845" b="28575"/>
            <wp:docPr id="1768251664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117171E2-6DAE-91AE-D521-D5B1717FE78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14:paraId="6A724327" w14:textId="338152BE" w:rsidR="005A4D85" w:rsidRPr="005A4AC9" w:rsidRDefault="008941E5" w:rsidP="00464809">
      <w:pPr>
        <w:pStyle w:val="Textoindependiente"/>
        <w:ind w:left="1470" w:right="791" w:hanging="623"/>
        <w:jc w:val="both"/>
        <w:rPr>
          <w:sz w:val="18"/>
          <w:szCs w:val="18"/>
          <w:lang w:val="es-MX"/>
        </w:rPr>
      </w:pPr>
      <w:r w:rsidRPr="005A4AC9">
        <w:rPr>
          <w:rFonts w:cs="Arial"/>
          <w:sz w:val="16"/>
          <w:szCs w:val="16"/>
          <w:lang w:val="es-MX"/>
        </w:rPr>
        <w:t>Fuente:</w:t>
      </w:r>
      <w:r w:rsidR="0076650F">
        <w:rPr>
          <w:rFonts w:cs="Arial"/>
          <w:sz w:val="16"/>
          <w:szCs w:val="16"/>
          <w:lang w:val="es-MX"/>
        </w:rPr>
        <w:tab/>
      </w:r>
      <w:proofErr w:type="spellStart"/>
      <w:r w:rsidRPr="005A4AC9">
        <w:rPr>
          <w:bCs/>
          <w:smallCaps/>
          <w:color w:val="auto"/>
          <w:sz w:val="16"/>
          <w:szCs w:val="16"/>
          <w:lang w:val="es-MX"/>
        </w:rPr>
        <w:t>inegi</w:t>
      </w:r>
      <w:proofErr w:type="spellEnd"/>
      <w:r w:rsidRPr="005A4AC9">
        <w:rPr>
          <w:bCs/>
          <w:color w:val="auto"/>
          <w:sz w:val="16"/>
          <w:szCs w:val="16"/>
          <w:lang w:val="es-MX"/>
        </w:rPr>
        <w:t>.</w:t>
      </w:r>
      <w:r w:rsidRPr="005A4AC9">
        <w:rPr>
          <w:rFonts w:cs="Arial"/>
          <w:bCs/>
          <w:sz w:val="16"/>
          <w:szCs w:val="16"/>
          <w:lang w:val="es-MX"/>
        </w:rPr>
        <w:t xml:space="preserve"> Sistema de Cuentas Nacionales de México</w:t>
      </w:r>
      <w:r w:rsidRPr="005A4AC9">
        <w:rPr>
          <w:rFonts w:cs="Arial"/>
          <w:bCs/>
          <w:smallCaps/>
          <w:sz w:val="16"/>
          <w:szCs w:val="16"/>
          <w:lang w:val="es-MX"/>
        </w:rPr>
        <w:t xml:space="preserve"> (</w:t>
      </w:r>
      <w:proofErr w:type="spellStart"/>
      <w:r w:rsidRPr="005A4AC9">
        <w:rPr>
          <w:rFonts w:cs="Arial"/>
          <w:bCs/>
          <w:smallCaps/>
          <w:sz w:val="16"/>
          <w:szCs w:val="16"/>
          <w:lang w:val="es-MX"/>
        </w:rPr>
        <w:t>scnm</w:t>
      </w:r>
      <w:proofErr w:type="spellEnd"/>
      <w:r w:rsidRPr="005A4AC9">
        <w:rPr>
          <w:rFonts w:cs="Arial"/>
          <w:bCs/>
          <w:smallCaps/>
          <w:sz w:val="16"/>
          <w:szCs w:val="16"/>
          <w:lang w:val="es-MX"/>
        </w:rPr>
        <w:t>).</w:t>
      </w:r>
      <w:r w:rsidRPr="005A4AC9">
        <w:rPr>
          <w:bCs/>
          <w:color w:val="auto"/>
          <w:sz w:val="16"/>
          <w:szCs w:val="16"/>
          <w:lang w:val="es-MX"/>
        </w:rPr>
        <w:t xml:space="preserve"> </w:t>
      </w:r>
      <w:r w:rsidR="00380156" w:rsidRPr="005A4AC9">
        <w:rPr>
          <w:bCs/>
          <w:color w:val="auto"/>
          <w:sz w:val="16"/>
          <w:szCs w:val="16"/>
          <w:lang w:val="es-MX"/>
        </w:rPr>
        <w:t>Indicadores Trimestrales de la Actividad Turística (</w:t>
      </w:r>
      <w:proofErr w:type="spellStart"/>
      <w:r w:rsidR="00380156" w:rsidRPr="005A4AC9">
        <w:rPr>
          <w:bCs/>
          <w:smallCaps/>
          <w:color w:val="auto"/>
          <w:sz w:val="16"/>
          <w:szCs w:val="16"/>
          <w:lang w:val="es-MX"/>
        </w:rPr>
        <w:t>itat</w:t>
      </w:r>
      <w:proofErr w:type="spellEnd"/>
      <w:r w:rsidR="00380156" w:rsidRPr="005A4AC9">
        <w:rPr>
          <w:bCs/>
          <w:color w:val="auto"/>
          <w:sz w:val="16"/>
          <w:szCs w:val="16"/>
          <w:lang w:val="es-MX"/>
        </w:rPr>
        <w:t>)</w:t>
      </w:r>
      <w:r w:rsidR="00380156">
        <w:rPr>
          <w:bCs/>
          <w:color w:val="auto"/>
          <w:sz w:val="16"/>
          <w:szCs w:val="16"/>
        </w:rPr>
        <w:t>.</w:t>
      </w:r>
      <w:r w:rsidRPr="005A4AC9">
        <w:rPr>
          <w:bCs/>
          <w:color w:val="auto"/>
          <w:sz w:val="16"/>
          <w:szCs w:val="16"/>
          <w:lang w:val="es-MX"/>
        </w:rPr>
        <w:t xml:space="preserve"> Series elaboradas mediante métodos econométricos, 2023.</w:t>
      </w:r>
    </w:p>
    <w:p w14:paraId="4F82A504" w14:textId="77777777" w:rsidR="00593BE6" w:rsidRPr="005A4AC9" w:rsidRDefault="00593BE6" w:rsidP="005822F2">
      <w:pPr>
        <w:pStyle w:val="Default"/>
        <w:spacing w:before="360"/>
        <w:jc w:val="center"/>
        <w:rPr>
          <w:sz w:val="18"/>
          <w:szCs w:val="18"/>
          <w:lang w:val="es-MX"/>
        </w:rPr>
      </w:pPr>
      <w:r w:rsidRPr="005A4AC9">
        <w:rPr>
          <w:sz w:val="18"/>
          <w:szCs w:val="18"/>
          <w:lang w:val="es-MX"/>
        </w:rPr>
        <w:lastRenderedPageBreak/>
        <w:t xml:space="preserve">Gráfica </w:t>
      </w:r>
      <w:r w:rsidR="005A4D85" w:rsidRPr="005A4AC9">
        <w:rPr>
          <w:sz w:val="18"/>
          <w:szCs w:val="18"/>
          <w:lang w:val="es-MX"/>
        </w:rPr>
        <w:t>6</w:t>
      </w:r>
    </w:p>
    <w:p w14:paraId="715220D2" w14:textId="77777777" w:rsidR="00C218E4" w:rsidRPr="005A4AC9" w:rsidRDefault="0015718D" w:rsidP="00C218E4">
      <w:pPr>
        <w:contextualSpacing/>
        <w:jc w:val="center"/>
        <w:rPr>
          <w:rFonts w:cs="Arial"/>
          <w:b/>
          <w:smallCaps/>
          <w:sz w:val="22"/>
          <w:szCs w:val="22"/>
        </w:rPr>
      </w:pPr>
      <w:r w:rsidRPr="005A4AC9">
        <w:rPr>
          <w:b/>
          <w:smallCaps/>
          <w:sz w:val="22"/>
          <w:szCs w:val="22"/>
        </w:rPr>
        <w:t xml:space="preserve">Series desestacionalizada y de tendencia-ciclo </w:t>
      </w:r>
      <w:r w:rsidRPr="005A4AC9">
        <w:rPr>
          <w:rFonts w:cs="Arial"/>
          <w:b/>
          <w:smallCaps/>
          <w:sz w:val="22"/>
          <w:szCs w:val="22"/>
        </w:rPr>
        <w:t>del</w:t>
      </w:r>
      <w:r w:rsidR="00C218E4" w:rsidRPr="005A4AC9">
        <w:rPr>
          <w:rFonts w:cs="Arial"/>
          <w:b/>
          <w:smallCaps/>
          <w:sz w:val="22"/>
          <w:szCs w:val="22"/>
        </w:rPr>
        <w:t xml:space="preserve"> </w:t>
      </w:r>
    </w:p>
    <w:p w14:paraId="22E62622" w14:textId="2F8DE334" w:rsidR="00C218E4" w:rsidRPr="005A4AC9" w:rsidRDefault="00C218E4" w:rsidP="00C218E4">
      <w:pPr>
        <w:contextualSpacing/>
        <w:jc w:val="center"/>
        <w:rPr>
          <w:rFonts w:cs="Arial"/>
          <w:b/>
          <w:smallCaps/>
          <w:sz w:val="22"/>
          <w:szCs w:val="22"/>
        </w:rPr>
      </w:pPr>
      <w:r w:rsidRPr="005A4AC9">
        <w:rPr>
          <w:rFonts w:cs="Arial"/>
          <w:b/>
          <w:smallCaps/>
          <w:sz w:val="22"/>
          <w:szCs w:val="22"/>
        </w:rPr>
        <w:t>Indicador Trimestral del Consumo Turístico Interior, receptivo</w:t>
      </w:r>
    </w:p>
    <w:p w14:paraId="50024199" w14:textId="77777777" w:rsidR="00A4460D" w:rsidRPr="002F1A9D" w:rsidRDefault="00A4460D" w:rsidP="00A4460D">
      <w:pPr>
        <w:contextualSpacing/>
        <w:jc w:val="center"/>
        <w:rPr>
          <w:rFonts w:cs="Arial"/>
          <w:bCs/>
          <w:sz w:val="20"/>
        </w:rPr>
      </w:pPr>
      <w:r w:rsidRPr="002F1A9D">
        <w:rPr>
          <w:rFonts w:cs="Arial"/>
          <w:bCs/>
          <w:iCs/>
          <w:snapToGrid/>
          <w:sz w:val="20"/>
          <w:lang w:eastAsia="es-MX"/>
        </w:rPr>
        <w:t>al segundo trimestre de 2023</w:t>
      </w:r>
    </w:p>
    <w:p w14:paraId="1371B1C1" w14:textId="019B6EEA" w:rsidR="00013DDD" w:rsidRPr="005A4AC9" w:rsidRDefault="00A4460D" w:rsidP="00A4460D">
      <w:pPr>
        <w:tabs>
          <w:tab w:val="left" w:pos="6145"/>
        </w:tabs>
        <w:jc w:val="center"/>
      </w:pPr>
      <w:r w:rsidRPr="005A4AC9">
        <w:rPr>
          <w:rFonts w:cs="Arial"/>
          <w:sz w:val="18"/>
          <w:szCs w:val="18"/>
        </w:rPr>
        <w:t>(índice 2018=100)</w:t>
      </w:r>
      <w:r w:rsidRPr="005A4AC9">
        <w:rPr>
          <w:snapToGrid/>
        </w:rPr>
        <w:t xml:space="preserve"> </w:t>
      </w:r>
      <w:r w:rsidR="00D96409" w:rsidRPr="005A4AC9">
        <w:rPr>
          <w:noProof/>
          <w:snapToGrid/>
        </w:rPr>
        <w:drawing>
          <wp:inline distT="0" distB="0" distL="0" distR="0" wp14:anchorId="032D752F" wp14:editId="05E31B28">
            <wp:extent cx="5400000" cy="2520000"/>
            <wp:effectExtent l="0" t="0" r="10795" b="13970"/>
            <wp:docPr id="1853709234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215900A9-2163-BA00-D66C-91660AB6A35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14:paraId="0BBCE852" w14:textId="215286DA" w:rsidR="00593BE6" w:rsidRPr="005A4AC9" w:rsidRDefault="008941E5" w:rsidP="00464809">
      <w:pPr>
        <w:pStyle w:val="Textoindependiente"/>
        <w:ind w:left="1470" w:right="791" w:hanging="623"/>
        <w:jc w:val="both"/>
        <w:rPr>
          <w:sz w:val="18"/>
          <w:szCs w:val="18"/>
          <w:lang w:val="es-MX"/>
        </w:rPr>
      </w:pPr>
      <w:r w:rsidRPr="005A4AC9">
        <w:rPr>
          <w:rFonts w:cs="Arial"/>
          <w:sz w:val="16"/>
          <w:szCs w:val="16"/>
          <w:lang w:val="es-MX"/>
        </w:rPr>
        <w:t>Fuente:</w:t>
      </w:r>
      <w:r w:rsidR="0076650F">
        <w:rPr>
          <w:rFonts w:cs="Arial"/>
          <w:sz w:val="16"/>
          <w:szCs w:val="16"/>
          <w:lang w:val="es-MX"/>
        </w:rPr>
        <w:tab/>
      </w:r>
      <w:proofErr w:type="spellStart"/>
      <w:r w:rsidRPr="005A4AC9">
        <w:rPr>
          <w:bCs/>
          <w:smallCaps/>
          <w:color w:val="auto"/>
          <w:sz w:val="16"/>
          <w:szCs w:val="16"/>
          <w:lang w:val="es-MX"/>
        </w:rPr>
        <w:t>inegi</w:t>
      </w:r>
      <w:proofErr w:type="spellEnd"/>
      <w:r w:rsidRPr="005A4AC9">
        <w:rPr>
          <w:bCs/>
          <w:color w:val="auto"/>
          <w:sz w:val="16"/>
          <w:szCs w:val="16"/>
          <w:lang w:val="es-MX"/>
        </w:rPr>
        <w:t>.</w:t>
      </w:r>
      <w:r w:rsidRPr="005A4AC9">
        <w:rPr>
          <w:rFonts w:cs="Arial"/>
          <w:bCs/>
          <w:sz w:val="16"/>
          <w:szCs w:val="16"/>
          <w:lang w:val="es-MX"/>
        </w:rPr>
        <w:t xml:space="preserve"> Sistema de Cuentas Nacionales de México</w:t>
      </w:r>
      <w:r w:rsidRPr="005A4AC9">
        <w:rPr>
          <w:rFonts w:cs="Arial"/>
          <w:bCs/>
          <w:smallCaps/>
          <w:sz w:val="16"/>
          <w:szCs w:val="16"/>
          <w:lang w:val="es-MX"/>
        </w:rPr>
        <w:t xml:space="preserve"> (</w:t>
      </w:r>
      <w:proofErr w:type="spellStart"/>
      <w:r w:rsidRPr="005A4AC9">
        <w:rPr>
          <w:rFonts w:cs="Arial"/>
          <w:bCs/>
          <w:smallCaps/>
          <w:sz w:val="16"/>
          <w:szCs w:val="16"/>
          <w:lang w:val="es-MX"/>
        </w:rPr>
        <w:t>scnm</w:t>
      </w:r>
      <w:proofErr w:type="spellEnd"/>
      <w:r w:rsidRPr="005A4AC9">
        <w:rPr>
          <w:rFonts w:cs="Arial"/>
          <w:bCs/>
          <w:smallCaps/>
          <w:sz w:val="16"/>
          <w:szCs w:val="16"/>
          <w:lang w:val="es-MX"/>
        </w:rPr>
        <w:t>).</w:t>
      </w:r>
      <w:r w:rsidRPr="005A4AC9">
        <w:rPr>
          <w:bCs/>
          <w:color w:val="auto"/>
          <w:sz w:val="16"/>
          <w:szCs w:val="16"/>
          <w:lang w:val="es-MX"/>
        </w:rPr>
        <w:t xml:space="preserve"> </w:t>
      </w:r>
      <w:r w:rsidR="00380156" w:rsidRPr="005A4AC9">
        <w:rPr>
          <w:bCs/>
          <w:color w:val="auto"/>
          <w:sz w:val="16"/>
          <w:szCs w:val="16"/>
          <w:lang w:val="es-MX"/>
        </w:rPr>
        <w:t>Indicadores Trimestrales de la Actividad Turística (</w:t>
      </w:r>
      <w:proofErr w:type="spellStart"/>
      <w:r w:rsidR="00380156" w:rsidRPr="005A4AC9">
        <w:rPr>
          <w:bCs/>
          <w:smallCaps/>
          <w:color w:val="auto"/>
          <w:sz w:val="16"/>
          <w:szCs w:val="16"/>
          <w:lang w:val="es-MX"/>
        </w:rPr>
        <w:t>itat</w:t>
      </w:r>
      <w:proofErr w:type="spellEnd"/>
      <w:r w:rsidR="00380156" w:rsidRPr="005A4AC9">
        <w:rPr>
          <w:bCs/>
          <w:color w:val="auto"/>
          <w:sz w:val="16"/>
          <w:szCs w:val="16"/>
          <w:lang w:val="es-MX"/>
        </w:rPr>
        <w:t>)</w:t>
      </w:r>
      <w:r w:rsidR="00380156">
        <w:rPr>
          <w:bCs/>
          <w:color w:val="auto"/>
          <w:sz w:val="16"/>
          <w:szCs w:val="16"/>
        </w:rPr>
        <w:t>.</w:t>
      </w:r>
      <w:r w:rsidRPr="005A4AC9">
        <w:rPr>
          <w:bCs/>
          <w:color w:val="auto"/>
          <w:sz w:val="16"/>
          <w:szCs w:val="16"/>
          <w:lang w:val="es-MX"/>
        </w:rPr>
        <w:t xml:space="preserve"> Series elaboradas mediante métodos econométricos, 2023</w:t>
      </w:r>
      <w:r w:rsidR="0020703F" w:rsidRPr="005A4AC9">
        <w:rPr>
          <w:bCs/>
          <w:color w:val="auto"/>
          <w:sz w:val="16"/>
          <w:szCs w:val="16"/>
          <w:lang w:val="es-MX"/>
        </w:rPr>
        <w:t>.</w:t>
      </w:r>
    </w:p>
    <w:p w14:paraId="022AF6FF" w14:textId="3D0F7FFB" w:rsidR="00A74306" w:rsidRPr="005A4AC9" w:rsidRDefault="00A852EC" w:rsidP="005822F2">
      <w:pPr>
        <w:pStyle w:val="n01"/>
        <w:keepLines w:val="0"/>
        <w:widowControl w:val="0"/>
        <w:ind w:left="0" w:firstLine="0"/>
        <w:outlineLvl w:val="0"/>
        <w:rPr>
          <w:rFonts w:ascii="Arial" w:hAnsi="Arial" w:cs="Arial"/>
          <w:color w:val="auto"/>
          <w:szCs w:val="22"/>
        </w:rPr>
      </w:pPr>
      <w:r w:rsidRPr="005A4AC9">
        <w:rPr>
          <w:rFonts w:ascii="Arial" w:hAnsi="Arial" w:cs="Arial"/>
          <w:color w:val="auto"/>
        </w:rPr>
        <w:t>En su comparación a</w:t>
      </w:r>
      <w:r w:rsidR="00526FDF" w:rsidRPr="005A4AC9">
        <w:rPr>
          <w:rFonts w:ascii="Arial" w:hAnsi="Arial" w:cs="Arial"/>
          <w:color w:val="auto"/>
        </w:rPr>
        <w:t>nual</w:t>
      </w:r>
      <w:r w:rsidRPr="005A4AC9">
        <w:rPr>
          <w:rFonts w:ascii="Arial" w:hAnsi="Arial" w:cs="Arial"/>
          <w:color w:val="auto"/>
        </w:rPr>
        <w:t xml:space="preserve"> </w:t>
      </w:r>
      <w:r w:rsidR="00DD4A68" w:rsidRPr="005A4AC9">
        <w:rPr>
          <w:rFonts w:ascii="Arial" w:hAnsi="Arial" w:cs="Arial"/>
          <w:color w:val="auto"/>
        </w:rPr>
        <w:t xml:space="preserve">y </w:t>
      </w:r>
      <w:r w:rsidRPr="005A4AC9">
        <w:rPr>
          <w:rFonts w:ascii="Arial" w:hAnsi="Arial" w:cs="Arial"/>
          <w:color w:val="auto"/>
        </w:rPr>
        <w:t>con datos</w:t>
      </w:r>
      <w:r w:rsidR="00DD139F" w:rsidRPr="005A4AC9">
        <w:rPr>
          <w:rFonts w:ascii="Arial" w:hAnsi="Arial" w:cs="Arial"/>
          <w:color w:val="auto"/>
        </w:rPr>
        <w:t xml:space="preserve"> desestacionalizados, e</w:t>
      </w:r>
      <w:r w:rsidR="00DD139F" w:rsidRPr="005A4AC9">
        <w:rPr>
          <w:rFonts w:ascii="Arial" w:hAnsi="Arial" w:cs="Arial"/>
          <w:color w:val="auto"/>
          <w:szCs w:val="22"/>
        </w:rPr>
        <w:t xml:space="preserve">l </w:t>
      </w:r>
      <w:proofErr w:type="spellStart"/>
      <w:r w:rsidR="00622742" w:rsidRPr="005A4AC9">
        <w:rPr>
          <w:rFonts w:ascii="Arial" w:hAnsi="Arial" w:cs="Arial"/>
          <w:smallCaps/>
          <w:color w:val="auto"/>
          <w:szCs w:val="22"/>
        </w:rPr>
        <w:t>itcti</w:t>
      </w:r>
      <w:proofErr w:type="spellEnd"/>
      <w:r w:rsidR="00DD139F" w:rsidRPr="005A4AC9">
        <w:rPr>
          <w:rFonts w:ascii="Arial" w:hAnsi="Arial" w:cs="Arial"/>
          <w:color w:val="auto"/>
          <w:szCs w:val="22"/>
        </w:rPr>
        <w:t xml:space="preserve"> </w:t>
      </w:r>
      <w:r w:rsidR="00FB3DE4" w:rsidRPr="005A4AC9">
        <w:rPr>
          <w:rFonts w:ascii="Arial" w:hAnsi="Arial" w:cs="Arial"/>
          <w:color w:val="auto"/>
          <w:szCs w:val="22"/>
        </w:rPr>
        <w:t>present</w:t>
      </w:r>
      <w:r w:rsidR="00A54AC2" w:rsidRPr="005A4AC9">
        <w:rPr>
          <w:rFonts w:ascii="Arial" w:hAnsi="Arial" w:cs="Arial"/>
          <w:color w:val="auto"/>
          <w:szCs w:val="22"/>
        </w:rPr>
        <w:t xml:space="preserve">ó un alza de </w:t>
      </w:r>
      <w:r w:rsidR="00457B11" w:rsidRPr="005A4AC9">
        <w:rPr>
          <w:rFonts w:ascii="Arial" w:hAnsi="Arial" w:cs="Arial"/>
          <w:color w:val="auto"/>
          <w:szCs w:val="22"/>
        </w:rPr>
        <w:t>3.5</w:t>
      </w:r>
      <w:r w:rsidR="00581DE4" w:rsidRPr="005A4AC9">
        <w:rPr>
          <w:rFonts w:ascii="Arial" w:hAnsi="Arial" w:cs="Arial"/>
          <w:color w:val="auto"/>
          <w:szCs w:val="22"/>
        </w:rPr>
        <w:t> %</w:t>
      </w:r>
      <w:r w:rsidR="00AC3637" w:rsidRPr="005A4AC9">
        <w:rPr>
          <w:rFonts w:ascii="Arial" w:hAnsi="Arial" w:cs="Arial"/>
          <w:color w:val="auto"/>
          <w:szCs w:val="22"/>
        </w:rPr>
        <w:t xml:space="preserve"> d</w:t>
      </w:r>
      <w:r w:rsidR="00573E5B" w:rsidRPr="005A4AC9">
        <w:rPr>
          <w:rFonts w:ascii="Arial" w:hAnsi="Arial" w:cs="Arial"/>
          <w:color w:val="auto"/>
          <w:szCs w:val="22"/>
        </w:rPr>
        <w:t xml:space="preserve">urante el trimestre </w:t>
      </w:r>
      <w:r w:rsidR="00457B11" w:rsidRPr="005A4AC9">
        <w:rPr>
          <w:rFonts w:ascii="Arial" w:hAnsi="Arial" w:cs="Arial"/>
          <w:color w:val="auto"/>
          <w:szCs w:val="22"/>
        </w:rPr>
        <w:t>abril-junio</w:t>
      </w:r>
      <w:r w:rsidR="00573E5B" w:rsidRPr="005A4AC9">
        <w:rPr>
          <w:rFonts w:ascii="Arial" w:hAnsi="Arial" w:cs="Arial"/>
          <w:color w:val="auto"/>
          <w:szCs w:val="22"/>
        </w:rPr>
        <w:t xml:space="preserve"> de 20</w:t>
      </w:r>
      <w:r w:rsidR="00AD7608" w:rsidRPr="005A4AC9">
        <w:rPr>
          <w:rFonts w:ascii="Arial" w:hAnsi="Arial" w:cs="Arial"/>
          <w:color w:val="auto"/>
          <w:szCs w:val="22"/>
        </w:rPr>
        <w:t>2</w:t>
      </w:r>
      <w:r w:rsidR="00D3109D" w:rsidRPr="005A4AC9">
        <w:rPr>
          <w:rFonts w:ascii="Arial" w:hAnsi="Arial" w:cs="Arial"/>
          <w:color w:val="auto"/>
          <w:szCs w:val="22"/>
        </w:rPr>
        <w:t>3</w:t>
      </w:r>
      <w:r w:rsidR="008B5024" w:rsidRPr="005A4AC9">
        <w:rPr>
          <w:rFonts w:ascii="Arial" w:hAnsi="Arial" w:cs="Arial"/>
          <w:color w:val="auto"/>
          <w:szCs w:val="22"/>
        </w:rPr>
        <w:t xml:space="preserve">. Por componente, </w:t>
      </w:r>
      <w:r w:rsidR="00457B11" w:rsidRPr="005A4AC9">
        <w:rPr>
          <w:rFonts w:ascii="Arial" w:hAnsi="Arial" w:cs="Arial"/>
          <w:color w:val="auto"/>
          <w:szCs w:val="22"/>
        </w:rPr>
        <w:t>el interno incrementó 7.8</w:t>
      </w:r>
      <w:r w:rsidR="0076650F" w:rsidRPr="005A4AC9">
        <w:rPr>
          <w:rFonts w:ascii="Arial" w:hAnsi="Arial" w:cs="Arial"/>
          <w:color w:val="auto"/>
          <w:szCs w:val="22"/>
        </w:rPr>
        <w:t> </w:t>
      </w:r>
      <w:r w:rsidR="00457B11" w:rsidRPr="005A4AC9">
        <w:rPr>
          <w:rFonts w:ascii="Arial" w:hAnsi="Arial" w:cs="Arial"/>
          <w:color w:val="auto"/>
          <w:szCs w:val="22"/>
        </w:rPr>
        <w:t xml:space="preserve">% y </w:t>
      </w:r>
      <w:r w:rsidR="00B82B19" w:rsidRPr="005A4AC9">
        <w:rPr>
          <w:rFonts w:ascii="Arial" w:hAnsi="Arial" w:cs="Arial"/>
          <w:color w:val="auto"/>
          <w:szCs w:val="22"/>
        </w:rPr>
        <w:t xml:space="preserve">el receptivo </w:t>
      </w:r>
      <w:r w:rsidR="005B4421" w:rsidRPr="005A4AC9">
        <w:rPr>
          <w:rFonts w:ascii="Arial" w:hAnsi="Arial" w:cs="Arial"/>
          <w:color w:val="auto"/>
          <w:szCs w:val="22"/>
        </w:rPr>
        <w:t xml:space="preserve">bajó </w:t>
      </w:r>
      <w:r w:rsidR="00B82B19" w:rsidRPr="005A4AC9">
        <w:rPr>
          <w:rFonts w:ascii="Arial" w:hAnsi="Arial" w:cs="Arial"/>
          <w:color w:val="auto"/>
          <w:szCs w:val="22"/>
        </w:rPr>
        <w:t>1</w:t>
      </w:r>
      <w:r w:rsidR="00457B11" w:rsidRPr="005A4AC9">
        <w:rPr>
          <w:rFonts w:ascii="Arial" w:hAnsi="Arial" w:cs="Arial"/>
          <w:color w:val="auto"/>
          <w:szCs w:val="22"/>
        </w:rPr>
        <w:t>5.</w:t>
      </w:r>
      <w:r w:rsidR="005B4421" w:rsidRPr="005A4AC9">
        <w:rPr>
          <w:rFonts w:ascii="Arial" w:hAnsi="Arial" w:cs="Arial"/>
          <w:color w:val="auto"/>
          <w:szCs w:val="22"/>
        </w:rPr>
        <w:t>2</w:t>
      </w:r>
      <w:r w:rsidR="00B82B19" w:rsidRPr="005A4AC9">
        <w:rPr>
          <w:rFonts w:ascii="Arial" w:hAnsi="Arial" w:cs="Arial"/>
          <w:color w:val="auto"/>
          <w:szCs w:val="22"/>
        </w:rPr>
        <w:t> </w:t>
      </w:r>
      <w:r w:rsidR="004E73A8" w:rsidRPr="005A4AC9">
        <w:rPr>
          <w:rFonts w:ascii="Arial" w:hAnsi="Arial" w:cs="Arial"/>
          <w:color w:val="auto"/>
          <w:szCs w:val="22"/>
        </w:rPr>
        <w:t>por ciento</w:t>
      </w:r>
      <w:r w:rsidR="00DD139F" w:rsidRPr="005A4AC9">
        <w:rPr>
          <w:rFonts w:ascii="Arial" w:hAnsi="Arial" w:cs="Arial"/>
          <w:color w:val="auto"/>
          <w:szCs w:val="22"/>
        </w:rPr>
        <w:t>.</w:t>
      </w:r>
    </w:p>
    <w:p w14:paraId="6FDC0D67" w14:textId="77777777" w:rsidR="00EF2EDA" w:rsidRPr="00415691" w:rsidRDefault="00EF2EDA" w:rsidP="00415691">
      <w:pPr>
        <w:pStyle w:val="Textoindependiente"/>
        <w:numPr>
          <w:ilvl w:val="0"/>
          <w:numId w:val="27"/>
        </w:numPr>
        <w:tabs>
          <w:tab w:val="center" w:pos="3348"/>
        </w:tabs>
        <w:spacing w:before="360"/>
        <w:jc w:val="center"/>
        <w:rPr>
          <w:rFonts w:cs="Arial"/>
          <w:b/>
          <w:bCs/>
          <w:iCs/>
          <w:smallCaps/>
          <w:snapToGrid/>
          <w:color w:val="auto"/>
          <w:szCs w:val="24"/>
          <w:lang w:val="es-MX"/>
        </w:rPr>
      </w:pPr>
      <w:r w:rsidRPr="00415691">
        <w:rPr>
          <w:rFonts w:cs="Arial"/>
          <w:b/>
          <w:bCs/>
          <w:iCs/>
          <w:smallCaps/>
          <w:snapToGrid/>
          <w:color w:val="auto"/>
          <w:szCs w:val="24"/>
          <w:lang w:val="es-MX"/>
        </w:rPr>
        <w:t>Cifras originales</w:t>
      </w:r>
    </w:p>
    <w:p w14:paraId="06F8A65F" w14:textId="5533203A" w:rsidR="00905C6D" w:rsidRPr="005A4AC9" w:rsidRDefault="00905C6D" w:rsidP="00CC1672">
      <w:pPr>
        <w:pStyle w:val="Default"/>
        <w:keepNext/>
        <w:keepLines/>
        <w:spacing w:before="240"/>
        <w:jc w:val="center"/>
        <w:rPr>
          <w:rFonts w:eastAsia="Times New Roman"/>
          <w:b/>
          <w:smallCaps/>
          <w:snapToGrid w:val="0"/>
          <w:color w:val="auto"/>
          <w:sz w:val="22"/>
          <w:szCs w:val="22"/>
          <w:lang w:val="es-MX"/>
        </w:rPr>
      </w:pPr>
      <w:r w:rsidRPr="005A4AC9">
        <w:rPr>
          <w:rFonts w:eastAsia="Times New Roman"/>
          <w:bCs/>
          <w:snapToGrid w:val="0"/>
          <w:color w:val="auto"/>
          <w:sz w:val="20"/>
          <w:szCs w:val="20"/>
          <w:lang w:val="es-MX"/>
        </w:rPr>
        <w:t xml:space="preserve">Cuadro </w:t>
      </w:r>
      <w:r w:rsidR="006735D7" w:rsidRPr="005A4AC9">
        <w:rPr>
          <w:rFonts w:eastAsia="Times New Roman"/>
          <w:bCs/>
          <w:snapToGrid w:val="0"/>
          <w:color w:val="auto"/>
          <w:sz w:val="20"/>
          <w:szCs w:val="20"/>
          <w:lang w:val="es-MX"/>
        </w:rPr>
        <w:t>2</w:t>
      </w:r>
    </w:p>
    <w:p w14:paraId="43966EF7" w14:textId="5EE7F26C" w:rsidR="008941E5" w:rsidRPr="005A4AC9" w:rsidRDefault="008941E5" w:rsidP="00CC1672">
      <w:pPr>
        <w:pStyle w:val="Default"/>
        <w:keepNext/>
        <w:keepLines/>
        <w:jc w:val="center"/>
        <w:rPr>
          <w:rFonts w:eastAsia="Times New Roman"/>
          <w:b/>
          <w:smallCaps/>
          <w:snapToGrid w:val="0"/>
          <w:color w:val="auto"/>
          <w:sz w:val="22"/>
          <w:szCs w:val="22"/>
          <w:lang w:val="es-MX"/>
        </w:rPr>
      </w:pPr>
      <w:r w:rsidRPr="005A4AC9">
        <w:rPr>
          <w:rFonts w:eastAsia="Times New Roman"/>
          <w:b/>
          <w:smallCaps/>
          <w:snapToGrid w:val="0"/>
          <w:color w:val="auto"/>
          <w:sz w:val="22"/>
          <w:szCs w:val="22"/>
          <w:lang w:val="es-MX"/>
        </w:rPr>
        <w:t xml:space="preserve">Variación </w:t>
      </w:r>
      <w:r w:rsidR="00C344EB" w:rsidRPr="005A4AC9">
        <w:rPr>
          <w:rFonts w:eastAsia="Times New Roman"/>
          <w:b/>
          <w:smallCaps/>
          <w:snapToGrid w:val="0"/>
          <w:color w:val="auto"/>
          <w:sz w:val="22"/>
          <w:szCs w:val="22"/>
          <w:lang w:val="es-MX"/>
        </w:rPr>
        <w:t>porcentual anual</w:t>
      </w:r>
      <w:r w:rsidRPr="005A4AC9">
        <w:rPr>
          <w:rFonts w:eastAsia="Times New Roman"/>
          <w:b/>
          <w:smallCaps/>
          <w:snapToGrid w:val="0"/>
          <w:color w:val="auto"/>
          <w:sz w:val="22"/>
          <w:szCs w:val="22"/>
          <w:lang w:val="es-MX"/>
        </w:rPr>
        <w:t xml:space="preserve"> de los</w:t>
      </w:r>
    </w:p>
    <w:p w14:paraId="683376AC" w14:textId="53E2EC77" w:rsidR="00BE0544" w:rsidRDefault="00BA49C8" w:rsidP="00CC1672">
      <w:pPr>
        <w:pStyle w:val="Default"/>
        <w:keepNext/>
        <w:keepLines/>
        <w:jc w:val="center"/>
        <w:rPr>
          <w:b/>
          <w:smallCaps/>
          <w:color w:val="auto"/>
          <w:sz w:val="22"/>
          <w:szCs w:val="22"/>
          <w:lang w:val="es-MX"/>
        </w:rPr>
      </w:pPr>
      <w:r w:rsidRPr="005A4AC9">
        <w:rPr>
          <w:rFonts w:eastAsia="Times New Roman"/>
          <w:b/>
          <w:smallCaps/>
          <w:snapToGrid w:val="0"/>
          <w:color w:val="auto"/>
          <w:sz w:val="22"/>
          <w:szCs w:val="22"/>
          <w:lang w:val="es-MX"/>
        </w:rPr>
        <w:t>Indicador</w:t>
      </w:r>
      <w:r w:rsidR="00B6118B" w:rsidRPr="005A4AC9">
        <w:rPr>
          <w:rFonts w:eastAsia="Times New Roman"/>
          <w:b/>
          <w:smallCaps/>
          <w:snapToGrid w:val="0"/>
          <w:color w:val="auto"/>
          <w:sz w:val="22"/>
          <w:szCs w:val="22"/>
          <w:lang w:val="es-MX"/>
        </w:rPr>
        <w:t>es</w:t>
      </w:r>
      <w:r w:rsidRPr="005A4AC9">
        <w:rPr>
          <w:rFonts w:eastAsia="Times New Roman"/>
          <w:b/>
          <w:smallCaps/>
          <w:snapToGrid w:val="0"/>
          <w:color w:val="auto"/>
          <w:sz w:val="22"/>
          <w:szCs w:val="22"/>
          <w:lang w:val="es-MX"/>
        </w:rPr>
        <w:t xml:space="preserve"> </w:t>
      </w:r>
      <w:r w:rsidR="00A54AC2" w:rsidRPr="005A4AC9">
        <w:rPr>
          <w:rFonts w:eastAsia="Times New Roman"/>
          <w:b/>
          <w:smallCaps/>
          <w:snapToGrid w:val="0"/>
          <w:color w:val="auto"/>
          <w:sz w:val="22"/>
          <w:szCs w:val="22"/>
          <w:lang w:val="es-MX"/>
        </w:rPr>
        <w:t>Trimestral</w:t>
      </w:r>
      <w:r w:rsidR="00B6118B" w:rsidRPr="005A4AC9">
        <w:rPr>
          <w:rFonts w:eastAsia="Times New Roman"/>
          <w:b/>
          <w:smallCaps/>
          <w:snapToGrid w:val="0"/>
          <w:color w:val="auto"/>
          <w:sz w:val="22"/>
          <w:szCs w:val="22"/>
          <w:lang w:val="es-MX"/>
        </w:rPr>
        <w:t>es</w:t>
      </w:r>
      <w:r w:rsidR="00A54AC2" w:rsidRPr="005A4AC9">
        <w:rPr>
          <w:rFonts w:eastAsia="Times New Roman"/>
          <w:b/>
          <w:smallCaps/>
          <w:snapToGrid w:val="0"/>
          <w:color w:val="auto"/>
          <w:sz w:val="22"/>
          <w:szCs w:val="22"/>
          <w:lang w:val="es-MX"/>
        </w:rPr>
        <w:t xml:space="preserve"> </w:t>
      </w:r>
      <w:r w:rsidRPr="005A4AC9">
        <w:rPr>
          <w:rFonts w:eastAsia="Times New Roman"/>
          <w:b/>
          <w:smallCaps/>
          <w:snapToGrid w:val="0"/>
          <w:color w:val="auto"/>
          <w:sz w:val="22"/>
          <w:szCs w:val="22"/>
          <w:lang w:val="es-MX"/>
        </w:rPr>
        <w:t xml:space="preserve">del </w:t>
      </w:r>
      <w:r w:rsidR="00A54AC2" w:rsidRPr="005A4AC9">
        <w:rPr>
          <w:rFonts w:eastAsia="Times New Roman"/>
          <w:b/>
          <w:smallCaps/>
          <w:snapToGrid w:val="0"/>
          <w:color w:val="auto"/>
          <w:sz w:val="22"/>
          <w:szCs w:val="22"/>
          <w:lang w:val="es-MX"/>
        </w:rPr>
        <w:t xml:space="preserve">Producto Interno Bruto </w:t>
      </w:r>
      <w:r w:rsidR="00B6118B" w:rsidRPr="005A4AC9">
        <w:rPr>
          <w:rFonts w:eastAsia="Times New Roman"/>
          <w:b/>
          <w:smallCaps/>
          <w:snapToGrid w:val="0"/>
          <w:color w:val="auto"/>
          <w:sz w:val="22"/>
          <w:szCs w:val="22"/>
          <w:lang w:val="es-MX"/>
        </w:rPr>
        <w:br/>
      </w:r>
      <w:r w:rsidR="00A54AC2" w:rsidRPr="005A4AC9">
        <w:rPr>
          <w:rFonts w:eastAsia="Times New Roman"/>
          <w:b/>
          <w:smallCaps/>
          <w:snapToGrid w:val="0"/>
          <w:color w:val="auto"/>
          <w:sz w:val="22"/>
          <w:szCs w:val="22"/>
          <w:lang w:val="es-MX"/>
        </w:rPr>
        <w:t>Turístico</w:t>
      </w:r>
      <w:r w:rsidR="00B6118B" w:rsidRPr="005A4AC9">
        <w:rPr>
          <w:rFonts w:eastAsia="Times New Roman"/>
          <w:b/>
          <w:smallCaps/>
          <w:snapToGrid w:val="0"/>
          <w:color w:val="auto"/>
          <w:sz w:val="22"/>
          <w:szCs w:val="22"/>
          <w:lang w:val="es-MX"/>
        </w:rPr>
        <w:t xml:space="preserve"> </w:t>
      </w:r>
      <w:r w:rsidR="004E65C6" w:rsidRPr="005A4AC9">
        <w:rPr>
          <w:b/>
          <w:smallCaps/>
          <w:color w:val="auto"/>
          <w:sz w:val="22"/>
          <w:szCs w:val="22"/>
          <w:lang w:val="es-MX"/>
        </w:rPr>
        <w:t>y</w:t>
      </w:r>
      <w:r w:rsidRPr="005A4AC9">
        <w:rPr>
          <w:b/>
          <w:smallCaps/>
          <w:color w:val="auto"/>
          <w:sz w:val="22"/>
          <w:szCs w:val="22"/>
          <w:lang w:val="es-MX"/>
        </w:rPr>
        <w:t xml:space="preserve"> del </w:t>
      </w:r>
      <w:r w:rsidR="00A54AC2" w:rsidRPr="005A4AC9">
        <w:rPr>
          <w:b/>
          <w:smallCaps/>
          <w:color w:val="auto"/>
          <w:sz w:val="22"/>
          <w:szCs w:val="22"/>
          <w:lang w:val="es-MX"/>
        </w:rPr>
        <w:t xml:space="preserve">Consumo Turístico Interior </w:t>
      </w:r>
    </w:p>
    <w:p w14:paraId="2EA0C045" w14:textId="40844A8D" w:rsidR="0076650F" w:rsidRPr="002F1A9D" w:rsidRDefault="0076650F" w:rsidP="00CC1672">
      <w:pPr>
        <w:pStyle w:val="Default"/>
        <w:keepNext/>
        <w:keepLines/>
        <w:jc w:val="center"/>
        <w:rPr>
          <w:color w:val="auto"/>
          <w:sz w:val="20"/>
          <w:szCs w:val="22"/>
          <w:lang w:val="es-MX"/>
        </w:rPr>
      </w:pPr>
      <w:r w:rsidRPr="002F1A9D">
        <w:rPr>
          <w:color w:val="auto"/>
          <w:sz w:val="20"/>
          <w:szCs w:val="22"/>
          <w:lang w:val="es-MX"/>
        </w:rPr>
        <w:t>segundo trimestre de 2023</w:t>
      </w:r>
    </w:p>
    <w:tbl>
      <w:tblPr>
        <w:tblW w:w="0" w:type="auto"/>
        <w:jc w:val="center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3671"/>
        <w:gridCol w:w="1559"/>
      </w:tblGrid>
      <w:tr w:rsidR="00655837" w:rsidRPr="005A4AC9" w14:paraId="49EE7015" w14:textId="77777777" w:rsidTr="00E57151">
        <w:trPr>
          <w:cantSplit/>
          <w:trHeight w:val="21"/>
          <w:jc w:val="center"/>
        </w:trPr>
        <w:tc>
          <w:tcPr>
            <w:tcW w:w="3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09F6E20C" w14:textId="771BAB2D" w:rsidR="00655837" w:rsidRPr="005A4AC9" w:rsidRDefault="00E57151" w:rsidP="008E09A2">
            <w:pPr>
              <w:pStyle w:val="p0"/>
              <w:keepLines w:val="0"/>
              <w:spacing w:before="60" w:after="60"/>
              <w:jc w:val="center"/>
              <w:rPr>
                <w:rFonts w:cs="Arial"/>
                <w:color w:val="auto"/>
                <w:sz w:val="18"/>
              </w:rPr>
            </w:pPr>
            <w:r w:rsidRPr="005A4AC9">
              <w:rPr>
                <w:rFonts w:cs="Arial"/>
                <w:color w:val="auto"/>
                <w:sz w:val="18"/>
              </w:rPr>
              <w:t>Indicador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C2D69B" w:themeFill="accent3" w:themeFillTint="99"/>
            <w:hideMark/>
          </w:tcPr>
          <w:p w14:paraId="5F4A8C1F" w14:textId="2FEF0EA9" w:rsidR="00655837" w:rsidRPr="005A4AC9" w:rsidRDefault="00655837" w:rsidP="008E09A2">
            <w:pPr>
              <w:pStyle w:val="p0"/>
              <w:keepLines w:val="0"/>
              <w:spacing w:before="60" w:after="60"/>
              <w:jc w:val="center"/>
              <w:rPr>
                <w:rFonts w:cs="Arial"/>
                <w:color w:val="auto"/>
                <w:sz w:val="18"/>
              </w:rPr>
            </w:pPr>
            <w:r w:rsidRPr="005A4AC9">
              <w:rPr>
                <w:rFonts w:cs="Arial"/>
                <w:color w:val="auto"/>
                <w:sz w:val="18"/>
              </w:rPr>
              <w:t>2</w:t>
            </w:r>
            <w:r w:rsidRPr="005A4AC9">
              <w:rPr>
                <w:rFonts w:cs="Arial"/>
                <w:color w:val="auto"/>
                <w:sz w:val="18"/>
                <w:vertAlign w:val="superscript"/>
              </w:rPr>
              <w:t>do</w:t>
            </w:r>
            <w:r w:rsidRPr="005A4AC9">
              <w:rPr>
                <w:rFonts w:cs="Arial"/>
                <w:color w:val="auto"/>
                <w:sz w:val="18"/>
              </w:rPr>
              <w:t xml:space="preserve"> Trimestre de 2023</w:t>
            </w:r>
            <w:r w:rsidRPr="005A4AC9">
              <w:rPr>
                <w:rFonts w:cs="Arial"/>
                <w:color w:val="auto"/>
                <w:sz w:val="18"/>
                <w:vertAlign w:val="superscript"/>
              </w:rPr>
              <w:t>p/</w:t>
            </w:r>
          </w:p>
        </w:tc>
      </w:tr>
      <w:tr w:rsidR="00655837" w:rsidRPr="005A4AC9" w14:paraId="68E70BE1" w14:textId="77777777" w:rsidTr="00E57151">
        <w:trPr>
          <w:cantSplit/>
          <w:trHeight w:val="283"/>
          <w:jc w:val="center"/>
        </w:trPr>
        <w:tc>
          <w:tcPr>
            <w:tcW w:w="3671" w:type="dxa"/>
            <w:tcBorders>
              <w:top w:val="single" w:sz="4" w:space="0" w:color="auto"/>
              <w:left w:val="single" w:sz="4" w:space="0" w:color="000000" w:themeColor="text1"/>
              <w:bottom w:val="nil"/>
              <w:right w:val="single" w:sz="4" w:space="0" w:color="auto"/>
            </w:tcBorders>
            <w:vAlign w:val="center"/>
            <w:hideMark/>
          </w:tcPr>
          <w:p w14:paraId="5B4EA1E8" w14:textId="77777777" w:rsidR="00655837" w:rsidRPr="005A4AC9" w:rsidRDefault="00655837" w:rsidP="008E09A2">
            <w:pPr>
              <w:pStyle w:val="p0"/>
              <w:keepLines w:val="0"/>
              <w:spacing w:before="0"/>
              <w:jc w:val="left"/>
              <w:rPr>
                <w:rFonts w:cs="Arial"/>
                <w:b/>
                <w:color w:val="auto"/>
                <w:sz w:val="18"/>
              </w:rPr>
            </w:pPr>
            <w:r w:rsidRPr="005A4AC9">
              <w:rPr>
                <w:rFonts w:cs="Arial"/>
                <w:b/>
                <w:color w:val="auto"/>
                <w:sz w:val="18"/>
              </w:rPr>
              <w:t>PIB turístico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 w:themeColor="text1"/>
            </w:tcBorders>
            <w:vAlign w:val="center"/>
          </w:tcPr>
          <w:p w14:paraId="72A617AC" w14:textId="39096A5A" w:rsidR="00655837" w:rsidRPr="005A4AC9" w:rsidRDefault="00ED65EA" w:rsidP="008E09A2">
            <w:pPr>
              <w:ind w:right="518"/>
              <w:jc w:val="right"/>
              <w:rPr>
                <w:rFonts w:cs="Arial"/>
                <w:b/>
                <w:sz w:val="18"/>
                <w:lang w:eastAsia="en-US"/>
              </w:rPr>
            </w:pPr>
            <w:r w:rsidRPr="005A4AC9">
              <w:rPr>
                <w:rFonts w:cs="Arial"/>
                <w:b/>
                <w:sz w:val="18"/>
                <w:lang w:eastAsia="en-US"/>
              </w:rPr>
              <w:t>4.0</w:t>
            </w:r>
          </w:p>
        </w:tc>
      </w:tr>
      <w:tr w:rsidR="00655837" w:rsidRPr="005A4AC9" w14:paraId="39533909" w14:textId="77777777" w:rsidTr="00E57151">
        <w:trPr>
          <w:cantSplit/>
          <w:trHeight w:val="283"/>
          <w:jc w:val="center"/>
        </w:trPr>
        <w:tc>
          <w:tcPr>
            <w:tcW w:w="3671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auto"/>
            </w:tcBorders>
            <w:vAlign w:val="center"/>
            <w:hideMark/>
          </w:tcPr>
          <w:p w14:paraId="02BFB43F" w14:textId="77777777" w:rsidR="00655837" w:rsidRPr="005A4AC9" w:rsidRDefault="00655837" w:rsidP="008E09A2">
            <w:pPr>
              <w:pStyle w:val="p0"/>
              <w:keepLines w:val="0"/>
              <w:spacing w:before="0"/>
              <w:ind w:firstLine="215"/>
              <w:jc w:val="left"/>
              <w:rPr>
                <w:rFonts w:cs="Arial"/>
                <w:color w:val="auto"/>
                <w:sz w:val="18"/>
              </w:rPr>
            </w:pPr>
            <w:r w:rsidRPr="005A4AC9">
              <w:rPr>
                <w:rFonts w:cs="Arial"/>
                <w:color w:val="auto"/>
                <w:sz w:val="18"/>
              </w:rPr>
              <w:t>Bienes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vAlign w:val="center"/>
            <w:hideMark/>
          </w:tcPr>
          <w:p w14:paraId="0F7291E2" w14:textId="3E3CB7E9" w:rsidR="00655837" w:rsidRPr="005A4AC9" w:rsidRDefault="00ED65EA" w:rsidP="008E09A2">
            <w:pPr>
              <w:ind w:right="518"/>
              <w:jc w:val="right"/>
              <w:rPr>
                <w:rFonts w:cs="Arial"/>
                <w:sz w:val="18"/>
                <w:lang w:eastAsia="en-US"/>
              </w:rPr>
            </w:pPr>
            <w:r w:rsidRPr="005A4AC9">
              <w:rPr>
                <w:rFonts w:cs="Arial"/>
                <w:sz w:val="18"/>
                <w:lang w:eastAsia="en-US"/>
              </w:rPr>
              <w:t>-5.3</w:t>
            </w:r>
          </w:p>
        </w:tc>
      </w:tr>
      <w:tr w:rsidR="00655837" w:rsidRPr="005A4AC9" w14:paraId="4C0EE1EB" w14:textId="77777777" w:rsidTr="00E57151">
        <w:trPr>
          <w:cantSplit/>
          <w:trHeight w:val="283"/>
          <w:jc w:val="center"/>
        </w:trPr>
        <w:tc>
          <w:tcPr>
            <w:tcW w:w="3671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auto"/>
            </w:tcBorders>
            <w:vAlign w:val="center"/>
            <w:hideMark/>
          </w:tcPr>
          <w:p w14:paraId="48BFE603" w14:textId="77777777" w:rsidR="00655837" w:rsidRPr="005A4AC9" w:rsidRDefault="00655837" w:rsidP="008E09A2">
            <w:pPr>
              <w:pStyle w:val="p0"/>
              <w:keepLines w:val="0"/>
              <w:spacing w:before="0"/>
              <w:ind w:firstLine="214"/>
              <w:jc w:val="left"/>
              <w:rPr>
                <w:rFonts w:cs="Arial"/>
                <w:color w:val="auto"/>
                <w:sz w:val="18"/>
              </w:rPr>
            </w:pPr>
            <w:r w:rsidRPr="005A4AC9">
              <w:rPr>
                <w:rFonts w:cs="Arial"/>
                <w:color w:val="auto"/>
                <w:sz w:val="18"/>
              </w:rPr>
              <w:t>Servicios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vAlign w:val="center"/>
            <w:hideMark/>
          </w:tcPr>
          <w:p w14:paraId="04E7CF78" w14:textId="74A0D766" w:rsidR="00655837" w:rsidRPr="005A4AC9" w:rsidRDefault="00ED65EA" w:rsidP="008E09A2">
            <w:pPr>
              <w:ind w:right="518"/>
              <w:jc w:val="right"/>
              <w:rPr>
                <w:rFonts w:cs="Arial"/>
                <w:sz w:val="18"/>
                <w:lang w:eastAsia="en-US"/>
              </w:rPr>
            </w:pPr>
            <w:r w:rsidRPr="005A4AC9">
              <w:rPr>
                <w:rFonts w:cs="Arial"/>
                <w:sz w:val="18"/>
                <w:lang w:eastAsia="en-US"/>
              </w:rPr>
              <w:t>6.5</w:t>
            </w:r>
          </w:p>
        </w:tc>
      </w:tr>
      <w:tr w:rsidR="00655837" w:rsidRPr="005A4AC9" w14:paraId="195315A0" w14:textId="77777777" w:rsidTr="00E57151">
        <w:trPr>
          <w:cantSplit/>
          <w:trHeight w:val="283"/>
          <w:jc w:val="center"/>
        </w:trPr>
        <w:tc>
          <w:tcPr>
            <w:tcW w:w="3671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auto"/>
            </w:tcBorders>
            <w:vAlign w:val="center"/>
            <w:hideMark/>
          </w:tcPr>
          <w:p w14:paraId="71FDDE78" w14:textId="77777777" w:rsidR="00655837" w:rsidRPr="005A4AC9" w:rsidRDefault="00655837" w:rsidP="008E09A2">
            <w:pPr>
              <w:pStyle w:val="p0"/>
              <w:keepLines w:val="0"/>
              <w:spacing w:before="0"/>
              <w:jc w:val="left"/>
              <w:rPr>
                <w:rFonts w:cs="Arial"/>
                <w:b/>
                <w:color w:val="auto"/>
                <w:sz w:val="18"/>
              </w:rPr>
            </w:pPr>
            <w:r w:rsidRPr="005A4AC9">
              <w:rPr>
                <w:rFonts w:cs="Arial"/>
                <w:b/>
                <w:color w:val="auto"/>
                <w:sz w:val="18"/>
              </w:rPr>
              <w:t>Consumo turístico interior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vAlign w:val="center"/>
          </w:tcPr>
          <w:p w14:paraId="334C833A" w14:textId="7FDDA914" w:rsidR="00655837" w:rsidRPr="005A4AC9" w:rsidRDefault="00ED65EA" w:rsidP="008E09A2">
            <w:pPr>
              <w:ind w:right="518"/>
              <w:jc w:val="right"/>
              <w:rPr>
                <w:rFonts w:cs="Arial"/>
                <w:b/>
                <w:sz w:val="18"/>
                <w:lang w:eastAsia="en-US"/>
              </w:rPr>
            </w:pPr>
            <w:r w:rsidRPr="005A4AC9">
              <w:rPr>
                <w:rFonts w:cs="Arial"/>
                <w:b/>
                <w:sz w:val="18"/>
                <w:lang w:eastAsia="en-US"/>
              </w:rPr>
              <w:t>3.2</w:t>
            </w:r>
          </w:p>
        </w:tc>
      </w:tr>
      <w:tr w:rsidR="00655837" w:rsidRPr="005A4AC9" w14:paraId="09728BE7" w14:textId="77777777" w:rsidTr="00E57151">
        <w:trPr>
          <w:cantSplit/>
          <w:trHeight w:val="283"/>
          <w:jc w:val="center"/>
        </w:trPr>
        <w:tc>
          <w:tcPr>
            <w:tcW w:w="3671" w:type="dxa"/>
            <w:tcBorders>
              <w:top w:val="nil"/>
              <w:left w:val="single" w:sz="4" w:space="0" w:color="000000" w:themeColor="text1"/>
              <w:right w:val="single" w:sz="4" w:space="0" w:color="auto"/>
            </w:tcBorders>
            <w:vAlign w:val="center"/>
          </w:tcPr>
          <w:p w14:paraId="23714E87" w14:textId="77777777" w:rsidR="00655837" w:rsidRPr="005A4AC9" w:rsidRDefault="00655837" w:rsidP="008E09A2">
            <w:pPr>
              <w:pStyle w:val="p0"/>
              <w:keepLines w:val="0"/>
              <w:spacing w:before="0"/>
              <w:ind w:firstLine="214"/>
              <w:jc w:val="left"/>
              <w:rPr>
                <w:rFonts w:cs="Arial"/>
                <w:color w:val="auto"/>
                <w:sz w:val="18"/>
              </w:rPr>
            </w:pPr>
            <w:r w:rsidRPr="005A4AC9">
              <w:rPr>
                <w:rFonts w:cs="Arial"/>
                <w:color w:val="auto"/>
                <w:sz w:val="18"/>
              </w:rPr>
              <w:t>Interno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right w:val="single" w:sz="4" w:space="0" w:color="000000" w:themeColor="text1"/>
            </w:tcBorders>
            <w:vAlign w:val="center"/>
          </w:tcPr>
          <w:p w14:paraId="4CDE5BBF" w14:textId="49AD89D6" w:rsidR="00655837" w:rsidRPr="005A4AC9" w:rsidRDefault="00ED65EA" w:rsidP="008E09A2">
            <w:pPr>
              <w:ind w:right="518"/>
              <w:jc w:val="right"/>
              <w:rPr>
                <w:rFonts w:cs="Arial"/>
                <w:sz w:val="18"/>
              </w:rPr>
            </w:pPr>
            <w:r w:rsidRPr="005A4AC9">
              <w:rPr>
                <w:rFonts w:cs="Arial"/>
                <w:sz w:val="18"/>
              </w:rPr>
              <w:t>7.9</w:t>
            </w:r>
          </w:p>
        </w:tc>
      </w:tr>
      <w:tr w:rsidR="00655837" w:rsidRPr="005A4AC9" w14:paraId="21408EAC" w14:textId="77777777" w:rsidTr="00E57151">
        <w:trPr>
          <w:cantSplit/>
          <w:trHeight w:val="283"/>
          <w:jc w:val="center"/>
        </w:trPr>
        <w:tc>
          <w:tcPr>
            <w:tcW w:w="3671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0A6DC469" w14:textId="77777777" w:rsidR="00655837" w:rsidRPr="005A4AC9" w:rsidRDefault="00655837" w:rsidP="008E09A2">
            <w:pPr>
              <w:pStyle w:val="p0"/>
              <w:keepLines w:val="0"/>
              <w:spacing w:before="0"/>
              <w:ind w:firstLine="214"/>
              <w:jc w:val="left"/>
              <w:rPr>
                <w:rFonts w:cs="Arial"/>
                <w:color w:val="auto"/>
                <w:sz w:val="18"/>
              </w:rPr>
            </w:pPr>
            <w:r w:rsidRPr="005A4AC9">
              <w:rPr>
                <w:rFonts w:cs="Arial"/>
                <w:color w:val="auto"/>
                <w:sz w:val="18"/>
              </w:rPr>
              <w:t>Receptivo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014990F" w14:textId="40636A01" w:rsidR="00655837" w:rsidRPr="005A4AC9" w:rsidRDefault="00ED65EA" w:rsidP="008E09A2">
            <w:pPr>
              <w:ind w:right="518"/>
              <w:jc w:val="right"/>
              <w:rPr>
                <w:rFonts w:cs="Arial"/>
                <w:sz w:val="18"/>
              </w:rPr>
            </w:pPr>
            <w:r w:rsidRPr="005A4AC9">
              <w:rPr>
                <w:rFonts w:cs="Arial"/>
                <w:sz w:val="18"/>
              </w:rPr>
              <w:t>-16.8</w:t>
            </w:r>
          </w:p>
        </w:tc>
      </w:tr>
    </w:tbl>
    <w:p w14:paraId="1ED2B237" w14:textId="67059855" w:rsidR="00894A51" w:rsidRPr="005A4AC9" w:rsidRDefault="00C24D0B" w:rsidP="00464809">
      <w:pPr>
        <w:pStyle w:val="n01"/>
        <w:keepLines w:val="0"/>
        <w:widowControl w:val="0"/>
        <w:spacing w:before="0"/>
        <w:ind w:left="2996" w:right="2461" w:hanging="586"/>
        <w:contextualSpacing/>
        <w:rPr>
          <w:rFonts w:ascii="Arial" w:hAnsi="Arial" w:cs="Arial"/>
          <w:color w:val="auto"/>
          <w:sz w:val="16"/>
          <w:szCs w:val="16"/>
        </w:rPr>
      </w:pPr>
      <w:r>
        <w:rPr>
          <w:rFonts w:ascii="Arial" w:hAnsi="Arial" w:cs="Arial"/>
          <w:color w:val="auto"/>
          <w:sz w:val="18"/>
          <w:szCs w:val="18"/>
          <w:vertAlign w:val="superscript"/>
        </w:rPr>
        <w:t>p</w:t>
      </w:r>
      <w:r w:rsidR="00EA02E6" w:rsidRPr="005A4AC9">
        <w:rPr>
          <w:rFonts w:ascii="Arial" w:hAnsi="Arial" w:cs="Arial"/>
          <w:color w:val="auto"/>
          <w:sz w:val="18"/>
          <w:szCs w:val="18"/>
          <w:vertAlign w:val="superscript"/>
        </w:rPr>
        <w:t>/</w:t>
      </w:r>
      <w:r w:rsidR="0076650F">
        <w:rPr>
          <w:rFonts w:ascii="Arial" w:hAnsi="Arial" w:cs="Arial"/>
          <w:color w:val="auto"/>
          <w:sz w:val="16"/>
          <w:szCs w:val="16"/>
        </w:rPr>
        <w:tab/>
      </w:r>
      <w:r w:rsidR="00EA02E6" w:rsidRPr="005A4AC9">
        <w:rPr>
          <w:rFonts w:ascii="Arial" w:hAnsi="Arial" w:cs="Arial"/>
          <w:color w:val="auto"/>
          <w:sz w:val="16"/>
          <w:szCs w:val="16"/>
        </w:rPr>
        <w:t>Cifras preliminar</w:t>
      </w:r>
      <w:r w:rsidR="00BE1879" w:rsidRPr="005A4AC9">
        <w:rPr>
          <w:rFonts w:ascii="Arial" w:hAnsi="Arial" w:cs="Arial"/>
          <w:color w:val="auto"/>
          <w:sz w:val="16"/>
          <w:szCs w:val="16"/>
        </w:rPr>
        <w:t>es</w:t>
      </w:r>
      <w:r w:rsidR="005003F8" w:rsidRPr="005A4AC9">
        <w:rPr>
          <w:rFonts w:ascii="Arial" w:hAnsi="Arial" w:cs="Arial"/>
          <w:color w:val="auto"/>
          <w:sz w:val="16"/>
          <w:szCs w:val="16"/>
        </w:rPr>
        <w:t>.</w:t>
      </w:r>
    </w:p>
    <w:p w14:paraId="2D5B7BB1" w14:textId="01206CFE" w:rsidR="00445596" w:rsidRPr="005A4AC9" w:rsidRDefault="00F04141" w:rsidP="00464809">
      <w:pPr>
        <w:pStyle w:val="n01"/>
        <w:keepLines w:val="0"/>
        <w:widowControl w:val="0"/>
        <w:spacing w:before="0"/>
        <w:ind w:left="2996" w:right="2461" w:hanging="586"/>
        <w:contextualSpacing/>
        <w:rPr>
          <w:rFonts w:ascii="Arial" w:hAnsi="Arial" w:cs="Arial"/>
          <w:color w:val="auto"/>
          <w:sz w:val="16"/>
          <w:szCs w:val="16"/>
        </w:rPr>
      </w:pPr>
      <w:r w:rsidRPr="005A4AC9">
        <w:rPr>
          <w:rFonts w:ascii="Arial" w:hAnsi="Arial" w:cs="Arial"/>
          <w:color w:val="auto"/>
          <w:sz w:val="16"/>
          <w:szCs w:val="16"/>
        </w:rPr>
        <w:t>Fuente:</w:t>
      </w:r>
      <w:r w:rsidR="0076650F">
        <w:rPr>
          <w:rFonts w:ascii="Arial" w:hAnsi="Arial" w:cs="Arial"/>
          <w:color w:val="auto"/>
          <w:sz w:val="16"/>
          <w:szCs w:val="16"/>
        </w:rPr>
        <w:tab/>
      </w:r>
      <w:proofErr w:type="spellStart"/>
      <w:r w:rsidR="005E571D" w:rsidRPr="005A4AC9">
        <w:rPr>
          <w:rFonts w:ascii="Arial" w:hAnsi="Arial" w:cs="Arial"/>
          <w:smallCaps/>
          <w:color w:val="auto"/>
          <w:sz w:val="16"/>
          <w:szCs w:val="16"/>
        </w:rPr>
        <w:t>inegi</w:t>
      </w:r>
      <w:proofErr w:type="spellEnd"/>
      <w:r w:rsidR="00655837" w:rsidRPr="005A4AC9">
        <w:rPr>
          <w:rFonts w:ascii="Arial" w:hAnsi="Arial" w:cs="Arial"/>
          <w:color w:val="auto"/>
          <w:sz w:val="16"/>
          <w:szCs w:val="16"/>
        </w:rPr>
        <w:t>. Sistema de Cuentas Nacionales de México (</w:t>
      </w:r>
      <w:proofErr w:type="spellStart"/>
      <w:r w:rsidR="005E571D" w:rsidRPr="005A4AC9">
        <w:rPr>
          <w:rFonts w:ascii="Arial" w:hAnsi="Arial" w:cs="Arial"/>
          <w:smallCaps/>
          <w:color w:val="auto"/>
          <w:sz w:val="16"/>
          <w:szCs w:val="16"/>
        </w:rPr>
        <w:t>scnm</w:t>
      </w:r>
      <w:proofErr w:type="spellEnd"/>
      <w:r w:rsidR="00655837" w:rsidRPr="005A4AC9">
        <w:rPr>
          <w:rFonts w:ascii="Arial" w:hAnsi="Arial" w:cs="Arial"/>
          <w:color w:val="auto"/>
          <w:sz w:val="16"/>
          <w:szCs w:val="16"/>
        </w:rPr>
        <w:t xml:space="preserve">). </w:t>
      </w:r>
      <w:r w:rsidR="00C24D0B" w:rsidRPr="005A4AC9">
        <w:rPr>
          <w:bCs/>
          <w:color w:val="auto"/>
          <w:sz w:val="16"/>
          <w:szCs w:val="16"/>
        </w:rPr>
        <w:t>Indicadores Trimestrales de la Actividad Turística (</w:t>
      </w:r>
      <w:proofErr w:type="spellStart"/>
      <w:r w:rsidR="00C24D0B" w:rsidRPr="005A4AC9">
        <w:rPr>
          <w:bCs/>
          <w:smallCaps/>
          <w:color w:val="auto"/>
          <w:sz w:val="16"/>
          <w:szCs w:val="16"/>
        </w:rPr>
        <w:t>itat</w:t>
      </w:r>
      <w:proofErr w:type="spellEnd"/>
      <w:r w:rsidR="00C24D0B" w:rsidRPr="005A4AC9">
        <w:rPr>
          <w:bCs/>
          <w:color w:val="auto"/>
          <w:sz w:val="16"/>
          <w:szCs w:val="16"/>
        </w:rPr>
        <w:t>)</w:t>
      </w:r>
      <w:r w:rsidR="00C24D0B">
        <w:rPr>
          <w:bCs/>
          <w:color w:val="auto"/>
          <w:sz w:val="16"/>
          <w:szCs w:val="16"/>
        </w:rPr>
        <w:t>, 2023.</w:t>
      </w:r>
    </w:p>
    <w:p w14:paraId="692DD7E8" w14:textId="77777777" w:rsidR="00C24D0B" w:rsidRDefault="00C24D0B">
      <w:pPr>
        <w:widowControl/>
        <w:rPr>
          <w:rFonts w:ascii="Arial Negrita" w:hAnsi="Arial Negrita"/>
          <w:b/>
          <w:iCs/>
          <w:smallCaps/>
        </w:rPr>
      </w:pPr>
      <w:r>
        <w:rPr>
          <w:rFonts w:ascii="Arial Negrita" w:hAnsi="Arial Negrita"/>
          <w:b/>
          <w:iCs/>
          <w:smallCaps/>
        </w:rPr>
        <w:br w:type="page"/>
      </w:r>
    </w:p>
    <w:p w14:paraId="61DC895F" w14:textId="5401EEAA" w:rsidR="00D41962" w:rsidRPr="005A4AC9" w:rsidRDefault="00D41962" w:rsidP="00CC1672">
      <w:pPr>
        <w:pStyle w:val="p0"/>
        <w:spacing w:before="480"/>
        <w:rPr>
          <w:rFonts w:ascii="Arial Negrita" w:hAnsi="Arial Negrita"/>
          <w:b/>
          <w:iCs/>
          <w:smallCaps/>
          <w:color w:val="auto"/>
        </w:rPr>
      </w:pPr>
      <w:r w:rsidRPr="005A4AC9">
        <w:rPr>
          <w:rFonts w:ascii="Arial Negrita" w:hAnsi="Arial Negrita"/>
          <w:b/>
          <w:iCs/>
          <w:smallCaps/>
          <w:color w:val="auto"/>
        </w:rPr>
        <w:lastRenderedPageBreak/>
        <w:t xml:space="preserve">Nota al </w:t>
      </w:r>
      <w:r w:rsidR="0077014C" w:rsidRPr="005A4AC9">
        <w:rPr>
          <w:rFonts w:ascii="Arial Negrita" w:hAnsi="Arial Negrita"/>
          <w:b/>
          <w:iCs/>
          <w:smallCaps/>
          <w:color w:val="auto"/>
        </w:rPr>
        <w:t>u</w:t>
      </w:r>
      <w:r w:rsidRPr="005A4AC9">
        <w:rPr>
          <w:rFonts w:ascii="Arial Negrita" w:hAnsi="Arial Negrita"/>
          <w:b/>
          <w:iCs/>
          <w:smallCaps/>
          <w:color w:val="auto"/>
        </w:rPr>
        <w:t>suario</w:t>
      </w:r>
    </w:p>
    <w:p w14:paraId="057A3D8D" w14:textId="2E7F3B54" w:rsidR="00131E26" w:rsidRPr="005A4AC9" w:rsidRDefault="0063048B" w:rsidP="00D26025">
      <w:pPr>
        <w:pStyle w:val="p0"/>
        <w:keepLines w:val="0"/>
        <w:rPr>
          <w:color w:val="auto"/>
        </w:rPr>
      </w:pPr>
      <w:r w:rsidRPr="005A4AC9">
        <w:rPr>
          <w:color w:val="auto"/>
        </w:rPr>
        <w:t xml:space="preserve">Las encuestas económicas que se consideraron para la integración de los </w:t>
      </w:r>
      <w:proofErr w:type="spellStart"/>
      <w:r w:rsidRPr="005A4AC9">
        <w:rPr>
          <w:smallCaps/>
          <w:color w:val="auto"/>
        </w:rPr>
        <w:t>itat</w:t>
      </w:r>
      <w:proofErr w:type="spellEnd"/>
      <w:r w:rsidRPr="005A4AC9">
        <w:rPr>
          <w:color w:val="auto"/>
        </w:rPr>
        <w:t>, en el segundo trimestre de 2023, registraron porcentajes apropiados de acuerdo con el diseño estadístico de las muestras. Asimismo, la captación de los registros administrativos y los datos primarios que divulga el Instituto Nacional de Estadística y Geografía (</w:t>
      </w:r>
      <w:proofErr w:type="spellStart"/>
      <w:r w:rsidRPr="005A4AC9">
        <w:rPr>
          <w:smallCaps/>
          <w:color w:val="auto"/>
        </w:rPr>
        <w:t>inegi</w:t>
      </w:r>
      <w:proofErr w:type="spellEnd"/>
      <w:r w:rsidRPr="005A4AC9">
        <w:rPr>
          <w:color w:val="auto"/>
        </w:rPr>
        <w:t>) permitió la generación de estadísticas con niveles altos de cobertura y precisión</w:t>
      </w:r>
      <w:r w:rsidR="00131E26" w:rsidRPr="005A4AC9">
        <w:rPr>
          <w:color w:val="auto"/>
        </w:rPr>
        <w:t>.</w:t>
      </w:r>
    </w:p>
    <w:p w14:paraId="2DD2CF54" w14:textId="74E16205" w:rsidR="000F5912" w:rsidRPr="005A4AC9" w:rsidRDefault="000F5912" w:rsidP="00D26025">
      <w:pPr>
        <w:pStyle w:val="p0"/>
        <w:keepLines w:val="0"/>
        <w:spacing w:before="360"/>
        <w:rPr>
          <w:rFonts w:ascii="Arial Negrita" w:hAnsi="Arial Negrita"/>
          <w:b/>
          <w:iCs/>
          <w:smallCaps/>
          <w:color w:val="auto"/>
        </w:rPr>
      </w:pPr>
      <w:r w:rsidRPr="005A4AC9">
        <w:rPr>
          <w:rFonts w:ascii="Arial Negrita" w:hAnsi="Arial Negrita"/>
          <w:b/>
          <w:iCs/>
          <w:smallCaps/>
          <w:color w:val="auto"/>
        </w:rPr>
        <w:t>Nota metodológica</w:t>
      </w:r>
    </w:p>
    <w:p w14:paraId="17BB1430" w14:textId="2AC214F3" w:rsidR="003A4C45" w:rsidRPr="005A4AC9" w:rsidRDefault="000F5912" w:rsidP="00D26025">
      <w:pPr>
        <w:pStyle w:val="Default"/>
        <w:spacing w:before="240"/>
        <w:jc w:val="both"/>
        <w:rPr>
          <w:color w:val="auto"/>
          <w:lang w:val="es-MX"/>
        </w:rPr>
      </w:pPr>
      <w:r w:rsidRPr="005A4AC9">
        <w:rPr>
          <w:rFonts w:eastAsia="Times New Roman" w:cs="Times New Roman"/>
          <w:snapToGrid w:val="0"/>
          <w:color w:val="auto"/>
          <w:szCs w:val="20"/>
          <w:lang w:val="es-MX"/>
        </w:rPr>
        <w:t xml:space="preserve">Para la estimación </w:t>
      </w:r>
      <w:r w:rsidR="00FD7965" w:rsidRPr="005A4AC9">
        <w:rPr>
          <w:rFonts w:eastAsia="Times New Roman" w:cs="Times New Roman"/>
          <w:snapToGrid w:val="0"/>
          <w:color w:val="auto"/>
          <w:szCs w:val="20"/>
          <w:lang w:val="es-MX"/>
        </w:rPr>
        <w:t xml:space="preserve">de los </w:t>
      </w:r>
      <w:proofErr w:type="spellStart"/>
      <w:r w:rsidR="00FE42CE" w:rsidRPr="005A4AC9">
        <w:rPr>
          <w:rFonts w:eastAsia="Times New Roman" w:cs="Times New Roman"/>
          <w:smallCaps/>
          <w:snapToGrid w:val="0"/>
          <w:color w:val="auto"/>
          <w:szCs w:val="20"/>
          <w:lang w:val="es-MX"/>
        </w:rPr>
        <w:t>itat</w:t>
      </w:r>
      <w:proofErr w:type="spellEnd"/>
      <w:r w:rsidRPr="005A4AC9">
        <w:rPr>
          <w:rFonts w:eastAsia="Times New Roman" w:cs="Times New Roman"/>
          <w:snapToGrid w:val="0"/>
          <w:color w:val="auto"/>
          <w:szCs w:val="20"/>
          <w:lang w:val="es-MX"/>
        </w:rPr>
        <w:t xml:space="preserve"> se aprovecha, fundamentalmente, la información anual de la </w:t>
      </w:r>
      <w:r w:rsidR="00C55BD8" w:rsidRPr="005A4AC9">
        <w:rPr>
          <w:rFonts w:eastAsia="Times New Roman" w:cs="Times New Roman"/>
          <w:snapToGrid w:val="0"/>
          <w:color w:val="auto"/>
          <w:szCs w:val="20"/>
          <w:lang w:val="es-MX"/>
        </w:rPr>
        <w:t>Cuenta Satélite de Turismo de México (</w:t>
      </w:r>
      <w:proofErr w:type="spellStart"/>
      <w:r w:rsidR="00FE42CE" w:rsidRPr="005A4AC9">
        <w:rPr>
          <w:rFonts w:eastAsia="Times New Roman" w:cs="Times New Roman"/>
          <w:smallCaps/>
          <w:snapToGrid w:val="0"/>
          <w:color w:val="auto"/>
          <w:szCs w:val="20"/>
          <w:lang w:val="es-MX"/>
        </w:rPr>
        <w:t>cstm</w:t>
      </w:r>
      <w:proofErr w:type="spellEnd"/>
      <w:r w:rsidR="00C55BD8" w:rsidRPr="005A4AC9">
        <w:rPr>
          <w:rFonts w:eastAsia="Times New Roman" w:cs="Times New Roman"/>
          <w:smallCaps/>
          <w:snapToGrid w:val="0"/>
          <w:color w:val="auto"/>
          <w:szCs w:val="20"/>
          <w:lang w:val="es-MX"/>
        </w:rPr>
        <w:t>)</w:t>
      </w:r>
      <w:r w:rsidR="009A6BE7" w:rsidRPr="005A4AC9">
        <w:rPr>
          <w:rFonts w:eastAsia="Times New Roman" w:cs="Times New Roman"/>
          <w:snapToGrid w:val="0"/>
          <w:color w:val="auto"/>
          <w:szCs w:val="20"/>
          <w:lang w:val="es-MX"/>
        </w:rPr>
        <w:t xml:space="preserve">. Esta cuenta se </w:t>
      </w:r>
      <w:r w:rsidRPr="005A4AC9">
        <w:rPr>
          <w:rFonts w:eastAsia="Times New Roman" w:cs="Times New Roman"/>
          <w:snapToGrid w:val="0"/>
          <w:color w:val="auto"/>
          <w:szCs w:val="20"/>
          <w:lang w:val="es-MX"/>
        </w:rPr>
        <w:t>desagreg</w:t>
      </w:r>
      <w:r w:rsidR="009A6BE7" w:rsidRPr="005A4AC9">
        <w:rPr>
          <w:rFonts w:eastAsia="Times New Roman" w:cs="Times New Roman"/>
          <w:snapToGrid w:val="0"/>
          <w:color w:val="auto"/>
          <w:szCs w:val="20"/>
          <w:lang w:val="es-MX"/>
        </w:rPr>
        <w:t>a</w:t>
      </w:r>
      <w:r w:rsidRPr="005A4AC9">
        <w:rPr>
          <w:rFonts w:eastAsia="Times New Roman" w:cs="Times New Roman"/>
          <w:snapToGrid w:val="0"/>
          <w:color w:val="auto"/>
          <w:szCs w:val="20"/>
          <w:lang w:val="es-MX"/>
        </w:rPr>
        <w:t xml:space="preserve"> a partir del uso de índices relativos simples que captan la estructura de los datos trimestrales seleccionados del </w:t>
      </w:r>
      <w:proofErr w:type="spellStart"/>
      <w:r w:rsidR="00FE42CE" w:rsidRPr="005A4AC9">
        <w:rPr>
          <w:rFonts w:eastAsia="Times New Roman" w:cs="Times New Roman"/>
          <w:smallCaps/>
          <w:snapToGrid w:val="0"/>
          <w:color w:val="auto"/>
          <w:szCs w:val="20"/>
          <w:lang w:val="es-MX"/>
        </w:rPr>
        <w:t>scnm</w:t>
      </w:r>
      <w:proofErr w:type="spellEnd"/>
      <w:r w:rsidRPr="005A4AC9">
        <w:rPr>
          <w:rFonts w:eastAsia="Times New Roman" w:cs="Times New Roman"/>
          <w:snapToGrid w:val="0"/>
          <w:color w:val="auto"/>
          <w:szCs w:val="20"/>
          <w:lang w:val="es-MX"/>
        </w:rPr>
        <w:t xml:space="preserve">, </w:t>
      </w:r>
      <w:r w:rsidR="003A4C45" w:rsidRPr="005A4AC9">
        <w:rPr>
          <w:rFonts w:eastAsia="Times New Roman" w:cs="Times New Roman"/>
          <w:snapToGrid w:val="0"/>
          <w:color w:val="auto"/>
          <w:szCs w:val="20"/>
          <w:lang w:val="es-MX"/>
        </w:rPr>
        <w:t>en particular,</w:t>
      </w:r>
      <w:r w:rsidRPr="005A4AC9">
        <w:rPr>
          <w:rFonts w:eastAsia="Times New Roman" w:cs="Times New Roman"/>
          <w:snapToGrid w:val="0"/>
          <w:color w:val="auto"/>
          <w:szCs w:val="20"/>
          <w:lang w:val="es-MX"/>
        </w:rPr>
        <w:t xml:space="preserve"> de la Oferta y Demanda Global de Bienes y Servicios.</w:t>
      </w:r>
      <w:r w:rsidR="003A4C45" w:rsidRPr="005A4AC9">
        <w:rPr>
          <w:color w:val="auto"/>
          <w:lang w:val="es-MX"/>
        </w:rPr>
        <w:t xml:space="preserve"> La </w:t>
      </w:r>
      <w:proofErr w:type="spellStart"/>
      <w:r w:rsidR="00FE42CE" w:rsidRPr="005A4AC9">
        <w:rPr>
          <w:rFonts w:eastAsia="Times New Roman" w:cs="Times New Roman"/>
          <w:smallCaps/>
          <w:snapToGrid w:val="0"/>
          <w:color w:val="auto"/>
          <w:szCs w:val="20"/>
          <w:lang w:val="es-MX"/>
        </w:rPr>
        <w:t>cstm</w:t>
      </w:r>
      <w:proofErr w:type="spellEnd"/>
      <w:r w:rsidR="00FE42CE" w:rsidRPr="005A4AC9">
        <w:rPr>
          <w:color w:val="auto"/>
          <w:lang w:val="es-MX"/>
        </w:rPr>
        <w:t xml:space="preserve"> </w:t>
      </w:r>
      <w:r w:rsidR="003A4C45" w:rsidRPr="005A4AC9">
        <w:rPr>
          <w:color w:val="auto"/>
          <w:lang w:val="es-MX"/>
        </w:rPr>
        <w:t xml:space="preserve">proporciona información a precios básicos. Una vez elaborada la cuenta de producción, se determina el </w:t>
      </w:r>
      <w:proofErr w:type="spellStart"/>
      <w:r w:rsidR="00C55BD8" w:rsidRPr="005A4AC9">
        <w:rPr>
          <w:smallCaps/>
          <w:color w:val="auto"/>
          <w:lang w:val="es-MX"/>
        </w:rPr>
        <w:t>pib</w:t>
      </w:r>
      <w:proofErr w:type="spellEnd"/>
      <w:r w:rsidR="003A4C45" w:rsidRPr="005A4AC9">
        <w:rPr>
          <w:color w:val="auto"/>
          <w:lang w:val="es-MX"/>
        </w:rPr>
        <w:t xml:space="preserve"> turístico trimestral y se transforman los valores en índices.</w:t>
      </w:r>
      <w:r w:rsidR="003A4C45" w:rsidRPr="005A4AC9">
        <w:rPr>
          <w:lang w:val="es-MX"/>
        </w:rPr>
        <w:t xml:space="preserve"> El ejercicio para determinar la variación trimestral anualizada de dichos índices es </w:t>
      </w:r>
      <w:r w:rsidR="00797F74">
        <w:rPr>
          <w:lang w:val="es-MX"/>
        </w:rPr>
        <w:t>lo</w:t>
      </w:r>
      <w:r w:rsidR="00797F74" w:rsidRPr="005A4AC9">
        <w:rPr>
          <w:lang w:val="es-MX"/>
        </w:rPr>
        <w:t xml:space="preserve"> </w:t>
      </w:r>
      <w:r w:rsidR="003A4C45" w:rsidRPr="005A4AC9">
        <w:rPr>
          <w:lang w:val="es-MX"/>
        </w:rPr>
        <w:t xml:space="preserve">que permite la derivación de los </w:t>
      </w:r>
      <w:proofErr w:type="spellStart"/>
      <w:r w:rsidR="00FE42CE" w:rsidRPr="005A4AC9">
        <w:rPr>
          <w:rFonts w:eastAsia="Times New Roman" w:cs="Times New Roman"/>
          <w:smallCaps/>
          <w:snapToGrid w:val="0"/>
          <w:color w:val="auto"/>
          <w:szCs w:val="20"/>
          <w:lang w:val="es-MX"/>
        </w:rPr>
        <w:t>itat</w:t>
      </w:r>
      <w:proofErr w:type="spellEnd"/>
      <w:r w:rsidR="003A4C45" w:rsidRPr="005A4AC9">
        <w:rPr>
          <w:rStyle w:val="Refdecomentario"/>
          <w:lang w:val="es-MX"/>
        </w:rPr>
        <w:t>.</w:t>
      </w:r>
    </w:p>
    <w:p w14:paraId="5FE73239" w14:textId="35365E82" w:rsidR="003A4C45" w:rsidRPr="005A4AC9" w:rsidRDefault="000F5912" w:rsidP="00D26025">
      <w:pPr>
        <w:pStyle w:val="Default"/>
        <w:spacing w:before="240"/>
        <w:jc w:val="both"/>
        <w:rPr>
          <w:color w:val="auto"/>
          <w:lang w:val="es-MX"/>
        </w:rPr>
      </w:pPr>
      <w:r w:rsidRPr="005A4AC9">
        <w:rPr>
          <w:color w:val="auto"/>
          <w:lang w:val="es-MX"/>
        </w:rPr>
        <w:t xml:space="preserve">Los resultados trimestrales del PIB turístico se comparan con la información anual de la </w:t>
      </w:r>
      <w:proofErr w:type="spellStart"/>
      <w:r w:rsidR="00FE42CE" w:rsidRPr="005A4AC9">
        <w:rPr>
          <w:rFonts w:eastAsia="Times New Roman" w:cs="Times New Roman"/>
          <w:smallCaps/>
          <w:snapToGrid w:val="0"/>
          <w:color w:val="auto"/>
          <w:szCs w:val="20"/>
          <w:lang w:val="es-MX"/>
        </w:rPr>
        <w:t>cstm</w:t>
      </w:r>
      <w:proofErr w:type="spellEnd"/>
      <w:r w:rsidR="00FE42CE" w:rsidRPr="005A4AC9">
        <w:rPr>
          <w:color w:val="auto"/>
          <w:lang w:val="es-MX"/>
        </w:rPr>
        <w:t xml:space="preserve"> </w:t>
      </w:r>
      <w:r w:rsidRPr="005A4AC9">
        <w:rPr>
          <w:color w:val="auto"/>
          <w:lang w:val="es-MX"/>
        </w:rPr>
        <w:t>para ajustar los datos de alta frecuencia (trimestrales) a los de baja frecuencia (valor anual)</w:t>
      </w:r>
      <w:r w:rsidR="003A4C45" w:rsidRPr="005A4AC9">
        <w:rPr>
          <w:color w:val="auto"/>
          <w:lang w:val="es-MX"/>
        </w:rPr>
        <w:t xml:space="preserve">. Para lo anterior se utiliza </w:t>
      </w:r>
      <w:r w:rsidRPr="005A4AC9">
        <w:rPr>
          <w:color w:val="auto"/>
          <w:lang w:val="es-MX"/>
        </w:rPr>
        <w:t>la técnica Denton</w:t>
      </w:r>
      <w:r w:rsidR="003A00F6" w:rsidRPr="005A4AC9">
        <w:rPr>
          <w:color w:val="auto"/>
          <w:lang w:val="es-MX"/>
        </w:rPr>
        <w:t>.</w:t>
      </w:r>
      <w:r w:rsidRPr="005A4AC9">
        <w:rPr>
          <w:color w:val="auto"/>
          <w:vertAlign w:val="superscript"/>
          <w:lang w:val="es-MX"/>
        </w:rPr>
        <w:footnoteReference w:id="3"/>
      </w:r>
      <w:r w:rsidR="003A4C45" w:rsidRPr="005A4AC9">
        <w:rPr>
          <w:color w:val="auto"/>
          <w:lang w:val="es-MX"/>
        </w:rPr>
        <w:t xml:space="preserve"> Los datos se presentan en cuadros de índices del Consumo Turístico Interior</w:t>
      </w:r>
      <w:r w:rsidR="00C55BD8" w:rsidRPr="005A4AC9">
        <w:rPr>
          <w:color w:val="auto"/>
          <w:lang w:val="es-MX"/>
        </w:rPr>
        <w:t xml:space="preserve">, que </w:t>
      </w:r>
      <w:r w:rsidR="003A4C45" w:rsidRPr="005A4AC9">
        <w:rPr>
          <w:color w:val="auto"/>
          <w:lang w:val="es-MX"/>
        </w:rPr>
        <w:t>se define</w:t>
      </w:r>
      <w:r w:rsidR="00C55BD8" w:rsidRPr="005A4AC9">
        <w:rPr>
          <w:color w:val="auto"/>
          <w:lang w:val="es-MX"/>
        </w:rPr>
        <w:t>n</w:t>
      </w:r>
      <w:r w:rsidR="003A4C45" w:rsidRPr="005A4AC9">
        <w:rPr>
          <w:color w:val="auto"/>
          <w:lang w:val="es-MX"/>
        </w:rPr>
        <w:t xml:space="preserve"> como los gastos que realizan las y los turistas en sus viajes dentro del país y </w:t>
      </w:r>
      <w:r w:rsidR="00C55BD8" w:rsidRPr="005A4AC9">
        <w:rPr>
          <w:color w:val="auto"/>
          <w:lang w:val="es-MX"/>
        </w:rPr>
        <w:t>presenta</w:t>
      </w:r>
      <w:r w:rsidR="003A4C45" w:rsidRPr="005A4AC9">
        <w:rPr>
          <w:color w:val="auto"/>
          <w:lang w:val="es-MX"/>
        </w:rPr>
        <w:t xml:space="preserve"> la apertura del Consumo Turístico Interno</w:t>
      </w:r>
      <w:r w:rsidR="00622742" w:rsidRPr="005A4AC9">
        <w:rPr>
          <w:color w:val="auto"/>
          <w:lang w:val="es-MX"/>
        </w:rPr>
        <w:t xml:space="preserve"> </w:t>
      </w:r>
      <w:r w:rsidR="003A4C45" w:rsidRPr="005A4AC9">
        <w:rPr>
          <w:color w:val="auto"/>
          <w:lang w:val="es-MX"/>
        </w:rPr>
        <w:t>y el Consumo Turístico Receptivo.</w:t>
      </w:r>
    </w:p>
    <w:p w14:paraId="52649725" w14:textId="4CDA72D5" w:rsidR="00024272" w:rsidRPr="005A4AC9" w:rsidRDefault="00024272" w:rsidP="0069446B">
      <w:pPr>
        <w:pStyle w:val="p0"/>
        <w:keepLines w:val="0"/>
        <w:widowControl/>
        <w:ind w:right="51"/>
        <w:rPr>
          <w:color w:val="auto"/>
        </w:rPr>
      </w:pPr>
      <w:r w:rsidRPr="005A4AC9">
        <w:rPr>
          <w:color w:val="auto"/>
        </w:rPr>
        <w:t>La mayoría de las series económicas se ve afectada por factores estacionales: efectos periódicos que se repiten cada año y cuyas causas son ajenas a la naturaleza económica de las series. Estas pueden ser: las festividades, meses más largos que otros, las vacaciones escolares, el clima y otras fluctuaciones estacionales como la elevada producción de juguetes en los meses previos a la Navidad.</w:t>
      </w:r>
    </w:p>
    <w:p w14:paraId="780751BC" w14:textId="792782CD" w:rsidR="00024272" w:rsidRPr="005A4AC9" w:rsidRDefault="00024272" w:rsidP="00D26025">
      <w:pPr>
        <w:spacing w:before="240"/>
        <w:jc w:val="both"/>
      </w:pPr>
      <w:r w:rsidRPr="005A4AC9">
        <w:t xml:space="preserve">La desestacionalización o ajuste estacional de series económicas consiste en remover estas influencias intra-anuales periódicas: su presencia dificulta diagnosticar y describir el comportamiento de una serie económica, pues no permite comparar adecuadamente un determinado </w:t>
      </w:r>
      <w:r w:rsidR="00B9598B" w:rsidRPr="005A4AC9">
        <w:t>trimestre</w:t>
      </w:r>
      <w:r w:rsidRPr="005A4AC9">
        <w:t xml:space="preserve"> con el inmediato anterior. Analizar la serie desestacionalizada ayuda a realizar un mejor diagnóstico y pronóstico de su evolución</w:t>
      </w:r>
      <w:r w:rsidR="00393E3A" w:rsidRPr="005A4AC9">
        <w:t>,</w:t>
      </w:r>
      <w:r w:rsidRPr="005A4AC9">
        <w:t xml:space="preserve"> pues</w:t>
      </w:r>
      <w:r w:rsidR="00393E3A" w:rsidRPr="005A4AC9">
        <w:t>,</w:t>
      </w:r>
      <w:r w:rsidRPr="005A4AC9">
        <w:t xml:space="preserve"> en el corto plazo</w:t>
      </w:r>
      <w:r w:rsidR="00393E3A" w:rsidRPr="005A4AC9">
        <w:t>,</w:t>
      </w:r>
      <w:r w:rsidRPr="005A4AC9">
        <w:t xml:space="preserve"> identifica la posible dirección de los movimientos que pudiera tener la variable en cuestión.</w:t>
      </w:r>
    </w:p>
    <w:p w14:paraId="446000AF" w14:textId="33C5BD39" w:rsidR="00181CFD" w:rsidRPr="005A4AC9" w:rsidRDefault="00024272" w:rsidP="0069446B">
      <w:pPr>
        <w:spacing w:before="240"/>
        <w:jc w:val="both"/>
      </w:pPr>
      <w:r w:rsidRPr="005A4AC9">
        <w:t>Las series originales se ajustan estacionalmente mediante el paquete estadístico X</w:t>
      </w:r>
      <w:r w:rsidRPr="005A4AC9">
        <w:noBreakHyphen/>
        <w:t>13ARIMA</w:t>
      </w:r>
      <w:r w:rsidR="00181CFD" w:rsidRPr="005A4AC9">
        <w:noBreakHyphen/>
      </w:r>
      <w:r w:rsidRPr="005A4AC9">
        <w:t>SEATS.</w:t>
      </w:r>
      <w:r w:rsidR="00E17AB5" w:rsidRPr="005A4AC9">
        <w:t xml:space="preserve"> </w:t>
      </w:r>
      <w:r w:rsidR="00151090" w:rsidRPr="005A4AC9">
        <w:t>P</w:t>
      </w:r>
      <w:r w:rsidRPr="005A4AC9">
        <w:t>ara</w:t>
      </w:r>
      <w:r w:rsidR="00E17AB5" w:rsidRPr="005A4AC9">
        <w:t xml:space="preserve"> </w:t>
      </w:r>
      <w:r w:rsidRPr="005A4AC9">
        <w:t>conocer</w:t>
      </w:r>
      <w:r w:rsidR="00E17AB5" w:rsidRPr="005A4AC9">
        <w:t xml:space="preserve"> </w:t>
      </w:r>
      <w:r w:rsidRPr="005A4AC9">
        <w:t>la</w:t>
      </w:r>
      <w:r w:rsidR="00E17AB5" w:rsidRPr="005A4AC9">
        <w:t xml:space="preserve"> </w:t>
      </w:r>
      <w:r w:rsidRPr="005A4AC9">
        <w:t>metodología,</w:t>
      </w:r>
      <w:r w:rsidR="00E17AB5" w:rsidRPr="005A4AC9">
        <w:t xml:space="preserve"> </w:t>
      </w:r>
      <w:r w:rsidRPr="005A4AC9">
        <w:t>consúltese</w:t>
      </w:r>
      <w:r w:rsidR="00E17AB5" w:rsidRPr="005A4AC9">
        <w:t xml:space="preserve"> </w:t>
      </w:r>
      <w:r w:rsidRPr="005A4AC9">
        <w:t>la</w:t>
      </w:r>
      <w:r w:rsidR="00E17AB5" w:rsidRPr="005A4AC9">
        <w:t xml:space="preserve"> </w:t>
      </w:r>
      <w:r w:rsidRPr="005A4AC9">
        <w:t>siguiente</w:t>
      </w:r>
      <w:r w:rsidR="00E17AB5" w:rsidRPr="005A4AC9">
        <w:t xml:space="preserve"> </w:t>
      </w:r>
      <w:r w:rsidRPr="005A4AC9">
        <w:t>liga:</w:t>
      </w:r>
    </w:p>
    <w:p w14:paraId="29C98E02" w14:textId="55CF7A6F" w:rsidR="00024272" w:rsidRPr="005A4AC9" w:rsidRDefault="0031371E" w:rsidP="0069446B">
      <w:pPr>
        <w:jc w:val="both"/>
        <w:rPr>
          <w:color w:val="1F497D"/>
          <w:sz w:val="22"/>
          <w:lang w:eastAsia="en-US"/>
        </w:rPr>
      </w:pPr>
      <w:hyperlink r:id="rId25" w:history="1">
        <w:r w:rsidR="00181CFD" w:rsidRPr="005A4AC9">
          <w:rPr>
            <w:rStyle w:val="Hipervnculo"/>
          </w:rPr>
          <w:t>https://www.inegi.org.mx/app/biblioteca/ficha.html?upc=702825099060</w:t>
        </w:r>
      </w:hyperlink>
    </w:p>
    <w:p w14:paraId="015107C2" w14:textId="77777777" w:rsidR="002F1A9D" w:rsidRDefault="002F1A9D">
      <w:pPr>
        <w:widowControl/>
        <w:rPr>
          <w:rFonts w:eastAsiaTheme="minorEastAsia" w:cs="Arial"/>
          <w:snapToGrid/>
          <w:color w:val="000000"/>
          <w:spacing w:val="-4"/>
          <w:szCs w:val="24"/>
        </w:rPr>
      </w:pPr>
      <w:r>
        <w:rPr>
          <w:spacing w:val="-4"/>
        </w:rPr>
        <w:br w:type="page"/>
      </w:r>
    </w:p>
    <w:p w14:paraId="61E98B47" w14:textId="2D391114" w:rsidR="00024272" w:rsidRPr="005A4AC9" w:rsidRDefault="00D26025" w:rsidP="000F5912">
      <w:pPr>
        <w:pStyle w:val="Default"/>
        <w:spacing w:before="240"/>
        <w:jc w:val="both"/>
        <w:rPr>
          <w:color w:val="auto"/>
          <w:lang w:val="es-MX"/>
        </w:rPr>
      </w:pPr>
      <w:r w:rsidRPr="005A4AC9">
        <w:rPr>
          <w:noProof/>
          <w:sz w:val="18"/>
          <w:szCs w:val="18"/>
          <w:lang w:val="es-MX" w:eastAsia="es-MX"/>
        </w:rPr>
        <w:lastRenderedPageBreak/>
        <w:drawing>
          <wp:anchor distT="0" distB="0" distL="36195" distR="36195" simplePos="0" relativeHeight="251658240" behindDoc="1" locked="0" layoutInCell="1" allowOverlap="1" wp14:anchorId="10F50D3F" wp14:editId="68A0F675">
            <wp:simplePos x="0" y="0"/>
            <wp:positionH relativeFrom="column">
              <wp:posOffset>4079875</wp:posOffset>
            </wp:positionH>
            <wp:positionV relativeFrom="paragraph">
              <wp:posOffset>365760</wp:posOffset>
            </wp:positionV>
            <wp:extent cx="143510" cy="143510"/>
            <wp:effectExtent l="0" t="0" r="8890" b="8890"/>
            <wp:wrapTight wrapText="bothSides">
              <wp:wrapPolygon edited="0">
                <wp:start x="0" y="0"/>
                <wp:lineTo x="0" y="20071"/>
                <wp:lineTo x="20071" y="20071"/>
                <wp:lineTo x="20071" y="0"/>
                <wp:lineTo x="0" y="0"/>
              </wp:wrapPolygon>
            </wp:wrapTight>
            <wp:docPr id="8" name="Imagen 8" descr="http://www.inegi.org.mx/sistemas/bie/img/MetadatoC.GIF">
              <a:hlinkClick xmlns:a="http://schemas.openxmlformats.org/drawingml/2006/main" r:id="rId2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BtnMetaDID2951" descr="http://www.inegi.org.mx/sistemas/bie/img/MetadatoC.GIF">
                      <a:hlinkClick r:id="rId2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" cy="143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298F3C5A" w:rsidRPr="005A4AC9">
        <w:rPr>
          <w:spacing w:val="-4"/>
          <w:lang w:val="es-MX"/>
        </w:rPr>
        <w:t xml:space="preserve">Las especificaciones de los modelos utilizados para realizar el ajuste estacional </w:t>
      </w:r>
      <w:r w:rsidR="009552C9" w:rsidRPr="005A4AC9">
        <w:rPr>
          <w:lang w:val="es-MX"/>
        </w:rPr>
        <w:t>están</w:t>
      </w:r>
      <w:r w:rsidR="298F3C5A" w:rsidRPr="005A4AC9">
        <w:rPr>
          <w:spacing w:val="-4"/>
          <w:lang w:val="es-MX"/>
        </w:rPr>
        <w:t xml:space="preserve"> disponibles en el Banco de Información Económica (</w:t>
      </w:r>
      <w:proofErr w:type="spellStart"/>
      <w:r w:rsidR="0064601B" w:rsidRPr="005A4AC9">
        <w:rPr>
          <w:smallCaps/>
          <w:spacing w:val="-4"/>
          <w:lang w:val="es-MX"/>
        </w:rPr>
        <w:t>bie</w:t>
      </w:r>
      <w:proofErr w:type="spellEnd"/>
      <w:r w:rsidR="00862B43" w:rsidRPr="005A4AC9">
        <w:rPr>
          <w:spacing w:val="-4"/>
          <w:lang w:val="es-MX"/>
        </w:rPr>
        <w:t>)</w:t>
      </w:r>
      <w:r w:rsidR="298F3C5A" w:rsidRPr="005A4AC9">
        <w:rPr>
          <w:spacing w:val="-4"/>
          <w:lang w:val="es-MX"/>
        </w:rPr>
        <w:t xml:space="preserve">. Seleccione «Indicadores económicos de coyuntura, Actividad Turística» y vaya al </w:t>
      </w:r>
      <w:r w:rsidR="00765B27" w:rsidRPr="005A4AC9">
        <w:rPr>
          <w:lang w:val="es-MX"/>
        </w:rPr>
        <w:t>i</w:t>
      </w:r>
      <w:r w:rsidR="298F3C5A" w:rsidRPr="005A4AC9">
        <w:rPr>
          <w:spacing w:val="-4"/>
          <w:lang w:val="es-MX"/>
        </w:rPr>
        <w:t>cono de información correspondiente a las «series desestacionalizadas y de tendencia-ciclo».</w:t>
      </w:r>
    </w:p>
    <w:p w14:paraId="3A8E6D2C" w14:textId="5FF199C8" w:rsidR="00BB05C3" w:rsidRPr="00382388" w:rsidRDefault="0064601B" w:rsidP="0064601B">
      <w:pPr>
        <w:pStyle w:val="Default"/>
        <w:spacing w:before="240"/>
        <w:jc w:val="both"/>
        <w:rPr>
          <w:color w:val="auto"/>
        </w:rPr>
      </w:pPr>
      <w:r w:rsidRPr="005A4AC9">
        <w:rPr>
          <w:lang w:val="es-MX"/>
        </w:rPr>
        <w:t xml:space="preserve">La fecha de divulgación del indicador es la que señala el Calendario de Difusión de Información Estadística y Geográfica y de Interés Nacional. Las series se encuentran en las secciones: Programas de Información/ Sistema de Cuentas Nacionales y Sistemas de Consulta/ </w:t>
      </w:r>
      <w:proofErr w:type="spellStart"/>
      <w:r w:rsidRPr="005A4AC9">
        <w:rPr>
          <w:smallCaps/>
          <w:lang w:val="es-MX"/>
        </w:rPr>
        <w:t>bie</w:t>
      </w:r>
      <w:proofErr w:type="spellEnd"/>
      <w:r w:rsidRPr="005A4AC9">
        <w:rPr>
          <w:lang w:val="es-MX"/>
        </w:rPr>
        <w:t xml:space="preserve">, en la página del </w:t>
      </w:r>
      <w:proofErr w:type="spellStart"/>
      <w:r w:rsidRPr="005A4AC9">
        <w:rPr>
          <w:smallCaps/>
          <w:lang w:val="es-MX"/>
        </w:rPr>
        <w:t>inegi</w:t>
      </w:r>
      <w:proofErr w:type="spellEnd"/>
      <w:r w:rsidRPr="005A4AC9">
        <w:rPr>
          <w:lang w:val="es-MX"/>
        </w:rPr>
        <w:t xml:space="preserve">: </w:t>
      </w:r>
      <w:hyperlink r:id="rId28" w:history="1">
        <w:r w:rsidRPr="005A4AC9">
          <w:rPr>
            <w:rStyle w:val="Hipervnculo"/>
            <w:lang w:val="es-MX"/>
          </w:rPr>
          <w:t>https://www.inegi.org.mx</w:t>
        </w:r>
      </w:hyperlink>
      <w:r w:rsidRPr="005A4AC9">
        <w:rPr>
          <w:lang w:val="es-MX"/>
        </w:rPr>
        <w:t>, así como en las diferentes redes sociales del Instituto.</w:t>
      </w:r>
      <w:r w:rsidR="00382388" w:rsidRPr="005A4AC9">
        <w:rPr>
          <w:u w:val="single"/>
          <w:lang w:val="es-MX"/>
        </w:rPr>
        <w:t xml:space="preserve"> </w:t>
      </w:r>
    </w:p>
    <w:sectPr w:rsidR="00BB05C3" w:rsidRPr="00382388" w:rsidSect="0069446B">
      <w:headerReference w:type="default" r:id="rId29"/>
      <w:footerReference w:type="default" r:id="rId30"/>
      <w:endnotePr>
        <w:numFmt w:val="decimal"/>
      </w:endnotePr>
      <w:pgSz w:w="12242" w:h="15842" w:code="1"/>
      <w:pgMar w:top="2268" w:right="1134" w:bottom="992" w:left="1134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867D05" w14:textId="77777777" w:rsidR="0031371E" w:rsidRPr="005A4AC9" w:rsidRDefault="0031371E">
      <w:r w:rsidRPr="005A4AC9">
        <w:separator/>
      </w:r>
    </w:p>
  </w:endnote>
  <w:endnote w:type="continuationSeparator" w:id="0">
    <w:p w14:paraId="08319BBD" w14:textId="77777777" w:rsidR="0031371E" w:rsidRPr="005A4AC9" w:rsidRDefault="0031371E">
      <w:r w:rsidRPr="005A4AC9">
        <w:continuationSeparator/>
      </w:r>
    </w:p>
  </w:endnote>
  <w:endnote w:type="continuationNotice" w:id="1">
    <w:p w14:paraId="42D1B64D" w14:textId="77777777" w:rsidR="0031371E" w:rsidRPr="005A4AC9" w:rsidRDefault="0031371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egrita">
    <w:panose1 w:val="020B0704020202020204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6CA251" w14:textId="3E15B32D" w:rsidR="00E07136" w:rsidRPr="009F3794" w:rsidRDefault="009F3794" w:rsidP="009F3794">
    <w:pPr>
      <w:pStyle w:val="Piedepgina"/>
      <w:jc w:val="center"/>
    </w:pPr>
    <w:bookmarkStart w:id="6" w:name="_Hlk147145069"/>
    <w:r w:rsidRPr="00204167">
      <w:rPr>
        <w:rFonts w:cs="Arial"/>
        <w:b/>
        <w:color w:val="003057"/>
        <w:sz w:val="20"/>
      </w:rPr>
      <w:t>Comunicación social</w:t>
    </w:r>
    <w:bookmarkEnd w:id="6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286A78" w14:textId="77777777" w:rsidR="0031371E" w:rsidRPr="005A4AC9" w:rsidRDefault="0031371E">
      <w:r w:rsidRPr="005A4AC9">
        <w:separator/>
      </w:r>
    </w:p>
  </w:footnote>
  <w:footnote w:type="continuationSeparator" w:id="0">
    <w:p w14:paraId="5387F60D" w14:textId="77777777" w:rsidR="0031371E" w:rsidRPr="005A4AC9" w:rsidRDefault="0031371E">
      <w:r w:rsidRPr="005A4AC9">
        <w:continuationSeparator/>
      </w:r>
    </w:p>
  </w:footnote>
  <w:footnote w:type="continuationNotice" w:id="1">
    <w:p w14:paraId="24A10B89" w14:textId="77777777" w:rsidR="0031371E" w:rsidRPr="005A4AC9" w:rsidRDefault="0031371E"/>
  </w:footnote>
  <w:footnote w:id="2">
    <w:p w14:paraId="7556F120" w14:textId="77777777" w:rsidR="0008392C" w:rsidRPr="005A4AC9" w:rsidRDefault="0008392C" w:rsidP="0008392C">
      <w:pPr>
        <w:pStyle w:val="Textonotapie"/>
        <w:ind w:left="196" w:hanging="196"/>
        <w:rPr>
          <w:rFonts w:ascii="Arial" w:hAnsi="Arial" w:cs="Arial"/>
          <w:sz w:val="16"/>
          <w:szCs w:val="16"/>
          <w:lang w:val="es-MX"/>
        </w:rPr>
      </w:pPr>
      <w:r w:rsidRPr="005A4AC9">
        <w:rPr>
          <w:rStyle w:val="Refdenotaalpie"/>
          <w:sz w:val="18"/>
          <w:szCs w:val="18"/>
        </w:rPr>
        <w:footnoteRef/>
      </w:r>
      <w:r w:rsidRPr="005A4AC9">
        <w:rPr>
          <w:sz w:val="16"/>
          <w:szCs w:val="16"/>
          <w:lang w:val="es-MX"/>
        </w:rPr>
        <w:tab/>
      </w:r>
      <w:r w:rsidRPr="005A4AC9">
        <w:rPr>
          <w:rFonts w:ascii="Arial" w:hAnsi="Arial" w:cs="Arial"/>
          <w:sz w:val="16"/>
          <w:szCs w:val="16"/>
          <w:lang w:val="es-MX"/>
        </w:rPr>
        <w:t>La mayoría de las series económicas se ve afectada por factores estacionales y de calendario. El ajuste de los datos por dichos factores permite obtener las cifras desestacionalizadas. Su análisis ayuda a realizar un mejor diagnóstico de la evolución de las variables.</w:t>
      </w:r>
    </w:p>
  </w:footnote>
  <w:footnote w:id="3">
    <w:p w14:paraId="5BBBD3F3" w14:textId="3651A038" w:rsidR="000F5912" w:rsidRPr="00E9509E" w:rsidRDefault="000F5912" w:rsidP="000F5912">
      <w:pPr>
        <w:pStyle w:val="Textonotapie"/>
        <w:ind w:left="142" w:hanging="142"/>
        <w:jc w:val="both"/>
        <w:rPr>
          <w:rStyle w:val="Refdenotaalpie"/>
          <w:rFonts w:ascii="Arial" w:hAnsi="Arial"/>
          <w:b w:val="0"/>
          <w:smallCaps w:val="0"/>
          <w:sz w:val="16"/>
          <w:szCs w:val="16"/>
          <w:vertAlign w:val="baseline"/>
          <w:lang w:val="en-US"/>
        </w:rPr>
      </w:pPr>
      <w:r w:rsidRPr="005A4AC9">
        <w:rPr>
          <w:rStyle w:val="Refdenotaalpie"/>
          <w:rFonts w:ascii="Arial" w:hAnsi="Arial"/>
          <w:b w:val="0"/>
          <w:sz w:val="18"/>
          <w:szCs w:val="16"/>
        </w:rPr>
        <w:footnoteRef/>
      </w:r>
      <w:r w:rsidRPr="00E9509E">
        <w:rPr>
          <w:rFonts w:ascii="Arial" w:hAnsi="Arial" w:cs="Arial"/>
          <w:lang w:val="en-US"/>
        </w:rPr>
        <w:tab/>
      </w:r>
      <w:r w:rsidRPr="00E9509E">
        <w:rPr>
          <w:rStyle w:val="Refdenotaalpie"/>
          <w:rFonts w:ascii="Arial" w:hAnsi="Arial"/>
          <w:b w:val="0"/>
          <w:smallCaps w:val="0"/>
          <w:sz w:val="16"/>
          <w:szCs w:val="16"/>
          <w:vertAlign w:val="baseline"/>
          <w:lang w:val="en-US"/>
        </w:rPr>
        <w:t xml:space="preserve">Procedimiento de </w:t>
      </w:r>
      <w:r w:rsidR="00C71FCE" w:rsidRPr="00E9509E">
        <w:rPr>
          <w:rFonts w:ascii="Arial" w:hAnsi="Arial"/>
          <w:i/>
          <w:iCs/>
          <w:sz w:val="16"/>
          <w:szCs w:val="16"/>
          <w:lang w:val="en-US"/>
        </w:rPr>
        <w:t>b</w:t>
      </w:r>
      <w:r w:rsidRPr="00E9509E">
        <w:rPr>
          <w:rStyle w:val="Refdenotaalpie"/>
          <w:rFonts w:ascii="Arial" w:hAnsi="Arial"/>
          <w:b w:val="0"/>
          <w:i/>
          <w:iCs/>
          <w:smallCaps w:val="0"/>
          <w:sz w:val="16"/>
          <w:szCs w:val="16"/>
          <w:vertAlign w:val="baseline"/>
          <w:lang w:val="en-US"/>
        </w:rPr>
        <w:t>enchmarking</w:t>
      </w:r>
      <w:r w:rsidRPr="00E9509E">
        <w:rPr>
          <w:rStyle w:val="Refdenotaalpie"/>
          <w:rFonts w:ascii="Arial" w:hAnsi="Arial"/>
          <w:b w:val="0"/>
          <w:smallCaps w:val="0"/>
          <w:sz w:val="16"/>
          <w:szCs w:val="16"/>
          <w:vertAlign w:val="baseline"/>
          <w:lang w:val="en-US"/>
        </w:rPr>
        <w:t xml:space="preserve"> utilizado para ajustar datos trimestrales a los anuales.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B46F5F" w14:textId="77777777" w:rsidR="00E05EB1" w:rsidRDefault="00E05EB1" w:rsidP="00E05EB1">
    <w:pPr>
      <w:pStyle w:val="Encabezado"/>
      <w:ind w:left="-142" w:right="49" w:hanging="142"/>
      <w:jc w:val="right"/>
      <w:rPr>
        <w:b/>
        <w:color w:val="002060"/>
      </w:rPr>
    </w:pPr>
    <w:r>
      <w:t xml:space="preserve">                                  </w:t>
    </w:r>
    <w:r>
      <w:rPr>
        <w:noProof/>
        <w14:ligatures w14:val="standardContextual"/>
      </w:rPr>
      <w:drawing>
        <wp:anchor distT="0" distB="0" distL="114300" distR="114300" simplePos="0" relativeHeight="251659264" behindDoc="0" locked="0" layoutInCell="1" allowOverlap="1" wp14:anchorId="0C253A4D" wp14:editId="0B3A5AC4">
          <wp:simplePos x="0" y="0"/>
          <wp:positionH relativeFrom="margin">
            <wp:posOffset>-104775</wp:posOffset>
          </wp:positionH>
          <wp:positionV relativeFrom="paragraph">
            <wp:posOffset>-2540</wp:posOffset>
          </wp:positionV>
          <wp:extent cx="2761200" cy="795600"/>
          <wp:effectExtent l="0" t="0" r="1270" b="5080"/>
          <wp:wrapSquare wrapText="bothSides"/>
          <wp:docPr id="1799583202" name="Imagen 1799583202" descr="Un letrero de color negr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6466350" name="Imagen 2" descr="Un letrero de color negro&#10;&#10;Descripción generada automáticamente con confianza med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61200" cy="79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6216CCD" w14:textId="218DEDA2" w:rsidR="00E05EB1" w:rsidRPr="00306ECD" w:rsidRDefault="00E05EB1" w:rsidP="00E05EB1">
    <w:pPr>
      <w:pStyle w:val="Encabezado"/>
      <w:ind w:left="-142" w:right="49" w:hanging="142"/>
      <w:jc w:val="right"/>
      <w:rPr>
        <w:b/>
        <w:color w:val="002060"/>
        <w:lang w:val="pt-BR"/>
      </w:rPr>
    </w:pPr>
    <w:r w:rsidRPr="00306ECD">
      <w:rPr>
        <w:b/>
        <w:color w:val="002060"/>
      </w:rPr>
      <w:t>Comunicado de prensa núm</w:t>
    </w:r>
    <w:r>
      <w:rPr>
        <w:b/>
        <w:color w:val="002060"/>
      </w:rPr>
      <w:t>ero</w:t>
    </w:r>
    <w:r w:rsidRPr="00306ECD">
      <w:rPr>
        <w:b/>
        <w:color w:val="002060"/>
      </w:rPr>
      <w:t xml:space="preserve"> </w:t>
    </w:r>
    <w:r w:rsidR="00B11E97">
      <w:rPr>
        <w:b/>
        <w:color w:val="002060"/>
      </w:rPr>
      <w:t>642</w:t>
    </w:r>
    <w:r w:rsidRPr="00306ECD">
      <w:rPr>
        <w:b/>
        <w:color w:val="002060"/>
      </w:rPr>
      <w:t>/2</w:t>
    </w:r>
    <w:r>
      <w:rPr>
        <w:b/>
        <w:color w:val="002060"/>
      </w:rPr>
      <w:t>3</w:t>
    </w:r>
  </w:p>
  <w:p w14:paraId="4B57AD6B" w14:textId="2224AF5F" w:rsidR="00E05EB1" w:rsidRPr="00306ECD" w:rsidRDefault="00E05EB1" w:rsidP="00E05EB1">
    <w:pPr>
      <w:pStyle w:val="Encabezado"/>
      <w:ind w:left="-567" w:right="49"/>
      <w:jc w:val="right"/>
      <w:rPr>
        <w:b/>
        <w:color w:val="002060"/>
        <w:lang w:val="pt-BR"/>
      </w:rPr>
    </w:pPr>
    <w:r>
      <w:rPr>
        <w:b/>
        <w:color w:val="002060"/>
        <w:lang w:val="pt-BR"/>
      </w:rPr>
      <w:t xml:space="preserve">30 de octubre de </w:t>
    </w:r>
    <w:r w:rsidRPr="00306ECD">
      <w:rPr>
        <w:b/>
        <w:color w:val="002060"/>
        <w:lang w:val="pt-BR"/>
      </w:rPr>
      <w:t>202</w:t>
    </w:r>
    <w:r>
      <w:rPr>
        <w:b/>
        <w:color w:val="002060"/>
        <w:lang w:val="pt-BR"/>
      </w:rPr>
      <w:t>3</w:t>
    </w:r>
  </w:p>
  <w:p w14:paraId="7DA4BD81" w14:textId="77777777" w:rsidR="00E05EB1" w:rsidRPr="00F22E89" w:rsidRDefault="00E05EB1" w:rsidP="00E05EB1">
    <w:pPr>
      <w:pStyle w:val="Encabezado"/>
      <w:ind w:left="-567" w:right="49"/>
      <w:jc w:val="right"/>
      <w:rPr>
        <w:b/>
        <w:color w:val="002060"/>
      </w:rPr>
    </w:pPr>
    <w:r w:rsidRPr="006B2980">
      <w:rPr>
        <w:b/>
        <w:color w:val="002060"/>
      </w:rPr>
      <w:t xml:space="preserve">Página </w:t>
    </w:r>
    <w:r w:rsidRPr="006B2980">
      <w:rPr>
        <w:b/>
        <w:color w:val="002060"/>
      </w:rPr>
      <w:fldChar w:fldCharType="begin"/>
    </w:r>
    <w:r w:rsidRPr="006B2980">
      <w:rPr>
        <w:b/>
        <w:color w:val="002060"/>
      </w:rPr>
      <w:instrText xml:space="preserve"> PAGE  \* Arabic </w:instrText>
    </w:r>
    <w:r w:rsidRPr="006B2980">
      <w:rPr>
        <w:b/>
        <w:color w:val="002060"/>
      </w:rPr>
      <w:fldChar w:fldCharType="separate"/>
    </w:r>
    <w:r>
      <w:rPr>
        <w:b/>
        <w:color w:val="002060"/>
      </w:rPr>
      <w:t>1</w:t>
    </w:r>
    <w:r w:rsidRPr="006B2980">
      <w:rPr>
        <w:b/>
        <w:color w:val="002060"/>
      </w:rPr>
      <w:fldChar w:fldCharType="end"/>
    </w:r>
    <w:r w:rsidRPr="006B2980">
      <w:rPr>
        <w:b/>
        <w:color w:val="002060"/>
      </w:rPr>
      <w:t>/8</w:t>
    </w:r>
  </w:p>
  <w:p w14:paraId="340703B0" w14:textId="77777777" w:rsidR="00E05EB1" w:rsidRDefault="00E05EB1" w:rsidP="00E05EB1">
    <w:pPr>
      <w:pStyle w:val="Encabezado"/>
      <w:tabs>
        <w:tab w:val="left" w:pos="284"/>
      </w:tabs>
      <w:ind w:left="142"/>
    </w:pPr>
  </w:p>
  <w:p w14:paraId="5C203309" w14:textId="14E37C0D" w:rsidR="00ED7F21" w:rsidRPr="005A4AC9" w:rsidRDefault="00ED7F21" w:rsidP="00B06AE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DF6154"/>
    <w:multiLevelType w:val="hybridMultilevel"/>
    <w:tmpl w:val="F8C2B67C"/>
    <w:lvl w:ilvl="0" w:tplc="0C0A000F">
      <w:start w:val="1"/>
      <w:numFmt w:val="decimal"/>
      <w:lvlText w:val="%1."/>
      <w:lvlJc w:val="left"/>
      <w:pPr>
        <w:tabs>
          <w:tab w:val="num" w:pos="1723"/>
        </w:tabs>
        <w:ind w:left="1723" w:hanging="360"/>
      </w:pPr>
      <w:rPr>
        <w:rFonts w:hint="default"/>
      </w:rPr>
    </w:lvl>
    <w:lvl w:ilvl="1" w:tplc="EE9A14EA" w:tentative="1">
      <w:start w:val="1"/>
      <w:numFmt w:val="bullet"/>
      <w:lvlText w:val="o"/>
      <w:lvlJc w:val="left"/>
      <w:pPr>
        <w:tabs>
          <w:tab w:val="num" w:pos="2443"/>
        </w:tabs>
        <w:ind w:left="2443" w:hanging="360"/>
      </w:pPr>
      <w:rPr>
        <w:rFonts w:ascii="Courier New" w:hAnsi="Courier New" w:hint="default"/>
      </w:rPr>
    </w:lvl>
    <w:lvl w:ilvl="2" w:tplc="9E268D0A" w:tentative="1">
      <w:start w:val="1"/>
      <w:numFmt w:val="bullet"/>
      <w:lvlText w:val=""/>
      <w:lvlJc w:val="left"/>
      <w:pPr>
        <w:tabs>
          <w:tab w:val="num" w:pos="3163"/>
        </w:tabs>
        <w:ind w:left="3163" w:hanging="360"/>
      </w:pPr>
      <w:rPr>
        <w:rFonts w:ascii="Wingdings" w:hAnsi="Wingdings" w:hint="default"/>
      </w:rPr>
    </w:lvl>
    <w:lvl w:ilvl="3" w:tplc="370071DA" w:tentative="1">
      <w:start w:val="1"/>
      <w:numFmt w:val="bullet"/>
      <w:lvlText w:val=""/>
      <w:lvlJc w:val="left"/>
      <w:pPr>
        <w:tabs>
          <w:tab w:val="num" w:pos="3883"/>
        </w:tabs>
        <w:ind w:left="3883" w:hanging="360"/>
      </w:pPr>
      <w:rPr>
        <w:rFonts w:ascii="Symbol" w:hAnsi="Symbol" w:hint="default"/>
      </w:rPr>
    </w:lvl>
    <w:lvl w:ilvl="4" w:tplc="10CA57F8" w:tentative="1">
      <w:start w:val="1"/>
      <w:numFmt w:val="bullet"/>
      <w:lvlText w:val="o"/>
      <w:lvlJc w:val="left"/>
      <w:pPr>
        <w:tabs>
          <w:tab w:val="num" w:pos="4603"/>
        </w:tabs>
        <w:ind w:left="4603" w:hanging="360"/>
      </w:pPr>
      <w:rPr>
        <w:rFonts w:ascii="Courier New" w:hAnsi="Courier New" w:hint="default"/>
      </w:rPr>
    </w:lvl>
    <w:lvl w:ilvl="5" w:tplc="265CFD90" w:tentative="1">
      <w:start w:val="1"/>
      <w:numFmt w:val="bullet"/>
      <w:lvlText w:val=""/>
      <w:lvlJc w:val="left"/>
      <w:pPr>
        <w:tabs>
          <w:tab w:val="num" w:pos="5323"/>
        </w:tabs>
        <w:ind w:left="5323" w:hanging="360"/>
      </w:pPr>
      <w:rPr>
        <w:rFonts w:ascii="Wingdings" w:hAnsi="Wingdings" w:hint="default"/>
      </w:rPr>
    </w:lvl>
    <w:lvl w:ilvl="6" w:tplc="329CE5B0" w:tentative="1">
      <w:start w:val="1"/>
      <w:numFmt w:val="bullet"/>
      <w:lvlText w:val=""/>
      <w:lvlJc w:val="left"/>
      <w:pPr>
        <w:tabs>
          <w:tab w:val="num" w:pos="6043"/>
        </w:tabs>
        <w:ind w:left="6043" w:hanging="360"/>
      </w:pPr>
      <w:rPr>
        <w:rFonts w:ascii="Symbol" w:hAnsi="Symbol" w:hint="default"/>
      </w:rPr>
    </w:lvl>
    <w:lvl w:ilvl="7" w:tplc="55307596" w:tentative="1">
      <w:start w:val="1"/>
      <w:numFmt w:val="bullet"/>
      <w:lvlText w:val="o"/>
      <w:lvlJc w:val="left"/>
      <w:pPr>
        <w:tabs>
          <w:tab w:val="num" w:pos="6763"/>
        </w:tabs>
        <w:ind w:left="6763" w:hanging="360"/>
      </w:pPr>
      <w:rPr>
        <w:rFonts w:ascii="Courier New" w:hAnsi="Courier New" w:hint="default"/>
      </w:rPr>
    </w:lvl>
    <w:lvl w:ilvl="8" w:tplc="90BC1C8A" w:tentative="1">
      <w:start w:val="1"/>
      <w:numFmt w:val="bullet"/>
      <w:lvlText w:val=""/>
      <w:lvlJc w:val="left"/>
      <w:pPr>
        <w:tabs>
          <w:tab w:val="num" w:pos="7483"/>
        </w:tabs>
        <w:ind w:left="7483" w:hanging="360"/>
      </w:pPr>
      <w:rPr>
        <w:rFonts w:ascii="Wingdings" w:hAnsi="Wingdings" w:hint="default"/>
      </w:rPr>
    </w:lvl>
  </w:abstractNum>
  <w:abstractNum w:abstractNumId="2" w15:restartNumberingAfterBreak="0">
    <w:nsid w:val="032E1C26"/>
    <w:multiLevelType w:val="hybridMultilevel"/>
    <w:tmpl w:val="135E43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153D73"/>
    <w:multiLevelType w:val="singleLevel"/>
    <w:tmpl w:val="AB6E1324"/>
    <w:lvl w:ilvl="0">
      <w:numFmt w:val="bullet"/>
      <w:lvlText w:val="-"/>
      <w:lvlJc w:val="left"/>
      <w:pPr>
        <w:tabs>
          <w:tab w:val="num" w:pos="473"/>
        </w:tabs>
        <w:ind w:left="454" w:hanging="341"/>
      </w:pPr>
      <w:rPr>
        <w:rFonts w:ascii="Times New Roman" w:hAnsi="Times New Roman" w:hint="default"/>
      </w:rPr>
    </w:lvl>
  </w:abstractNum>
  <w:abstractNum w:abstractNumId="4" w15:restartNumberingAfterBreak="0">
    <w:nsid w:val="0CEB3457"/>
    <w:multiLevelType w:val="singleLevel"/>
    <w:tmpl w:val="A0EE693E"/>
    <w:lvl w:ilvl="0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sz w:val="30"/>
      </w:rPr>
    </w:lvl>
  </w:abstractNum>
  <w:abstractNum w:abstractNumId="5" w15:restartNumberingAfterBreak="0">
    <w:nsid w:val="0EA577A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EE51F9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0FEE5E2F"/>
    <w:multiLevelType w:val="singleLevel"/>
    <w:tmpl w:val="AB6E1324"/>
    <w:lvl w:ilvl="0">
      <w:numFmt w:val="bullet"/>
      <w:lvlText w:val="-"/>
      <w:lvlJc w:val="left"/>
      <w:pPr>
        <w:tabs>
          <w:tab w:val="num" w:pos="473"/>
        </w:tabs>
        <w:ind w:left="454" w:hanging="341"/>
      </w:pPr>
      <w:rPr>
        <w:rFonts w:ascii="Times New Roman" w:hAnsi="Times New Roman" w:hint="default"/>
      </w:rPr>
    </w:lvl>
  </w:abstractNum>
  <w:abstractNum w:abstractNumId="8" w15:restartNumberingAfterBreak="0">
    <w:nsid w:val="11576F56"/>
    <w:multiLevelType w:val="hybridMultilevel"/>
    <w:tmpl w:val="D9BCB6E8"/>
    <w:lvl w:ilvl="0" w:tplc="080A0011">
      <w:start w:val="1"/>
      <w:numFmt w:val="decimal"/>
      <w:lvlText w:val="%1)"/>
      <w:lvlJc w:val="left"/>
      <w:pPr>
        <w:ind w:left="1004" w:hanging="360"/>
      </w:pPr>
    </w:lvl>
    <w:lvl w:ilvl="1" w:tplc="080A0019" w:tentative="1">
      <w:start w:val="1"/>
      <w:numFmt w:val="lowerLetter"/>
      <w:lvlText w:val="%2."/>
      <w:lvlJc w:val="left"/>
      <w:pPr>
        <w:ind w:left="1724" w:hanging="360"/>
      </w:pPr>
    </w:lvl>
    <w:lvl w:ilvl="2" w:tplc="080A001B" w:tentative="1">
      <w:start w:val="1"/>
      <w:numFmt w:val="lowerRoman"/>
      <w:lvlText w:val="%3."/>
      <w:lvlJc w:val="right"/>
      <w:pPr>
        <w:ind w:left="2444" w:hanging="180"/>
      </w:pPr>
    </w:lvl>
    <w:lvl w:ilvl="3" w:tplc="080A000F" w:tentative="1">
      <w:start w:val="1"/>
      <w:numFmt w:val="decimal"/>
      <w:lvlText w:val="%4."/>
      <w:lvlJc w:val="left"/>
      <w:pPr>
        <w:ind w:left="3164" w:hanging="360"/>
      </w:pPr>
    </w:lvl>
    <w:lvl w:ilvl="4" w:tplc="080A0019" w:tentative="1">
      <w:start w:val="1"/>
      <w:numFmt w:val="lowerLetter"/>
      <w:lvlText w:val="%5."/>
      <w:lvlJc w:val="left"/>
      <w:pPr>
        <w:ind w:left="3884" w:hanging="360"/>
      </w:pPr>
    </w:lvl>
    <w:lvl w:ilvl="5" w:tplc="080A001B" w:tentative="1">
      <w:start w:val="1"/>
      <w:numFmt w:val="lowerRoman"/>
      <w:lvlText w:val="%6."/>
      <w:lvlJc w:val="right"/>
      <w:pPr>
        <w:ind w:left="4604" w:hanging="180"/>
      </w:pPr>
    </w:lvl>
    <w:lvl w:ilvl="6" w:tplc="080A000F" w:tentative="1">
      <w:start w:val="1"/>
      <w:numFmt w:val="decimal"/>
      <w:lvlText w:val="%7."/>
      <w:lvlJc w:val="left"/>
      <w:pPr>
        <w:ind w:left="5324" w:hanging="360"/>
      </w:pPr>
    </w:lvl>
    <w:lvl w:ilvl="7" w:tplc="080A0019" w:tentative="1">
      <w:start w:val="1"/>
      <w:numFmt w:val="lowerLetter"/>
      <w:lvlText w:val="%8."/>
      <w:lvlJc w:val="left"/>
      <w:pPr>
        <w:ind w:left="6044" w:hanging="360"/>
      </w:pPr>
    </w:lvl>
    <w:lvl w:ilvl="8" w:tplc="08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14DD1099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7DA2C5D"/>
    <w:multiLevelType w:val="singleLevel"/>
    <w:tmpl w:val="AB6E1324"/>
    <w:lvl w:ilvl="0">
      <w:numFmt w:val="bullet"/>
      <w:lvlText w:val="-"/>
      <w:lvlJc w:val="left"/>
      <w:pPr>
        <w:tabs>
          <w:tab w:val="num" w:pos="473"/>
        </w:tabs>
        <w:ind w:left="454" w:hanging="341"/>
      </w:pPr>
      <w:rPr>
        <w:rFonts w:ascii="Times New Roman" w:hAnsi="Times New Roman" w:hint="default"/>
      </w:rPr>
    </w:lvl>
  </w:abstractNum>
  <w:abstractNum w:abstractNumId="11" w15:restartNumberingAfterBreak="0">
    <w:nsid w:val="19C67FD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1AAF5619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1EAF5E06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36743E34"/>
    <w:multiLevelType w:val="singleLevel"/>
    <w:tmpl w:val="AB6E1324"/>
    <w:lvl w:ilvl="0">
      <w:numFmt w:val="bullet"/>
      <w:lvlText w:val="-"/>
      <w:lvlJc w:val="left"/>
      <w:pPr>
        <w:tabs>
          <w:tab w:val="num" w:pos="473"/>
        </w:tabs>
        <w:ind w:left="454" w:hanging="341"/>
      </w:pPr>
      <w:rPr>
        <w:rFonts w:ascii="Times New Roman" w:hAnsi="Times New Roman" w:hint="default"/>
      </w:rPr>
    </w:lvl>
  </w:abstractNum>
  <w:abstractNum w:abstractNumId="15" w15:restartNumberingAfterBreak="0">
    <w:nsid w:val="382931C1"/>
    <w:multiLevelType w:val="hybridMultilevel"/>
    <w:tmpl w:val="D04C7B3A"/>
    <w:lvl w:ilvl="0" w:tplc="9F307A02">
      <w:start w:val="1"/>
      <w:numFmt w:val="bullet"/>
      <w:lvlText w:val=""/>
      <w:lvlJc w:val="left"/>
      <w:pPr>
        <w:tabs>
          <w:tab w:val="num" w:pos="1723"/>
        </w:tabs>
        <w:ind w:left="1723" w:hanging="360"/>
      </w:pPr>
      <w:rPr>
        <w:rFonts w:ascii="Symbol" w:hAnsi="Symbol" w:hint="default"/>
      </w:rPr>
    </w:lvl>
    <w:lvl w:ilvl="1" w:tplc="3EC69A4A" w:tentative="1">
      <w:start w:val="1"/>
      <w:numFmt w:val="bullet"/>
      <w:lvlText w:val="o"/>
      <w:lvlJc w:val="left"/>
      <w:pPr>
        <w:tabs>
          <w:tab w:val="num" w:pos="2443"/>
        </w:tabs>
        <w:ind w:left="2443" w:hanging="360"/>
      </w:pPr>
      <w:rPr>
        <w:rFonts w:ascii="Courier New" w:hAnsi="Courier New" w:hint="default"/>
      </w:rPr>
    </w:lvl>
    <w:lvl w:ilvl="2" w:tplc="96084CCA" w:tentative="1">
      <w:start w:val="1"/>
      <w:numFmt w:val="bullet"/>
      <w:lvlText w:val=""/>
      <w:lvlJc w:val="left"/>
      <w:pPr>
        <w:tabs>
          <w:tab w:val="num" w:pos="3163"/>
        </w:tabs>
        <w:ind w:left="3163" w:hanging="360"/>
      </w:pPr>
      <w:rPr>
        <w:rFonts w:ascii="Wingdings" w:hAnsi="Wingdings" w:hint="default"/>
      </w:rPr>
    </w:lvl>
    <w:lvl w:ilvl="3" w:tplc="5D2CBF9A" w:tentative="1">
      <w:start w:val="1"/>
      <w:numFmt w:val="bullet"/>
      <w:lvlText w:val=""/>
      <w:lvlJc w:val="left"/>
      <w:pPr>
        <w:tabs>
          <w:tab w:val="num" w:pos="3883"/>
        </w:tabs>
        <w:ind w:left="3883" w:hanging="360"/>
      </w:pPr>
      <w:rPr>
        <w:rFonts w:ascii="Symbol" w:hAnsi="Symbol" w:hint="default"/>
      </w:rPr>
    </w:lvl>
    <w:lvl w:ilvl="4" w:tplc="08F64AC0" w:tentative="1">
      <w:start w:val="1"/>
      <w:numFmt w:val="bullet"/>
      <w:lvlText w:val="o"/>
      <w:lvlJc w:val="left"/>
      <w:pPr>
        <w:tabs>
          <w:tab w:val="num" w:pos="4603"/>
        </w:tabs>
        <w:ind w:left="4603" w:hanging="360"/>
      </w:pPr>
      <w:rPr>
        <w:rFonts w:ascii="Courier New" w:hAnsi="Courier New" w:hint="default"/>
      </w:rPr>
    </w:lvl>
    <w:lvl w:ilvl="5" w:tplc="0D607026" w:tentative="1">
      <w:start w:val="1"/>
      <w:numFmt w:val="bullet"/>
      <w:lvlText w:val=""/>
      <w:lvlJc w:val="left"/>
      <w:pPr>
        <w:tabs>
          <w:tab w:val="num" w:pos="5323"/>
        </w:tabs>
        <w:ind w:left="5323" w:hanging="360"/>
      </w:pPr>
      <w:rPr>
        <w:rFonts w:ascii="Wingdings" w:hAnsi="Wingdings" w:hint="default"/>
      </w:rPr>
    </w:lvl>
    <w:lvl w:ilvl="6" w:tplc="C45EBF0E" w:tentative="1">
      <w:start w:val="1"/>
      <w:numFmt w:val="bullet"/>
      <w:lvlText w:val=""/>
      <w:lvlJc w:val="left"/>
      <w:pPr>
        <w:tabs>
          <w:tab w:val="num" w:pos="6043"/>
        </w:tabs>
        <w:ind w:left="6043" w:hanging="360"/>
      </w:pPr>
      <w:rPr>
        <w:rFonts w:ascii="Symbol" w:hAnsi="Symbol" w:hint="default"/>
      </w:rPr>
    </w:lvl>
    <w:lvl w:ilvl="7" w:tplc="0D24A3FE" w:tentative="1">
      <w:start w:val="1"/>
      <w:numFmt w:val="bullet"/>
      <w:lvlText w:val="o"/>
      <w:lvlJc w:val="left"/>
      <w:pPr>
        <w:tabs>
          <w:tab w:val="num" w:pos="6763"/>
        </w:tabs>
        <w:ind w:left="6763" w:hanging="360"/>
      </w:pPr>
      <w:rPr>
        <w:rFonts w:ascii="Courier New" w:hAnsi="Courier New" w:hint="default"/>
      </w:rPr>
    </w:lvl>
    <w:lvl w:ilvl="8" w:tplc="D5F828E4" w:tentative="1">
      <w:start w:val="1"/>
      <w:numFmt w:val="bullet"/>
      <w:lvlText w:val=""/>
      <w:lvlJc w:val="left"/>
      <w:pPr>
        <w:tabs>
          <w:tab w:val="num" w:pos="7483"/>
        </w:tabs>
        <w:ind w:left="7483" w:hanging="360"/>
      </w:pPr>
      <w:rPr>
        <w:rFonts w:ascii="Wingdings" w:hAnsi="Wingdings" w:hint="default"/>
      </w:rPr>
    </w:lvl>
  </w:abstractNum>
  <w:abstractNum w:abstractNumId="16" w15:restartNumberingAfterBreak="0">
    <w:nsid w:val="4FF23182"/>
    <w:multiLevelType w:val="singleLevel"/>
    <w:tmpl w:val="AB6E1324"/>
    <w:lvl w:ilvl="0">
      <w:numFmt w:val="bullet"/>
      <w:lvlText w:val="-"/>
      <w:lvlJc w:val="left"/>
      <w:pPr>
        <w:tabs>
          <w:tab w:val="num" w:pos="473"/>
        </w:tabs>
        <w:ind w:left="454" w:hanging="341"/>
      </w:pPr>
      <w:rPr>
        <w:rFonts w:ascii="Times New Roman" w:hAnsi="Times New Roman" w:hint="default"/>
      </w:rPr>
    </w:lvl>
  </w:abstractNum>
  <w:abstractNum w:abstractNumId="17" w15:restartNumberingAfterBreak="0">
    <w:nsid w:val="51FB40AD"/>
    <w:multiLevelType w:val="singleLevel"/>
    <w:tmpl w:val="840EB14A"/>
    <w:lvl w:ilvl="0">
      <w:start w:val="1"/>
      <w:numFmt w:val="bullet"/>
      <w:pStyle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lang w:val="es-ES"/>
      </w:rPr>
    </w:lvl>
  </w:abstractNum>
  <w:abstractNum w:abstractNumId="18" w15:restartNumberingAfterBreak="0">
    <w:nsid w:val="580C7DE1"/>
    <w:multiLevelType w:val="hybridMultilevel"/>
    <w:tmpl w:val="F878B8E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DAE7813"/>
    <w:multiLevelType w:val="hybridMultilevel"/>
    <w:tmpl w:val="9CC4BB0A"/>
    <w:lvl w:ilvl="0" w:tplc="080A0001">
      <w:start w:val="1"/>
      <w:numFmt w:val="bullet"/>
      <w:lvlText w:val=""/>
      <w:lvlJc w:val="left"/>
      <w:pPr>
        <w:ind w:left="2443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16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88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60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32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04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76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48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203" w:hanging="360"/>
      </w:pPr>
      <w:rPr>
        <w:rFonts w:ascii="Wingdings" w:hAnsi="Wingdings" w:hint="default"/>
      </w:rPr>
    </w:lvl>
  </w:abstractNum>
  <w:abstractNum w:abstractNumId="20" w15:restartNumberingAfterBreak="0">
    <w:nsid w:val="734606F0"/>
    <w:multiLevelType w:val="hybridMultilevel"/>
    <w:tmpl w:val="9380390E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E06DA8"/>
    <w:multiLevelType w:val="hybridMultilevel"/>
    <w:tmpl w:val="D736F194"/>
    <w:lvl w:ilvl="0" w:tplc="E70EB56E">
      <w:start w:val="1"/>
      <w:numFmt w:val="decimal"/>
      <w:lvlText w:val="%1)"/>
      <w:lvlJc w:val="left"/>
      <w:pPr>
        <w:ind w:left="720" w:hanging="360"/>
      </w:pPr>
      <w:rPr>
        <w:rFonts w:cs="Arial" w:hint="default"/>
        <w:b/>
        <w:i w:val="0"/>
        <w:sz w:val="24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49275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1"/>
  </w:num>
  <w:num w:numId="2">
    <w:abstractNumId w:val="4"/>
  </w:num>
  <w:num w:numId="3">
    <w:abstractNumId w:val="12"/>
  </w:num>
  <w:num w:numId="4">
    <w:abstractNumId w:val="16"/>
  </w:num>
  <w:num w:numId="5">
    <w:abstractNumId w:val="7"/>
  </w:num>
  <w:num w:numId="6">
    <w:abstractNumId w:val="3"/>
  </w:num>
  <w:num w:numId="7">
    <w:abstractNumId w:val="10"/>
  </w:num>
  <w:num w:numId="8">
    <w:abstractNumId w:val="14"/>
  </w:num>
  <w:num w:numId="9">
    <w:abstractNumId w:val="5"/>
  </w:num>
  <w:num w:numId="10">
    <w:abstractNumId w:val="9"/>
  </w:num>
  <w:num w:numId="11">
    <w:abstractNumId w:val="22"/>
  </w:num>
  <w:num w:numId="12">
    <w:abstractNumId w:val="6"/>
  </w:num>
  <w:num w:numId="13">
    <w:abstractNumId w:val="13"/>
  </w:num>
  <w:num w:numId="14">
    <w:abstractNumId w:val="15"/>
  </w:num>
  <w:num w:numId="15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2410" w:hanging="360"/>
        </w:pPr>
        <w:rPr>
          <w:rFonts w:ascii="Symbol" w:hAnsi="Symbol" w:hint="default"/>
        </w:rPr>
      </w:lvl>
    </w:lvlOverride>
  </w:num>
  <w:num w:numId="16">
    <w:abstractNumId w:val="1"/>
  </w:num>
  <w:num w:numId="17">
    <w:abstractNumId w:val="19"/>
  </w:num>
  <w:num w:numId="18">
    <w:abstractNumId w:val="2"/>
  </w:num>
  <w:num w:numId="19">
    <w:abstractNumId w:val="17"/>
  </w:num>
  <w:num w:numId="20">
    <w:abstractNumId w:val="17"/>
  </w:num>
  <w:num w:numId="21">
    <w:abstractNumId w:val="17"/>
  </w:num>
  <w:num w:numId="22">
    <w:abstractNumId w:val="17"/>
  </w:num>
  <w:num w:numId="23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8"/>
  </w:num>
  <w:num w:numId="25">
    <w:abstractNumId w:val="21"/>
  </w:num>
  <w:num w:numId="26">
    <w:abstractNumId w:val="8"/>
  </w:num>
  <w:num w:numId="2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activeWritingStyle w:appName="MSWord" w:lang="pt-BR" w:vendorID="64" w:dllVersion="0" w:nlCheck="1" w:checkStyle="0"/>
  <w:activeWritingStyle w:appName="MSWord" w:lang="es-ES_tradnl" w:vendorID="64" w:dllVersion="0" w:nlCheck="1" w:checkStyle="0"/>
  <w:activeWritingStyle w:appName="MSWord" w:lang="es-ES" w:vendorID="64" w:dllVersion="0" w:nlCheck="1" w:checkStyle="0"/>
  <w:activeWritingStyle w:appName="MSWord" w:lang="es-MX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pos w:val="sectEnd"/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0932"/>
    <w:rsid w:val="0000095D"/>
    <w:rsid w:val="00000B43"/>
    <w:rsid w:val="00000B7F"/>
    <w:rsid w:val="00001B98"/>
    <w:rsid w:val="0000273F"/>
    <w:rsid w:val="00002C85"/>
    <w:rsid w:val="000031B0"/>
    <w:rsid w:val="00004215"/>
    <w:rsid w:val="000042EF"/>
    <w:rsid w:val="00004A7D"/>
    <w:rsid w:val="00005198"/>
    <w:rsid w:val="00006462"/>
    <w:rsid w:val="00006D11"/>
    <w:rsid w:val="00007DBD"/>
    <w:rsid w:val="0001024B"/>
    <w:rsid w:val="00010A05"/>
    <w:rsid w:val="00010A17"/>
    <w:rsid w:val="00010E0F"/>
    <w:rsid w:val="00010E74"/>
    <w:rsid w:val="00011964"/>
    <w:rsid w:val="00011D5B"/>
    <w:rsid w:val="00012228"/>
    <w:rsid w:val="00013DDD"/>
    <w:rsid w:val="00014EAF"/>
    <w:rsid w:val="00016611"/>
    <w:rsid w:val="00017666"/>
    <w:rsid w:val="00020298"/>
    <w:rsid w:val="0002056D"/>
    <w:rsid w:val="00020F4E"/>
    <w:rsid w:val="00021C68"/>
    <w:rsid w:val="00022153"/>
    <w:rsid w:val="00022907"/>
    <w:rsid w:val="00023E91"/>
    <w:rsid w:val="00024272"/>
    <w:rsid w:val="00025729"/>
    <w:rsid w:val="000260FB"/>
    <w:rsid w:val="00026733"/>
    <w:rsid w:val="0002692A"/>
    <w:rsid w:val="00031C3F"/>
    <w:rsid w:val="00032184"/>
    <w:rsid w:val="00032383"/>
    <w:rsid w:val="00032439"/>
    <w:rsid w:val="0003305A"/>
    <w:rsid w:val="0003385F"/>
    <w:rsid w:val="00034077"/>
    <w:rsid w:val="000347D1"/>
    <w:rsid w:val="00035555"/>
    <w:rsid w:val="00036090"/>
    <w:rsid w:val="00036F4A"/>
    <w:rsid w:val="00036FBF"/>
    <w:rsid w:val="00037A49"/>
    <w:rsid w:val="00040567"/>
    <w:rsid w:val="00040900"/>
    <w:rsid w:val="00040A88"/>
    <w:rsid w:val="00042146"/>
    <w:rsid w:val="000421BC"/>
    <w:rsid w:val="00042729"/>
    <w:rsid w:val="00042E12"/>
    <w:rsid w:val="000431DE"/>
    <w:rsid w:val="0004368D"/>
    <w:rsid w:val="0004453C"/>
    <w:rsid w:val="0004493F"/>
    <w:rsid w:val="000453DC"/>
    <w:rsid w:val="00045ABF"/>
    <w:rsid w:val="000463BE"/>
    <w:rsid w:val="00046715"/>
    <w:rsid w:val="00046B8A"/>
    <w:rsid w:val="00050ADC"/>
    <w:rsid w:val="00050F12"/>
    <w:rsid w:val="00051AA5"/>
    <w:rsid w:val="00052C69"/>
    <w:rsid w:val="00053780"/>
    <w:rsid w:val="00053A68"/>
    <w:rsid w:val="00054FD6"/>
    <w:rsid w:val="0005576F"/>
    <w:rsid w:val="00055E5F"/>
    <w:rsid w:val="00056149"/>
    <w:rsid w:val="00056554"/>
    <w:rsid w:val="00057C42"/>
    <w:rsid w:val="00057C43"/>
    <w:rsid w:val="000608A0"/>
    <w:rsid w:val="00060919"/>
    <w:rsid w:val="0006111A"/>
    <w:rsid w:val="00062558"/>
    <w:rsid w:val="0006260B"/>
    <w:rsid w:val="00063635"/>
    <w:rsid w:val="00063D1D"/>
    <w:rsid w:val="00064294"/>
    <w:rsid w:val="000646E7"/>
    <w:rsid w:val="00064FF1"/>
    <w:rsid w:val="0006516A"/>
    <w:rsid w:val="00065DAB"/>
    <w:rsid w:val="00065F7A"/>
    <w:rsid w:val="00066103"/>
    <w:rsid w:val="000665D9"/>
    <w:rsid w:val="00066D7E"/>
    <w:rsid w:val="00066EB6"/>
    <w:rsid w:val="00067BFC"/>
    <w:rsid w:val="00067F2D"/>
    <w:rsid w:val="00070209"/>
    <w:rsid w:val="000716D7"/>
    <w:rsid w:val="0007442D"/>
    <w:rsid w:val="0007511A"/>
    <w:rsid w:val="00075A18"/>
    <w:rsid w:val="000762F8"/>
    <w:rsid w:val="000765F7"/>
    <w:rsid w:val="00077907"/>
    <w:rsid w:val="00080C47"/>
    <w:rsid w:val="00082002"/>
    <w:rsid w:val="000822A8"/>
    <w:rsid w:val="0008247B"/>
    <w:rsid w:val="00082F49"/>
    <w:rsid w:val="0008392C"/>
    <w:rsid w:val="000840A0"/>
    <w:rsid w:val="00084FD7"/>
    <w:rsid w:val="00085BD9"/>
    <w:rsid w:val="00085FDB"/>
    <w:rsid w:val="00086740"/>
    <w:rsid w:val="000902C0"/>
    <w:rsid w:val="000904E6"/>
    <w:rsid w:val="00090BD4"/>
    <w:rsid w:val="00091999"/>
    <w:rsid w:val="000929B8"/>
    <w:rsid w:val="00092ACB"/>
    <w:rsid w:val="00092B83"/>
    <w:rsid w:val="00092FD1"/>
    <w:rsid w:val="00093578"/>
    <w:rsid w:val="00093F8F"/>
    <w:rsid w:val="00094417"/>
    <w:rsid w:val="00094591"/>
    <w:rsid w:val="0009491E"/>
    <w:rsid w:val="00095DC6"/>
    <w:rsid w:val="0009654D"/>
    <w:rsid w:val="00096644"/>
    <w:rsid w:val="00097001"/>
    <w:rsid w:val="00097371"/>
    <w:rsid w:val="00097B7F"/>
    <w:rsid w:val="000A01BF"/>
    <w:rsid w:val="000A05A1"/>
    <w:rsid w:val="000A0B27"/>
    <w:rsid w:val="000A1488"/>
    <w:rsid w:val="000A14B3"/>
    <w:rsid w:val="000A1683"/>
    <w:rsid w:val="000A1890"/>
    <w:rsid w:val="000A2A4E"/>
    <w:rsid w:val="000A3A2B"/>
    <w:rsid w:val="000A3F3E"/>
    <w:rsid w:val="000A5880"/>
    <w:rsid w:val="000A5D51"/>
    <w:rsid w:val="000A5E14"/>
    <w:rsid w:val="000A6470"/>
    <w:rsid w:val="000A65FD"/>
    <w:rsid w:val="000A7204"/>
    <w:rsid w:val="000A79E7"/>
    <w:rsid w:val="000B0CE8"/>
    <w:rsid w:val="000B0EC9"/>
    <w:rsid w:val="000B139D"/>
    <w:rsid w:val="000B2120"/>
    <w:rsid w:val="000B26DC"/>
    <w:rsid w:val="000B3C5B"/>
    <w:rsid w:val="000B5486"/>
    <w:rsid w:val="000B5E8A"/>
    <w:rsid w:val="000B6736"/>
    <w:rsid w:val="000B6AE5"/>
    <w:rsid w:val="000B7BED"/>
    <w:rsid w:val="000B7CFD"/>
    <w:rsid w:val="000C02F0"/>
    <w:rsid w:val="000C0467"/>
    <w:rsid w:val="000C0563"/>
    <w:rsid w:val="000C0C8A"/>
    <w:rsid w:val="000C117A"/>
    <w:rsid w:val="000C1B88"/>
    <w:rsid w:val="000C2D86"/>
    <w:rsid w:val="000C3595"/>
    <w:rsid w:val="000C3C44"/>
    <w:rsid w:val="000C4460"/>
    <w:rsid w:val="000C55BE"/>
    <w:rsid w:val="000C5772"/>
    <w:rsid w:val="000C5B40"/>
    <w:rsid w:val="000C5B89"/>
    <w:rsid w:val="000C648E"/>
    <w:rsid w:val="000C66BE"/>
    <w:rsid w:val="000C6E1B"/>
    <w:rsid w:val="000C72D9"/>
    <w:rsid w:val="000C7599"/>
    <w:rsid w:val="000C7999"/>
    <w:rsid w:val="000D08BB"/>
    <w:rsid w:val="000D0CC8"/>
    <w:rsid w:val="000D1A8E"/>
    <w:rsid w:val="000D3381"/>
    <w:rsid w:val="000D3BA0"/>
    <w:rsid w:val="000D40A9"/>
    <w:rsid w:val="000D52C1"/>
    <w:rsid w:val="000D5529"/>
    <w:rsid w:val="000D5B24"/>
    <w:rsid w:val="000D6074"/>
    <w:rsid w:val="000D65E2"/>
    <w:rsid w:val="000D689B"/>
    <w:rsid w:val="000D6BD0"/>
    <w:rsid w:val="000D7CA3"/>
    <w:rsid w:val="000E0A62"/>
    <w:rsid w:val="000E1443"/>
    <w:rsid w:val="000E1A64"/>
    <w:rsid w:val="000E2C66"/>
    <w:rsid w:val="000E3033"/>
    <w:rsid w:val="000E4CA4"/>
    <w:rsid w:val="000E5AE0"/>
    <w:rsid w:val="000E7A6B"/>
    <w:rsid w:val="000F09D4"/>
    <w:rsid w:val="000F09F8"/>
    <w:rsid w:val="000F1108"/>
    <w:rsid w:val="000F14B9"/>
    <w:rsid w:val="000F1608"/>
    <w:rsid w:val="000F1839"/>
    <w:rsid w:val="000F2966"/>
    <w:rsid w:val="000F3D4A"/>
    <w:rsid w:val="000F3F47"/>
    <w:rsid w:val="000F4540"/>
    <w:rsid w:val="000F4658"/>
    <w:rsid w:val="000F5912"/>
    <w:rsid w:val="000F5E17"/>
    <w:rsid w:val="000F611A"/>
    <w:rsid w:val="000F656B"/>
    <w:rsid w:val="000F6657"/>
    <w:rsid w:val="000F682F"/>
    <w:rsid w:val="000F698B"/>
    <w:rsid w:val="000F6F45"/>
    <w:rsid w:val="000F79B9"/>
    <w:rsid w:val="000F7B11"/>
    <w:rsid w:val="001003A7"/>
    <w:rsid w:val="00101A58"/>
    <w:rsid w:val="00101BCD"/>
    <w:rsid w:val="00101CDA"/>
    <w:rsid w:val="00103467"/>
    <w:rsid w:val="001034D4"/>
    <w:rsid w:val="00104C78"/>
    <w:rsid w:val="001073D8"/>
    <w:rsid w:val="001075CC"/>
    <w:rsid w:val="001108BF"/>
    <w:rsid w:val="00110B27"/>
    <w:rsid w:val="001115F7"/>
    <w:rsid w:val="001137CE"/>
    <w:rsid w:val="0011434C"/>
    <w:rsid w:val="00114CEC"/>
    <w:rsid w:val="001155C6"/>
    <w:rsid w:val="001156DE"/>
    <w:rsid w:val="0011585D"/>
    <w:rsid w:val="00115C1E"/>
    <w:rsid w:val="00116918"/>
    <w:rsid w:val="00116947"/>
    <w:rsid w:val="00117B09"/>
    <w:rsid w:val="00117C54"/>
    <w:rsid w:val="0012290F"/>
    <w:rsid w:val="00123379"/>
    <w:rsid w:val="001234A8"/>
    <w:rsid w:val="00123B68"/>
    <w:rsid w:val="00124A7D"/>
    <w:rsid w:val="00124BE8"/>
    <w:rsid w:val="00124D63"/>
    <w:rsid w:val="00125277"/>
    <w:rsid w:val="00125B7A"/>
    <w:rsid w:val="00125C98"/>
    <w:rsid w:val="00126D65"/>
    <w:rsid w:val="00127101"/>
    <w:rsid w:val="001277D8"/>
    <w:rsid w:val="0013012D"/>
    <w:rsid w:val="00130446"/>
    <w:rsid w:val="001309E8"/>
    <w:rsid w:val="00130B75"/>
    <w:rsid w:val="00131392"/>
    <w:rsid w:val="00131E1A"/>
    <w:rsid w:val="00131E26"/>
    <w:rsid w:val="00133E3A"/>
    <w:rsid w:val="00133E9C"/>
    <w:rsid w:val="0013459D"/>
    <w:rsid w:val="001345B1"/>
    <w:rsid w:val="00135030"/>
    <w:rsid w:val="00135483"/>
    <w:rsid w:val="0013782A"/>
    <w:rsid w:val="00137E78"/>
    <w:rsid w:val="00137F47"/>
    <w:rsid w:val="00140B6C"/>
    <w:rsid w:val="00141DAC"/>
    <w:rsid w:val="00142299"/>
    <w:rsid w:val="0014253D"/>
    <w:rsid w:val="001428FF"/>
    <w:rsid w:val="00142921"/>
    <w:rsid w:val="0014557C"/>
    <w:rsid w:val="00145B63"/>
    <w:rsid w:val="001463C4"/>
    <w:rsid w:val="0014682B"/>
    <w:rsid w:val="001468E4"/>
    <w:rsid w:val="0014693A"/>
    <w:rsid w:val="00146BEE"/>
    <w:rsid w:val="0014725A"/>
    <w:rsid w:val="00147908"/>
    <w:rsid w:val="00150A4B"/>
    <w:rsid w:val="00151090"/>
    <w:rsid w:val="00151522"/>
    <w:rsid w:val="0015270C"/>
    <w:rsid w:val="00152E6E"/>
    <w:rsid w:val="00153366"/>
    <w:rsid w:val="0015373F"/>
    <w:rsid w:val="001539EF"/>
    <w:rsid w:val="00154177"/>
    <w:rsid w:val="00154C05"/>
    <w:rsid w:val="00154C3B"/>
    <w:rsid w:val="001565E4"/>
    <w:rsid w:val="00156AAB"/>
    <w:rsid w:val="00156ABA"/>
    <w:rsid w:val="00156DF2"/>
    <w:rsid w:val="0015718D"/>
    <w:rsid w:val="00160412"/>
    <w:rsid w:val="001605E8"/>
    <w:rsid w:val="0016074A"/>
    <w:rsid w:val="00160FAF"/>
    <w:rsid w:val="00160FB0"/>
    <w:rsid w:val="00163512"/>
    <w:rsid w:val="00163A8E"/>
    <w:rsid w:val="00163ADE"/>
    <w:rsid w:val="00163B3E"/>
    <w:rsid w:val="00163BA6"/>
    <w:rsid w:val="00164371"/>
    <w:rsid w:val="00164DA3"/>
    <w:rsid w:val="00165501"/>
    <w:rsid w:val="001658DB"/>
    <w:rsid w:val="001659D7"/>
    <w:rsid w:val="00165E9D"/>
    <w:rsid w:val="00166294"/>
    <w:rsid w:val="0016690F"/>
    <w:rsid w:val="0017122C"/>
    <w:rsid w:val="001727A6"/>
    <w:rsid w:val="00172F90"/>
    <w:rsid w:val="0017393E"/>
    <w:rsid w:val="00173FEA"/>
    <w:rsid w:val="00174978"/>
    <w:rsid w:val="0017506E"/>
    <w:rsid w:val="001755B3"/>
    <w:rsid w:val="0017620A"/>
    <w:rsid w:val="00180722"/>
    <w:rsid w:val="00181CFD"/>
    <w:rsid w:val="00182595"/>
    <w:rsid w:val="001828D6"/>
    <w:rsid w:val="00182A73"/>
    <w:rsid w:val="00182A77"/>
    <w:rsid w:val="00182F89"/>
    <w:rsid w:val="00183844"/>
    <w:rsid w:val="00184160"/>
    <w:rsid w:val="0018416A"/>
    <w:rsid w:val="001842C5"/>
    <w:rsid w:val="00184686"/>
    <w:rsid w:val="00184D49"/>
    <w:rsid w:val="00185470"/>
    <w:rsid w:val="001855A5"/>
    <w:rsid w:val="001872D0"/>
    <w:rsid w:val="00190DBD"/>
    <w:rsid w:val="00191DEB"/>
    <w:rsid w:val="001921C8"/>
    <w:rsid w:val="00193057"/>
    <w:rsid w:val="00193ED8"/>
    <w:rsid w:val="001941AB"/>
    <w:rsid w:val="00194480"/>
    <w:rsid w:val="001951D5"/>
    <w:rsid w:val="001952C4"/>
    <w:rsid w:val="0019532A"/>
    <w:rsid w:val="00195865"/>
    <w:rsid w:val="001959B6"/>
    <w:rsid w:val="00195FEE"/>
    <w:rsid w:val="001960DA"/>
    <w:rsid w:val="00196671"/>
    <w:rsid w:val="001967D7"/>
    <w:rsid w:val="001968B9"/>
    <w:rsid w:val="00196FF3"/>
    <w:rsid w:val="00197417"/>
    <w:rsid w:val="00197630"/>
    <w:rsid w:val="001A0B6A"/>
    <w:rsid w:val="001A1299"/>
    <w:rsid w:val="001A15C6"/>
    <w:rsid w:val="001A25CF"/>
    <w:rsid w:val="001A3153"/>
    <w:rsid w:val="001A354D"/>
    <w:rsid w:val="001A37FC"/>
    <w:rsid w:val="001A445D"/>
    <w:rsid w:val="001A6C3B"/>
    <w:rsid w:val="001A7046"/>
    <w:rsid w:val="001A7328"/>
    <w:rsid w:val="001B0B3F"/>
    <w:rsid w:val="001B2B81"/>
    <w:rsid w:val="001B44BA"/>
    <w:rsid w:val="001B47AA"/>
    <w:rsid w:val="001B54C5"/>
    <w:rsid w:val="001B6801"/>
    <w:rsid w:val="001C04DF"/>
    <w:rsid w:val="001C0B53"/>
    <w:rsid w:val="001C0E25"/>
    <w:rsid w:val="001C1447"/>
    <w:rsid w:val="001C174A"/>
    <w:rsid w:val="001C1997"/>
    <w:rsid w:val="001C1E2C"/>
    <w:rsid w:val="001C238D"/>
    <w:rsid w:val="001C293A"/>
    <w:rsid w:val="001C2D93"/>
    <w:rsid w:val="001C2FAA"/>
    <w:rsid w:val="001C3299"/>
    <w:rsid w:val="001C3DA9"/>
    <w:rsid w:val="001C4472"/>
    <w:rsid w:val="001C47A3"/>
    <w:rsid w:val="001C571C"/>
    <w:rsid w:val="001C5F5D"/>
    <w:rsid w:val="001C650B"/>
    <w:rsid w:val="001C6CD4"/>
    <w:rsid w:val="001C6FA7"/>
    <w:rsid w:val="001C7D21"/>
    <w:rsid w:val="001C7E8C"/>
    <w:rsid w:val="001D0373"/>
    <w:rsid w:val="001D0DC3"/>
    <w:rsid w:val="001D0F1A"/>
    <w:rsid w:val="001D0F96"/>
    <w:rsid w:val="001D1A8D"/>
    <w:rsid w:val="001D23B8"/>
    <w:rsid w:val="001D2489"/>
    <w:rsid w:val="001D285D"/>
    <w:rsid w:val="001D3DBA"/>
    <w:rsid w:val="001D4B59"/>
    <w:rsid w:val="001D4C6B"/>
    <w:rsid w:val="001D51FE"/>
    <w:rsid w:val="001D5AB0"/>
    <w:rsid w:val="001D6BA6"/>
    <w:rsid w:val="001D790A"/>
    <w:rsid w:val="001E037F"/>
    <w:rsid w:val="001E04EB"/>
    <w:rsid w:val="001E1370"/>
    <w:rsid w:val="001E1EC8"/>
    <w:rsid w:val="001E38C9"/>
    <w:rsid w:val="001E3B2F"/>
    <w:rsid w:val="001E4621"/>
    <w:rsid w:val="001E4A31"/>
    <w:rsid w:val="001E5639"/>
    <w:rsid w:val="001E5C9B"/>
    <w:rsid w:val="001E655B"/>
    <w:rsid w:val="001E7565"/>
    <w:rsid w:val="001F0892"/>
    <w:rsid w:val="001F08C2"/>
    <w:rsid w:val="001F0F09"/>
    <w:rsid w:val="001F2519"/>
    <w:rsid w:val="001F3CE5"/>
    <w:rsid w:val="001F40C7"/>
    <w:rsid w:val="001F421F"/>
    <w:rsid w:val="001F4249"/>
    <w:rsid w:val="001F4AB0"/>
    <w:rsid w:val="001F4F7E"/>
    <w:rsid w:val="001F562F"/>
    <w:rsid w:val="001F65DD"/>
    <w:rsid w:val="001F6D20"/>
    <w:rsid w:val="0020081F"/>
    <w:rsid w:val="002008C3"/>
    <w:rsid w:val="002025F0"/>
    <w:rsid w:val="0020266D"/>
    <w:rsid w:val="00202751"/>
    <w:rsid w:val="00202787"/>
    <w:rsid w:val="00203925"/>
    <w:rsid w:val="0020440D"/>
    <w:rsid w:val="0020475B"/>
    <w:rsid w:val="00205302"/>
    <w:rsid w:val="002058BB"/>
    <w:rsid w:val="00205C16"/>
    <w:rsid w:val="00205D6F"/>
    <w:rsid w:val="002060AD"/>
    <w:rsid w:val="0020703F"/>
    <w:rsid w:val="0020717A"/>
    <w:rsid w:val="0021095D"/>
    <w:rsid w:val="00211056"/>
    <w:rsid w:val="00211279"/>
    <w:rsid w:val="0021228E"/>
    <w:rsid w:val="00212EAE"/>
    <w:rsid w:val="002138EA"/>
    <w:rsid w:val="00213E5E"/>
    <w:rsid w:val="002146E9"/>
    <w:rsid w:val="00215360"/>
    <w:rsid w:val="002162C6"/>
    <w:rsid w:val="002169BE"/>
    <w:rsid w:val="00220359"/>
    <w:rsid w:val="00220BF2"/>
    <w:rsid w:val="0022177F"/>
    <w:rsid w:val="0022190B"/>
    <w:rsid w:val="00221C33"/>
    <w:rsid w:val="0022200C"/>
    <w:rsid w:val="002224F5"/>
    <w:rsid w:val="0022411B"/>
    <w:rsid w:val="002248CF"/>
    <w:rsid w:val="00224D24"/>
    <w:rsid w:val="00224D9E"/>
    <w:rsid w:val="00224EB0"/>
    <w:rsid w:val="00224FB2"/>
    <w:rsid w:val="00224FB9"/>
    <w:rsid w:val="002261F1"/>
    <w:rsid w:val="00226C7F"/>
    <w:rsid w:val="00226F6C"/>
    <w:rsid w:val="0022727C"/>
    <w:rsid w:val="00227905"/>
    <w:rsid w:val="00227E7E"/>
    <w:rsid w:val="0023260C"/>
    <w:rsid w:val="00233847"/>
    <w:rsid w:val="00233E2A"/>
    <w:rsid w:val="002343DA"/>
    <w:rsid w:val="00235175"/>
    <w:rsid w:val="00235FA3"/>
    <w:rsid w:val="002360C7"/>
    <w:rsid w:val="0023784B"/>
    <w:rsid w:val="0024100A"/>
    <w:rsid w:val="00241B4E"/>
    <w:rsid w:val="002424D2"/>
    <w:rsid w:val="00242B5F"/>
    <w:rsid w:val="00242C77"/>
    <w:rsid w:val="00242E13"/>
    <w:rsid w:val="0024346C"/>
    <w:rsid w:val="002435A0"/>
    <w:rsid w:val="0024401D"/>
    <w:rsid w:val="00244BD7"/>
    <w:rsid w:val="00244E84"/>
    <w:rsid w:val="00245082"/>
    <w:rsid w:val="0024559C"/>
    <w:rsid w:val="002459F7"/>
    <w:rsid w:val="00246053"/>
    <w:rsid w:val="002466AB"/>
    <w:rsid w:val="00246C58"/>
    <w:rsid w:val="002470F9"/>
    <w:rsid w:val="00247E21"/>
    <w:rsid w:val="00250226"/>
    <w:rsid w:val="00250742"/>
    <w:rsid w:val="00250CC1"/>
    <w:rsid w:val="00250EAB"/>
    <w:rsid w:val="00251751"/>
    <w:rsid w:val="00252975"/>
    <w:rsid w:val="00252AEC"/>
    <w:rsid w:val="00252EBF"/>
    <w:rsid w:val="00253130"/>
    <w:rsid w:val="002547E9"/>
    <w:rsid w:val="00254AD4"/>
    <w:rsid w:val="00254DB3"/>
    <w:rsid w:val="00255291"/>
    <w:rsid w:val="0025592A"/>
    <w:rsid w:val="00256602"/>
    <w:rsid w:val="0025719B"/>
    <w:rsid w:val="00257D9D"/>
    <w:rsid w:val="00257EBF"/>
    <w:rsid w:val="0026147C"/>
    <w:rsid w:val="002630F9"/>
    <w:rsid w:val="002633F1"/>
    <w:rsid w:val="002637EF"/>
    <w:rsid w:val="00263FFB"/>
    <w:rsid w:val="00264161"/>
    <w:rsid w:val="00264275"/>
    <w:rsid w:val="0026446E"/>
    <w:rsid w:val="00264854"/>
    <w:rsid w:val="00264AA7"/>
    <w:rsid w:val="00264E1A"/>
    <w:rsid w:val="00266887"/>
    <w:rsid w:val="00266D08"/>
    <w:rsid w:val="00266FF3"/>
    <w:rsid w:val="00267023"/>
    <w:rsid w:val="002675F1"/>
    <w:rsid w:val="00270136"/>
    <w:rsid w:val="002702AB"/>
    <w:rsid w:val="00270671"/>
    <w:rsid w:val="00270B53"/>
    <w:rsid w:val="00270D15"/>
    <w:rsid w:val="00270D59"/>
    <w:rsid w:val="00273B19"/>
    <w:rsid w:val="00273D4C"/>
    <w:rsid w:val="00274992"/>
    <w:rsid w:val="00274C21"/>
    <w:rsid w:val="00276723"/>
    <w:rsid w:val="00280516"/>
    <w:rsid w:val="002809B3"/>
    <w:rsid w:val="002811AB"/>
    <w:rsid w:val="002827BF"/>
    <w:rsid w:val="00282BA0"/>
    <w:rsid w:val="00282F0A"/>
    <w:rsid w:val="002838A3"/>
    <w:rsid w:val="002839A5"/>
    <w:rsid w:val="00284B57"/>
    <w:rsid w:val="002852B0"/>
    <w:rsid w:val="00285648"/>
    <w:rsid w:val="00285776"/>
    <w:rsid w:val="00286FAB"/>
    <w:rsid w:val="00287EFD"/>
    <w:rsid w:val="002906CF"/>
    <w:rsid w:val="00290C18"/>
    <w:rsid w:val="00291A28"/>
    <w:rsid w:val="00292FD6"/>
    <w:rsid w:val="002931C6"/>
    <w:rsid w:val="0029403F"/>
    <w:rsid w:val="00295148"/>
    <w:rsid w:val="002951C4"/>
    <w:rsid w:val="002959AC"/>
    <w:rsid w:val="00297DA6"/>
    <w:rsid w:val="002A0FCC"/>
    <w:rsid w:val="002A11AE"/>
    <w:rsid w:val="002A193C"/>
    <w:rsid w:val="002A200D"/>
    <w:rsid w:val="002A2685"/>
    <w:rsid w:val="002A2EBD"/>
    <w:rsid w:val="002A319B"/>
    <w:rsid w:val="002A3BC6"/>
    <w:rsid w:val="002A3E2D"/>
    <w:rsid w:val="002A5436"/>
    <w:rsid w:val="002A5908"/>
    <w:rsid w:val="002A5CBA"/>
    <w:rsid w:val="002A618E"/>
    <w:rsid w:val="002A6404"/>
    <w:rsid w:val="002A7BB4"/>
    <w:rsid w:val="002A7D9C"/>
    <w:rsid w:val="002A7E45"/>
    <w:rsid w:val="002B061B"/>
    <w:rsid w:val="002B0693"/>
    <w:rsid w:val="002B29B3"/>
    <w:rsid w:val="002B2CC0"/>
    <w:rsid w:val="002B2ED8"/>
    <w:rsid w:val="002B4B80"/>
    <w:rsid w:val="002B5511"/>
    <w:rsid w:val="002B58E4"/>
    <w:rsid w:val="002B612F"/>
    <w:rsid w:val="002B62C3"/>
    <w:rsid w:val="002B7440"/>
    <w:rsid w:val="002B77C7"/>
    <w:rsid w:val="002C06DB"/>
    <w:rsid w:val="002C1ADA"/>
    <w:rsid w:val="002C2B36"/>
    <w:rsid w:val="002C2C06"/>
    <w:rsid w:val="002C2D0F"/>
    <w:rsid w:val="002C42FE"/>
    <w:rsid w:val="002C440C"/>
    <w:rsid w:val="002C4422"/>
    <w:rsid w:val="002C49C6"/>
    <w:rsid w:val="002C4C23"/>
    <w:rsid w:val="002C4D22"/>
    <w:rsid w:val="002C4FDC"/>
    <w:rsid w:val="002C54C7"/>
    <w:rsid w:val="002C6220"/>
    <w:rsid w:val="002C6984"/>
    <w:rsid w:val="002C760D"/>
    <w:rsid w:val="002D0297"/>
    <w:rsid w:val="002D0776"/>
    <w:rsid w:val="002D095F"/>
    <w:rsid w:val="002D0961"/>
    <w:rsid w:val="002D0B24"/>
    <w:rsid w:val="002D1DC1"/>
    <w:rsid w:val="002D32A6"/>
    <w:rsid w:val="002D4026"/>
    <w:rsid w:val="002D5B11"/>
    <w:rsid w:val="002D6429"/>
    <w:rsid w:val="002D674F"/>
    <w:rsid w:val="002D7483"/>
    <w:rsid w:val="002D7871"/>
    <w:rsid w:val="002E0016"/>
    <w:rsid w:val="002E03E4"/>
    <w:rsid w:val="002E0975"/>
    <w:rsid w:val="002E09E4"/>
    <w:rsid w:val="002E0BA8"/>
    <w:rsid w:val="002E0D7C"/>
    <w:rsid w:val="002E16A8"/>
    <w:rsid w:val="002E338D"/>
    <w:rsid w:val="002E38A7"/>
    <w:rsid w:val="002E4D44"/>
    <w:rsid w:val="002E5C03"/>
    <w:rsid w:val="002E6992"/>
    <w:rsid w:val="002E69B1"/>
    <w:rsid w:val="002E6BF3"/>
    <w:rsid w:val="002F05D2"/>
    <w:rsid w:val="002F10D1"/>
    <w:rsid w:val="002F1A9D"/>
    <w:rsid w:val="002F1AE8"/>
    <w:rsid w:val="002F32B6"/>
    <w:rsid w:val="002F54B1"/>
    <w:rsid w:val="002F5CBA"/>
    <w:rsid w:val="002F6CDC"/>
    <w:rsid w:val="002F7030"/>
    <w:rsid w:val="002F7084"/>
    <w:rsid w:val="002F71B9"/>
    <w:rsid w:val="002F7886"/>
    <w:rsid w:val="002F79F5"/>
    <w:rsid w:val="00300F90"/>
    <w:rsid w:val="00301736"/>
    <w:rsid w:val="003017A8"/>
    <w:rsid w:val="003017F3"/>
    <w:rsid w:val="003019B3"/>
    <w:rsid w:val="00303261"/>
    <w:rsid w:val="00303D92"/>
    <w:rsid w:val="0030466A"/>
    <w:rsid w:val="003049D3"/>
    <w:rsid w:val="003051F6"/>
    <w:rsid w:val="00305ACD"/>
    <w:rsid w:val="003064AC"/>
    <w:rsid w:val="003071C4"/>
    <w:rsid w:val="00310117"/>
    <w:rsid w:val="00310639"/>
    <w:rsid w:val="0031097A"/>
    <w:rsid w:val="00311E4E"/>
    <w:rsid w:val="003126FC"/>
    <w:rsid w:val="0031289C"/>
    <w:rsid w:val="00312F79"/>
    <w:rsid w:val="0031371E"/>
    <w:rsid w:val="0031374A"/>
    <w:rsid w:val="00313D69"/>
    <w:rsid w:val="00314084"/>
    <w:rsid w:val="00314695"/>
    <w:rsid w:val="00314FD2"/>
    <w:rsid w:val="0031533D"/>
    <w:rsid w:val="0031638A"/>
    <w:rsid w:val="003165DA"/>
    <w:rsid w:val="00317317"/>
    <w:rsid w:val="0031796B"/>
    <w:rsid w:val="00320B4C"/>
    <w:rsid w:val="00320BDC"/>
    <w:rsid w:val="003217EB"/>
    <w:rsid w:val="00321AA4"/>
    <w:rsid w:val="00321EBD"/>
    <w:rsid w:val="0032269F"/>
    <w:rsid w:val="00322A57"/>
    <w:rsid w:val="003242EC"/>
    <w:rsid w:val="0032430F"/>
    <w:rsid w:val="00324510"/>
    <w:rsid w:val="0032465C"/>
    <w:rsid w:val="00325403"/>
    <w:rsid w:val="00325EE1"/>
    <w:rsid w:val="00326C03"/>
    <w:rsid w:val="0032723B"/>
    <w:rsid w:val="00327B6E"/>
    <w:rsid w:val="003301B9"/>
    <w:rsid w:val="00330E94"/>
    <w:rsid w:val="00330EEF"/>
    <w:rsid w:val="00332B0E"/>
    <w:rsid w:val="00332CB3"/>
    <w:rsid w:val="00333136"/>
    <w:rsid w:val="003355A5"/>
    <w:rsid w:val="00336B30"/>
    <w:rsid w:val="00336DB7"/>
    <w:rsid w:val="00341B4F"/>
    <w:rsid w:val="00342B9B"/>
    <w:rsid w:val="0034311C"/>
    <w:rsid w:val="003432D5"/>
    <w:rsid w:val="003436A1"/>
    <w:rsid w:val="00343806"/>
    <w:rsid w:val="0034408C"/>
    <w:rsid w:val="0034441B"/>
    <w:rsid w:val="003448B9"/>
    <w:rsid w:val="0034499C"/>
    <w:rsid w:val="00344EEF"/>
    <w:rsid w:val="003457BF"/>
    <w:rsid w:val="00345BF5"/>
    <w:rsid w:val="00345D63"/>
    <w:rsid w:val="00345EFC"/>
    <w:rsid w:val="003465C1"/>
    <w:rsid w:val="00347C6B"/>
    <w:rsid w:val="00347CEC"/>
    <w:rsid w:val="003508A7"/>
    <w:rsid w:val="0035148E"/>
    <w:rsid w:val="00351E22"/>
    <w:rsid w:val="00352EF1"/>
    <w:rsid w:val="003550AC"/>
    <w:rsid w:val="00355AA0"/>
    <w:rsid w:val="00356ADF"/>
    <w:rsid w:val="00356EA1"/>
    <w:rsid w:val="00357B37"/>
    <w:rsid w:val="003607BA"/>
    <w:rsid w:val="003614DA"/>
    <w:rsid w:val="00361A86"/>
    <w:rsid w:val="00361B27"/>
    <w:rsid w:val="00362342"/>
    <w:rsid w:val="00363945"/>
    <w:rsid w:val="00364164"/>
    <w:rsid w:val="003648E6"/>
    <w:rsid w:val="00364DD1"/>
    <w:rsid w:val="003654CE"/>
    <w:rsid w:val="0036559A"/>
    <w:rsid w:val="0036725F"/>
    <w:rsid w:val="0036737B"/>
    <w:rsid w:val="0037142D"/>
    <w:rsid w:val="0037183E"/>
    <w:rsid w:val="00372AA8"/>
    <w:rsid w:val="00372D16"/>
    <w:rsid w:val="00373A0D"/>
    <w:rsid w:val="00373B78"/>
    <w:rsid w:val="00373DBF"/>
    <w:rsid w:val="00374008"/>
    <w:rsid w:val="003749F9"/>
    <w:rsid w:val="00375105"/>
    <w:rsid w:val="003756F0"/>
    <w:rsid w:val="0037698F"/>
    <w:rsid w:val="003776A6"/>
    <w:rsid w:val="00377A2F"/>
    <w:rsid w:val="003800CE"/>
    <w:rsid w:val="00380156"/>
    <w:rsid w:val="003803F8"/>
    <w:rsid w:val="00380503"/>
    <w:rsid w:val="00382278"/>
    <w:rsid w:val="00382388"/>
    <w:rsid w:val="0038296A"/>
    <w:rsid w:val="00383B1E"/>
    <w:rsid w:val="00383E97"/>
    <w:rsid w:val="00384033"/>
    <w:rsid w:val="003842B8"/>
    <w:rsid w:val="00384C4B"/>
    <w:rsid w:val="00385592"/>
    <w:rsid w:val="0039275C"/>
    <w:rsid w:val="0039305C"/>
    <w:rsid w:val="00393E3A"/>
    <w:rsid w:val="003940F5"/>
    <w:rsid w:val="003942B3"/>
    <w:rsid w:val="003943E8"/>
    <w:rsid w:val="00395E43"/>
    <w:rsid w:val="003961BE"/>
    <w:rsid w:val="0039682E"/>
    <w:rsid w:val="00397686"/>
    <w:rsid w:val="00397F1E"/>
    <w:rsid w:val="003A00F6"/>
    <w:rsid w:val="003A089B"/>
    <w:rsid w:val="003A11AC"/>
    <w:rsid w:val="003A1460"/>
    <w:rsid w:val="003A1926"/>
    <w:rsid w:val="003A4479"/>
    <w:rsid w:val="003A4C45"/>
    <w:rsid w:val="003A5CCC"/>
    <w:rsid w:val="003A64F6"/>
    <w:rsid w:val="003A68A0"/>
    <w:rsid w:val="003A6C8A"/>
    <w:rsid w:val="003A771E"/>
    <w:rsid w:val="003B0395"/>
    <w:rsid w:val="003B03BE"/>
    <w:rsid w:val="003B0AD6"/>
    <w:rsid w:val="003B0DD8"/>
    <w:rsid w:val="003B1119"/>
    <w:rsid w:val="003B1425"/>
    <w:rsid w:val="003B1DD8"/>
    <w:rsid w:val="003B2FDF"/>
    <w:rsid w:val="003B34C1"/>
    <w:rsid w:val="003B3F7C"/>
    <w:rsid w:val="003B4D0E"/>
    <w:rsid w:val="003B5744"/>
    <w:rsid w:val="003B5EBA"/>
    <w:rsid w:val="003B5EFC"/>
    <w:rsid w:val="003B7917"/>
    <w:rsid w:val="003C05A9"/>
    <w:rsid w:val="003C0CBC"/>
    <w:rsid w:val="003C0DD4"/>
    <w:rsid w:val="003C0E46"/>
    <w:rsid w:val="003C0F02"/>
    <w:rsid w:val="003C11B7"/>
    <w:rsid w:val="003C1AAB"/>
    <w:rsid w:val="003C1CE6"/>
    <w:rsid w:val="003C208B"/>
    <w:rsid w:val="003C2468"/>
    <w:rsid w:val="003C26DF"/>
    <w:rsid w:val="003C2BB9"/>
    <w:rsid w:val="003C2CEF"/>
    <w:rsid w:val="003C3A86"/>
    <w:rsid w:val="003C3F85"/>
    <w:rsid w:val="003C41E9"/>
    <w:rsid w:val="003C49C0"/>
    <w:rsid w:val="003C59D0"/>
    <w:rsid w:val="003C6BC7"/>
    <w:rsid w:val="003C6D35"/>
    <w:rsid w:val="003C6E13"/>
    <w:rsid w:val="003C7068"/>
    <w:rsid w:val="003C79D1"/>
    <w:rsid w:val="003D2352"/>
    <w:rsid w:val="003D2E2E"/>
    <w:rsid w:val="003D2FF6"/>
    <w:rsid w:val="003D332D"/>
    <w:rsid w:val="003D37F6"/>
    <w:rsid w:val="003D454B"/>
    <w:rsid w:val="003D4609"/>
    <w:rsid w:val="003D547D"/>
    <w:rsid w:val="003D597A"/>
    <w:rsid w:val="003D5D7E"/>
    <w:rsid w:val="003D6094"/>
    <w:rsid w:val="003D7ECB"/>
    <w:rsid w:val="003E0003"/>
    <w:rsid w:val="003E0A19"/>
    <w:rsid w:val="003E0E64"/>
    <w:rsid w:val="003E21A3"/>
    <w:rsid w:val="003E429F"/>
    <w:rsid w:val="003E5022"/>
    <w:rsid w:val="003E5AB4"/>
    <w:rsid w:val="003E5B7F"/>
    <w:rsid w:val="003E6472"/>
    <w:rsid w:val="003E6BF7"/>
    <w:rsid w:val="003E6CFE"/>
    <w:rsid w:val="003E70D2"/>
    <w:rsid w:val="003E7E9B"/>
    <w:rsid w:val="003F07C4"/>
    <w:rsid w:val="003F1F31"/>
    <w:rsid w:val="003F26EB"/>
    <w:rsid w:val="003F286D"/>
    <w:rsid w:val="003F3DDA"/>
    <w:rsid w:val="003F3DDC"/>
    <w:rsid w:val="003F4213"/>
    <w:rsid w:val="003F5A16"/>
    <w:rsid w:val="003F5F95"/>
    <w:rsid w:val="003F61DF"/>
    <w:rsid w:val="003F7972"/>
    <w:rsid w:val="003F7F13"/>
    <w:rsid w:val="00400D22"/>
    <w:rsid w:val="00402C6E"/>
    <w:rsid w:val="00404F61"/>
    <w:rsid w:val="004050E6"/>
    <w:rsid w:val="00405170"/>
    <w:rsid w:val="00405E0C"/>
    <w:rsid w:val="00406135"/>
    <w:rsid w:val="00406CAE"/>
    <w:rsid w:val="00407D79"/>
    <w:rsid w:val="00410113"/>
    <w:rsid w:val="00410A26"/>
    <w:rsid w:val="004113EA"/>
    <w:rsid w:val="00411831"/>
    <w:rsid w:val="00411C84"/>
    <w:rsid w:val="004123FA"/>
    <w:rsid w:val="004128A9"/>
    <w:rsid w:val="00412A71"/>
    <w:rsid w:val="00414288"/>
    <w:rsid w:val="00414C52"/>
    <w:rsid w:val="00414D41"/>
    <w:rsid w:val="00414D4F"/>
    <w:rsid w:val="00415642"/>
    <w:rsid w:val="00415691"/>
    <w:rsid w:val="0041592A"/>
    <w:rsid w:val="004167CF"/>
    <w:rsid w:val="00416EF5"/>
    <w:rsid w:val="0041779C"/>
    <w:rsid w:val="00420D3A"/>
    <w:rsid w:val="00420FAA"/>
    <w:rsid w:val="00423E11"/>
    <w:rsid w:val="00425B78"/>
    <w:rsid w:val="00426210"/>
    <w:rsid w:val="004265D0"/>
    <w:rsid w:val="0042660A"/>
    <w:rsid w:val="004266CB"/>
    <w:rsid w:val="00426C76"/>
    <w:rsid w:val="004271AE"/>
    <w:rsid w:val="00427339"/>
    <w:rsid w:val="004302B1"/>
    <w:rsid w:val="00430446"/>
    <w:rsid w:val="00430F48"/>
    <w:rsid w:val="004312CE"/>
    <w:rsid w:val="00431471"/>
    <w:rsid w:val="00432123"/>
    <w:rsid w:val="00432AB8"/>
    <w:rsid w:val="00432D29"/>
    <w:rsid w:val="004345E1"/>
    <w:rsid w:val="004348F2"/>
    <w:rsid w:val="0043529C"/>
    <w:rsid w:val="00435311"/>
    <w:rsid w:val="00435ABD"/>
    <w:rsid w:val="00435CE8"/>
    <w:rsid w:val="00435ED9"/>
    <w:rsid w:val="00435F13"/>
    <w:rsid w:val="00436597"/>
    <w:rsid w:val="00436764"/>
    <w:rsid w:val="00436BD4"/>
    <w:rsid w:val="00436F4C"/>
    <w:rsid w:val="004372B2"/>
    <w:rsid w:val="00437B81"/>
    <w:rsid w:val="00437CE9"/>
    <w:rsid w:val="00440333"/>
    <w:rsid w:val="00440C7D"/>
    <w:rsid w:val="00440F43"/>
    <w:rsid w:val="004416AE"/>
    <w:rsid w:val="0044178B"/>
    <w:rsid w:val="00441E7E"/>
    <w:rsid w:val="0044275F"/>
    <w:rsid w:val="004438D7"/>
    <w:rsid w:val="00443B66"/>
    <w:rsid w:val="00444081"/>
    <w:rsid w:val="0044476B"/>
    <w:rsid w:val="00444DE7"/>
    <w:rsid w:val="00445596"/>
    <w:rsid w:val="004472C5"/>
    <w:rsid w:val="0044791B"/>
    <w:rsid w:val="0045072C"/>
    <w:rsid w:val="0045077C"/>
    <w:rsid w:val="00450A1D"/>
    <w:rsid w:val="00451EAB"/>
    <w:rsid w:val="0045354A"/>
    <w:rsid w:val="00454E0B"/>
    <w:rsid w:val="0045542B"/>
    <w:rsid w:val="00455FD3"/>
    <w:rsid w:val="004562E0"/>
    <w:rsid w:val="00457004"/>
    <w:rsid w:val="00457B11"/>
    <w:rsid w:val="00457B8E"/>
    <w:rsid w:val="00457DB1"/>
    <w:rsid w:val="00460009"/>
    <w:rsid w:val="0046041A"/>
    <w:rsid w:val="004616D5"/>
    <w:rsid w:val="00461E1B"/>
    <w:rsid w:val="00462700"/>
    <w:rsid w:val="00462F9D"/>
    <w:rsid w:val="004631B0"/>
    <w:rsid w:val="0046403A"/>
    <w:rsid w:val="00464699"/>
    <w:rsid w:val="00464809"/>
    <w:rsid w:val="00464A2A"/>
    <w:rsid w:val="00464AE0"/>
    <w:rsid w:val="00464EA7"/>
    <w:rsid w:val="00465C23"/>
    <w:rsid w:val="00465E65"/>
    <w:rsid w:val="004660AB"/>
    <w:rsid w:val="00466947"/>
    <w:rsid w:val="00466F8E"/>
    <w:rsid w:val="0046758B"/>
    <w:rsid w:val="00470194"/>
    <w:rsid w:val="00470A0A"/>
    <w:rsid w:val="00470E51"/>
    <w:rsid w:val="004716EC"/>
    <w:rsid w:val="00471966"/>
    <w:rsid w:val="00471D20"/>
    <w:rsid w:val="00474197"/>
    <w:rsid w:val="0047428D"/>
    <w:rsid w:val="0047475A"/>
    <w:rsid w:val="00475080"/>
    <w:rsid w:val="004755EC"/>
    <w:rsid w:val="00475636"/>
    <w:rsid w:val="00476753"/>
    <w:rsid w:val="00476B2E"/>
    <w:rsid w:val="00476B79"/>
    <w:rsid w:val="00477330"/>
    <w:rsid w:val="0047780A"/>
    <w:rsid w:val="00477DA0"/>
    <w:rsid w:val="00481941"/>
    <w:rsid w:val="0048290E"/>
    <w:rsid w:val="00484747"/>
    <w:rsid w:val="00485392"/>
    <w:rsid w:val="0048557F"/>
    <w:rsid w:val="00485D93"/>
    <w:rsid w:val="0048617F"/>
    <w:rsid w:val="00486A37"/>
    <w:rsid w:val="00487616"/>
    <w:rsid w:val="0048795A"/>
    <w:rsid w:val="00493879"/>
    <w:rsid w:val="00494A1D"/>
    <w:rsid w:val="00495B96"/>
    <w:rsid w:val="00495F1D"/>
    <w:rsid w:val="004965A1"/>
    <w:rsid w:val="004966FD"/>
    <w:rsid w:val="0049774E"/>
    <w:rsid w:val="00497EEB"/>
    <w:rsid w:val="004A01B4"/>
    <w:rsid w:val="004A06EA"/>
    <w:rsid w:val="004A0886"/>
    <w:rsid w:val="004A0903"/>
    <w:rsid w:val="004A1070"/>
    <w:rsid w:val="004A1116"/>
    <w:rsid w:val="004A15A1"/>
    <w:rsid w:val="004A1EB7"/>
    <w:rsid w:val="004A1F76"/>
    <w:rsid w:val="004A2DB7"/>
    <w:rsid w:val="004A3B87"/>
    <w:rsid w:val="004A3C0A"/>
    <w:rsid w:val="004A51EB"/>
    <w:rsid w:val="004A57E5"/>
    <w:rsid w:val="004A5C0E"/>
    <w:rsid w:val="004A77F7"/>
    <w:rsid w:val="004B07AA"/>
    <w:rsid w:val="004B07DD"/>
    <w:rsid w:val="004B0F4B"/>
    <w:rsid w:val="004B14FA"/>
    <w:rsid w:val="004B28AA"/>
    <w:rsid w:val="004B367F"/>
    <w:rsid w:val="004B3E14"/>
    <w:rsid w:val="004B415E"/>
    <w:rsid w:val="004B469B"/>
    <w:rsid w:val="004B4752"/>
    <w:rsid w:val="004B5902"/>
    <w:rsid w:val="004B5A07"/>
    <w:rsid w:val="004B6896"/>
    <w:rsid w:val="004B6984"/>
    <w:rsid w:val="004B73D8"/>
    <w:rsid w:val="004B75E7"/>
    <w:rsid w:val="004B7EA1"/>
    <w:rsid w:val="004C024F"/>
    <w:rsid w:val="004C13D9"/>
    <w:rsid w:val="004C1C7D"/>
    <w:rsid w:val="004C2120"/>
    <w:rsid w:val="004C3128"/>
    <w:rsid w:val="004C31F9"/>
    <w:rsid w:val="004C33C5"/>
    <w:rsid w:val="004C3DCB"/>
    <w:rsid w:val="004C4728"/>
    <w:rsid w:val="004C47B6"/>
    <w:rsid w:val="004C4EFE"/>
    <w:rsid w:val="004C525B"/>
    <w:rsid w:val="004C5328"/>
    <w:rsid w:val="004C6374"/>
    <w:rsid w:val="004C6711"/>
    <w:rsid w:val="004D000D"/>
    <w:rsid w:val="004D0BFA"/>
    <w:rsid w:val="004D11ED"/>
    <w:rsid w:val="004D33FE"/>
    <w:rsid w:val="004D426D"/>
    <w:rsid w:val="004D4743"/>
    <w:rsid w:val="004D523F"/>
    <w:rsid w:val="004D56AE"/>
    <w:rsid w:val="004D5CC0"/>
    <w:rsid w:val="004D6671"/>
    <w:rsid w:val="004D71CA"/>
    <w:rsid w:val="004D7DFA"/>
    <w:rsid w:val="004E0EE9"/>
    <w:rsid w:val="004E1AD6"/>
    <w:rsid w:val="004E2107"/>
    <w:rsid w:val="004E2258"/>
    <w:rsid w:val="004E2936"/>
    <w:rsid w:val="004E293F"/>
    <w:rsid w:val="004E2992"/>
    <w:rsid w:val="004E2C52"/>
    <w:rsid w:val="004E2D37"/>
    <w:rsid w:val="004E2F4B"/>
    <w:rsid w:val="004E3369"/>
    <w:rsid w:val="004E38F9"/>
    <w:rsid w:val="004E3AD9"/>
    <w:rsid w:val="004E41E8"/>
    <w:rsid w:val="004E43A3"/>
    <w:rsid w:val="004E4E26"/>
    <w:rsid w:val="004E5A25"/>
    <w:rsid w:val="004E5C23"/>
    <w:rsid w:val="004E5C2A"/>
    <w:rsid w:val="004E65C6"/>
    <w:rsid w:val="004E73A8"/>
    <w:rsid w:val="004F1204"/>
    <w:rsid w:val="004F158A"/>
    <w:rsid w:val="004F190D"/>
    <w:rsid w:val="004F238A"/>
    <w:rsid w:val="004F277A"/>
    <w:rsid w:val="004F2ED1"/>
    <w:rsid w:val="004F3960"/>
    <w:rsid w:val="004F4CAC"/>
    <w:rsid w:val="004F6A71"/>
    <w:rsid w:val="004F72BD"/>
    <w:rsid w:val="004F7638"/>
    <w:rsid w:val="004F7831"/>
    <w:rsid w:val="004F7B3B"/>
    <w:rsid w:val="005003F8"/>
    <w:rsid w:val="0050108D"/>
    <w:rsid w:val="005011F5"/>
    <w:rsid w:val="00501270"/>
    <w:rsid w:val="00501611"/>
    <w:rsid w:val="00501D3E"/>
    <w:rsid w:val="00502B16"/>
    <w:rsid w:val="00502EDC"/>
    <w:rsid w:val="00503268"/>
    <w:rsid w:val="00503D62"/>
    <w:rsid w:val="00503EFC"/>
    <w:rsid w:val="00504E55"/>
    <w:rsid w:val="00505E5E"/>
    <w:rsid w:val="00506152"/>
    <w:rsid w:val="00506163"/>
    <w:rsid w:val="00506982"/>
    <w:rsid w:val="0050792E"/>
    <w:rsid w:val="00507AA6"/>
    <w:rsid w:val="005101E2"/>
    <w:rsid w:val="00510633"/>
    <w:rsid w:val="00511843"/>
    <w:rsid w:val="00511B25"/>
    <w:rsid w:val="00512EF4"/>
    <w:rsid w:val="005135A5"/>
    <w:rsid w:val="00513A35"/>
    <w:rsid w:val="00513D71"/>
    <w:rsid w:val="005147E0"/>
    <w:rsid w:val="00514AB6"/>
    <w:rsid w:val="005161AA"/>
    <w:rsid w:val="00516344"/>
    <w:rsid w:val="005164F4"/>
    <w:rsid w:val="005169E7"/>
    <w:rsid w:val="00516B14"/>
    <w:rsid w:val="00516EA1"/>
    <w:rsid w:val="00517139"/>
    <w:rsid w:val="00517217"/>
    <w:rsid w:val="0051779D"/>
    <w:rsid w:val="00521189"/>
    <w:rsid w:val="00521DE1"/>
    <w:rsid w:val="00522342"/>
    <w:rsid w:val="00522BA0"/>
    <w:rsid w:val="00522E3D"/>
    <w:rsid w:val="00523933"/>
    <w:rsid w:val="0052399C"/>
    <w:rsid w:val="00523D11"/>
    <w:rsid w:val="00525234"/>
    <w:rsid w:val="00526FDF"/>
    <w:rsid w:val="00527319"/>
    <w:rsid w:val="0052757F"/>
    <w:rsid w:val="005275BD"/>
    <w:rsid w:val="005279C9"/>
    <w:rsid w:val="00530004"/>
    <w:rsid w:val="0053018F"/>
    <w:rsid w:val="00530728"/>
    <w:rsid w:val="00531139"/>
    <w:rsid w:val="00531266"/>
    <w:rsid w:val="0053212F"/>
    <w:rsid w:val="00532609"/>
    <w:rsid w:val="00532DD2"/>
    <w:rsid w:val="0053359D"/>
    <w:rsid w:val="0053384B"/>
    <w:rsid w:val="00533A64"/>
    <w:rsid w:val="00534000"/>
    <w:rsid w:val="0053486B"/>
    <w:rsid w:val="005356CD"/>
    <w:rsid w:val="00536726"/>
    <w:rsid w:val="00540B70"/>
    <w:rsid w:val="00541409"/>
    <w:rsid w:val="005422C0"/>
    <w:rsid w:val="005433D1"/>
    <w:rsid w:val="0054406E"/>
    <w:rsid w:val="0054437B"/>
    <w:rsid w:val="0054498B"/>
    <w:rsid w:val="0054516D"/>
    <w:rsid w:val="00546867"/>
    <w:rsid w:val="00547F39"/>
    <w:rsid w:val="00550BD2"/>
    <w:rsid w:val="00550FE3"/>
    <w:rsid w:val="00551781"/>
    <w:rsid w:val="00551A14"/>
    <w:rsid w:val="00553061"/>
    <w:rsid w:val="00553238"/>
    <w:rsid w:val="00553B11"/>
    <w:rsid w:val="005564D5"/>
    <w:rsid w:val="00557764"/>
    <w:rsid w:val="0056041A"/>
    <w:rsid w:val="00560786"/>
    <w:rsid w:val="00561451"/>
    <w:rsid w:val="00561F0C"/>
    <w:rsid w:val="0056212B"/>
    <w:rsid w:val="0056286A"/>
    <w:rsid w:val="005637F0"/>
    <w:rsid w:val="0056486F"/>
    <w:rsid w:val="00564C1B"/>
    <w:rsid w:val="00566E02"/>
    <w:rsid w:val="00567CF2"/>
    <w:rsid w:val="005706F5"/>
    <w:rsid w:val="00570AD3"/>
    <w:rsid w:val="00571094"/>
    <w:rsid w:val="0057122E"/>
    <w:rsid w:val="00571296"/>
    <w:rsid w:val="005722B3"/>
    <w:rsid w:val="00572AE8"/>
    <w:rsid w:val="00573E5B"/>
    <w:rsid w:val="005742E2"/>
    <w:rsid w:val="00574A91"/>
    <w:rsid w:val="00576B4B"/>
    <w:rsid w:val="00576B53"/>
    <w:rsid w:val="0057739A"/>
    <w:rsid w:val="00580F60"/>
    <w:rsid w:val="005810BA"/>
    <w:rsid w:val="00581784"/>
    <w:rsid w:val="00581DE4"/>
    <w:rsid w:val="005821E1"/>
    <w:rsid w:val="005822F2"/>
    <w:rsid w:val="00582BB5"/>
    <w:rsid w:val="005831AC"/>
    <w:rsid w:val="005839E2"/>
    <w:rsid w:val="00584320"/>
    <w:rsid w:val="00585A3F"/>
    <w:rsid w:val="00585D34"/>
    <w:rsid w:val="0058659F"/>
    <w:rsid w:val="00586865"/>
    <w:rsid w:val="00586C54"/>
    <w:rsid w:val="00587110"/>
    <w:rsid w:val="0058720B"/>
    <w:rsid w:val="005878DD"/>
    <w:rsid w:val="005917F2"/>
    <w:rsid w:val="005919C0"/>
    <w:rsid w:val="00591DF3"/>
    <w:rsid w:val="0059268E"/>
    <w:rsid w:val="00592C7E"/>
    <w:rsid w:val="00592F4E"/>
    <w:rsid w:val="005931C4"/>
    <w:rsid w:val="00593434"/>
    <w:rsid w:val="00593452"/>
    <w:rsid w:val="00593A80"/>
    <w:rsid w:val="00593BE6"/>
    <w:rsid w:val="00593FC3"/>
    <w:rsid w:val="005944D8"/>
    <w:rsid w:val="005946E9"/>
    <w:rsid w:val="00594CCB"/>
    <w:rsid w:val="00594DAE"/>
    <w:rsid w:val="0059533C"/>
    <w:rsid w:val="00595DF8"/>
    <w:rsid w:val="005966B4"/>
    <w:rsid w:val="005967FD"/>
    <w:rsid w:val="00596D33"/>
    <w:rsid w:val="00597EBB"/>
    <w:rsid w:val="005A03EC"/>
    <w:rsid w:val="005A0BCC"/>
    <w:rsid w:val="005A17DB"/>
    <w:rsid w:val="005A1C93"/>
    <w:rsid w:val="005A207C"/>
    <w:rsid w:val="005A2537"/>
    <w:rsid w:val="005A2B89"/>
    <w:rsid w:val="005A30B8"/>
    <w:rsid w:val="005A31D9"/>
    <w:rsid w:val="005A374C"/>
    <w:rsid w:val="005A38A1"/>
    <w:rsid w:val="005A3B00"/>
    <w:rsid w:val="005A3C03"/>
    <w:rsid w:val="005A424B"/>
    <w:rsid w:val="005A4AC9"/>
    <w:rsid w:val="005A4D85"/>
    <w:rsid w:val="005A6915"/>
    <w:rsid w:val="005A6BB7"/>
    <w:rsid w:val="005A70CD"/>
    <w:rsid w:val="005A7178"/>
    <w:rsid w:val="005A7320"/>
    <w:rsid w:val="005A7688"/>
    <w:rsid w:val="005A7814"/>
    <w:rsid w:val="005A7BC7"/>
    <w:rsid w:val="005B00EE"/>
    <w:rsid w:val="005B03C2"/>
    <w:rsid w:val="005B0AB9"/>
    <w:rsid w:val="005B145C"/>
    <w:rsid w:val="005B20E3"/>
    <w:rsid w:val="005B27C8"/>
    <w:rsid w:val="005B2EA1"/>
    <w:rsid w:val="005B4421"/>
    <w:rsid w:val="005B4B9E"/>
    <w:rsid w:val="005B583B"/>
    <w:rsid w:val="005B623C"/>
    <w:rsid w:val="005B65B5"/>
    <w:rsid w:val="005B70AD"/>
    <w:rsid w:val="005B72C2"/>
    <w:rsid w:val="005C00AD"/>
    <w:rsid w:val="005C0FDA"/>
    <w:rsid w:val="005C1DA3"/>
    <w:rsid w:val="005C1EB6"/>
    <w:rsid w:val="005C31CD"/>
    <w:rsid w:val="005C39E0"/>
    <w:rsid w:val="005C4A03"/>
    <w:rsid w:val="005C4DAB"/>
    <w:rsid w:val="005C4DE6"/>
    <w:rsid w:val="005C557E"/>
    <w:rsid w:val="005C785E"/>
    <w:rsid w:val="005C78F0"/>
    <w:rsid w:val="005D0B70"/>
    <w:rsid w:val="005D0ED9"/>
    <w:rsid w:val="005D1083"/>
    <w:rsid w:val="005D12C1"/>
    <w:rsid w:val="005D139A"/>
    <w:rsid w:val="005D1836"/>
    <w:rsid w:val="005D1B51"/>
    <w:rsid w:val="005D2234"/>
    <w:rsid w:val="005D37EE"/>
    <w:rsid w:val="005D38FD"/>
    <w:rsid w:val="005D4B8D"/>
    <w:rsid w:val="005D4EE7"/>
    <w:rsid w:val="005D5068"/>
    <w:rsid w:val="005D5BC0"/>
    <w:rsid w:val="005D6D2D"/>
    <w:rsid w:val="005D6E55"/>
    <w:rsid w:val="005D6E62"/>
    <w:rsid w:val="005E0A4B"/>
    <w:rsid w:val="005E108A"/>
    <w:rsid w:val="005E1212"/>
    <w:rsid w:val="005E12CC"/>
    <w:rsid w:val="005E1AEF"/>
    <w:rsid w:val="005E2390"/>
    <w:rsid w:val="005E34ED"/>
    <w:rsid w:val="005E3CE7"/>
    <w:rsid w:val="005E3D6A"/>
    <w:rsid w:val="005E495F"/>
    <w:rsid w:val="005E4E0A"/>
    <w:rsid w:val="005E571D"/>
    <w:rsid w:val="005E624C"/>
    <w:rsid w:val="005E7F13"/>
    <w:rsid w:val="005F0583"/>
    <w:rsid w:val="005F0FE8"/>
    <w:rsid w:val="005F10C7"/>
    <w:rsid w:val="005F1825"/>
    <w:rsid w:val="005F2242"/>
    <w:rsid w:val="005F2323"/>
    <w:rsid w:val="005F24F7"/>
    <w:rsid w:val="005F2A44"/>
    <w:rsid w:val="005F356E"/>
    <w:rsid w:val="005F44B8"/>
    <w:rsid w:val="005F47AF"/>
    <w:rsid w:val="005F4E66"/>
    <w:rsid w:val="005F5BE0"/>
    <w:rsid w:val="005F6204"/>
    <w:rsid w:val="005F6EA2"/>
    <w:rsid w:val="005F71A0"/>
    <w:rsid w:val="005F74E5"/>
    <w:rsid w:val="00600C18"/>
    <w:rsid w:val="00602B31"/>
    <w:rsid w:val="006046CC"/>
    <w:rsid w:val="00604C5D"/>
    <w:rsid w:val="0060516A"/>
    <w:rsid w:val="00605521"/>
    <w:rsid w:val="006055D1"/>
    <w:rsid w:val="00605777"/>
    <w:rsid w:val="00605AF7"/>
    <w:rsid w:val="006069DB"/>
    <w:rsid w:val="00607060"/>
    <w:rsid w:val="006074F5"/>
    <w:rsid w:val="00607EE6"/>
    <w:rsid w:val="00607F08"/>
    <w:rsid w:val="00610305"/>
    <w:rsid w:val="00610BEB"/>
    <w:rsid w:val="006110BE"/>
    <w:rsid w:val="00611760"/>
    <w:rsid w:val="006117A1"/>
    <w:rsid w:val="00611854"/>
    <w:rsid w:val="006127F1"/>
    <w:rsid w:val="006137F7"/>
    <w:rsid w:val="00613F44"/>
    <w:rsid w:val="006148EB"/>
    <w:rsid w:val="006150D5"/>
    <w:rsid w:val="00615F98"/>
    <w:rsid w:val="00617100"/>
    <w:rsid w:val="00617B33"/>
    <w:rsid w:val="00617DD6"/>
    <w:rsid w:val="0062029E"/>
    <w:rsid w:val="00620A21"/>
    <w:rsid w:val="00620FB4"/>
    <w:rsid w:val="0062100B"/>
    <w:rsid w:val="0062118C"/>
    <w:rsid w:val="006212BA"/>
    <w:rsid w:val="00621A3D"/>
    <w:rsid w:val="00622742"/>
    <w:rsid w:val="006230EF"/>
    <w:rsid w:val="00623130"/>
    <w:rsid w:val="00625111"/>
    <w:rsid w:val="00625C53"/>
    <w:rsid w:val="00625F58"/>
    <w:rsid w:val="006267F3"/>
    <w:rsid w:val="00626C5F"/>
    <w:rsid w:val="00627250"/>
    <w:rsid w:val="00627F10"/>
    <w:rsid w:val="0063048B"/>
    <w:rsid w:val="00632CB2"/>
    <w:rsid w:val="00633202"/>
    <w:rsid w:val="00633E58"/>
    <w:rsid w:val="0063430F"/>
    <w:rsid w:val="006351A1"/>
    <w:rsid w:val="00636040"/>
    <w:rsid w:val="00636075"/>
    <w:rsid w:val="006367B0"/>
    <w:rsid w:val="006368A7"/>
    <w:rsid w:val="00636F22"/>
    <w:rsid w:val="00636F2F"/>
    <w:rsid w:val="00637F84"/>
    <w:rsid w:val="00640DF7"/>
    <w:rsid w:val="006410E5"/>
    <w:rsid w:val="006420EC"/>
    <w:rsid w:val="0064215A"/>
    <w:rsid w:val="00642525"/>
    <w:rsid w:val="0064258D"/>
    <w:rsid w:val="006428A4"/>
    <w:rsid w:val="0064312C"/>
    <w:rsid w:val="00644084"/>
    <w:rsid w:val="0064465A"/>
    <w:rsid w:val="00644753"/>
    <w:rsid w:val="0064601B"/>
    <w:rsid w:val="00647858"/>
    <w:rsid w:val="00647BCA"/>
    <w:rsid w:val="00647C04"/>
    <w:rsid w:val="0065001F"/>
    <w:rsid w:val="006502A9"/>
    <w:rsid w:val="00650844"/>
    <w:rsid w:val="00651924"/>
    <w:rsid w:val="0065250A"/>
    <w:rsid w:val="00652A1A"/>
    <w:rsid w:val="00653061"/>
    <w:rsid w:val="0065362B"/>
    <w:rsid w:val="00653B08"/>
    <w:rsid w:val="00655837"/>
    <w:rsid w:val="00655B25"/>
    <w:rsid w:val="006575E8"/>
    <w:rsid w:val="006579AB"/>
    <w:rsid w:val="00657ACC"/>
    <w:rsid w:val="00661728"/>
    <w:rsid w:val="006622ED"/>
    <w:rsid w:val="00662B33"/>
    <w:rsid w:val="0066365A"/>
    <w:rsid w:val="00663848"/>
    <w:rsid w:val="00663A45"/>
    <w:rsid w:val="00663E20"/>
    <w:rsid w:val="00663E52"/>
    <w:rsid w:val="00664412"/>
    <w:rsid w:val="00665BB6"/>
    <w:rsid w:val="00667F95"/>
    <w:rsid w:val="006701D0"/>
    <w:rsid w:val="00670395"/>
    <w:rsid w:val="00670FA8"/>
    <w:rsid w:val="006722F3"/>
    <w:rsid w:val="006735D7"/>
    <w:rsid w:val="0067437C"/>
    <w:rsid w:val="006746FC"/>
    <w:rsid w:val="00674FC1"/>
    <w:rsid w:val="00675004"/>
    <w:rsid w:val="00675B56"/>
    <w:rsid w:val="00676BB2"/>
    <w:rsid w:val="006779B9"/>
    <w:rsid w:val="00677E8C"/>
    <w:rsid w:val="00681209"/>
    <w:rsid w:val="00683118"/>
    <w:rsid w:val="00684BC9"/>
    <w:rsid w:val="0068542E"/>
    <w:rsid w:val="006855C9"/>
    <w:rsid w:val="00686624"/>
    <w:rsid w:val="00687B5C"/>
    <w:rsid w:val="0069304D"/>
    <w:rsid w:val="006937A9"/>
    <w:rsid w:val="00694362"/>
    <w:rsid w:val="0069446B"/>
    <w:rsid w:val="00694975"/>
    <w:rsid w:val="00695AB9"/>
    <w:rsid w:val="00695F6E"/>
    <w:rsid w:val="00696C93"/>
    <w:rsid w:val="00696E69"/>
    <w:rsid w:val="00696F97"/>
    <w:rsid w:val="00697CA3"/>
    <w:rsid w:val="006A0138"/>
    <w:rsid w:val="006A03F8"/>
    <w:rsid w:val="006A0425"/>
    <w:rsid w:val="006A04BB"/>
    <w:rsid w:val="006A3CE8"/>
    <w:rsid w:val="006A423B"/>
    <w:rsid w:val="006A4B36"/>
    <w:rsid w:val="006A51DA"/>
    <w:rsid w:val="006A5A3D"/>
    <w:rsid w:val="006B018B"/>
    <w:rsid w:val="006B0FC3"/>
    <w:rsid w:val="006B146C"/>
    <w:rsid w:val="006B181A"/>
    <w:rsid w:val="006B2387"/>
    <w:rsid w:val="006B32C8"/>
    <w:rsid w:val="006B3C3E"/>
    <w:rsid w:val="006B4590"/>
    <w:rsid w:val="006B507A"/>
    <w:rsid w:val="006B532A"/>
    <w:rsid w:val="006B6668"/>
    <w:rsid w:val="006B675B"/>
    <w:rsid w:val="006C0102"/>
    <w:rsid w:val="006C056A"/>
    <w:rsid w:val="006C0768"/>
    <w:rsid w:val="006C0C2F"/>
    <w:rsid w:val="006C18EB"/>
    <w:rsid w:val="006C1CE1"/>
    <w:rsid w:val="006C1EF4"/>
    <w:rsid w:val="006C2275"/>
    <w:rsid w:val="006C28EB"/>
    <w:rsid w:val="006C3028"/>
    <w:rsid w:val="006C37AF"/>
    <w:rsid w:val="006C4541"/>
    <w:rsid w:val="006C45AB"/>
    <w:rsid w:val="006C56B9"/>
    <w:rsid w:val="006C6016"/>
    <w:rsid w:val="006C6B2D"/>
    <w:rsid w:val="006C7576"/>
    <w:rsid w:val="006C7ED9"/>
    <w:rsid w:val="006D0932"/>
    <w:rsid w:val="006D09E3"/>
    <w:rsid w:val="006D2107"/>
    <w:rsid w:val="006D21C8"/>
    <w:rsid w:val="006D34D7"/>
    <w:rsid w:val="006D39DF"/>
    <w:rsid w:val="006D46DD"/>
    <w:rsid w:val="006D4830"/>
    <w:rsid w:val="006D51B1"/>
    <w:rsid w:val="006D603B"/>
    <w:rsid w:val="006D6543"/>
    <w:rsid w:val="006D686E"/>
    <w:rsid w:val="006D766C"/>
    <w:rsid w:val="006D7CE5"/>
    <w:rsid w:val="006D7D71"/>
    <w:rsid w:val="006E01F9"/>
    <w:rsid w:val="006E07CE"/>
    <w:rsid w:val="006E216B"/>
    <w:rsid w:val="006E2C9F"/>
    <w:rsid w:val="006E3293"/>
    <w:rsid w:val="006E32FF"/>
    <w:rsid w:val="006E3AC5"/>
    <w:rsid w:val="006E4801"/>
    <w:rsid w:val="006F0480"/>
    <w:rsid w:val="006F049A"/>
    <w:rsid w:val="006F0B47"/>
    <w:rsid w:val="006F282A"/>
    <w:rsid w:val="006F2A6A"/>
    <w:rsid w:val="006F2EB0"/>
    <w:rsid w:val="006F34B5"/>
    <w:rsid w:val="006F365B"/>
    <w:rsid w:val="006F441B"/>
    <w:rsid w:val="006F48F0"/>
    <w:rsid w:val="006F4D99"/>
    <w:rsid w:val="006F550A"/>
    <w:rsid w:val="006F55CA"/>
    <w:rsid w:val="006F5982"/>
    <w:rsid w:val="006F59CE"/>
    <w:rsid w:val="006F5B68"/>
    <w:rsid w:val="006F5FEC"/>
    <w:rsid w:val="006F65B7"/>
    <w:rsid w:val="006F679A"/>
    <w:rsid w:val="006F6DCA"/>
    <w:rsid w:val="006F7955"/>
    <w:rsid w:val="006F7BD8"/>
    <w:rsid w:val="006F7EF0"/>
    <w:rsid w:val="00700E56"/>
    <w:rsid w:val="00700FAA"/>
    <w:rsid w:val="00701130"/>
    <w:rsid w:val="007023C4"/>
    <w:rsid w:val="00702E27"/>
    <w:rsid w:val="00704792"/>
    <w:rsid w:val="00705B70"/>
    <w:rsid w:val="00706053"/>
    <w:rsid w:val="00706A2F"/>
    <w:rsid w:val="0070717E"/>
    <w:rsid w:val="007077A2"/>
    <w:rsid w:val="00711666"/>
    <w:rsid w:val="00711A23"/>
    <w:rsid w:val="00712CE6"/>
    <w:rsid w:val="0071650C"/>
    <w:rsid w:val="007204A4"/>
    <w:rsid w:val="00720BB1"/>
    <w:rsid w:val="00721FE0"/>
    <w:rsid w:val="00722749"/>
    <w:rsid w:val="007235DB"/>
    <w:rsid w:val="007241D6"/>
    <w:rsid w:val="0072433D"/>
    <w:rsid w:val="00724DAC"/>
    <w:rsid w:val="0072547D"/>
    <w:rsid w:val="007257B2"/>
    <w:rsid w:val="007258D6"/>
    <w:rsid w:val="00725FFC"/>
    <w:rsid w:val="00727395"/>
    <w:rsid w:val="00727717"/>
    <w:rsid w:val="0073062A"/>
    <w:rsid w:val="007308B4"/>
    <w:rsid w:val="00731CE3"/>
    <w:rsid w:val="00732A9E"/>
    <w:rsid w:val="00732BAB"/>
    <w:rsid w:val="00732F75"/>
    <w:rsid w:val="007337FE"/>
    <w:rsid w:val="007350FE"/>
    <w:rsid w:val="00735900"/>
    <w:rsid w:val="00735958"/>
    <w:rsid w:val="00735FD9"/>
    <w:rsid w:val="0073614A"/>
    <w:rsid w:val="00736321"/>
    <w:rsid w:val="0073664C"/>
    <w:rsid w:val="00736975"/>
    <w:rsid w:val="00736DD3"/>
    <w:rsid w:val="00740366"/>
    <w:rsid w:val="00740823"/>
    <w:rsid w:val="00740E5D"/>
    <w:rsid w:val="007412A8"/>
    <w:rsid w:val="00741613"/>
    <w:rsid w:val="00742EE9"/>
    <w:rsid w:val="00743186"/>
    <w:rsid w:val="00743284"/>
    <w:rsid w:val="00743742"/>
    <w:rsid w:val="007439C5"/>
    <w:rsid w:val="00743E85"/>
    <w:rsid w:val="007449C3"/>
    <w:rsid w:val="0074566D"/>
    <w:rsid w:val="007469A1"/>
    <w:rsid w:val="00746CFB"/>
    <w:rsid w:val="007474DC"/>
    <w:rsid w:val="0074780E"/>
    <w:rsid w:val="007478BB"/>
    <w:rsid w:val="0075091A"/>
    <w:rsid w:val="007510CC"/>
    <w:rsid w:val="007532EA"/>
    <w:rsid w:val="0075369F"/>
    <w:rsid w:val="00754959"/>
    <w:rsid w:val="00755735"/>
    <w:rsid w:val="00756E31"/>
    <w:rsid w:val="007571D0"/>
    <w:rsid w:val="0076027B"/>
    <w:rsid w:val="007604E5"/>
    <w:rsid w:val="00761826"/>
    <w:rsid w:val="00761FA1"/>
    <w:rsid w:val="0076264A"/>
    <w:rsid w:val="00763739"/>
    <w:rsid w:val="00764049"/>
    <w:rsid w:val="007643A1"/>
    <w:rsid w:val="00765B27"/>
    <w:rsid w:val="00765F33"/>
    <w:rsid w:val="0076650F"/>
    <w:rsid w:val="00767281"/>
    <w:rsid w:val="00767FC9"/>
    <w:rsid w:val="0077014C"/>
    <w:rsid w:val="007711FA"/>
    <w:rsid w:val="00771EE3"/>
    <w:rsid w:val="007721F2"/>
    <w:rsid w:val="007723EF"/>
    <w:rsid w:val="00772DF9"/>
    <w:rsid w:val="007759A3"/>
    <w:rsid w:val="00777019"/>
    <w:rsid w:val="0077766F"/>
    <w:rsid w:val="00777A38"/>
    <w:rsid w:val="007802A0"/>
    <w:rsid w:val="007806B1"/>
    <w:rsid w:val="0078074B"/>
    <w:rsid w:val="0078084B"/>
    <w:rsid w:val="007809FA"/>
    <w:rsid w:val="00780B2D"/>
    <w:rsid w:val="007813EB"/>
    <w:rsid w:val="00781DCE"/>
    <w:rsid w:val="007826BC"/>
    <w:rsid w:val="007827D6"/>
    <w:rsid w:val="00782A33"/>
    <w:rsid w:val="00782BC4"/>
    <w:rsid w:val="007832A3"/>
    <w:rsid w:val="007832AE"/>
    <w:rsid w:val="00783C8B"/>
    <w:rsid w:val="007845C3"/>
    <w:rsid w:val="00784EBF"/>
    <w:rsid w:val="0078707D"/>
    <w:rsid w:val="0078723F"/>
    <w:rsid w:val="00787848"/>
    <w:rsid w:val="00790628"/>
    <w:rsid w:val="0079123A"/>
    <w:rsid w:val="007913A4"/>
    <w:rsid w:val="007924D8"/>
    <w:rsid w:val="00793A39"/>
    <w:rsid w:val="00794337"/>
    <w:rsid w:val="00794C9B"/>
    <w:rsid w:val="00794D61"/>
    <w:rsid w:val="00794E20"/>
    <w:rsid w:val="00794EAF"/>
    <w:rsid w:val="00795045"/>
    <w:rsid w:val="007956FA"/>
    <w:rsid w:val="00796042"/>
    <w:rsid w:val="00796172"/>
    <w:rsid w:val="0079635D"/>
    <w:rsid w:val="00796733"/>
    <w:rsid w:val="007972EF"/>
    <w:rsid w:val="00797483"/>
    <w:rsid w:val="00797B1F"/>
    <w:rsid w:val="00797F74"/>
    <w:rsid w:val="007A0312"/>
    <w:rsid w:val="007A074A"/>
    <w:rsid w:val="007A1B23"/>
    <w:rsid w:val="007A1FED"/>
    <w:rsid w:val="007A2330"/>
    <w:rsid w:val="007A274F"/>
    <w:rsid w:val="007A2853"/>
    <w:rsid w:val="007A2930"/>
    <w:rsid w:val="007A3B68"/>
    <w:rsid w:val="007A3D45"/>
    <w:rsid w:val="007A5CDB"/>
    <w:rsid w:val="007B0CFC"/>
    <w:rsid w:val="007B4836"/>
    <w:rsid w:val="007B792A"/>
    <w:rsid w:val="007B7F5A"/>
    <w:rsid w:val="007C014F"/>
    <w:rsid w:val="007C02BB"/>
    <w:rsid w:val="007C1564"/>
    <w:rsid w:val="007C1D4A"/>
    <w:rsid w:val="007C3D6F"/>
    <w:rsid w:val="007C50D5"/>
    <w:rsid w:val="007C538D"/>
    <w:rsid w:val="007C5C47"/>
    <w:rsid w:val="007C5E0E"/>
    <w:rsid w:val="007C631D"/>
    <w:rsid w:val="007C68EA"/>
    <w:rsid w:val="007C72B2"/>
    <w:rsid w:val="007C745A"/>
    <w:rsid w:val="007C7A5E"/>
    <w:rsid w:val="007C7D23"/>
    <w:rsid w:val="007C7F3C"/>
    <w:rsid w:val="007D03E5"/>
    <w:rsid w:val="007D056D"/>
    <w:rsid w:val="007D13A3"/>
    <w:rsid w:val="007D1C13"/>
    <w:rsid w:val="007D1FB1"/>
    <w:rsid w:val="007D1FB9"/>
    <w:rsid w:val="007D245E"/>
    <w:rsid w:val="007D497B"/>
    <w:rsid w:val="007D6172"/>
    <w:rsid w:val="007D6533"/>
    <w:rsid w:val="007D722B"/>
    <w:rsid w:val="007D7692"/>
    <w:rsid w:val="007D78F4"/>
    <w:rsid w:val="007D7BAE"/>
    <w:rsid w:val="007E10AE"/>
    <w:rsid w:val="007E179D"/>
    <w:rsid w:val="007E20BF"/>
    <w:rsid w:val="007E312B"/>
    <w:rsid w:val="007E464F"/>
    <w:rsid w:val="007E4E58"/>
    <w:rsid w:val="007E5C33"/>
    <w:rsid w:val="007E6536"/>
    <w:rsid w:val="007E74B0"/>
    <w:rsid w:val="007E757C"/>
    <w:rsid w:val="007E77FB"/>
    <w:rsid w:val="007E7CFD"/>
    <w:rsid w:val="007F06A5"/>
    <w:rsid w:val="007F0801"/>
    <w:rsid w:val="007F097A"/>
    <w:rsid w:val="007F103D"/>
    <w:rsid w:val="007F120B"/>
    <w:rsid w:val="007F14AD"/>
    <w:rsid w:val="007F18D2"/>
    <w:rsid w:val="007F1D2F"/>
    <w:rsid w:val="007F1E23"/>
    <w:rsid w:val="007F2527"/>
    <w:rsid w:val="007F27DB"/>
    <w:rsid w:val="007F2B89"/>
    <w:rsid w:val="007F33C3"/>
    <w:rsid w:val="007F4398"/>
    <w:rsid w:val="007F485F"/>
    <w:rsid w:val="007F4944"/>
    <w:rsid w:val="007F4C82"/>
    <w:rsid w:val="007F4CA3"/>
    <w:rsid w:val="007F5F56"/>
    <w:rsid w:val="007F632D"/>
    <w:rsid w:val="007F659A"/>
    <w:rsid w:val="007F6D0D"/>
    <w:rsid w:val="007F6F0F"/>
    <w:rsid w:val="007F777C"/>
    <w:rsid w:val="007F7D90"/>
    <w:rsid w:val="007F7F07"/>
    <w:rsid w:val="00800997"/>
    <w:rsid w:val="00800B8D"/>
    <w:rsid w:val="00800F4A"/>
    <w:rsid w:val="008018B9"/>
    <w:rsid w:val="00801F25"/>
    <w:rsid w:val="00802742"/>
    <w:rsid w:val="00802A0D"/>
    <w:rsid w:val="008037C0"/>
    <w:rsid w:val="00803CD7"/>
    <w:rsid w:val="00804609"/>
    <w:rsid w:val="00804D33"/>
    <w:rsid w:val="00805B04"/>
    <w:rsid w:val="00807CE4"/>
    <w:rsid w:val="008108E6"/>
    <w:rsid w:val="0081092F"/>
    <w:rsid w:val="00810A9F"/>
    <w:rsid w:val="00810B37"/>
    <w:rsid w:val="00810D0B"/>
    <w:rsid w:val="0081290E"/>
    <w:rsid w:val="00813B73"/>
    <w:rsid w:val="00814593"/>
    <w:rsid w:val="008154C7"/>
    <w:rsid w:val="00816A34"/>
    <w:rsid w:val="00817398"/>
    <w:rsid w:val="008176A5"/>
    <w:rsid w:val="008179DA"/>
    <w:rsid w:val="0082062B"/>
    <w:rsid w:val="00820E64"/>
    <w:rsid w:val="00821473"/>
    <w:rsid w:val="00821D7B"/>
    <w:rsid w:val="00821E63"/>
    <w:rsid w:val="00824F7D"/>
    <w:rsid w:val="0082654E"/>
    <w:rsid w:val="00826F21"/>
    <w:rsid w:val="00827150"/>
    <w:rsid w:val="0083018E"/>
    <w:rsid w:val="008303F0"/>
    <w:rsid w:val="008305ED"/>
    <w:rsid w:val="00830B33"/>
    <w:rsid w:val="00831C5E"/>
    <w:rsid w:val="008327AF"/>
    <w:rsid w:val="008332A1"/>
    <w:rsid w:val="008343AB"/>
    <w:rsid w:val="00834422"/>
    <w:rsid w:val="00834932"/>
    <w:rsid w:val="00835077"/>
    <w:rsid w:val="008361BD"/>
    <w:rsid w:val="00836AB3"/>
    <w:rsid w:val="00836CBE"/>
    <w:rsid w:val="00837D77"/>
    <w:rsid w:val="00840810"/>
    <w:rsid w:val="008409A8"/>
    <w:rsid w:val="0084117A"/>
    <w:rsid w:val="00842C66"/>
    <w:rsid w:val="008440AA"/>
    <w:rsid w:val="00844799"/>
    <w:rsid w:val="00844FDF"/>
    <w:rsid w:val="0084527E"/>
    <w:rsid w:val="008452B0"/>
    <w:rsid w:val="0084664C"/>
    <w:rsid w:val="0084694C"/>
    <w:rsid w:val="008469A7"/>
    <w:rsid w:val="00846C7F"/>
    <w:rsid w:val="0084752F"/>
    <w:rsid w:val="008477DE"/>
    <w:rsid w:val="00847CE2"/>
    <w:rsid w:val="00850902"/>
    <w:rsid w:val="0085151E"/>
    <w:rsid w:val="00851E37"/>
    <w:rsid w:val="00852456"/>
    <w:rsid w:val="0085250F"/>
    <w:rsid w:val="008529BD"/>
    <w:rsid w:val="00852E45"/>
    <w:rsid w:val="008540F9"/>
    <w:rsid w:val="00854171"/>
    <w:rsid w:val="00854398"/>
    <w:rsid w:val="008543E4"/>
    <w:rsid w:val="00854646"/>
    <w:rsid w:val="008552D9"/>
    <w:rsid w:val="00857715"/>
    <w:rsid w:val="00857967"/>
    <w:rsid w:val="008602B4"/>
    <w:rsid w:val="008605B6"/>
    <w:rsid w:val="00860E89"/>
    <w:rsid w:val="00861303"/>
    <w:rsid w:val="00861B8C"/>
    <w:rsid w:val="00862B43"/>
    <w:rsid w:val="00862EC8"/>
    <w:rsid w:val="00863666"/>
    <w:rsid w:val="00863A91"/>
    <w:rsid w:val="00863D05"/>
    <w:rsid w:val="008644ED"/>
    <w:rsid w:val="00865706"/>
    <w:rsid w:val="00865BBE"/>
    <w:rsid w:val="00866157"/>
    <w:rsid w:val="0086696D"/>
    <w:rsid w:val="00866B35"/>
    <w:rsid w:val="00867609"/>
    <w:rsid w:val="00867DC2"/>
    <w:rsid w:val="00870318"/>
    <w:rsid w:val="00871BE4"/>
    <w:rsid w:val="0087222B"/>
    <w:rsid w:val="00873160"/>
    <w:rsid w:val="00874263"/>
    <w:rsid w:val="008743BA"/>
    <w:rsid w:val="00875838"/>
    <w:rsid w:val="00877F0B"/>
    <w:rsid w:val="008804C4"/>
    <w:rsid w:val="00880F11"/>
    <w:rsid w:val="008811CF"/>
    <w:rsid w:val="00881590"/>
    <w:rsid w:val="0088183E"/>
    <w:rsid w:val="00883070"/>
    <w:rsid w:val="00883B32"/>
    <w:rsid w:val="0088484E"/>
    <w:rsid w:val="00885D63"/>
    <w:rsid w:val="0088683E"/>
    <w:rsid w:val="00887337"/>
    <w:rsid w:val="00887A2A"/>
    <w:rsid w:val="008916D6"/>
    <w:rsid w:val="00893483"/>
    <w:rsid w:val="00893A2D"/>
    <w:rsid w:val="008941E5"/>
    <w:rsid w:val="00894572"/>
    <w:rsid w:val="00894A51"/>
    <w:rsid w:val="00894D25"/>
    <w:rsid w:val="00894F3D"/>
    <w:rsid w:val="0089540A"/>
    <w:rsid w:val="00896124"/>
    <w:rsid w:val="00897345"/>
    <w:rsid w:val="0089796E"/>
    <w:rsid w:val="008A0977"/>
    <w:rsid w:val="008A09D6"/>
    <w:rsid w:val="008A19CB"/>
    <w:rsid w:val="008A2923"/>
    <w:rsid w:val="008A2C0F"/>
    <w:rsid w:val="008A44AE"/>
    <w:rsid w:val="008A4533"/>
    <w:rsid w:val="008A5AC7"/>
    <w:rsid w:val="008A5FE2"/>
    <w:rsid w:val="008A62A1"/>
    <w:rsid w:val="008A6D03"/>
    <w:rsid w:val="008B12D5"/>
    <w:rsid w:val="008B24C7"/>
    <w:rsid w:val="008B2987"/>
    <w:rsid w:val="008B29B4"/>
    <w:rsid w:val="008B2BB1"/>
    <w:rsid w:val="008B2DAA"/>
    <w:rsid w:val="008B302F"/>
    <w:rsid w:val="008B37F3"/>
    <w:rsid w:val="008B407D"/>
    <w:rsid w:val="008B4648"/>
    <w:rsid w:val="008B47C2"/>
    <w:rsid w:val="008B4D37"/>
    <w:rsid w:val="008B5024"/>
    <w:rsid w:val="008B5509"/>
    <w:rsid w:val="008B585F"/>
    <w:rsid w:val="008B759F"/>
    <w:rsid w:val="008C057A"/>
    <w:rsid w:val="008C0D65"/>
    <w:rsid w:val="008C191F"/>
    <w:rsid w:val="008C2BF9"/>
    <w:rsid w:val="008C2FCD"/>
    <w:rsid w:val="008C32D6"/>
    <w:rsid w:val="008C39AB"/>
    <w:rsid w:val="008C4A22"/>
    <w:rsid w:val="008C4A93"/>
    <w:rsid w:val="008C4D23"/>
    <w:rsid w:val="008C4F4A"/>
    <w:rsid w:val="008C535F"/>
    <w:rsid w:val="008C6AB6"/>
    <w:rsid w:val="008C6DC4"/>
    <w:rsid w:val="008C73F3"/>
    <w:rsid w:val="008C7479"/>
    <w:rsid w:val="008C781B"/>
    <w:rsid w:val="008C7872"/>
    <w:rsid w:val="008D02FE"/>
    <w:rsid w:val="008D0690"/>
    <w:rsid w:val="008D0916"/>
    <w:rsid w:val="008D0B28"/>
    <w:rsid w:val="008D0B29"/>
    <w:rsid w:val="008D0C4B"/>
    <w:rsid w:val="008D0EE0"/>
    <w:rsid w:val="008D11BF"/>
    <w:rsid w:val="008D1860"/>
    <w:rsid w:val="008D25E0"/>
    <w:rsid w:val="008D299F"/>
    <w:rsid w:val="008D3546"/>
    <w:rsid w:val="008D3A9D"/>
    <w:rsid w:val="008D3B09"/>
    <w:rsid w:val="008D4121"/>
    <w:rsid w:val="008D5653"/>
    <w:rsid w:val="008D6C48"/>
    <w:rsid w:val="008D6E0E"/>
    <w:rsid w:val="008D71D0"/>
    <w:rsid w:val="008D773F"/>
    <w:rsid w:val="008E00D2"/>
    <w:rsid w:val="008E03EF"/>
    <w:rsid w:val="008E062E"/>
    <w:rsid w:val="008E0F46"/>
    <w:rsid w:val="008E1912"/>
    <w:rsid w:val="008E19BA"/>
    <w:rsid w:val="008E23BF"/>
    <w:rsid w:val="008E3125"/>
    <w:rsid w:val="008E3766"/>
    <w:rsid w:val="008E3893"/>
    <w:rsid w:val="008E45CB"/>
    <w:rsid w:val="008E6AF5"/>
    <w:rsid w:val="008E75E1"/>
    <w:rsid w:val="008E77AC"/>
    <w:rsid w:val="008E7D37"/>
    <w:rsid w:val="008F004C"/>
    <w:rsid w:val="008F1E42"/>
    <w:rsid w:val="008F1F2F"/>
    <w:rsid w:val="008F20D7"/>
    <w:rsid w:val="008F384F"/>
    <w:rsid w:val="008F3C44"/>
    <w:rsid w:val="008F4604"/>
    <w:rsid w:val="008F5DE4"/>
    <w:rsid w:val="008F5EA2"/>
    <w:rsid w:val="008F692E"/>
    <w:rsid w:val="00900B71"/>
    <w:rsid w:val="00900E95"/>
    <w:rsid w:val="0090166F"/>
    <w:rsid w:val="00901D48"/>
    <w:rsid w:val="00901DFC"/>
    <w:rsid w:val="009026BB"/>
    <w:rsid w:val="00902C5E"/>
    <w:rsid w:val="00903027"/>
    <w:rsid w:val="00903232"/>
    <w:rsid w:val="00903418"/>
    <w:rsid w:val="00903B14"/>
    <w:rsid w:val="00903E44"/>
    <w:rsid w:val="0090418B"/>
    <w:rsid w:val="00904238"/>
    <w:rsid w:val="00904B6B"/>
    <w:rsid w:val="00904E5F"/>
    <w:rsid w:val="00905244"/>
    <w:rsid w:val="00905787"/>
    <w:rsid w:val="00905C6D"/>
    <w:rsid w:val="009075E8"/>
    <w:rsid w:val="0090799F"/>
    <w:rsid w:val="009104C4"/>
    <w:rsid w:val="0091164C"/>
    <w:rsid w:val="00911663"/>
    <w:rsid w:val="00911784"/>
    <w:rsid w:val="0091199C"/>
    <w:rsid w:val="009121E7"/>
    <w:rsid w:val="00912C62"/>
    <w:rsid w:val="0091362E"/>
    <w:rsid w:val="009137D7"/>
    <w:rsid w:val="009141CB"/>
    <w:rsid w:val="00914978"/>
    <w:rsid w:val="00914B54"/>
    <w:rsid w:val="00914FE9"/>
    <w:rsid w:val="00915204"/>
    <w:rsid w:val="00915504"/>
    <w:rsid w:val="0091582B"/>
    <w:rsid w:val="00915AE6"/>
    <w:rsid w:val="0091649E"/>
    <w:rsid w:val="009167E8"/>
    <w:rsid w:val="00917722"/>
    <w:rsid w:val="009217C5"/>
    <w:rsid w:val="00921E08"/>
    <w:rsid w:val="0092207B"/>
    <w:rsid w:val="009222DB"/>
    <w:rsid w:val="00922C8C"/>
    <w:rsid w:val="00922CF6"/>
    <w:rsid w:val="0092355F"/>
    <w:rsid w:val="00924742"/>
    <w:rsid w:val="00925194"/>
    <w:rsid w:val="00925A47"/>
    <w:rsid w:val="00925E4E"/>
    <w:rsid w:val="009268AB"/>
    <w:rsid w:val="00926E6D"/>
    <w:rsid w:val="00926FC3"/>
    <w:rsid w:val="00927281"/>
    <w:rsid w:val="00927BDF"/>
    <w:rsid w:val="00927E5A"/>
    <w:rsid w:val="00930DED"/>
    <w:rsid w:val="00931600"/>
    <w:rsid w:val="00931959"/>
    <w:rsid w:val="00931ACC"/>
    <w:rsid w:val="0093343B"/>
    <w:rsid w:val="00935370"/>
    <w:rsid w:val="0093550D"/>
    <w:rsid w:val="009356D6"/>
    <w:rsid w:val="00935A88"/>
    <w:rsid w:val="00936683"/>
    <w:rsid w:val="009376C4"/>
    <w:rsid w:val="0093792D"/>
    <w:rsid w:val="0094006D"/>
    <w:rsid w:val="009414DB"/>
    <w:rsid w:val="0094319F"/>
    <w:rsid w:val="00944803"/>
    <w:rsid w:val="00944F0A"/>
    <w:rsid w:val="00946758"/>
    <w:rsid w:val="00947EF0"/>
    <w:rsid w:val="009503F3"/>
    <w:rsid w:val="00950D29"/>
    <w:rsid w:val="00951289"/>
    <w:rsid w:val="009512DE"/>
    <w:rsid w:val="00951650"/>
    <w:rsid w:val="00951809"/>
    <w:rsid w:val="00951AC9"/>
    <w:rsid w:val="00951C7D"/>
    <w:rsid w:val="00953233"/>
    <w:rsid w:val="009539DB"/>
    <w:rsid w:val="009552C9"/>
    <w:rsid w:val="0095595D"/>
    <w:rsid w:val="00956926"/>
    <w:rsid w:val="00956F1C"/>
    <w:rsid w:val="00956FB6"/>
    <w:rsid w:val="00957400"/>
    <w:rsid w:val="00960879"/>
    <w:rsid w:val="00960E1C"/>
    <w:rsid w:val="0096144D"/>
    <w:rsid w:val="009614B5"/>
    <w:rsid w:val="00961587"/>
    <w:rsid w:val="009623EB"/>
    <w:rsid w:val="00962989"/>
    <w:rsid w:val="00962AB5"/>
    <w:rsid w:val="00963601"/>
    <w:rsid w:val="009644CD"/>
    <w:rsid w:val="009659D2"/>
    <w:rsid w:val="0097207D"/>
    <w:rsid w:val="00973C51"/>
    <w:rsid w:val="00973CC9"/>
    <w:rsid w:val="00974448"/>
    <w:rsid w:val="00974FC1"/>
    <w:rsid w:val="009750C7"/>
    <w:rsid w:val="009751AD"/>
    <w:rsid w:val="0097562D"/>
    <w:rsid w:val="009760C2"/>
    <w:rsid w:val="00976B06"/>
    <w:rsid w:val="00976FC2"/>
    <w:rsid w:val="0097702C"/>
    <w:rsid w:val="009770FE"/>
    <w:rsid w:val="00977DED"/>
    <w:rsid w:val="00980131"/>
    <w:rsid w:val="00980EE7"/>
    <w:rsid w:val="009814C1"/>
    <w:rsid w:val="00981A18"/>
    <w:rsid w:val="00981C07"/>
    <w:rsid w:val="00982426"/>
    <w:rsid w:val="00983B18"/>
    <w:rsid w:val="00983FA0"/>
    <w:rsid w:val="00984B61"/>
    <w:rsid w:val="009851E1"/>
    <w:rsid w:val="0098561E"/>
    <w:rsid w:val="00985B85"/>
    <w:rsid w:val="00985C4B"/>
    <w:rsid w:val="00986BF4"/>
    <w:rsid w:val="00987C1F"/>
    <w:rsid w:val="00990DBC"/>
    <w:rsid w:val="009910DB"/>
    <w:rsid w:val="00991A8C"/>
    <w:rsid w:val="009921BB"/>
    <w:rsid w:val="00993C79"/>
    <w:rsid w:val="00993C86"/>
    <w:rsid w:val="00994340"/>
    <w:rsid w:val="009945A9"/>
    <w:rsid w:val="0099476B"/>
    <w:rsid w:val="009949D1"/>
    <w:rsid w:val="0099676F"/>
    <w:rsid w:val="00997579"/>
    <w:rsid w:val="009975D9"/>
    <w:rsid w:val="009A0C1F"/>
    <w:rsid w:val="009A26D3"/>
    <w:rsid w:val="009A3275"/>
    <w:rsid w:val="009A3850"/>
    <w:rsid w:val="009A4350"/>
    <w:rsid w:val="009A4D0E"/>
    <w:rsid w:val="009A64B8"/>
    <w:rsid w:val="009A6BE7"/>
    <w:rsid w:val="009A7355"/>
    <w:rsid w:val="009A73D5"/>
    <w:rsid w:val="009A746C"/>
    <w:rsid w:val="009B02A3"/>
    <w:rsid w:val="009B0DB8"/>
    <w:rsid w:val="009B0DCB"/>
    <w:rsid w:val="009B1FB8"/>
    <w:rsid w:val="009B2060"/>
    <w:rsid w:val="009B3013"/>
    <w:rsid w:val="009B34E5"/>
    <w:rsid w:val="009B4455"/>
    <w:rsid w:val="009B5018"/>
    <w:rsid w:val="009B6631"/>
    <w:rsid w:val="009B71DD"/>
    <w:rsid w:val="009B7888"/>
    <w:rsid w:val="009C0249"/>
    <w:rsid w:val="009C0651"/>
    <w:rsid w:val="009C0C9C"/>
    <w:rsid w:val="009C103B"/>
    <w:rsid w:val="009C17C2"/>
    <w:rsid w:val="009C1837"/>
    <w:rsid w:val="009C1A14"/>
    <w:rsid w:val="009C1C4A"/>
    <w:rsid w:val="009C1ECB"/>
    <w:rsid w:val="009C294F"/>
    <w:rsid w:val="009C2D8E"/>
    <w:rsid w:val="009C3491"/>
    <w:rsid w:val="009C357D"/>
    <w:rsid w:val="009C3A9E"/>
    <w:rsid w:val="009C421E"/>
    <w:rsid w:val="009C447D"/>
    <w:rsid w:val="009C48BA"/>
    <w:rsid w:val="009C4BE7"/>
    <w:rsid w:val="009C4EDA"/>
    <w:rsid w:val="009C5200"/>
    <w:rsid w:val="009C60E6"/>
    <w:rsid w:val="009C63EA"/>
    <w:rsid w:val="009C63EB"/>
    <w:rsid w:val="009C726C"/>
    <w:rsid w:val="009C75A6"/>
    <w:rsid w:val="009C7A3D"/>
    <w:rsid w:val="009C7F2D"/>
    <w:rsid w:val="009D0835"/>
    <w:rsid w:val="009D1516"/>
    <w:rsid w:val="009D196A"/>
    <w:rsid w:val="009D29BA"/>
    <w:rsid w:val="009D2D41"/>
    <w:rsid w:val="009D2D82"/>
    <w:rsid w:val="009D3944"/>
    <w:rsid w:val="009D3E8A"/>
    <w:rsid w:val="009D4218"/>
    <w:rsid w:val="009D4823"/>
    <w:rsid w:val="009D49D4"/>
    <w:rsid w:val="009D5329"/>
    <w:rsid w:val="009D5386"/>
    <w:rsid w:val="009D60BC"/>
    <w:rsid w:val="009D6B1F"/>
    <w:rsid w:val="009D71FD"/>
    <w:rsid w:val="009D7925"/>
    <w:rsid w:val="009D7C64"/>
    <w:rsid w:val="009D7E9E"/>
    <w:rsid w:val="009E0412"/>
    <w:rsid w:val="009E09C3"/>
    <w:rsid w:val="009E0C0C"/>
    <w:rsid w:val="009E0E9E"/>
    <w:rsid w:val="009E1B0A"/>
    <w:rsid w:val="009E1E14"/>
    <w:rsid w:val="009E2780"/>
    <w:rsid w:val="009E2C2B"/>
    <w:rsid w:val="009E56C5"/>
    <w:rsid w:val="009E647D"/>
    <w:rsid w:val="009F0CBE"/>
    <w:rsid w:val="009F1721"/>
    <w:rsid w:val="009F1DAA"/>
    <w:rsid w:val="009F1FF6"/>
    <w:rsid w:val="009F2171"/>
    <w:rsid w:val="009F2698"/>
    <w:rsid w:val="009F28D3"/>
    <w:rsid w:val="009F3794"/>
    <w:rsid w:val="009F45DE"/>
    <w:rsid w:val="009F5310"/>
    <w:rsid w:val="009F6532"/>
    <w:rsid w:val="009F6D7C"/>
    <w:rsid w:val="009F7992"/>
    <w:rsid w:val="00A00A68"/>
    <w:rsid w:val="00A01016"/>
    <w:rsid w:val="00A032B7"/>
    <w:rsid w:val="00A04322"/>
    <w:rsid w:val="00A050BD"/>
    <w:rsid w:val="00A06A4B"/>
    <w:rsid w:val="00A06E5A"/>
    <w:rsid w:val="00A0708C"/>
    <w:rsid w:val="00A07110"/>
    <w:rsid w:val="00A07227"/>
    <w:rsid w:val="00A0751B"/>
    <w:rsid w:val="00A079C7"/>
    <w:rsid w:val="00A10C7A"/>
    <w:rsid w:val="00A11D52"/>
    <w:rsid w:val="00A1278C"/>
    <w:rsid w:val="00A133B5"/>
    <w:rsid w:val="00A1394A"/>
    <w:rsid w:val="00A13A11"/>
    <w:rsid w:val="00A1407C"/>
    <w:rsid w:val="00A14E61"/>
    <w:rsid w:val="00A14EB8"/>
    <w:rsid w:val="00A152E5"/>
    <w:rsid w:val="00A17318"/>
    <w:rsid w:val="00A1743E"/>
    <w:rsid w:val="00A179EB"/>
    <w:rsid w:val="00A20699"/>
    <w:rsid w:val="00A2172C"/>
    <w:rsid w:val="00A218FA"/>
    <w:rsid w:val="00A21968"/>
    <w:rsid w:val="00A21D03"/>
    <w:rsid w:val="00A22155"/>
    <w:rsid w:val="00A221A7"/>
    <w:rsid w:val="00A2256A"/>
    <w:rsid w:val="00A22705"/>
    <w:rsid w:val="00A22796"/>
    <w:rsid w:val="00A24066"/>
    <w:rsid w:val="00A242A3"/>
    <w:rsid w:val="00A2460E"/>
    <w:rsid w:val="00A2502E"/>
    <w:rsid w:val="00A25073"/>
    <w:rsid w:val="00A2543D"/>
    <w:rsid w:val="00A254A7"/>
    <w:rsid w:val="00A26C45"/>
    <w:rsid w:val="00A27B0D"/>
    <w:rsid w:val="00A3021B"/>
    <w:rsid w:val="00A30557"/>
    <w:rsid w:val="00A32384"/>
    <w:rsid w:val="00A323EB"/>
    <w:rsid w:val="00A32839"/>
    <w:rsid w:val="00A33794"/>
    <w:rsid w:val="00A34764"/>
    <w:rsid w:val="00A34F88"/>
    <w:rsid w:val="00A35A2F"/>
    <w:rsid w:val="00A35DB7"/>
    <w:rsid w:val="00A4047A"/>
    <w:rsid w:val="00A40EEA"/>
    <w:rsid w:val="00A41531"/>
    <w:rsid w:val="00A4228B"/>
    <w:rsid w:val="00A4354A"/>
    <w:rsid w:val="00A43630"/>
    <w:rsid w:val="00A43FA5"/>
    <w:rsid w:val="00A4460D"/>
    <w:rsid w:val="00A45421"/>
    <w:rsid w:val="00A45861"/>
    <w:rsid w:val="00A45E5B"/>
    <w:rsid w:val="00A45F29"/>
    <w:rsid w:val="00A46A07"/>
    <w:rsid w:val="00A470E1"/>
    <w:rsid w:val="00A50380"/>
    <w:rsid w:val="00A50557"/>
    <w:rsid w:val="00A50DC8"/>
    <w:rsid w:val="00A50F13"/>
    <w:rsid w:val="00A537D0"/>
    <w:rsid w:val="00A543F2"/>
    <w:rsid w:val="00A54AC2"/>
    <w:rsid w:val="00A54EE1"/>
    <w:rsid w:val="00A57241"/>
    <w:rsid w:val="00A57412"/>
    <w:rsid w:val="00A60100"/>
    <w:rsid w:val="00A60220"/>
    <w:rsid w:val="00A60273"/>
    <w:rsid w:val="00A624D2"/>
    <w:rsid w:val="00A63C81"/>
    <w:rsid w:val="00A649C7"/>
    <w:rsid w:val="00A64A18"/>
    <w:rsid w:val="00A64A95"/>
    <w:rsid w:val="00A64F5B"/>
    <w:rsid w:val="00A65D0E"/>
    <w:rsid w:val="00A66A54"/>
    <w:rsid w:val="00A675EB"/>
    <w:rsid w:val="00A677BA"/>
    <w:rsid w:val="00A67E64"/>
    <w:rsid w:val="00A70EC5"/>
    <w:rsid w:val="00A7182F"/>
    <w:rsid w:val="00A71A4B"/>
    <w:rsid w:val="00A72347"/>
    <w:rsid w:val="00A72DF4"/>
    <w:rsid w:val="00A73611"/>
    <w:rsid w:val="00A74255"/>
    <w:rsid w:val="00A74306"/>
    <w:rsid w:val="00A7507B"/>
    <w:rsid w:val="00A75667"/>
    <w:rsid w:val="00A75A26"/>
    <w:rsid w:val="00A76450"/>
    <w:rsid w:val="00A7649D"/>
    <w:rsid w:val="00A76529"/>
    <w:rsid w:val="00A76A5B"/>
    <w:rsid w:val="00A80E1E"/>
    <w:rsid w:val="00A813F0"/>
    <w:rsid w:val="00A82402"/>
    <w:rsid w:val="00A82EC1"/>
    <w:rsid w:val="00A852EC"/>
    <w:rsid w:val="00A855D7"/>
    <w:rsid w:val="00A85D11"/>
    <w:rsid w:val="00A862D3"/>
    <w:rsid w:val="00A90031"/>
    <w:rsid w:val="00A900DF"/>
    <w:rsid w:val="00A90345"/>
    <w:rsid w:val="00A906AF"/>
    <w:rsid w:val="00A907A6"/>
    <w:rsid w:val="00A90F04"/>
    <w:rsid w:val="00A9156D"/>
    <w:rsid w:val="00A917CF"/>
    <w:rsid w:val="00A91D26"/>
    <w:rsid w:val="00A91DBC"/>
    <w:rsid w:val="00A91DE5"/>
    <w:rsid w:val="00A92BB0"/>
    <w:rsid w:val="00A93767"/>
    <w:rsid w:val="00A94178"/>
    <w:rsid w:val="00A94552"/>
    <w:rsid w:val="00A94EA7"/>
    <w:rsid w:val="00A95926"/>
    <w:rsid w:val="00A95B33"/>
    <w:rsid w:val="00A95D57"/>
    <w:rsid w:val="00A96294"/>
    <w:rsid w:val="00A96A1D"/>
    <w:rsid w:val="00A97FB9"/>
    <w:rsid w:val="00AA0284"/>
    <w:rsid w:val="00AA040A"/>
    <w:rsid w:val="00AA0467"/>
    <w:rsid w:val="00AA100E"/>
    <w:rsid w:val="00AA1056"/>
    <w:rsid w:val="00AA1168"/>
    <w:rsid w:val="00AA2143"/>
    <w:rsid w:val="00AA2381"/>
    <w:rsid w:val="00AA23E3"/>
    <w:rsid w:val="00AA277E"/>
    <w:rsid w:val="00AA2B7A"/>
    <w:rsid w:val="00AA35C7"/>
    <w:rsid w:val="00AA3D66"/>
    <w:rsid w:val="00AA4726"/>
    <w:rsid w:val="00AA4BA3"/>
    <w:rsid w:val="00AA5BB4"/>
    <w:rsid w:val="00AA6101"/>
    <w:rsid w:val="00AA6AEF"/>
    <w:rsid w:val="00AA795D"/>
    <w:rsid w:val="00AB07AB"/>
    <w:rsid w:val="00AB1165"/>
    <w:rsid w:val="00AB148B"/>
    <w:rsid w:val="00AB15AA"/>
    <w:rsid w:val="00AB22B9"/>
    <w:rsid w:val="00AB3423"/>
    <w:rsid w:val="00AB3894"/>
    <w:rsid w:val="00AB61EC"/>
    <w:rsid w:val="00AB65B0"/>
    <w:rsid w:val="00AB7564"/>
    <w:rsid w:val="00AB7B5F"/>
    <w:rsid w:val="00AB7EB8"/>
    <w:rsid w:val="00AC06E2"/>
    <w:rsid w:val="00AC0DC9"/>
    <w:rsid w:val="00AC195B"/>
    <w:rsid w:val="00AC21CE"/>
    <w:rsid w:val="00AC27AA"/>
    <w:rsid w:val="00AC30B2"/>
    <w:rsid w:val="00AC3637"/>
    <w:rsid w:val="00AC3BC8"/>
    <w:rsid w:val="00AC4071"/>
    <w:rsid w:val="00AC4978"/>
    <w:rsid w:val="00AC5255"/>
    <w:rsid w:val="00AC5737"/>
    <w:rsid w:val="00AC57B7"/>
    <w:rsid w:val="00AC58E1"/>
    <w:rsid w:val="00AC5A68"/>
    <w:rsid w:val="00AC6330"/>
    <w:rsid w:val="00AC65F5"/>
    <w:rsid w:val="00AC759D"/>
    <w:rsid w:val="00AD01AD"/>
    <w:rsid w:val="00AD0742"/>
    <w:rsid w:val="00AD0B98"/>
    <w:rsid w:val="00AD1FF0"/>
    <w:rsid w:val="00AD22B9"/>
    <w:rsid w:val="00AD30C9"/>
    <w:rsid w:val="00AD4040"/>
    <w:rsid w:val="00AD6BD2"/>
    <w:rsid w:val="00AD7608"/>
    <w:rsid w:val="00AD7621"/>
    <w:rsid w:val="00AD7DB6"/>
    <w:rsid w:val="00AE0143"/>
    <w:rsid w:val="00AE0AFE"/>
    <w:rsid w:val="00AE1771"/>
    <w:rsid w:val="00AE1DF4"/>
    <w:rsid w:val="00AE20DD"/>
    <w:rsid w:val="00AE278F"/>
    <w:rsid w:val="00AE3384"/>
    <w:rsid w:val="00AE3641"/>
    <w:rsid w:val="00AE394F"/>
    <w:rsid w:val="00AE3BA2"/>
    <w:rsid w:val="00AE42FA"/>
    <w:rsid w:val="00AE4E65"/>
    <w:rsid w:val="00AE523D"/>
    <w:rsid w:val="00AE5C2B"/>
    <w:rsid w:val="00AE5E6A"/>
    <w:rsid w:val="00AE6270"/>
    <w:rsid w:val="00AE6897"/>
    <w:rsid w:val="00AE7397"/>
    <w:rsid w:val="00AF0D2F"/>
    <w:rsid w:val="00AF11FA"/>
    <w:rsid w:val="00AF1431"/>
    <w:rsid w:val="00AF1633"/>
    <w:rsid w:val="00AF184D"/>
    <w:rsid w:val="00AF2628"/>
    <w:rsid w:val="00AF2911"/>
    <w:rsid w:val="00AF2D4F"/>
    <w:rsid w:val="00AF4AB5"/>
    <w:rsid w:val="00AF56A9"/>
    <w:rsid w:val="00AF5E4E"/>
    <w:rsid w:val="00AF674E"/>
    <w:rsid w:val="00AF6D57"/>
    <w:rsid w:val="00AF6E55"/>
    <w:rsid w:val="00AF79C9"/>
    <w:rsid w:val="00AF7EC9"/>
    <w:rsid w:val="00B00955"/>
    <w:rsid w:val="00B0097B"/>
    <w:rsid w:val="00B02EB3"/>
    <w:rsid w:val="00B038D9"/>
    <w:rsid w:val="00B04013"/>
    <w:rsid w:val="00B04401"/>
    <w:rsid w:val="00B04946"/>
    <w:rsid w:val="00B06AD6"/>
    <w:rsid w:val="00B06AE9"/>
    <w:rsid w:val="00B06D54"/>
    <w:rsid w:val="00B0713E"/>
    <w:rsid w:val="00B105A5"/>
    <w:rsid w:val="00B107C4"/>
    <w:rsid w:val="00B10B6A"/>
    <w:rsid w:val="00B10EEB"/>
    <w:rsid w:val="00B11E97"/>
    <w:rsid w:val="00B1248E"/>
    <w:rsid w:val="00B126DF"/>
    <w:rsid w:val="00B1367D"/>
    <w:rsid w:val="00B14340"/>
    <w:rsid w:val="00B147E0"/>
    <w:rsid w:val="00B17032"/>
    <w:rsid w:val="00B17536"/>
    <w:rsid w:val="00B2084F"/>
    <w:rsid w:val="00B20DC5"/>
    <w:rsid w:val="00B229F8"/>
    <w:rsid w:val="00B23967"/>
    <w:rsid w:val="00B24917"/>
    <w:rsid w:val="00B256B2"/>
    <w:rsid w:val="00B257FE"/>
    <w:rsid w:val="00B25993"/>
    <w:rsid w:val="00B27ECC"/>
    <w:rsid w:val="00B30047"/>
    <w:rsid w:val="00B301A1"/>
    <w:rsid w:val="00B30C58"/>
    <w:rsid w:val="00B32359"/>
    <w:rsid w:val="00B3245B"/>
    <w:rsid w:val="00B331A9"/>
    <w:rsid w:val="00B34888"/>
    <w:rsid w:val="00B34A54"/>
    <w:rsid w:val="00B3531E"/>
    <w:rsid w:val="00B3561F"/>
    <w:rsid w:val="00B35D8E"/>
    <w:rsid w:val="00B36BFF"/>
    <w:rsid w:val="00B36EE4"/>
    <w:rsid w:val="00B3723E"/>
    <w:rsid w:val="00B373E8"/>
    <w:rsid w:val="00B4063E"/>
    <w:rsid w:val="00B40FD7"/>
    <w:rsid w:val="00B41353"/>
    <w:rsid w:val="00B414D0"/>
    <w:rsid w:val="00B41B6D"/>
    <w:rsid w:val="00B41D2D"/>
    <w:rsid w:val="00B42AAB"/>
    <w:rsid w:val="00B42CA5"/>
    <w:rsid w:val="00B42EA3"/>
    <w:rsid w:val="00B42F23"/>
    <w:rsid w:val="00B4314C"/>
    <w:rsid w:val="00B432A2"/>
    <w:rsid w:val="00B4338D"/>
    <w:rsid w:val="00B442A0"/>
    <w:rsid w:val="00B44F39"/>
    <w:rsid w:val="00B4562D"/>
    <w:rsid w:val="00B45B7F"/>
    <w:rsid w:val="00B46382"/>
    <w:rsid w:val="00B46597"/>
    <w:rsid w:val="00B4687E"/>
    <w:rsid w:val="00B4691C"/>
    <w:rsid w:val="00B46AA9"/>
    <w:rsid w:val="00B46ADF"/>
    <w:rsid w:val="00B47FD8"/>
    <w:rsid w:val="00B50BA0"/>
    <w:rsid w:val="00B51E11"/>
    <w:rsid w:val="00B545FD"/>
    <w:rsid w:val="00B549A4"/>
    <w:rsid w:val="00B54F30"/>
    <w:rsid w:val="00B55904"/>
    <w:rsid w:val="00B56053"/>
    <w:rsid w:val="00B577E4"/>
    <w:rsid w:val="00B604CA"/>
    <w:rsid w:val="00B60F68"/>
    <w:rsid w:val="00B6118B"/>
    <w:rsid w:val="00B61455"/>
    <w:rsid w:val="00B61541"/>
    <w:rsid w:val="00B62596"/>
    <w:rsid w:val="00B6298C"/>
    <w:rsid w:val="00B62CA3"/>
    <w:rsid w:val="00B630A3"/>
    <w:rsid w:val="00B63B63"/>
    <w:rsid w:val="00B63E15"/>
    <w:rsid w:val="00B65619"/>
    <w:rsid w:val="00B65F7D"/>
    <w:rsid w:val="00B663DF"/>
    <w:rsid w:val="00B67BE9"/>
    <w:rsid w:val="00B67D29"/>
    <w:rsid w:val="00B70532"/>
    <w:rsid w:val="00B70A85"/>
    <w:rsid w:val="00B71105"/>
    <w:rsid w:val="00B724F3"/>
    <w:rsid w:val="00B7315D"/>
    <w:rsid w:val="00B739C4"/>
    <w:rsid w:val="00B73F25"/>
    <w:rsid w:val="00B741B2"/>
    <w:rsid w:val="00B744A2"/>
    <w:rsid w:val="00B74CCB"/>
    <w:rsid w:val="00B74F31"/>
    <w:rsid w:val="00B74F96"/>
    <w:rsid w:val="00B74FE8"/>
    <w:rsid w:val="00B75047"/>
    <w:rsid w:val="00B75E1A"/>
    <w:rsid w:val="00B7667E"/>
    <w:rsid w:val="00B768AB"/>
    <w:rsid w:val="00B7773B"/>
    <w:rsid w:val="00B77843"/>
    <w:rsid w:val="00B77934"/>
    <w:rsid w:val="00B80413"/>
    <w:rsid w:val="00B8151D"/>
    <w:rsid w:val="00B81D08"/>
    <w:rsid w:val="00B823F6"/>
    <w:rsid w:val="00B82B19"/>
    <w:rsid w:val="00B83D45"/>
    <w:rsid w:val="00B84363"/>
    <w:rsid w:val="00B84BD7"/>
    <w:rsid w:val="00B864DE"/>
    <w:rsid w:val="00B868E3"/>
    <w:rsid w:val="00B86D3C"/>
    <w:rsid w:val="00B86D85"/>
    <w:rsid w:val="00B86E1A"/>
    <w:rsid w:val="00B879BD"/>
    <w:rsid w:val="00B9016C"/>
    <w:rsid w:val="00B90B25"/>
    <w:rsid w:val="00B90DDB"/>
    <w:rsid w:val="00B91D73"/>
    <w:rsid w:val="00B94796"/>
    <w:rsid w:val="00B947A5"/>
    <w:rsid w:val="00B948A3"/>
    <w:rsid w:val="00B94AE2"/>
    <w:rsid w:val="00B9598B"/>
    <w:rsid w:val="00B95D31"/>
    <w:rsid w:val="00B9626B"/>
    <w:rsid w:val="00B97E08"/>
    <w:rsid w:val="00BA12B1"/>
    <w:rsid w:val="00BA1611"/>
    <w:rsid w:val="00BA1D5E"/>
    <w:rsid w:val="00BA23E6"/>
    <w:rsid w:val="00BA29F7"/>
    <w:rsid w:val="00BA2F17"/>
    <w:rsid w:val="00BA49C8"/>
    <w:rsid w:val="00BA514D"/>
    <w:rsid w:val="00BA567B"/>
    <w:rsid w:val="00BA61A3"/>
    <w:rsid w:val="00BA6B74"/>
    <w:rsid w:val="00BA7E4E"/>
    <w:rsid w:val="00BB05C3"/>
    <w:rsid w:val="00BB181D"/>
    <w:rsid w:val="00BB1B12"/>
    <w:rsid w:val="00BB1CE5"/>
    <w:rsid w:val="00BB1DD5"/>
    <w:rsid w:val="00BB1E16"/>
    <w:rsid w:val="00BB37BE"/>
    <w:rsid w:val="00BB559A"/>
    <w:rsid w:val="00BB5D49"/>
    <w:rsid w:val="00BB7E44"/>
    <w:rsid w:val="00BC00B0"/>
    <w:rsid w:val="00BC0116"/>
    <w:rsid w:val="00BC2269"/>
    <w:rsid w:val="00BC270D"/>
    <w:rsid w:val="00BC33FC"/>
    <w:rsid w:val="00BC4CB2"/>
    <w:rsid w:val="00BC4F6A"/>
    <w:rsid w:val="00BC509B"/>
    <w:rsid w:val="00BC64AE"/>
    <w:rsid w:val="00BC698E"/>
    <w:rsid w:val="00BC6BA9"/>
    <w:rsid w:val="00BC6BDB"/>
    <w:rsid w:val="00BC7EB4"/>
    <w:rsid w:val="00BD0ABB"/>
    <w:rsid w:val="00BD0B78"/>
    <w:rsid w:val="00BD0CB7"/>
    <w:rsid w:val="00BD0EDA"/>
    <w:rsid w:val="00BD0FB5"/>
    <w:rsid w:val="00BD2391"/>
    <w:rsid w:val="00BD387F"/>
    <w:rsid w:val="00BD4A08"/>
    <w:rsid w:val="00BD4D35"/>
    <w:rsid w:val="00BD5700"/>
    <w:rsid w:val="00BD691D"/>
    <w:rsid w:val="00BD7F9B"/>
    <w:rsid w:val="00BE0493"/>
    <w:rsid w:val="00BE0544"/>
    <w:rsid w:val="00BE0849"/>
    <w:rsid w:val="00BE143A"/>
    <w:rsid w:val="00BE1879"/>
    <w:rsid w:val="00BE1FB9"/>
    <w:rsid w:val="00BE227A"/>
    <w:rsid w:val="00BE2799"/>
    <w:rsid w:val="00BE28FC"/>
    <w:rsid w:val="00BE394C"/>
    <w:rsid w:val="00BE3ADA"/>
    <w:rsid w:val="00BE3F99"/>
    <w:rsid w:val="00BE4745"/>
    <w:rsid w:val="00BE49C7"/>
    <w:rsid w:val="00BE6464"/>
    <w:rsid w:val="00BE6D77"/>
    <w:rsid w:val="00BE70CE"/>
    <w:rsid w:val="00BE7195"/>
    <w:rsid w:val="00BF08B6"/>
    <w:rsid w:val="00BF1092"/>
    <w:rsid w:val="00BF314D"/>
    <w:rsid w:val="00BF344B"/>
    <w:rsid w:val="00BF4CB2"/>
    <w:rsid w:val="00BF5099"/>
    <w:rsid w:val="00BF5A7B"/>
    <w:rsid w:val="00BF5BEA"/>
    <w:rsid w:val="00BF6A1B"/>
    <w:rsid w:val="00BF70F0"/>
    <w:rsid w:val="00BF7A5D"/>
    <w:rsid w:val="00BF7BAC"/>
    <w:rsid w:val="00C00EEA"/>
    <w:rsid w:val="00C012E1"/>
    <w:rsid w:val="00C01CAD"/>
    <w:rsid w:val="00C03FB9"/>
    <w:rsid w:val="00C044AA"/>
    <w:rsid w:val="00C04660"/>
    <w:rsid w:val="00C050D9"/>
    <w:rsid w:val="00C0585F"/>
    <w:rsid w:val="00C06CE9"/>
    <w:rsid w:val="00C07472"/>
    <w:rsid w:val="00C07C8E"/>
    <w:rsid w:val="00C1063D"/>
    <w:rsid w:val="00C10AA7"/>
    <w:rsid w:val="00C111A7"/>
    <w:rsid w:val="00C115FA"/>
    <w:rsid w:val="00C11FAE"/>
    <w:rsid w:val="00C12736"/>
    <w:rsid w:val="00C13399"/>
    <w:rsid w:val="00C138FA"/>
    <w:rsid w:val="00C13B5D"/>
    <w:rsid w:val="00C13ECD"/>
    <w:rsid w:val="00C143D4"/>
    <w:rsid w:val="00C1455C"/>
    <w:rsid w:val="00C14EB0"/>
    <w:rsid w:val="00C1513A"/>
    <w:rsid w:val="00C16489"/>
    <w:rsid w:val="00C169C4"/>
    <w:rsid w:val="00C16B46"/>
    <w:rsid w:val="00C16FE3"/>
    <w:rsid w:val="00C171AB"/>
    <w:rsid w:val="00C173CC"/>
    <w:rsid w:val="00C1740D"/>
    <w:rsid w:val="00C17853"/>
    <w:rsid w:val="00C17922"/>
    <w:rsid w:val="00C179C6"/>
    <w:rsid w:val="00C20175"/>
    <w:rsid w:val="00C214FE"/>
    <w:rsid w:val="00C218E4"/>
    <w:rsid w:val="00C21AE1"/>
    <w:rsid w:val="00C21EAA"/>
    <w:rsid w:val="00C2233F"/>
    <w:rsid w:val="00C23BD7"/>
    <w:rsid w:val="00C2462A"/>
    <w:rsid w:val="00C24C63"/>
    <w:rsid w:val="00C24D0B"/>
    <w:rsid w:val="00C268EB"/>
    <w:rsid w:val="00C26DCF"/>
    <w:rsid w:val="00C300FB"/>
    <w:rsid w:val="00C302F8"/>
    <w:rsid w:val="00C305FC"/>
    <w:rsid w:val="00C3066E"/>
    <w:rsid w:val="00C30882"/>
    <w:rsid w:val="00C3159F"/>
    <w:rsid w:val="00C318C5"/>
    <w:rsid w:val="00C31AB3"/>
    <w:rsid w:val="00C31BDC"/>
    <w:rsid w:val="00C332A4"/>
    <w:rsid w:val="00C3330D"/>
    <w:rsid w:val="00C33324"/>
    <w:rsid w:val="00C3346B"/>
    <w:rsid w:val="00C337BF"/>
    <w:rsid w:val="00C3396C"/>
    <w:rsid w:val="00C34080"/>
    <w:rsid w:val="00C344EB"/>
    <w:rsid w:val="00C3471E"/>
    <w:rsid w:val="00C34859"/>
    <w:rsid w:val="00C34E76"/>
    <w:rsid w:val="00C34F80"/>
    <w:rsid w:val="00C35097"/>
    <w:rsid w:val="00C351AF"/>
    <w:rsid w:val="00C37E3D"/>
    <w:rsid w:val="00C37F71"/>
    <w:rsid w:val="00C40A89"/>
    <w:rsid w:val="00C41D0F"/>
    <w:rsid w:val="00C41DAC"/>
    <w:rsid w:val="00C42352"/>
    <w:rsid w:val="00C42758"/>
    <w:rsid w:val="00C42E5D"/>
    <w:rsid w:val="00C44009"/>
    <w:rsid w:val="00C44241"/>
    <w:rsid w:val="00C44F79"/>
    <w:rsid w:val="00C451CA"/>
    <w:rsid w:val="00C4550B"/>
    <w:rsid w:val="00C4598F"/>
    <w:rsid w:val="00C459EE"/>
    <w:rsid w:val="00C468B6"/>
    <w:rsid w:val="00C46A29"/>
    <w:rsid w:val="00C46B0E"/>
    <w:rsid w:val="00C46D3E"/>
    <w:rsid w:val="00C47DDC"/>
    <w:rsid w:val="00C47DF4"/>
    <w:rsid w:val="00C47EFD"/>
    <w:rsid w:val="00C500A3"/>
    <w:rsid w:val="00C51942"/>
    <w:rsid w:val="00C521BF"/>
    <w:rsid w:val="00C54857"/>
    <w:rsid w:val="00C55533"/>
    <w:rsid w:val="00C557D1"/>
    <w:rsid w:val="00C55883"/>
    <w:rsid w:val="00C55A68"/>
    <w:rsid w:val="00C55BD8"/>
    <w:rsid w:val="00C55F06"/>
    <w:rsid w:val="00C560B4"/>
    <w:rsid w:val="00C56CBE"/>
    <w:rsid w:val="00C60517"/>
    <w:rsid w:val="00C61166"/>
    <w:rsid w:val="00C61720"/>
    <w:rsid w:val="00C61FD7"/>
    <w:rsid w:val="00C62202"/>
    <w:rsid w:val="00C6231F"/>
    <w:rsid w:val="00C631BD"/>
    <w:rsid w:val="00C65189"/>
    <w:rsid w:val="00C65BCC"/>
    <w:rsid w:val="00C6604F"/>
    <w:rsid w:val="00C66114"/>
    <w:rsid w:val="00C7138B"/>
    <w:rsid w:val="00C71798"/>
    <w:rsid w:val="00C71D0B"/>
    <w:rsid w:val="00C71FCE"/>
    <w:rsid w:val="00C738E1"/>
    <w:rsid w:val="00C7402B"/>
    <w:rsid w:val="00C74031"/>
    <w:rsid w:val="00C740DD"/>
    <w:rsid w:val="00C7425E"/>
    <w:rsid w:val="00C74521"/>
    <w:rsid w:val="00C74EC2"/>
    <w:rsid w:val="00C7546E"/>
    <w:rsid w:val="00C759B6"/>
    <w:rsid w:val="00C77D70"/>
    <w:rsid w:val="00C81800"/>
    <w:rsid w:val="00C82A84"/>
    <w:rsid w:val="00C82D1B"/>
    <w:rsid w:val="00C869E6"/>
    <w:rsid w:val="00C872B9"/>
    <w:rsid w:val="00C91147"/>
    <w:rsid w:val="00C91C95"/>
    <w:rsid w:val="00C91CDF"/>
    <w:rsid w:val="00C922E1"/>
    <w:rsid w:val="00C92499"/>
    <w:rsid w:val="00C9486D"/>
    <w:rsid w:val="00C95123"/>
    <w:rsid w:val="00C954A9"/>
    <w:rsid w:val="00C95A76"/>
    <w:rsid w:val="00C962AF"/>
    <w:rsid w:val="00C96F30"/>
    <w:rsid w:val="00CA007E"/>
    <w:rsid w:val="00CA142C"/>
    <w:rsid w:val="00CA1601"/>
    <w:rsid w:val="00CA1EBD"/>
    <w:rsid w:val="00CA2078"/>
    <w:rsid w:val="00CA2802"/>
    <w:rsid w:val="00CA293A"/>
    <w:rsid w:val="00CA4312"/>
    <w:rsid w:val="00CA4D79"/>
    <w:rsid w:val="00CA539D"/>
    <w:rsid w:val="00CA57F7"/>
    <w:rsid w:val="00CA595A"/>
    <w:rsid w:val="00CA5A26"/>
    <w:rsid w:val="00CA5FFA"/>
    <w:rsid w:val="00CA6A8B"/>
    <w:rsid w:val="00CA7244"/>
    <w:rsid w:val="00CA72E1"/>
    <w:rsid w:val="00CA7820"/>
    <w:rsid w:val="00CB0739"/>
    <w:rsid w:val="00CB1974"/>
    <w:rsid w:val="00CB239A"/>
    <w:rsid w:val="00CB2852"/>
    <w:rsid w:val="00CB2C6A"/>
    <w:rsid w:val="00CB3A88"/>
    <w:rsid w:val="00CB4C79"/>
    <w:rsid w:val="00CB4F9E"/>
    <w:rsid w:val="00CB4FD5"/>
    <w:rsid w:val="00CB5B9C"/>
    <w:rsid w:val="00CB5CE0"/>
    <w:rsid w:val="00CB6466"/>
    <w:rsid w:val="00CB70FE"/>
    <w:rsid w:val="00CC0001"/>
    <w:rsid w:val="00CC14F2"/>
    <w:rsid w:val="00CC1672"/>
    <w:rsid w:val="00CC235F"/>
    <w:rsid w:val="00CC333B"/>
    <w:rsid w:val="00CC6F3D"/>
    <w:rsid w:val="00CC7CF1"/>
    <w:rsid w:val="00CD0520"/>
    <w:rsid w:val="00CD2934"/>
    <w:rsid w:val="00CD346A"/>
    <w:rsid w:val="00CD489A"/>
    <w:rsid w:val="00CD62F6"/>
    <w:rsid w:val="00CD7682"/>
    <w:rsid w:val="00CD7840"/>
    <w:rsid w:val="00CD78A6"/>
    <w:rsid w:val="00CD7C92"/>
    <w:rsid w:val="00CE08FC"/>
    <w:rsid w:val="00CE1D9C"/>
    <w:rsid w:val="00CE2FB3"/>
    <w:rsid w:val="00CE3047"/>
    <w:rsid w:val="00CE3315"/>
    <w:rsid w:val="00CE353E"/>
    <w:rsid w:val="00CE389B"/>
    <w:rsid w:val="00CE3AB1"/>
    <w:rsid w:val="00CE552F"/>
    <w:rsid w:val="00CE68F5"/>
    <w:rsid w:val="00CE6D03"/>
    <w:rsid w:val="00CE7279"/>
    <w:rsid w:val="00CE7286"/>
    <w:rsid w:val="00CF0026"/>
    <w:rsid w:val="00CF023D"/>
    <w:rsid w:val="00CF09D3"/>
    <w:rsid w:val="00CF0D24"/>
    <w:rsid w:val="00CF10E6"/>
    <w:rsid w:val="00CF12D8"/>
    <w:rsid w:val="00CF13DA"/>
    <w:rsid w:val="00CF29C1"/>
    <w:rsid w:val="00CF2D99"/>
    <w:rsid w:val="00CF3612"/>
    <w:rsid w:val="00CF45A1"/>
    <w:rsid w:val="00CF4F52"/>
    <w:rsid w:val="00CF5FC5"/>
    <w:rsid w:val="00CF6A03"/>
    <w:rsid w:val="00CF6DEA"/>
    <w:rsid w:val="00CF73FB"/>
    <w:rsid w:val="00D01084"/>
    <w:rsid w:val="00D016BB"/>
    <w:rsid w:val="00D021A2"/>
    <w:rsid w:val="00D026EF"/>
    <w:rsid w:val="00D029F1"/>
    <w:rsid w:val="00D02B2D"/>
    <w:rsid w:val="00D02D31"/>
    <w:rsid w:val="00D044EA"/>
    <w:rsid w:val="00D04640"/>
    <w:rsid w:val="00D06455"/>
    <w:rsid w:val="00D1127D"/>
    <w:rsid w:val="00D11E8B"/>
    <w:rsid w:val="00D12381"/>
    <w:rsid w:val="00D14185"/>
    <w:rsid w:val="00D14E7A"/>
    <w:rsid w:val="00D15A1F"/>
    <w:rsid w:val="00D15DD1"/>
    <w:rsid w:val="00D16629"/>
    <w:rsid w:val="00D1720C"/>
    <w:rsid w:val="00D17940"/>
    <w:rsid w:val="00D20801"/>
    <w:rsid w:val="00D21530"/>
    <w:rsid w:val="00D216AA"/>
    <w:rsid w:val="00D21C8C"/>
    <w:rsid w:val="00D224B9"/>
    <w:rsid w:val="00D22AC4"/>
    <w:rsid w:val="00D22C3E"/>
    <w:rsid w:val="00D231E5"/>
    <w:rsid w:val="00D23452"/>
    <w:rsid w:val="00D23812"/>
    <w:rsid w:val="00D24EBD"/>
    <w:rsid w:val="00D25563"/>
    <w:rsid w:val="00D2599F"/>
    <w:rsid w:val="00D25D4F"/>
    <w:rsid w:val="00D26025"/>
    <w:rsid w:val="00D263E5"/>
    <w:rsid w:val="00D269ED"/>
    <w:rsid w:val="00D26A90"/>
    <w:rsid w:val="00D26E3D"/>
    <w:rsid w:val="00D2716C"/>
    <w:rsid w:val="00D301D6"/>
    <w:rsid w:val="00D304BB"/>
    <w:rsid w:val="00D3083C"/>
    <w:rsid w:val="00D31078"/>
    <w:rsid w:val="00D3109D"/>
    <w:rsid w:val="00D31651"/>
    <w:rsid w:val="00D324A1"/>
    <w:rsid w:val="00D324EC"/>
    <w:rsid w:val="00D3254F"/>
    <w:rsid w:val="00D33738"/>
    <w:rsid w:val="00D34076"/>
    <w:rsid w:val="00D34BD4"/>
    <w:rsid w:val="00D351CE"/>
    <w:rsid w:val="00D35FF6"/>
    <w:rsid w:val="00D41089"/>
    <w:rsid w:val="00D410B3"/>
    <w:rsid w:val="00D41962"/>
    <w:rsid w:val="00D41CB3"/>
    <w:rsid w:val="00D42041"/>
    <w:rsid w:val="00D421C4"/>
    <w:rsid w:val="00D42736"/>
    <w:rsid w:val="00D43BC8"/>
    <w:rsid w:val="00D440B6"/>
    <w:rsid w:val="00D44698"/>
    <w:rsid w:val="00D4494F"/>
    <w:rsid w:val="00D461AB"/>
    <w:rsid w:val="00D46BA8"/>
    <w:rsid w:val="00D4792F"/>
    <w:rsid w:val="00D50307"/>
    <w:rsid w:val="00D503DB"/>
    <w:rsid w:val="00D506A3"/>
    <w:rsid w:val="00D506E0"/>
    <w:rsid w:val="00D50C80"/>
    <w:rsid w:val="00D510BD"/>
    <w:rsid w:val="00D517C1"/>
    <w:rsid w:val="00D523DB"/>
    <w:rsid w:val="00D524B5"/>
    <w:rsid w:val="00D52558"/>
    <w:rsid w:val="00D5293D"/>
    <w:rsid w:val="00D5307A"/>
    <w:rsid w:val="00D53DB6"/>
    <w:rsid w:val="00D54302"/>
    <w:rsid w:val="00D551FF"/>
    <w:rsid w:val="00D55486"/>
    <w:rsid w:val="00D56A92"/>
    <w:rsid w:val="00D56DA3"/>
    <w:rsid w:val="00D57689"/>
    <w:rsid w:val="00D604C2"/>
    <w:rsid w:val="00D6089C"/>
    <w:rsid w:val="00D62CA1"/>
    <w:rsid w:val="00D63C89"/>
    <w:rsid w:val="00D647AA"/>
    <w:rsid w:val="00D64926"/>
    <w:rsid w:val="00D64F5A"/>
    <w:rsid w:val="00D650B4"/>
    <w:rsid w:val="00D65795"/>
    <w:rsid w:val="00D710E6"/>
    <w:rsid w:val="00D7117D"/>
    <w:rsid w:val="00D71CEF"/>
    <w:rsid w:val="00D71DEC"/>
    <w:rsid w:val="00D7231E"/>
    <w:rsid w:val="00D7315B"/>
    <w:rsid w:val="00D737D1"/>
    <w:rsid w:val="00D745FF"/>
    <w:rsid w:val="00D748C7"/>
    <w:rsid w:val="00D7531B"/>
    <w:rsid w:val="00D754FF"/>
    <w:rsid w:val="00D75935"/>
    <w:rsid w:val="00D7600F"/>
    <w:rsid w:val="00D76670"/>
    <w:rsid w:val="00D76DBD"/>
    <w:rsid w:val="00D76EDA"/>
    <w:rsid w:val="00D77015"/>
    <w:rsid w:val="00D7762A"/>
    <w:rsid w:val="00D802B8"/>
    <w:rsid w:val="00D81091"/>
    <w:rsid w:val="00D84F8F"/>
    <w:rsid w:val="00D851F3"/>
    <w:rsid w:val="00D855EC"/>
    <w:rsid w:val="00D857E0"/>
    <w:rsid w:val="00D85C1E"/>
    <w:rsid w:val="00D85C65"/>
    <w:rsid w:val="00D85DD4"/>
    <w:rsid w:val="00D8775A"/>
    <w:rsid w:val="00D87E69"/>
    <w:rsid w:val="00D87EA6"/>
    <w:rsid w:val="00D9067A"/>
    <w:rsid w:val="00D90A17"/>
    <w:rsid w:val="00D91AA5"/>
    <w:rsid w:val="00D91DEF"/>
    <w:rsid w:val="00D92138"/>
    <w:rsid w:val="00D925FB"/>
    <w:rsid w:val="00D928F0"/>
    <w:rsid w:val="00D92A90"/>
    <w:rsid w:val="00D93225"/>
    <w:rsid w:val="00D93B3A"/>
    <w:rsid w:val="00D9403F"/>
    <w:rsid w:val="00D9454D"/>
    <w:rsid w:val="00D94F07"/>
    <w:rsid w:val="00D94F0F"/>
    <w:rsid w:val="00D9514C"/>
    <w:rsid w:val="00D96014"/>
    <w:rsid w:val="00D96409"/>
    <w:rsid w:val="00D97CD8"/>
    <w:rsid w:val="00D97F24"/>
    <w:rsid w:val="00DA0BA1"/>
    <w:rsid w:val="00DA152C"/>
    <w:rsid w:val="00DA1E29"/>
    <w:rsid w:val="00DA4D0D"/>
    <w:rsid w:val="00DA5527"/>
    <w:rsid w:val="00DA7164"/>
    <w:rsid w:val="00DA79A0"/>
    <w:rsid w:val="00DA7FD0"/>
    <w:rsid w:val="00DB0B31"/>
    <w:rsid w:val="00DB13AB"/>
    <w:rsid w:val="00DB1414"/>
    <w:rsid w:val="00DB14B6"/>
    <w:rsid w:val="00DB19B9"/>
    <w:rsid w:val="00DB1A6A"/>
    <w:rsid w:val="00DB1B89"/>
    <w:rsid w:val="00DB2651"/>
    <w:rsid w:val="00DB26A1"/>
    <w:rsid w:val="00DB3AD5"/>
    <w:rsid w:val="00DB3DC6"/>
    <w:rsid w:val="00DB4AB3"/>
    <w:rsid w:val="00DB55E4"/>
    <w:rsid w:val="00DB5D81"/>
    <w:rsid w:val="00DB6065"/>
    <w:rsid w:val="00DB6535"/>
    <w:rsid w:val="00DB6564"/>
    <w:rsid w:val="00DB65C9"/>
    <w:rsid w:val="00DB6F97"/>
    <w:rsid w:val="00DB7239"/>
    <w:rsid w:val="00DC0041"/>
    <w:rsid w:val="00DC0597"/>
    <w:rsid w:val="00DC119F"/>
    <w:rsid w:val="00DC126D"/>
    <w:rsid w:val="00DC163B"/>
    <w:rsid w:val="00DC1CFB"/>
    <w:rsid w:val="00DC24BC"/>
    <w:rsid w:val="00DC2789"/>
    <w:rsid w:val="00DC2E3B"/>
    <w:rsid w:val="00DC3287"/>
    <w:rsid w:val="00DC3FCF"/>
    <w:rsid w:val="00DC4979"/>
    <w:rsid w:val="00DC4A70"/>
    <w:rsid w:val="00DC590F"/>
    <w:rsid w:val="00DC60AA"/>
    <w:rsid w:val="00DC6CFE"/>
    <w:rsid w:val="00DC6F44"/>
    <w:rsid w:val="00DD0140"/>
    <w:rsid w:val="00DD139F"/>
    <w:rsid w:val="00DD1462"/>
    <w:rsid w:val="00DD19C8"/>
    <w:rsid w:val="00DD1ADB"/>
    <w:rsid w:val="00DD201D"/>
    <w:rsid w:val="00DD2672"/>
    <w:rsid w:val="00DD2B28"/>
    <w:rsid w:val="00DD2B7D"/>
    <w:rsid w:val="00DD300F"/>
    <w:rsid w:val="00DD33C5"/>
    <w:rsid w:val="00DD3681"/>
    <w:rsid w:val="00DD3AB7"/>
    <w:rsid w:val="00DD3C9D"/>
    <w:rsid w:val="00DD4A68"/>
    <w:rsid w:val="00DD5D2A"/>
    <w:rsid w:val="00DD695C"/>
    <w:rsid w:val="00DE0696"/>
    <w:rsid w:val="00DE2383"/>
    <w:rsid w:val="00DE4F0B"/>
    <w:rsid w:val="00DE4FCA"/>
    <w:rsid w:val="00DE5230"/>
    <w:rsid w:val="00DE5A22"/>
    <w:rsid w:val="00DE6078"/>
    <w:rsid w:val="00DE638E"/>
    <w:rsid w:val="00DF0622"/>
    <w:rsid w:val="00DF16B0"/>
    <w:rsid w:val="00DF16E8"/>
    <w:rsid w:val="00DF1F89"/>
    <w:rsid w:val="00DF21F0"/>
    <w:rsid w:val="00DF40E6"/>
    <w:rsid w:val="00DF48FC"/>
    <w:rsid w:val="00DF5584"/>
    <w:rsid w:val="00DF5846"/>
    <w:rsid w:val="00DF621B"/>
    <w:rsid w:val="00DF6750"/>
    <w:rsid w:val="00DF75FD"/>
    <w:rsid w:val="00E00E10"/>
    <w:rsid w:val="00E00F34"/>
    <w:rsid w:val="00E01132"/>
    <w:rsid w:val="00E02078"/>
    <w:rsid w:val="00E0335F"/>
    <w:rsid w:val="00E034C5"/>
    <w:rsid w:val="00E0370E"/>
    <w:rsid w:val="00E03BB9"/>
    <w:rsid w:val="00E03E4E"/>
    <w:rsid w:val="00E04058"/>
    <w:rsid w:val="00E0421F"/>
    <w:rsid w:val="00E04EBD"/>
    <w:rsid w:val="00E05836"/>
    <w:rsid w:val="00E05EB1"/>
    <w:rsid w:val="00E063E7"/>
    <w:rsid w:val="00E06933"/>
    <w:rsid w:val="00E06C3C"/>
    <w:rsid w:val="00E07136"/>
    <w:rsid w:val="00E07524"/>
    <w:rsid w:val="00E07910"/>
    <w:rsid w:val="00E1016C"/>
    <w:rsid w:val="00E103DA"/>
    <w:rsid w:val="00E10825"/>
    <w:rsid w:val="00E10A9B"/>
    <w:rsid w:val="00E12064"/>
    <w:rsid w:val="00E123F9"/>
    <w:rsid w:val="00E12C7C"/>
    <w:rsid w:val="00E13118"/>
    <w:rsid w:val="00E1423D"/>
    <w:rsid w:val="00E1549C"/>
    <w:rsid w:val="00E15792"/>
    <w:rsid w:val="00E1590D"/>
    <w:rsid w:val="00E16BC4"/>
    <w:rsid w:val="00E174E6"/>
    <w:rsid w:val="00E1763C"/>
    <w:rsid w:val="00E17AB5"/>
    <w:rsid w:val="00E17C26"/>
    <w:rsid w:val="00E20258"/>
    <w:rsid w:val="00E20CC2"/>
    <w:rsid w:val="00E225E8"/>
    <w:rsid w:val="00E2266D"/>
    <w:rsid w:val="00E22C14"/>
    <w:rsid w:val="00E24688"/>
    <w:rsid w:val="00E24A7E"/>
    <w:rsid w:val="00E25798"/>
    <w:rsid w:val="00E258D2"/>
    <w:rsid w:val="00E26128"/>
    <w:rsid w:val="00E2671C"/>
    <w:rsid w:val="00E26A86"/>
    <w:rsid w:val="00E27F89"/>
    <w:rsid w:val="00E3016A"/>
    <w:rsid w:val="00E306D7"/>
    <w:rsid w:val="00E31A29"/>
    <w:rsid w:val="00E3298B"/>
    <w:rsid w:val="00E32D81"/>
    <w:rsid w:val="00E330D7"/>
    <w:rsid w:val="00E342FA"/>
    <w:rsid w:val="00E35332"/>
    <w:rsid w:val="00E35AFA"/>
    <w:rsid w:val="00E36082"/>
    <w:rsid w:val="00E3716C"/>
    <w:rsid w:val="00E37D47"/>
    <w:rsid w:val="00E405CE"/>
    <w:rsid w:val="00E41B19"/>
    <w:rsid w:val="00E4242D"/>
    <w:rsid w:val="00E4256D"/>
    <w:rsid w:val="00E4365E"/>
    <w:rsid w:val="00E43A85"/>
    <w:rsid w:val="00E43EEF"/>
    <w:rsid w:val="00E43F22"/>
    <w:rsid w:val="00E445A6"/>
    <w:rsid w:val="00E4475A"/>
    <w:rsid w:val="00E44C00"/>
    <w:rsid w:val="00E4640D"/>
    <w:rsid w:val="00E465D4"/>
    <w:rsid w:val="00E46651"/>
    <w:rsid w:val="00E467E5"/>
    <w:rsid w:val="00E46F5D"/>
    <w:rsid w:val="00E50402"/>
    <w:rsid w:val="00E51C8F"/>
    <w:rsid w:val="00E53C4E"/>
    <w:rsid w:val="00E54D63"/>
    <w:rsid w:val="00E5533B"/>
    <w:rsid w:val="00E55747"/>
    <w:rsid w:val="00E56CBF"/>
    <w:rsid w:val="00E57151"/>
    <w:rsid w:val="00E5788D"/>
    <w:rsid w:val="00E579BA"/>
    <w:rsid w:val="00E606CC"/>
    <w:rsid w:val="00E609F6"/>
    <w:rsid w:val="00E6183C"/>
    <w:rsid w:val="00E6281D"/>
    <w:rsid w:val="00E634C1"/>
    <w:rsid w:val="00E6413E"/>
    <w:rsid w:val="00E65343"/>
    <w:rsid w:val="00E655A8"/>
    <w:rsid w:val="00E66A30"/>
    <w:rsid w:val="00E66C76"/>
    <w:rsid w:val="00E671F7"/>
    <w:rsid w:val="00E673B7"/>
    <w:rsid w:val="00E70634"/>
    <w:rsid w:val="00E70B8D"/>
    <w:rsid w:val="00E71C40"/>
    <w:rsid w:val="00E726E8"/>
    <w:rsid w:val="00E7436A"/>
    <w:rsid w:val="00E75046"/>
    <w:rsid w:val="00E75A8A"/>
    <w:rsid w:val="00E7738C"/>
    <w:rsid w:val="00E7772E"/>
    <w:rsid w:val="00E80375"/>
    <w:rsid w:val="00E807A4"/>
    <w:rsid w:val="00E80F2D"/>
    <w:rsid w:val="00E81E9F"/>
    <w:rsid w:val="00E82D5D"/>
    <w:rsid w:val="00E83CBF"/>
    <w:rsid w:val="00E83D7C"/>
    <w:rsid w:val="00E8474D"/>
    <w:rsid w:val="00E84967"/>
    <w:rsid w:val="00E8514E"/>
    <w:rsid w:val="00E8523A"/>
    <w:rsid w:val="00E85591"/>
    <w:rsid w:val="00E86D0C"/>
    <w:rsid w:val="00E8730C"/>
    <w:rsid w:val="00E87585"/>
    <w:rsid w:val="00E9037E"/>
    <w:rsid w:val="00E91230"/>
    <w:rsid w:val="00E91CD4"/>
    <w:rsid w:val="00E92718"/>
    <w:rsid w:val="00E93579"/>
    <w:rsid w:val="00E93E14"/>
    <w:rsid w:val="00E94C4A"/>
    <w:rsid w:val="00E94F01"/>
    <w:rsid w:val="00E94F8A"/>
    <w:rsid w:val="00E94FE3"/>
    <w:rsid w:val="00E9509E"/>
    <w:rsid w:val="00E96203"/>
    <w:rsid w:val="00E968B3"/>
    <w:rsid w:val="00E96989"/>
    <w:rsid w:val="00E97495"/>
    <w:rsid w:val="00E977E2"/>
    <w:rsid w:val="00E97C1A"/>
    <w:rsid w:val="00EA02E6"/>
    <w:rsid w:val="00EA0DAE"/>
    <w:rsid w:val="00EA1918"/>
    <w:rsid w:val="00EA2E82"/>
    <w:rsid w:val="00EA3A82"/>
    <w:rsid w:val="00EA43CA"/>
    <w:rsid w:val="00EA467C"/>
    <w:rsid w:val="00EA5EA3"/>
    <w:rsid w:val="00EA643B"/>
    <w:rsid w:val="00EA6485"/>
    <w:rsid w:val="00EA6E53"/>
    <w:rsid w:val="00EA74DA"/>
    <w:rsid w:val="00EA7C02"/>
    <w:rsid w:val="00EA7FDB"/>
    <w:rsid w:val="00EB0898"/>
    <w:rsid w:val="00EB0CC0"/>
    <w:rsid w:val="00EB0FB4"/>
    <w:rsid w:val="00EB1162"/>
    <w:rsid w:val="00EB17F4"/>
    <w:rsid w:val="00EB2587"/>
    <w:rsid w:val="00EB32D4"/>
    <w:rsid w:val="00EB39AE"/>
    <w:rsid w:val="00EB4F9F"/>
    <w:rsid w:val="00EB78B3"/>
    <w:rsid w:val="00EB7D96"/>
    <w:rsid w:val="00EC01B2"/>
    <w:rsid w:val="00EC03D5"/>
    <w:rsid w:val="00EC052B"/>
    <w:rsid w:val="00EC068B"/>
    <w:rsid w:val="00EC07D7"/>
    <w:rsid w:val="00EC154A"/>
    <w:rsid w:val="00EC1D9C"/>
    <w:rsid w:val="00EC1DD5"/>
    <w:rsid w:val="00EC1EB8"/>
    <w:rsid w:val="00EC22AA"/>
    <w:rsid w:val="00EC2CBF"/>
    <w:rsid w:val="00EC362E"/>
    <w:rsid w:val="00EC3C23"/>
    <w:rsid w:val="00EC472D"/>
    <w:rsid w:val="00EC47E5"/>
    <w:rsid w:val="00EC526C"/>
    <w:rsid w:val="00EC5DB7"/>
    <w:rsid w:val="00EC5F1D"/>
    <w:rsid w:val="00EC6D57"/>
    <w:rsid w:val="00EC6D7A"/>
    <w:rsid w:val="00EC7229"/>
    <w:rsid w:val="00EC7ADA"/>
    <w:rsid w:val="00EC7E38"/>
    <w:rsid w:val="00EC7E39"/>
    <w:rsid w:val="00ED03EE"/>
    <w:rsid w:val="00ED0992"/>
    <w:rsid w:val="00ED0C4E"/>
    <w:rsid w:val="00ED0CFA"/>
    <w:rsid w:val="00ED2193"/>
    <w:rsid w:val="00ED423A"/>
    <w:rsid w:val="00ED44FA"/>
    <w:rsid w:val="00ED5FA9"/>
    <w:rsid w:val="00ED65EA"/>
    <w:rsid w:val="00ED692B"/>
    <w:rsid w:val="00ED69C9"/>
    <w:rsid w:val="00ED78D3"/>
    <w:rsid w:val="00ED7F21"/>
    <w:rsid w:val="00EE06B0"/>
    <w:rsid w:val="00EE1005"/>
    <w:rsid w:val="00EE10B1"/>
    <w:rsid w:val="00EE1BD0"/>
    <w:rsid w:val="00EE21C3"/>
    <w:rsid w:val="00EE2B5E"/>
    <w:rsid w:val="00EE31A9"/>
    <w:rsid w:val="00EE3F5C"/>
    <w:rsid w:val="00EE4DB1"/>
    <w:rsid w:val="00EE667B"/>
    <w:rsid w:val="00EE7736"/>
    <w:rsid w:val="00EF111F"/>
    <w:rsid w:val="00EF1B3B"/>
    <w:rsid w:val="00EF230A"/>
    <w:rsid w:val="00EF29F9"/>
    <w:rsid w:val="00EF2BA8"/>
    <w:rsid w:val="00EF2EDA"/>
    <w:rsid w:val="00EF3793"/>
    <w:rsid w:val="00EF413D"/>
    <w:rsid w:val="00EF49BE"/>
    <w:rsid w:val="00EF51A1"/>
    <w:rsid w:val="00EF609E"/>
    <w:rsid w:val="00EF68A3"/>
    <w:rsid w:val="00EF69AB"/>
    <w:rsid w:val="00EF6F02"/>
    <w:rsid w:val="00EF70AD"/>
    <w:rsid w:val="00EF77DA"/>
    <w:rsid w:val="00F01081"/>
    <w:rsid w:val="00F01A8E"/>
    <w:rsid w:val="00F02562"/>
    <w:rsid w:val="00F0258E"/>
    <w:rsid w:val="00F0402D"/>
    <w:rsid w:val="00F04141"/>
    <w:rsid w:val="00F04762"/>
    <w:rsid w:val="00F049C5"/>
    <w:rsid w:val="00F04AC3"/>
    <w:rsid w:val="00F04D2A"/>
    <w:rsid w:val="00F05350"/>
    <w:rsid w:val="00F055F6"/>
    <w:rsid w:val="00F057FA"/>
    <w:rsid w:val="00F068FF"/>
    <w:rsid w:val="00F07423"/>
    <w:rsid w:val="00F078C4"/>
    <w:rsid w:val="00F10A66"/>
    <w:rsid w:val="00F110A1"/>
    <w:rsid w:val="00F11514"/>
    <w:rsid w:val="00F116EF"/>
    <w:rsid w:val="00F1212F"/>
    <w:rsid w:val="00F12190"/>
    <w:rsid w:val="00F12396"/>
    <w:rsid w:val="00F133BA"/>
    <w:rsid w:val="00F13908"/>
    <w:rsid w:val="00F13D46"/>
    <w:rsid w:val="00F143B8"/>
    <w:rsid w:val="00F14477"/>
    <w:rsid w:val="00F144A4"/>
    <w:rsid w:val="00F14F2F"/>
    <w:rsid w:val="00F1570D"/>
    <w:rsid w:val="00F16F2C"/>
    <w:rsid w:val="00F17BC1"/>
    <w:rsid w:val="00F17E02"/>
    <w:rsid w:val="00F17E2A"/>
    <w:rsid w:val="00F203A4"/>
    <w:rsid w:val="00F23803"/>
    <w:rsid w:val="00F23A4B"/>
    <w:rsid w:val="00F23FBF"/>
    <w:rsid w:val="00F244ED"/>
    <w:rsid w:val="00F24B51"/>
    <w:rsid w:val="00F26406"/>
    <w:rsid w:val="00F26717"/>
    <w:rsid w:val="00F27256"/>
    <w:rsid w:val="00F2745D"/>
    <w:rsid w:val="00F279D6"/>
    <w:rsid w:val="00F30C1F"/>
    <w:rsid w:val="00F316DA"/>
    <w:rsid w:val="00F31DBE"/>
    <w:rsid w:val="00F32A2B"/>
    <w:rsid w:val="00F32B83"/>
    <w:rsid w:val="00F331D8"/>
    <w:rsid w:val="00F33388"/>
    <w:rsid w:val="00F34F61"/>
    <w:rsid w:val="00F35051"/>
    <w:rsid w:val="00F35A89"/>
    <w:rsid w:val="00F36081"/>
    <w:rsid w:val="00F36A86"/>
    <w:rsid w:val="00F3716E"/>
    <w:rsid w:val="00F37329"/>
    <w:rsid w:val="00F37D93"/>
    <w:rsid w:val="00F37EF7"/>
    <w:rsid w:val="00F40013"/>
    <w:rsid w:val="00F410BF"/>
    <w:rsid w:val="00F41B59"/>
    <w:rsid w:val="00F4350C"/>
    <w:rsid w:val="00F43F9E"/>
    <w:rsid w:val="00F4478D"/>
    <w:rsid w:val="00F4489E"/>
    <w:rsid w:val="00F45D9C"/>
    <w:rsid w:val="00F47A7A"/>
    <w:rsid w:val="00F505F4"/>
    <w:rsid w:val="00F520D7"/>
    <w:rsid w:val="00F52694"/>
    <w:rsid w:val="00F527F2"/>
    <w:rsid w:val="00F536EC"/>
    <w:rsid w:val="00F53C03"/>
    <w:rsid w:val="00F54B2D"/>
    <w:rsid w:val="00F5538C"/>
    <w:rsid w:val="00F55A3C"/>
    <w:rsid w:val="00F55DB8"/>
    <w:rsid w:val="00F56527"/>
    <w:rsid w:val="00F57743"/>
    <w:rsid w:val="00F6062B"/>
    <w:rsid w:val="00F619B1"/>
    <w:rsid w:val="00F629A0"/>
    <w:rsid w:val="00F644BA"/>
    <w:rsid w:val="00F6462A"/>
    <w:rsid w:val="00F65775"/>
    <w:rsid w:val="00F658EB"/>
    <w:rsid w:val="00F65E92"/>
    <w:rsid w:val="00F66C9E"/>
    <w:rsid w:val="00F66DFB"/>
    <w:rsid w:val="00F672FE"/>
    <w:rsid w:val="00F70434"/>
    <w:rsid w:val="00F72E09"/>
    <w:rsid w:val="00F73E2B"/>
    <w:rsid w:val="00F73E5C"/>
    <w:rsid w:val="00F75DCB"/>
    <w:rsid w:val="00F76145"/>
    <w:rsid w:val="00F76831"/>
    <w:rsid w:val="00F76A42"/>
    <w:rsid w:val="00F77E7F"/>
    <w:rsid w:val="00F804E9"/>
    <w:rsid w:val="00F80C2C"/>
    <w:rsid w:val="00F81F86"/>
    <w:rsid w:val="00F824FA"/>
    <w:rsid w:val="00F8268D"/>
    <w:rsid w:val="00F84337"/>
    <w:rsid w:val="00F843EE"/>
    <w:rsid w:val="00F848B9"/>
    <w:rsid w:val="00F85102"/>
    <w:rsid w:val="00F851B7"/>
    <w:rsid w:val="00F8604D"/>
    <w:rsid w:val="00F8647A"/>
    <w:rsid w:val="00F87176"/>
    <w:rsid w:val="00F87C8E"/>
    <w:rsid w:val="00F9051B"/>
    <w:rsid w:val="00F90819"/>
    <w:rsid w:val="00F90C6C"/>
    <w:rsid w:val="00F91CEA"/>
    <w:rsid w:val="00F91E2C"/>
    <w:rsid w:val="00F9283E"/>
    <w:rsid w:val="00F929FB"/>
    <w:rsid w:val="00F92A1E"/>
    <w:rsid w:val="00F92D95"/>
    <w:rsid w:val="00F930D5"/>
    <w:rsid w:val="00F93794"/>
    <w:rsid w:val="00F93A6E"/>
    <w:rsid w:val="00F93AD3"/>
    <w:rsid w:val="00F93C25"/>
    <w:rsid w:val="00F9472A"/>
    <w:rsid w:val="00F94D66"/>
    <w:rsid w:val="00F95780"/>
    <w:rsid w:val="00F96130"/>
    <w:rsid w:val="00F977B7"/>
    <w:rsid w:val="00F97AD6"/>
    <w:rsid w:val="00F97BBA"/>
    <w:rsid w:val="00FA08EA"/>
    <w:rsid w:val="00FA17C5"/>
    <w:rsid w:val="00FA1D03"/>
    <w:rsid w:val="00FA1FC8"/>
    <w:rsid w:val="00FA2162"/>
    <w:rsid w:val="00FA6B27"/>
    <w:rsid w:val="00FA6E4D"/>
    <w:rsid w:val="00FA6EA1"/>
    <w:rsid w:val="00FB0E18"/>
    <w:rsid w:val="00FB0E98"/>
    <w:rsid w:val="00FB0FA6"/>
    <w:rsid w:val="00FB1692"/>
    <w:rsid w:val="00FB19CD"/>
    <w:rsid w:val="00FB3C97"/>
    <w:rsid w:val="00FB3DE4"/>
    <w:rsid w:val="00FB4223"/>
    <w:rsid w:val="00FB4C2E"/>
    <w:rsid w:val="00FB5AA3"/>
    <w:rsid w:val="00FB6525"/>
    <w:rsid w:val="00FB6CB9"/>
    <w:rsid w:val="00FB7225"/>
    <w:rsid w:val="00FB7226"/>
    <w:rsid w:val="00FB784C"/>
    <w:rsid w:val="00FC0530"/>
    <w:rsid w:val="00FC1356"/>
    <w:rsid w:val="00FC221A"/>
    <w:rsid w:val="00FC26EE"/>
    <w:rsid w:val="00FC2E5F"/>
    <w:rsid w:val="00FC34C3"/>
    <w:rsid w:val="00FC3CCC"/>
    <w:rsid w:val="00FC3D5B"/>
    <w:rsid w:val="00FC4C40"/>
    <w:rsid w:val="00FC5058"/>
    <w:rsid w:val="00FC694C"/>
    <w:rsid w:val="00FC6D35"/>
    <w:rsid w:val="00FD0467"/>
    <w:rsid w:val="00FD0843"/>
    <w:rsid w:val="00FD0F72"/>
    <w:rsid w:val="00FD2983"/>
    <w:rsid w:val="00FD34F6"/>
    <w:rsid w:val="00FD40DA"/>
    <w:rsid w:val="00FD44CC"/>
    <w:rsid w:val="00FD4E7F"/>
    <w:rsid w:val="00FD57E2"/>
    <w:rsid w:val="00FD58B6"/>
    <w:rsid w:val="00FD5A20"/>
    <w:rsid w:val="00FD5FC7"/>
    <w:rsid w:val="00FD67F1"/>
    <w:rsid w:val="00FD69C7"/>
    <w:rsid w:val="00FD6FCC"/>
    <w:rsid w:val="00FD74B1"/>
    <w:rsid w:val="00FD7965"/>
    <w:rsid w:val="00FE211A"/>
    <w:rsid w:val="00FE2563"/>
    <w:rsid w:val="00FE2683"/>
    <w:rsid w:val="00FE288E"/>
    <w:rsid w:val="00FE2892"/>
    <w:rsid w:val="00FE3720"/>
    <w:rsid w:val="00FE375A"/>
    <w:rsid w:val="00FE4030"/>
    <w:rsid w:val="00FE40F6"/>
    <w:rsid w:val="00FE42CE"/>
    <w:rsid w:val="00FE443D"/>
    <w:rsid w:val="00FE4734"/>
    <w:rsid w:val="00FE5D5A"/>
    <w:rsid w:val="00FE6CAD"/>
    <w:rsid w:val="00FE7B57"/>
    <w:rsid w:val="00FF1D84"/>
    <w:rsid w:val="00FF2F71"/>
    <w:rsid w:val="00FF30C1"/>
    <w:rsid w:val="00FF3110"/>
    <w:rsid w:val="00FF3D04"/>
    <w:rsid w:val="00FF47E0"/>
    <w:rsid w:val="00FF50A4"/>
    <w:rsid w:val="00FF54C6"/>
    <w:rsid w:val="00FF6873"/>
    <w:rsid w:val="00FF776B"/>
    <w:rsid w:val="298F3C5A"/>
    <w:rsid w:val="2C2A93C2"/>
    <w:rsid w:val="32C78929"/>
    <w:rsid w:val="36E82E1E"/>
    <w:rsid w:val="37EFCFEE"/>
    <w:rsid w:val="3A0801F3"/>
    <w:rsid w:val="475EA00A"/>
    <w:rsid w:val="48E8ADAA"/>
    <w:rsid w:val="51DAB0B9"/>
    <w:rsid w:val="5923E26B"/>
    <w:rsid w:val="6172BC4F"/>
    <w:rsid w:val="68C7D6FC"/>
    <w:rsid w:val="74B2C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61161BA"/>
  <w15:docId w15:val="{AAFE1A0D-7750-4B65-B7FF-162958297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5091A"/>
    <w:pPr>
      <w:widowControl w:val="0"/>
    </w:pPr>
    <w:rPr>
      <w:rFonts w:ascii="Arial" w:hAnsi="Arial"/>
      <w:snapToGrid w:val="0"/>
      <w:sz w:val="24"/>
      <w:lang w:val="es-MX"/>
    </w:rPr>
  </w:style>
  <w:style w:type="paragraph" w:styleId="Ttulo1">
    <w:name w:val="heading 1"/>
    <w:basedOn w:val="Normal"/>
    <w:next w:val="Normal"/>
    <w:qFormat/>
    <w:rsid w:val="005F1825"/>
    <w:pPr>
      <w:spacing w:before="240"/>
      <w:jc w:val="center"/>
      <w:outlineLvl w:val="0"/>
    </w:pPr>
    <w:rPr>
      <w:color w:val="000000"/>
    </w:rPr>
  </w:style>
  <w:style w:type="paragraph" w:styleId="Ttulo2">
    <w:name w:val="heading 2"/>
    <w:basedOn w:val="Normal"/>
    <w:next w:val="Normal"/>
    <w:qFormat/>
    <w:rsid w:val="005F1825"/>
    <w:pPr>
      <w:spacing w:before="240"/>
      <w:jc w:val="center"/>
      <w:outlineLvl w:val="1"/>
    </w:pPr>
    <w:rPr>
      <w:b/>
      <w:color w:val="000000"/>
      <w:sz w:val="28"/>
    </w:rPr>
  </w:style>
  <w:style w:type="paragraph" w:styleId="Ttulo3">
    <w:name w:val="heading 3"/>
    <w:basedOn w:val="Normal"/>
    <w:next w:val="Sangranormal"/>
    <w:qFormat/>
    <w:rsid w:val="005F1825"/>
    <w:pPr>
      <w:keepNext/>
      <w:spacing w:before="240"/>
      <w:outlineLvl w:val="2"/>
    </w:pPr>
    <w:rPr>
      <w:b/>
      <w:color w:val="808080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normal">
    <w:name w:val="Normal Indent"/>
    <w:basedOn w:val="Normal"/>
    <w:rsid w:val="005F1825"/>
    <w:pPr>
      <w:ind w:left="720"/>
    </w:pPr>
  </w:style>
  <w:style w:type="paragraph" w:styleId="Textonotaalfinal">
    <w:name w:val="endnote text"/>
    <w:basedOn w:val="Normal"/>
    <w:semiHidden/>
    <w:rsid w:val="005F1825"/>
    <w:rPr>
      <w:sz w:val="20"/>
    </w:rPr>
  </w:style>
  <w:style w:type="paragraph" w:customStyle="1" w:styleId="Asunto">
    <w:name w:val="Asunto"/>
    <w:basedOn w:val="Normal"/>
    <w:rsid w:val="005F1825"/>
    <w:pPr>
      <w:keepLines/>
      <w:spacing w:before="240"/>
      <w:ind w:left="5040" w:hanging="1267"/>
    </w:pPr>
    <w:rPr>
      <w:rFonts w:ascii="Univers" w:hAnsi="Univers"/>
      <w:color w:val="000000"/>
      <w:u w:val="single"/>
    </w:rPr>
  </w:style>
  <w:style w:type="paragraph" w:styleId="Piedepgina">
    <w:name w:val="footer"/>
    <w:basedOn w:val="Normal"/>
    <w:link w:val="PiedepginaCar"/>
    <w:uiPriority w:val="99"/>
    <w:rsid w:val="005F1825"/>
    <w:pPr>
      <w:tabs>
        <w:tab w:val="center" w:pos="4819"/>
        <w:tab w:val="right" w:pos="9071"/>
      </w:tabs>
    </w:pPr>
  </w:style>
  <w:style w:type="paragraph" w:styleId="Encabezado">
    <w:name w:val="header"/>
    <w:basedOn w:val="Normal"/>
    <w:link w:val="EncabezadoCar"/>
    <w:rsid w:val="005F1825"/>
    <w:pPr>
      <w:tabs>
        <w:tab w:val="center" w:pos="4819"/>
        <w:tab w:val="right" w:pos="9071"/>
      </w:tabs>
    </w:pPr>
  </w:style>
  <w:style w:type="paragraph" w:customStyle="1" w:styleId="p0">
    <w:name w:val="p0"/>
    <w:basedOn w:val="Normal"/>
    <w:rsid w:val="005F1825"/>
    <w:pPr>
      <w:keepLines/>
      <w:spacing w:before="240"/>
      <w:jc w:val="both"/>
    </w:pPr>
    <w:rPr>
      <w:color w:val="0000FF"/>
    </w:rPr>
  </w:style>
  <w:style w:type="paragraph" w:customStyle="1" w:styleId="n0">
    <w:name w:val="n0"/>
    <w:basedOn w:val="Normal"/>
    <w:rsid w:val="005F1825"/>
    <w:pPr>
      <w:keepLines/>
      <w:spacing w:before="240"/>
      <w:ind w:left="1080" w:hanging="1080"/>
      <w:jc w:val="both"/>
    </w:pPr>
    <w:rPr>
      <w:color w:val="800080"/>
    </w:rPr>
  </w:style>
  <w:style w:type="paragraph" w:customStyle="1" w:styleId="bullet">
    <w:name w:val="bullet"/>
    <w:basedOn w:val="Normal"/>
    <w:rsid w:val="005F1825"/>
    <w:pPr>
      <w:numPr>
        <w:numId w:val="19"/>
      </w:numPr>
      <w:spacing w:before="240"/>
      <w:ind w:right="1185"/>
      <w:jc w:val="both"/>
    </w:pPr>
    <w:rPr>
      <w:b/>
      <w:color w:val="000080"/>
      <w:sz w:val="22"/>
    </w:rPr>
  </w:style>
  <w:style w:type="paragraph" w:customStyle="1" w:styleId="fecha">
    <w:name w:val="fecha"/>
    <w:basedOn w:val="Normal"/>
    <w:rsid w:val="005F1825"/>
    <w:pPr>
      <w:jc w:val="right"/>
    </w:pPr>
  </w:style>
  <w:style w:type="paragraph" w:customStyle="1" w:styleId="parra-nota">
    <w:name w:val="parra-nota"/>
    <w:basedOn w:val="p0"/>
    <w:rsid w:val="005F1825"/>
    <w:pPr>
      <w:tabs>
        <w:tab w:val="left" w:pos="567"/>
      </w:tabs>
      <w:spacing w:before="600"/>
      <w:ind w:left="567" w:right="11" w:hanging="567"/>
    </w:pPr>
  </w:style>
  <w:style w:type="paragraph" w:customStyle="1" w:styleId="parra-nota1">
    <w:name w:val="parra-nota1"/>
    <w:basedOn w:val="parra-nota"/>
    <w:rsid w:val="005F1825"/>
    <w:pPr>
      <w:tabs>
        <w:tab w:val="clear" w:pos="567"/>
      </w:tabs>
      <w:ind w:firstLine="0"/>
    </w:pPr>
  </w:style>
  <w:style w:type="paragraph" w:customStyle="1" w:styleId="Normal1">
    <w:name w:val="Normal1"/>
    <w:rsid w:val="005F1825"/>
    <w:rPr>
      <w:rFonts w:ascii="CG Times" w:hAnsi="CG Times"/>
      <w:lang w:val="es-ES_tradnl"/>
    </w:rPr>
  </w:style>
  <w:style w:type="paragraph" w:styleId="Textoindependiente">
    <w:name w:val="Body Text"/>
    <w:basedOn w:val="Normal"/>
    <w:link w:val="TextoindependienteCar"/>
    <w:rsid w:val="005F1825"/>
    <w:pPr>
      <w:widowControl/>
    </w:pPr>
    <w:rPr>
      <w:color w:val="000000"/>
      <w:lang w:val="es-ES"/>
    </w:rPr>
  </w:style>
  <w:style w:type="character" w:styleId="Hipervnculo">
    <w:name w:val="Hyperlink"/>
    <w:basedOn w:val="Fuentedeprrafopredeter"/>
    <w:rsid w:val="005F1825"/>
    <w:rPr>
      <w:color w:val="0000FF"/>
      <w:u w:val="single"/>
    </w:rPr>
  </w:style>
  <w:style w:type="paragraph" w:styleId="Textodeglobo">
    <w:name w:val="Balloon Text"/>
    <w:basedOn w:val="Normal"/>
    <w:semiHidden/>
    <w:rsid w:val="005F182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2E5C03"/>
    <w:pPr>
      <w:widowControl/>
      <w:spacing w:before="100" w:beforeAutospacing="1" w:after="100" w:afterAutospacing="1"/>
    </w:pPr>
    <w:rPr>
      <w:rFonts w:cs="Arial"/>
      <w:snapToGrid/>
      <w:color w:val="000000"/>
      <w:sz w:val="16"/>
      <w:szCs w:val="16"/>
      <w:lang w:val="es-ES"/>
    </w:rPr>
  </w:style>
  <w:style w:type="paragraph" w:customStyle="1" w:styleId="parr2">
    <w:name w:val="parr2"/>
    <w:basedOn w:val="Normal"/>
    <w:rsid w:val="002A200D"/>
    <w:pPr>
      <w:widowControl/>
      <w:spacing w:before="600"/>
      <w:ind w:left="567" w:right="15"/>
      <w:jc w:val="both"/>
    </w:pPr>
    <w:rPr>
      <w:snapToGrid/>
    </w:rPr>
  </w:style>
  <w:style w:type="paragraph" w:customStyle="1" w:styleId="parrafo1">
    <w:name w:val="parrafo1"/>
    <w:basedOn w:val="p0"/>
    <w:rsid w:val="002D0297"/>
    <w:pPr>
      <w:keepLines w:val="0"/>
      <w:widowControl/>
      <w:spacing w:before="480"/>
      <w:ind w:left="426" w:right="443"/>
    </w:pPr>
    <w:rPr>
      <w:snapToGrid/>
      <w:color w:val="auto"/>
    </w:rPr>
  </w:style>
  <w:style w:type="paragraph" w:customStyle="1" w:styleId="titdoc">
    <w:name w:val="titdoc"/>
    <w:basedOn w:val="Normal"/>
    <w:rsid w:val="00E51C8F"/>
    <w:pPr>
      <w:widowControl/>
      <w:spacing w:before="120"/>
      <w:ind w:left="709" w:hanging="709"/>
      <w:jc w:val="both"/>
    </w:pPr>
    <w:rPr>
      <w:b/>
      <w:snapToGrid/>
    </w:rPr>
  </w:style>
  <w:style w:type="paragraph" w:styleId="Textoindependiente3">
    <w:name w:val="Body Text 3"/>
    <w:basedOn w:val="Normal"/>
    <w:link w:val="Textoindependiente3Car"/>
    <w:rsid w:val="00A00A68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A00A68"/>
    <w:rPr>
      <w:rFonts w:ascii="Arial" w:hAnsi="Arial"/>
      <w:snapToGrid w:val="0"/>
      <w:sz w:val="16"/>
      <w:szCs w:val="16"/>
      <w:lang w:val="es-ES_tradnl"/>
    </w:rPr>
  </w:style>
  <w:style w:type="character" w:customStyle="1" w:styleId="EncabezadoCar">
    <w:name w:val="Encabezado Car"/>
    <w:basedOn w:val="Fuentedeprrafopredeter"/>
    <w:link w:val="Encabezado"/>
    <w:rsid w:val="00B06AE9"/>
    <w:rPr>
      <w:rFonts w:ascii="Arial" w:hAnsi="Arial"/>
      <w:snapToGrid w:val="0"/>
      <w:sz w:val="24"/>
      <w:lang w:val="es-ES_tradnl"/>
    </w:rPr>
  </w:style>
  <w:style w:type="paragraph" w:customStyle="1" w:styleId="p01">
    <w:name w:val="p01"/>
    <w:basedOn w:val="Normal1"/>
    <w:next w:val="p0"/>
    <w:rsid w:val="000C55BE"/>
    <w:pPr>
      <w:keepLines/>
      <w:spacing w:before="240"/>
      <w:jc w:val="both"/>
    </w:pPr>
    <w:rPr>
      <w:rFonts w:ascii="Univers" w:hAnsi="Univers"/>
      <w:color w:val="0000FF"/>
      <w:sz w:val="24"/>
    </w:rPr>
  </w:style>
  <w:style w:type="table" w:styleId="Tablaconcuadrcula">
    <w:name w:val="Table Grid"/>
    <w:basedOn w:val="Tablanormal"/>
    <w:rsid w:val="00663A4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ombre">
    <w:name w:val="nombre"/>
    <w:basedOn w:val="Normal"/>
    <w:rsid w:val="003F26EB"/>
    <w:pPr>
      <w:keepLines/>
      <w:spacing w:before="240"/>
      <w:ind w:left="1080" w:hanging="1080"/>
    </w:pPr>
    <w:rPr>
      <w:rFonts w:ascii="Helvetica" w:hAnsi="Helvetica"/>
      <w:color w:val="0000FF"/>
    </w:rPr>
  </w:style>
  <w:style w:type="paragraph" w:styleId="Textonotapie">
    <w:name w:val="footnote text"/>
    <w:basedOn w:val="Normal"/>
    <w:link w:val="TextonotapieCar"/>
    <w:rsid w:val="0036725F"/>
    <w:pPr>
      <w:widowControl/>
    </w:pPr>
    <w:rPr>
      <w:rFonts w:ascii="Times New Roman" w:hAnsi="Times New Roman"/>
      <w:snapToGrid/>
      <w:sz w:val="20"/>
      <w:lang w:val="es-ES"/>
    </w:rPr>
  </w:style>
  <w:style w:type="character" w:customStyle="1" w:styleId="TextonotapieCar">
    <w:name w:val="Texto nota pie Car"/>
    <w:basedOn w:val="Fuentedeprrafopredeter"/>
    <w:link w:val="Textonotapie"/>
    <w:rsid w:val="0036725F"/>
  </w:style>
  <w:style w:type="character" w:styleId="Refdenotaalpie">
    <w:name w:val="footnote reference"/>
    <w:basedOn w:val="Fuentedeprrafopredeter"/>
    <w:rsid w:val="0036725F"/>
    <w:rPr>
      <w:rFonts w:cs="Arial"/>
      <w:b/>
      <w:smallCaps/>
      <w:sz w:val="22"/>
      <w:vertAlign w:val="superscript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577E4"/>
    <w:rPr>
      <w:rFonts w:ascii="Arial" w:hAnsi="Arial"/>
      <w:snapToGrid w:val="0"/>
      <w:sz w:val="24"/>
      <w:lang w:val="es-ES_tradnl" w:eastAsia="es-ES"/>
    </w:rPr>
  </w:style>
  <w:style w:type="character" w:styleId="Refdenotaalfinal">
    <w:name w:val="endnote reference"/>
    <w:basedOn w:val="Fuentedeprrafopredeter"/>
    <w:rsid w:val="00B577E4"/>
    <w:rPr>
      <w:vertAlign w:val="superscript"/>
    </w:rPr>
  </w:style>
  <w:style w:type="paragraph" w:customStyle="1" w:styleId="p02">
    <w:name w:val="p02"/>
    <w:basedOn w:val="Normal"/>
    <w:next w:val="p0"/>
    <w:rsid w:val="009C447D"/>
    <w:pPr>
      <w:keepLines/>
      <w:widowControl/>
      <w:spacing w:before="240"/>
      <w:ind w:right="11"/>
      <w:jc w:val="both"/>
    </w:pPr>
    <w:rPr>
      <w:rFonts w:ascii="Univers" w:hAnsi="Univers"/>
      <w:snapToGrid/>
      <w:color w:val="0000FF"/>
    </w:rPr>
  </w:style>
  <w:style w:type="paragraph" w:customStyle="1" w:styleId="Profesin">
    <w:name w:val="Profesión"/>
    <w:basedOn w:val="Normal"/>
    <w:rsid w:val="0005576F"/>
    <w:pPr>
      <w:widowControl/>
      <w:jc w:val="center"/>
    </w:pPr>
    <w:rPr>
      <w:b/>
      <w:caps/>
      <w:snapToGrid/>
      <w:spacing w:val="25"/>
      <w:sz w:val="28"/>
    </w:rPr>
  </w:style>
  <w:style w:type="paragraph" w:customStyle="1" w:styleId="n01">
    <w:name w:val="n01"/>
    <w:basedOn w:val="Normal"/>
    <w:rsid w:val="002169BE"/>
    <w:pPr>
      <w:keepLines/>
      <w:widowControl/>
      <w:spacing w:before="240"/>
      <w:ind w:left="720" w:hanging="720"/>
      <w:jc w:val="both"/>
    </w:pPr>
    <w:rPr>
      <w:rFonts w:ascii="Univers (W1)" w:hAnsi="Univers (W1)"/>
      <w:snapToGrid/>
      <w:color w:val="800080"/>
    </w:rPr>
  </w:style>
  <w:style w:type="paragraph" w:customStyle="1" w:styleId="Default">
    <w:name w:val="Default"/>
    <w:rsid w:val="002169BE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A57241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rsid w:val="00C3471E"/>
    <w:rPr>
      <w:sz w:val="16"/>
      <w:szCs w:val="16"/>
    </w:rPr>
  </w:style>
  <w:style w:type="character" w:customStyle="1" w:styleId="tituloproy21">
    <w:name w:val="titulo_proy21"/>
    <w:basedOn w:val="Fuentedeprrafopredeter"/>
    <w:rsid w:val="002C2C06"/>
    <w:rPr>
      <w:rFonts w:ascii="Arial" w:hAnsi="Arial" w:cs="Arial" w:hint="default"/>
      <w:b/>
      <w:bCs/>
      <w:strike w:val="0"/>
      <w:dstrike w:val="0"/>
      <w:color w:val="000000"/>
      <w:sz w:val="30"/>
      <w:szCs w:val="30"/>
      <w:u w:val="none"/>
      <w:effect w:val="none"/>
    </w:rPr>
  </w:style>
  <w:style w:type="character" w:customStyle="1" w:styleId="st1">
    <w:name w:val="st1"/>
    <w:basedOn w:val="Fuentedeprrafopredeter"/>
    <w:rsid w:val="00610305"/>
  </w:style>
  <w:style w:type="paragraph" w:styleId="Textoindependiente2">
    <w:name w:val="Body Text 2"/>
    <w:basedOn w:val="Normal"/>
    <w:link w:val="Textoindependiente2Car"/>
    <w:unhideWhenUsed/>
    <w:rsid w:val="00607F08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rsid w:val="00607F08"/>
    <w:rPr>
      <w:rFonts w:ascii="Arial" w:hAnsi="Arial"/>
      <w:snapToGrid w:val="0"/>
      <w:sz w:val="24"/>
      <w:lang w:val="es-ES_tradnl"/>
    </w:rPr>
  </w:style>
  <w:style w:type="character" w:styleId="Hipervnculovisitado">
    <w:name w:val="FollowedHyperlink"/>
    <w:basedOn w:val="Fuentedeprrafopredeter"/>
    <w:semiHidden/>
    <w:unhideWhenUsed/>
    <w:rsid w:val="00573E5B"/>
    <w:rPr>
      <w:color w:val="800080" w:themeColor="followed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A3153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254AD4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0F6F45"/>
    <w:rPr>
      <w:rFonts w:ascii="Arial" w:hAnsi="Arial"/>
      <w:snapToGrid w:val="0"/>
      <w:sz w:val="24"/>
      <w:lang w:val="es-ES_tradnl"/>
    </w:rPr>
  </w:style>
  <w:style w:type="paragraph" w:styleId="Textocomentario">
    <w:name w:val="annotation text"/>
    <w:basedOn w:val="Normal"/>
    <w:link w:val="TextocomentarioCar"/>
    <w:unhideWhenUsed/>
    <w:rsid w:val="00D3083C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rsid w:val="00D3083C"/>
    <w:rPr>
      <w:rFonts w:ascii="Arial" w:hAnsi="Arial"/>
      <w:snapToGrid w:val="0"/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3083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3083C"/>
    <w:rPr>
      <w:rFonts w:ascii="Arial" w:hAnsi="Arial"/>
      <w:b/>
      <w:bCs/>
      <w:snapToGrid w:val="0"/>
      <w:lang w:val="es-ES_tradnl"/>
    </w:rPr>
  </w:style>
  <w:style w:type="paragraph" w:customStyle="1" w:styleId="bulnot">
    <w:name w:val="bulnot"/>
    <w:basedOn w:val="Normal"/>
    <w:rsid w:val="0008392C"/>
    <w:pPr>
      <w:widowControl/>
      <w:tabs>
        <w:tab w:val="left" w:pos="851"/>
      </w:tabs>
      <w:spacing w:before="360"/>
      <w:ind w:left="1985" w:right="2036" w:hanging="273"/>
      <w:jc w:val="both"/>
    </w:pPr>
    <w:rPr>
      <w:b/>
      <w:snapToGrid/>
      <w:color w:val="0000FF"/>
      <w:spacing w:val="10"/>
      <w:sz w:val="22"/>
    </w:rPr>
  </w:style>
  <w:style w:type="character" w:customStyle="1" w:styleId="TextoindependienteCar">
    <w:name w:val="Texto independiente Car"/>
    <w:basedOn w:val="Fuentedeprrafopredeter"/>
    <w:link w:val="Textoindependiente"/>
    <w:rsid w:val="0075091A"/>
    <w:rPr>
      <w:rFonts w:ascii="Arial" w:hAnsi="Arial"/>
      <w:snapToGrid w:val="0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947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4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3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4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5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9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837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086065">
                  <w:marLeft w:val="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305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0996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6092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unicacionsocial@inegi.org.mx" TargetMode="External"/><Relationship Id="rId13" Type="http://schemas.openxmlformats.org/officeDocument/2006/relationships/hyperlink" Target="https://twitter.com/INEGI_INFORMA" TargetMode="External"/><Relationship Id="rId18" Type="http://schemas.openxmlformats.org/officeDocument/2006/relationships/image" Target="media/image5.png"/><Relationship Id="rId26" Type="http://schemas.openxmlformats.org/officeDocument/2006/relationships/hyperlink" Target="javascript:AddMetaDato('2951','Sistema%20de%20indicadores%20c&#237;clicos','');" TargetMode="External"/><Relationship Id="rId3" Type="http://schemas.openxmlformats.org/officeDocument/2006/relationships/styles" Target="styles.xml"/><Relationship Id="rId21" Type="http://schemas.openxmlformats.org/officeDocument/2006/relationships/chart" Target="charts/chart3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hyperlink" Target="http://www.inegi.org.mx/" TargetMode="External"/><Relationship Id="rId25" Type="http://schemas.openxmlformats.org/officeDocument/2006/relationships/hyperlink" Target="https://www.inegi.org.mx/app/biblioteca/ficha.html?upc=702825099060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20" Type="http://schemas.openxmlformats.org/officeDocument/2006/relationships/chart" Target="charts/chart2.xm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nstagram.com/inegi_informa/" TargetMode="External"/><Relationship Id="rId24" Type="http://schemas.openxmlformats.org/officeDocument/2006/relationships/chart" Target="charts/chart6.xm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user/INEGIInforma" TargetMode="External"/><Relationship Id="rId23" Type="http://schemas.openxmlformats.org/officeDocument/2006/relationships/chart" Target="charts/chart5.xml"/><Relationship Id="rId28" Type="http://schemas.openxmlformats.org/officeDocument/2006/relationships/hyperlink" Target="https://www.inegi.org.mx/sistemas/bie/" TargetMode="External"/><Relationship Id="rId10" Type="http://schemas.openxmlformats.org/officeDocument/2006/relationships/image" Target="media/image1.png"/><Relationship Id="rId19" Type="http://schemas.openxmlformats.org/officeDocument/2006/relationships/chart" Target="charts/chart1.xm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facebook.com/INEGIInforma/" TargetMode="External"/><Relationship Id="rId14" Type="http://schemas.openxmlformats.org/officeDocument/2006/relationships/image" Target="media/image3.png"/><Relationship Id="rId22" Type="http://schemas.openxmlformats.org/officeDocument/2006/relationships/chart" Target="charts/chart4.xml"/><Relationship Id="rId27" Type="http://schemas.openxmlformats.org/officeDocument/2006/relationships/image" Target="media/image6.gif"/><Relationship Id="rId3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monica.jimenez\Documents\ITAT\2023\II%20Trim\Graficas%20Turistico%20desestacionalizada-tendencia_I23.xls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monica.jimenez\Documents\ITAT\2023\II%20Trim\Graficas%20Turistico%20desestacionalizada-tendencia_I23.xls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monica.jimenez\Documents\ITAT\2023\II%20Trim\Graficas%20Turistico%20desestacionalizada-tendencia_I23.xls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monica.jimenez\Documents\ITAT\2023\II%20Trim\Graficas%20Turistico%20desestacionalizada-tendencia_I23.xls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monica.jimenez\Documents\ITAT\2023\II%20Trim\Graficas%20Turistico%20desestacionalizada-tendencia_I23.xls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monica.jimenez\Documents\ITAT\2023\II%20Trim\Graficas%20Turistico%20desestacionalizada-tendencia_I23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7.6742027668295063E-2"/>
          <c:y val="3.5877174879349751E-2"/>
          <c:w val="0.91021510703494179"/>
          <c:h val="0.78060388620777243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datos!$D$4</c:f>
              <c:strCache>
                <c:ptCount val="1"/>
                <c:pt idx="0">
                  <c:v>Serie desestacionalizada</c:v>
                </c:pt>
              </c:strCache>
            </c:strRef>
          </c:tx>
          <c:spPr>
            <a:solidFill>
              <a:schemeClr val="accent1">
                <a:lumMod val="60000"/>
                <a:lumOff val="40000"/>
              </a:schemeClr>
            </a:solidFill>
            <a:ln w="12700">
              <a:noFill/>
              <a:prstDash val="solid"/>
            </a:ln>
            <a:effectLst>
              <a:outerShdw blurRad="50800" dist="12700" dir="5400000" algn="ctr" rotWithShape="0">
                <a:schemeClr val="bg1">
                  <a:alpha val="43000"/>
                </a:schemeClr>
              </a:outerShdw>
            </a:effectLst>
            <a:scene3d>
              <a:camera prst="orthographicFront"/>
              <a:lightRig rig="threePt" dir="t"/>
            </a:scene3d>
            <a:sp3d/>
          </c:spPr>
          <c:invertIfNegative val="0"/>
          <c:cat>
            <c:multiLvlStrRef>
              <c:f>datos!$B$17:$C$50</c:f>
              <c:multiLvlStrCache>
                <c:ptCount val="34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I</c:v>
                  </c:pt>
                  <c:pt idx="5">
                    <c:v>II</c:v>
                  </c:pt>
                  <c:pt idx="6">
                    <c:v>III</c:v>
                  </c:pt>
                  <c:pt idx="7">
                    <c:v>IV</c:v>
                  </c:pt>
                  <c:pt idx="8">
                    <c:v>I</c:v>
                  </c:pt>
                  <c:pt idx="9">
                    <c:v>II</c:v>
                  </c:pt>
                  <c:pt idx="10">
                    <c:v>III</c:v>
                  </c:pt>
                  <c:pt idx="11">
                    <c:v>IV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I</c:v>
                  </c:pt>
                  <c:pt idx="17">
                    <c:v>II</c:v>
                  </c:pt>
                  <c:pt idx="18">
                    <c:v>III</c:v>
                  </c:pt>
                  <c:pt idx="19">
                    <c:v>IV</c:v>
                  </c:pt>
                  <c:pt idx="20">
                    <c:v>I</c:v>
                  </c:pt>
                  <c:pt idx="21">
                    <c:v>II</c:v>
                  </c:pt>
                  <c:pt idx="22">
                    <c:v>III</c:v>
                  </c:pt>
                  <c:pt idx="23">
                    <c:v>IV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I</c:v>
                  </c:pt>
                  <c:pt idx="29">
                    <c:v>II</c:v>
                  </c:pt>
                  <c:pt idx="30">
                    <c:v>III</c:v>
                  </c:pt>
                  <c:pt idx="31">
                    <c:v>IV</c:v>
                  </c:pt>
                  <c:pt idx="32">
                    <c:v>I</c:v>
                  </c:pt>
                  <c:pt idx="33">
                    <c:v>II</c:v>
                  </c:pt>
                </c:lvl>
                <c:lvl>
                  <c:pt idx="0">
                    <c:v>2015</c:v>
                  </c:pt>
                  <c:pt idx="4">
                    <c:v>2016</c:v>
                  </c:pt>
                  <c:pt idx="8">
                    <c:v>2017</c:v>
                  </c:pt>
                  <c:pt idx="12">
                    <c:v>2018</c:v>
                  </c:pt>
                  <c:pt idx="16">
                    <c:v>2019</c:v>
                  </c:pt>
                  <c:pt idx="20">
                    <c:v>2020</c:v>
                  </c:pt>
                  <c:pt idx="24">
                    <c:v>2021</c:v>
                  </c:pt>
                  <c:pt idx="28">
                    <c:v>2022</c:v>
                  </c:pt>
                  <c:pt idx="32">
                    <c:v>2023</c:v>
                  </c:pt>
                </c:lvl>
              </c:multiLvlStrCache>
            </c:multiLvlStrRef>
          </c:cat>
          <c:val>
            <c:numRef>
              <c:f>datos!$D$17:$D$50</c:f>
              <c:numCache>
                <c:formatCode>0.0</c:formatCode>
                <c:ptCount val="34"/>
                <c:pt idx="0">
                  <c:v>95.622166603250193</c:v>
                </c:pt>
                <c:pt idx="1">
                  <c:v>96.694369568050902</c:v>
                </c:pt>
                <c:pt idx="2">
                  <c:v>99.553391079698898</c:v>
                </c:pt>
                <c:pt idx="3">
                  <c:v>101.16969262440701</c:v>
                </c:pt>
                <c:pt idx="4">
                  <c:v>99.592167733991801</c:v>
                </c:pt>
                <c:pt idx="5">
                  <c:v>99.840558554140202</c:v>
                </c:pt>
                <c:pt idx="6">
                  <c:v>100.177619086346</c:v>
                </c:pt>
                <c:pt idx="7">
                  <c:v>101.228520941844</c:v>
                </c:pt>
                <c:pt idx="8">
                  <c:v>103.23330703746799</c:v>
                </c:pt>
                <c:pt idx="9">
                  <c:v>100.189661900117</c:v>
                </c:pt>
                <c:pt idx="10">
                  <c:v>96.221795436268906</c:v>
                </c:pt>
                <c:pt idx="11">
                  <c:v>96.957107480189094</c:v>
                </c:pt>
                <c:pt idx="12">
                  <c:v>99.572533274453505</c:v>
                </c:pt>
                <c:pt idx="13">
                  <c:v>101.48534042099701</c:v>
                </c:pt>
                <c:pt idx="14">
                  <c:v>99.756727954180903</c:v>
                </c:pt>
                <c:pt idx="15">
                  <c:v>98.868547629452294</c:v>
                </c:pt>
                <c:pt idx="16">
                  <c:v>99.0733490453038</c:v>
                </c:pt>
                <c:pt idx="17">
                  <c:v>98.098454221516604</c:v>
                </c:pt>
                <c:pt idx="18">
                  <c:v>98.682575285417201</c:v>
                </c:pt>
                <c:pt idx="19">
                  <c:v>96.955691938382202</c:v>
                </c:pt>
                <c:pt idx="20">
                  <c:v>100.785333173358</c:v>
                </c:pt>
                <c:pt idx="21">
                  <c:v>53.390889038384003</c:v>
                </c:pt>
                <c:pt idx="22">
                  <c:v>65.545160994089898</c:v>
                </c:pt>
                <c:pt idx="23">
                  <c:v>73.363435724592605</c:v>
                </c:pt>
                <c:pt idx="24">
                  <c:v>75.492135827443207</c:v>
                </c:pt>
                <c:pt idx="25">
                  <c:v>85.411307961605402</c:v>
                </c:pt>
                <c:pt idx="26">
                  <c:v>89.308210582673297</c:v>
                </c:pt>
                <c:pt idx="27">
                  <c:v>93.533443422045195</c:v>
                </c:pt>
                <c:pt idx="28">
                  <c:v>91.966210897372605</c:v>
                </c:pt>
                <c:pt idx="29">
                  <c:v>97.621440105292194</c:v>
                </c:pt>
                <c:pt idx="30">
                  <c:v>99.658554179694903</c:v>
                </c:pt>
                <c:pt idx="31">
                  <c:v>99.146271323417906</c:v>
                </c:pt>
                <c:pt idx="32">
                  <c:v>98.755795219279506</c:v>
                </c:pt>
                <c:pt idx="33">
                  <c:v>101.331980808509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186-4D27-B2A0-2EB5E00A336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0"/>
        <c:overlap val="100"/>
        <c:axId val="349159520"/>
        <c:axId val="1"/>
      </c:barChart>
      <c:lineChart>
        <c:grouping val="standard"/>
        <c:varyColors val="0"/>
        <c:ser>
          <c:idx val="1"/>
          <c:order val="1"/>
          <c:tx>
            <c:v>Serie de tendencia-ciclo</c:v>
          </c:tx>
          <c:spPr>
            <a:ln w="15875">
              <a:solidFill>
                <a:schemeClr val="tx2">
                  <a:lumMod val="75000"/>
                </a:schemeClr>
              </a:solidFill>
              <a:prstDash val="solid"/>
            </a:ln>
          </c:spPr>
          <c:marker>
            <c:symbol val="none"/>
          </c:marker>
          <c:cat>
            <c:multiLvlStrRef>
              <c:f>datos!$B$17:$C$50</c:f>
              <c:multiLvlStrCache>
                <c:ptCount val="34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I</c:v>
                  </c:pt>
                  <c:pt idx="5">
                    <c:v>II</c:v>
                  </c:pt>
                  <c:pt idx="6">
                    <c:v>III</c:v>
                  </c:pt>
                  <c:pt idx="7">
                    <c:v>IV</c:v>
                  </c:pt>
                  <c:pt idx="8">
                    <c:v>I</c:v>
                  </c:pt>
                  <c:pt idx="9">
                    <c:v>II</c:v>
                  </c:pt>
                  <c:pt idx="10">
                    <c:v>III</c:v>
                  </c:pt>
                  <c:pt idx="11">
                    <c:v>IV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I</c:v>
                  </c:pt>
                  <c:pt idx="17">
                    <c:v>II</c:v>
                  </c:pt>
                  <c:pt idx="18">
                    <c:v>III</c:v>
                  </c:pt>
                  <c:pt idx="19">
                    <c:v>IV</c:v>
                  </c:pt>
                  <c:pt idx="20">
                    <c:v>I</c:v>
                  </c:pt>
                  <c:pt idx="21">
                    <c:v>II</c:v>
                  </c:pt>
                  <c:pt idx="22">
                    <c:v>III</c:v>
                  </c:pt>
                  <c:pt idx="23">
                    <c:v>IV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I</c:v>
                  </c:pt>
                  <c:pt idx="29">
                    <c:v>II</c:v>
                  </c:pt>
                  <c:pt idx="30">
                    <c:v>III</c:v>
                  </c:pt>
                  <c:pt idx="31">
                    <c:v>IV</c:v>
                  </c:pt>
                  <c:pt idx="32">
                    <c:v>I</c:v>
                  </c:pt>
                  <c:pt idx="33">
                    <c:v>II</c:v>
                  </c:pt>
                </c:lvl>
                <c:lvl>
                  <c:pt idx="0">
                    <c:v>2015</c:v>
                  </c:pt>
                  <c:pt idx="4">
                    <c:v>2016</c:v>
                  </c:pt>
                  <c:pt idx="8">
                    <c:v>2017</c:v>
                  </c:pt>
                  <c:pt idx="12">
                    <c:v>2018</c:v>
                  </c:pt>
                  <c:pt idx="16">
                    <c:v>2019</c:v>
                  </c:pt>
                  <c:pt idx="20">
                    <c:v>2020</c:v>
                  </c:pt>
                  <c:pt idx="24">
                    <c:v>2021</c:v>
                  </c:pt>
                  <c:pt idx="28">
                    <c:v>2022</c:v>
                  </c:pt>
                  <c:pt idx="32">
                    <c:v>2023</c:v>
                  </c:pt>
                </c:lvl>
              </c:multiLvlStrCache>
            </c:multiLvlStrRef>
          </c:cat>
          <c:val>
            <c:numRef>
              <c:f>datos!$E$17:$E$50</c:f>
              <c:numCache>
                <c:formatCode>0.0</c:formatCode>
                <c:ptCount val="34"/>
                <c:pt idx="0">
                  <c:v>95.553947629428706</c:v>
                </c:pt>
                <c:pt idx="1">
                  <c:v>97.009493528121396</c:v>
                </c:pt>
                <c:pt idx="2">
                  <c:v>99.474205509932503</c:v>
                </c:pt>
                <c:pt idx="3">
                  <c:v>100.657847096821</c:v>
                </c:pt>
                <c:pt idx="4">
                  <c:v>100.088310220106</c:v>
                </c:pt>
                <c:pt idx="5">
                  <c:v>99.6670943240551</c:v>
                </c:pt>
                <c:pt idx="6">
                  <c:v>100.205897766704</c:v>
                </c:pt>
                <c:pt idx="7">
                  <c:v>101.68687592851801</c:v>
                </c:pt>
                <c:pt idx="8">
                  <c:v>102.489750978128</c:v>
                </c:pt>
                <c:pt idx="9">
                  <c:v>100.07928781451</c:v>
                </c:pt>
                <c:pt idx="10">
                  <c:v>96.842284095099103</c:v>
                </c:pt>
                <c:pt idx="11">
                  <c:v>96.939460698557795</c:v>
                </c:pt>
                <c:pt idx="12">
                  <c:v>99.598678169275203</c:v>
                </c:pt>
                <c:pt idx="13">
                  <c:v>100.940467319099</c:v>
                </c:pt>
                <c:pt idx="14">
                  <c:v>100.067271119552</c:v>
                </c:pt>
                <c:pt idx="15">
                  <c:v>99.053966437679406</c:v>
                </c:pt>
                <c:pt idx="16">
                  <c:v>98.705379841602905</c:v>
                </c:pt>
                <c:pt idx="17">
                  <c:v>98.520308815216396</c:v>
                </c:pt>
                <c:pt idx="18">
                  <c:v>98.074335192634607</c:v>
                </c:pt>
                <c:pt idx="19">
                  <c:v>98.539482877424106</c:v>
                </c:pt>
                <c:pt idx="20">
                  <c:v>100.438399877156</c:v>
                </c:pt>
                <c:pt idx="21">
                  <c:v>71.314240400837903</c:v>
                </c:pt>
                <c:pt idx="22">
                  <c:v>72.394103154814502</c:v>
                </c:pt>
                <c:pt idx="23">
                  <c:v>73.530817315773902</c:v>
                </c:pt>
                <c:pt idx="24">
                  <c:v>75.434568555869603</c:v>
                </c:pt>
                <c:pt idx="25">
                  <c:v>85.462949548199603</c:v>
                </c:pt>
                <c:pt idx="26">
                  <c:v>89.513788646103094</c:v>
                </c:pt>
                <c:pt idx="27">
                  <c:v>92.945121806140904</c:v>
                </c:pt>
                <c:pt idx="28">
                  <c:v>95.273551059206298</c:v>
                </c:pt>
                <c:pt idx="29">
                  <c:v>97.563730306908198</c:v>
                </c:pt>
                <c:pt idx="30">
                  <c:v>99.336701929320299</c:v>
                </c:pt>
                <c:pt idx="31">
                  <c:v>99.133520706541603</c:v>
                </c:pt>
                <c:pt idx="32">
                  <c:v>99.209819673041295</c:v>
                </c:pt>
                <c:pt idx="33">
                  <c:v>101.185984029766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B186-4D27-B2A0-2EB5E00A336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49159520"/>
        <c:axId val="1"/>
      </c:lineChart>
      <c:catAx>
        <c:axId val="349159520"/>
        <c:scaling>
          <c:orientation val="minMax"/>
        </c:scaling>
        <c:delete val="0"/>
        <c:axPos val="b"/>
        <c:numFmt formatCode="General" sourceLinked="1"/>
        <c:majorTickMark val="cross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75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1"/>
        <c:crosses val="autoZero"/>
        <c:auto val="1"/>
        <c:lblAlgn val="ctr"/>
        <c:lblOffset val="100"/>
        <c:tickLblSkip val="1"/>
        <c:tickMarkSkip val="4"/>
        <c:noMultiLvlLbl val="1"/>
      </c:catAx>
      <c:valAx>
        <c:axId val="1"/>
        <c:scaling>
          <c:orientation val="minMax"/>
          <c:max val="120"/>
          <c:min val="40"/>
        </c:scaling>
        <c:delete val="0"/>
        <c:axPos val="l"/>
        <c:numFmt formatCode="0" sourceLinked="0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349159520"/>
        <c:crosses val="autoZero"/>
        <c:crossBetween val="between"/>
        <c:majorUnit val="20"/>
      </c:valAx>
      <c:spPr>
        <a:noFill/>
        <a:ln w="3175">
          <a:solidFill>
            <a:schemeClr val="bg1">
              <a:lumMod val="75000"/>
            </a:schemeClr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4.4493791445538909E-2"/>
          <c:y val="0.93843861125222228"/>
          <c:w val="0.95550611790878759"/>
          <c:h val="5.9016393442622953E-2"/>
        </c:manualLayout>
      </c:layout>
      <c:overlay val="0"/>
      <c:spPr>
        <a:noFill/>
        <a:ln w="25400">
          <a:noFill/>
        </a:ln>
      </c:spPr>
      <c:txPr>
        <a:bodyPr/>
        <a:lstStyle/>
        <a:p>
          <a:pPr>
            <a:defRPr sz="800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es-MX"/>
        </a:p>
      </c:txPr>
    </c:legend>
    <c:plotVisOnly val="1"/>
    <c:dispBlanksAs val="gap"/>
    <c:showDLblsOverMax val="0"/>
  </c:chart>
  <c:spPr>
    <a:noFill/>
    <a:ln w="3175">
      <a:solidFill>
        <a:srgbClr val="000000"/>
      </a:solidFill>
      <a:prstDash val="solid"/>
    </a:ln>
    <a:effectLst>
      <a:outerShdw dist="12700" dir="2700000" algn="br">
        <a:srgbClr val="000000"/>
      </a:outerShdw>
    </a:effectLst>
  </c:spPr>
  <c:txPr>
    <a:bodyPr/>
    <a:lstStyle/>
    <a:p>
      <a:pPr>
        <a:defRPr sz="9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es-MX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7.4253098436496176E-2"/>
          <c:y val="3.5933134366268729E-2"/>
          <c:w val="0.91080869095761474"/>
          <c:h val="0.7711919767589535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datos!$F$4</c:f>
              <c:strCache>
                <c:ptCount val="1"/>
                <c:pt idx="0">
                  <c:v>Serie desestacionalizada</c:v>
                </c:pt>
              </c:strCache>
            </c:strRef>
          </c:tx>
          <c:spPr>
            <a:solidFill>
              <a:schemeClr val="accent1">
                <a:lumMod val="60000"/>
                <a:lumOff val="40000"/>
              </a:schemeClr>
            </a:solidFill>
            <a:ln w="12700">
              <a:noFill/>
              <a:prstDash val="solid"/>
            </a:ln>
            <a:effectLst>
              <a:outerShdw blurRad="50800" dist="12700" dir="5400000" algn="ctr" rotWithShape="0">
                <a:schemeClr val="bg1">
                  <a:alpha val="43000"/>
                </a:schemeClr>
              </a:outerShdw>
            </a:effectLst>
            <a:scene3d>
              <a:camera prst="orthographicFront"/>
              <a:lightRig rig="threePt" dir="t"/>
            </a:scene3d>
            <a:sp3d/>
          </c:spPr>
          <c:invertIfNegative val="0"/>
          <c:cat>
            <c:multiLvlStrRef>
              <c:f>datos!$B$17:$C$50</c:f>
              <c:multiLvlStrCache>
                <c:ptCount val="34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I</c:v>
                  </c:pt>
                  <c:pt idx="5">
                    <c:v>II</c:v>
                  </c:pt>
                  <c:pt idx="6">
                    <c:v>III</c:v>
                  </c:pt>
                  <c:pt idx="7">
                    <c:v>IV</c:v>
                  </c:pt>
                  <c:pt idx="8">
                    <c:v>I</c:v>
                  </c:pt>
                  <c:pt idx="9">
                    <c:v>II</c:v>
                  </c:pt>
                  <c:pt idx="10">
                    <c:v>III</c:v>
                  </c:pt>
                  <c:pt idx="11">
                    <c:v>IV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I</c:v>
                  </c:pt>
                  <c:pt idx="17">
                    <c:v>II</c:v>
                  </c:pt>
                  <c:pt idx="18">
                    <c:v>III</c:v>
                  </c:pt>
                  <c:pt idx="19">
                    <c:v>IV</c:v>
                  </c:pt>
                  <c:pt idx="20">
                    <c:v>I</c:v>
                  </c:pt>
                  <c:pt idx="21">
                    <c:v>II</c:v>
                  </c:pt>
                  <c:pt idx="22">
                    <c:v>III</c:v>
                  </c:pt>
                  <c:pt idx="23">
                    <c:v>IV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I</c:v>
                  </c:pt>
                  <c:pt idx="29">
                    <c:v>II</c:v>
                  </c:pt>
                  <c:pt idx="30">
                    <c:v>III</c:v>
                  </c:pt>
                  <c:pt idx="31">
                    <c:v>IV</c:v>
                  </c:pt>
                  <c:pt idx="32">
                    <c:v>I</c:v>
                  </c:pt>
                  <c:pt idx="33">
                    <c:v>II</c:v>
                  </c:pt>
                </c:lvl>
                <c:lvl>
                  <c:pt idx="0">
                    <c:v>2015</c:v>
                  </c:pt>
                  <c:pt idx="4">
                    <c:v>2016</c:v>
                  </c:pt>
                  <c:pt idx="8">
                    <c:v>2017</c:v>
                  </c:pt>
                  <c:pt idx="12">
                    <c:v>2018</c:v>
                  </c:pt>
                  <c:pt idx="16">
                    <c:v>2019</c:v>
                  </c:pt>
                  <c:pt idx="20">
                    <c:v>2020</c:v>
                  </c:pt>
                  <c:pt idx="24">
                    <c:v>2021</c:v>
                  </c:pt>
                  <c:pt idx="28">
                    <c:v>2022</c:v>
                  </c:pt>
                  <c:pt idx="32">
                    <c:v>2023</c:v>
                  </c:pt>
                </c:lvl>
              </c:multiLvlStrCache>
            </c:multiLvlStrRef>
          </c:cat>
          <c:val>
            <c:numRef>
              <c:f>datos!$F$17:$F$50</c:f>
              <c:numCache>
                <c:formatCode>0.0</c:formatCode>
                <c:ptCount val="34"/>
                <c:pt idx="0">
                  <c:v>124.880520530572</c:v>
                </c:pt>
                <c:pt idx="1">
                  <c:v>125.35881216302</c:v>
                </c:pt>
                <c:pt idx="2">
                  <c:v>130.405867597586</c:v>
                </c:pt>
                <c:pt idx="3">
                  <c:v>133.065821865331</c:v>
                </c:pt>
                <c:pt idx="4">
                  <c:v>131.18296667945799</c:v>
                </c:pt>
                <c:pt idx="5">
                  <c:v>127.874004386948</c:v>
                </c:pt>
                <c:pt idx="6">
                  <c:v>122.21160751826</c:v>
                </c:pt>
                <c:pt idx="7">
                  <c:v>123.397871153897</c:v>
                </c:pt>
                <c:pt idx="8">
                  <c:v>124.71989426489</c:v>
                </c:pt>
                <c:pt idx="9">
                  <c:v>119.179018462982</c:v>
                </c:pt>
                <c:pt idx="10">
                  <c:v>104.610022260994</c:v>
                </c:pt>
                <c:pt idx="11">
                  <c:v>102.408240511874</c:v>
                </c:pt>
                <c:pt idx="12">
                  <c:v>99.848996448721905</c:v>
                </c:pt>
                <c:pt idx="13">
                  <c:v>102.965734231939</c:v>
                </c:pt>
                <c:pt idx="14">
                  <c:v>98.661381604489506</c:v>
                </c:pt>
                <c:pt idx="15">
                  <c:v>98.072080786587094</c:v>
                </c:pt>
                <c:pt idx="16">
                  <c:v>101.43512487254399</c:v>
                </c:pt>
                <c:pt idx="17">
                  <c:v>99.6976438020654</c:v>
                </c:pt>
                <c:pt idx="18">
                  <c:v>99.609076439137993</c:v>
                </c:pt>
                <c:pt idx="19">
                  <c:v>97.965781748632693</c:v>
                </c:pt>
                <c:pt idx="20">
                  <c:v>100.574721551693</c:v>
                </c:pt>
                <c:pt idx="21">
                  <c:v>57.409993006798501</c:v>
                </c:pt>
                <c:pt idx="22">
                  <c:v>65.931624870724903</c:v>
                </c:pt>
                <c:pt idx="23">
                  <c:v>77.673559082767795</c:v>
                </c:pt>
                <c:pt idx="24">
                  <c:v>82.112119714694501</c:v>
                </c:pt>
                <c:pt idx="25">
                  <c:v>89.095436265817597</c:v>
                </c:pt>
                <c:pt idx="26">
                  <c:v>95.215899411359501</c:v>
                </c:pt>
                <c:pt idx="27">
                  <c:v>103.96015858974999</c:v>
                </c:pt>
                <c:pt idx="28">
                  <c:v>96.304948748974596</c:v>
                </c:pt>
                <c:pt idx="29">
                  <c:v>103.188545110371</c:v>
                </c:pt>
                <c:pt idx="30">
                  <c:v>104.84516302041401</c:v>
                </c:pt>
                <c:pt idx="31">
                  <c:v>102.761010404007</c:v>
                </c:pt>
                <c:pt idx="32">
                  <c:v>98.708628795436496</c:v>
                </c:pt>
                <c:pt idx="33">
                  <c:v>97.988083955033602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4A7-4922-B6BB-FAC542012CD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0"/>
        <c:axId val="349162400"/>
        <c:axId val="1"/>
      </c:barChart>
      <c:lineChart>
        <c:grouping val="standard"/>
        <c:varyColors val="0"/>
        <c:ser>
          <c:idx val="1"/>
          <c:order val="1"/>
          <c:tx>
            <c:v>Serie de tendencia-ciclo</c:v>
          </c:tx>
          <c:spPr>
            <a:ln w="15875">
              <a:solidFill>
                <a:schemeClr val="tx2">
                  <a:lumMod val="75000"/>
                </a:schemeClr>
              </a:solidFill>
              <a:prstDash val="solid"/>
            </a:ln>
          </c:spPr>
          <c:marker>
            <c:symbol val="none"/>
          </c:marker>
          <c:cat>
            <c:multiLvlStrRef>
              <c:f>datos!$B$17:$C$50</c:f>
              <c:multiLvlStrCache>
                <c:ptCount val="34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I</c:v>
                  </c:pt>
                  <c:pt idx="5">
                    <c:v>II</c:v>
                  </c:pt>
                  <c:pt idx="6">
                    <c:v>III</c:v>
                  </c:pt>
                  <c:pt idx="7">
                    <c:v>IV</c:v>
                  </c:pt>
                  <c:pt idx="8">
                    <c:v>I</c:v>
                  </c:pt>
                  <c:pt idx="9">
                    <c:v>II</c:v>
                  </c:pt>
                  <c:pt idx="10">
                    <c:v>III</c:v>
                  </c:pt>
                  <c:pt idx="11">
                    <c:v>IV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I</c:v>
                  </c:pt>
                  <c:pt idx="17">
                    <c:v>II</c:v>
                  </c:pt>
                  <c:pt idx="18">
                    <c:v>III</c:v>
                  </c:pt>
                  <c:pt idx="19">
                    <c:v>IV</c:v>
                  </c:pt>
                  <c:pt idx="20">
                    <c:v>I</c:v>
                  </c:pt>
                  <c:pt idx="21">
                    <c:v>II</c:v>
                  </c:pt>
                  <c:pt idx="22">
                    <c:v>III</c:v>
                  </c:pt>
                  <c:pt idx="23">
                    <c:v>IV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I</c:v>
                  </c:pt>
                  <c:pt idx="29">
                    <c:v>II</c:v>
                  </c:pt>
                  <c:pt idx="30">
                    <c:v>III</c:v>
                  </c:pt>
                  <c:pt idx="31">
                    <c:v>IV</c:v>
                  </c:pt>
                  <c:pt idx="32">
                    <c:v>I</c:v>
                  </c:pt>
                  <c:pt idx="33">
                    <c:v>II</c:v>
                  </c:pt>
                </c:lvl>
                <c:lvl>
                  <c:pt idx="0">
                    <c:v>2015</c:v>
                  </c:pt>
                  <c:pt idx="4">
                    <c:v>2016</c:v>
                  </c:pt>
                  <c:pt idx="8">
                    <c:v>2017</c:v>
                  </c:pt>
                  <c:pt idx="12">
                    <c:v>2018</c:v>
                  </c:pt>
                  <c:pt idx="16">
                    <c:v>2019</c:v>
                  </c:pt>
                  <c:pt idx="20">
                    <c:v>2020</c:v>
                  </c:pt>
                  <c:pt idx="24">
                    <c:v>2021</c:v>
                  </c:pt>
                  <c:pt idx="28">
                    <c:v>2022</c:v>
                  </c:pt>
                  <c:pt idx="32">
                    <c:v>2023</c:v>
                  </c:pt>
                </c:lvl>
              </c:multiLvlStrCache>
            </c:multiLvlStrRef>
          </c:cat>
          <c:val>
            <c:numRef>
              <c:f>datos!$G$17:$G$50</c:f>
              <c:numCache>
                <c:formatCode>0.0</c:formatCode>
                <c:ptCount val="34"/>
                <c:pt idx="0">
                  <c:v>123.595440854727</c:v>
                </c:pt>
                <c:pt idx="1">
                  <c:v>126.440238722579</c:v>
                </c:pt>
                <c:pt idx="2">
                  <c:v>130.053408540531</c:v>
                </c:pt>
                <c:pt idx="3">
                  <c:v>132.67868681880401</c:v>
                </c:pt>
                <c:pt idx="4">
                  <c:v>131.47990593172301</c:v>
                </c:pt>
                <c:pt idx="5">
                  <c:v>127.130235598309</c:v>
                </c:pt>
                <c:pt idx="6">
                  <c:v>123.380191148676</c:v>
                </c:pt>
                <c:pt idx="7">
                  <c:v>123.418853337621</c:v>
                </c:pt>
                <c:pt idx="8">
                  <c:v>123.42173573926</c:v>
                </c:pt>
                <c:pt idx="9">
                  <c:v>120.298668188812</c:v>
                </c:pt>
                <c:pt idx="10">
                  <c:v>104.28856278862099</c:v>
                </c:pt>
                <c:pt idx="11">
                  <c:v>102.03608092416199</c:v>
                </c:pt>
                <c:pt idx="12">
                  <c:v>101.061307708257</c:v>
                </c:pt>
                <c:pt idx="13">
                  <c:v>100.819939931899</c:v>
                </c:pt>
                <c:pt idx="14">
                  <c:v>99.269269741218906</c:v>
                </c:pt>
                <c:pt idx="15">
                  <c:v>98.802319885823394</c:v>
                </c:pt>
                <c:pt idx="16">
                  <c:v>100.274815476006</c:v>
                </c:pt>
                <c:pt idx="17">
                  <c:v>100.428464354098</c:v>
                </c:pt>
                <c:pt idx="18">
                  <c:v>98.947458746894199</c:v>
                </c:pt>
                <c:pt idx="19">
                  <c:v>98.662489843985398</c:v>
                </c:pt>
                <c:pt idx="20">
                  <c:v>100.447050093173</c:v>
                </c:pt>
                <c:pt idx="21">
                  <c:v>74.366626308635702</c:v>
                </c:pt>
                <c:pt idx="22">
                  <c:v>75.828711655517296</c:v>
                </c:pt>
                <c:pt idx="23">
                  <c:v>77.838250788563201</c:v>
                </c:pt>
                <c:pt idx="24">
                  <c:v>82.355164029370897</c:v>
                </c:pt>
                <c:pt idx="25">
                  <c:v>88.909879382027995</c:v>
                </c:pt>
                <c:pt idx="26">
                  <c:v>95.215352815559996</c:v>
                </c:pt>
                <c:pt idx="27">
                  <c:v>99.331343962272399</c:v>
                </c:pt>
                <c:pt idx="28">
                  <c:v>101.569793182157</c:v>
                </c:pt>
                <c:pt idx="29">
                  <c:v>103.431600354049</c:v>
                </c:pt>
                <c:pt idx="30">
                  <c:v>104.45342569369799</c:v>
                </c:pt>
                <c:pt idx="31">
                  <c:v>102.50199638740899</c:v>
                </c:pt>
                <c:pt idx="32">
                  <c:v>99.199220296260506</c:v>
                </c:pt>
                <c:pt idx="33">
                  <c:v>98.087692619100693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54A7-4922-B6BB-FAC542012CD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49162400"/>
        <c:axId val="1"/>
      </c:lineChart>
      <c:catAx>
        <c:axId val="349162400"/>
        <c:scaling>
          <c:orientation val="minMax"/>
        </c:scaling>
        <c:delete val="0"/>
        <c:axPos val="b"/>
        <c:numFmt formatCode="General" sourceLinked="1"/>
        <c:majorTickMark val="cross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75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1"/>
        <c:crosses val="autoZero"/>
        <c:auto val="1"/>
        <c:lblAlgn val="ctr"/>
        <c:lblOffset val="100"/>
        <c:tickLblSkip val="1"/>
        <c:tickMarkSkip val="4"/>
        <c:noMultiLvlLbl val="1"/>
      </c:catAx>
      <c:valAx>
        <c:axId val="1"/>
        <c:scaling>
          <c:orientation val="minMax"/>
          <c:max val="140"/>
          <c:min val="40"/>
        </c:scaling>
        <c:delete val="0"/>
        <c:axPos val="l"/>
        <c:numFmt formatCode="0" sourceLinked="0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349162400"/>
        <c:crosses val="autoZero"/>
        <c:crossBetween val="between"/>
        <c:majorUnit val="20"/>
      </c:valAx>
      <c:spPr>
        <a:noFill/>
        <a:ln w="3175">
          <a:solidFill>
            <a:schemeClr val="bg1">
              <a:lumMod val="75000"/>
            </a:schemeClr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1.8973201676851431E-2"/>
          <c:y val="0.94004397383794747"/>
          <c:w val="0.9810267857142857"/>
          <c:h val="5.9113300492610835E-2"/>
        </c:manualLayout>
      </c:layout>
      <c:overlay val="0"/>
      <c:spPr>
        <a:noFill/>
        <a:ln w="25400">
          <a:noFill/>
        </a:ln>
      </c:spPr>
      <c:txPr>
        <a:bodyPr/>
        <a:lstStyle/>
        <a:p>
          <a:pPr>
            <a:defRPr sz="800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es-MX"/>
        </a:p>
      </c:txPr>
    </c:legend>
    <c:plotVisOnly val="1"/>
    <c:dispBlanksAs val="gap"/>
    <c:showDLblsOverMax val="0"/>
  </c:chart>
  <c:spPr>
    <a:noFill/>
    <a:ln w="3175">
      <a:solidFill>
        <a:srgbClr val="000000"/>
      </a:solidFill>
      <a:prstDash val="solid"/>
    </a:ln>
    <a:effectLst>
      <a:outerShdw dist="12700" dir="2700000" algn="br">
        <a:srgbClr val="000000"/>
      </a:outerShdw>
    </a:effectLst>
  </c:spPr>
  <c:txPr>
    <a:bodyPr/>
    <a:lstStyle/>
    <a:p>
      <a:pPr>
        <a:defRPr sz="8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es-MX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7.2302558398220265E-2"/>
          <c:y val="4.0917497459994921E-2"/>
          <c:w val="0.91169452930461781"/>
          <c:h val="0.7733918592837187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datos!$H$4</c:f>
              <c:strCache>
                <c:ptCount val="1"/>
                <c:pt idx="0">
                  <c:v>Serie desestacionalizada</c:v>
                </c:pt>
              </c:strCache>
            </c:strRef>
          </c:tx>
          <c:spPr>
            <a:solidFill>
              <a:schemeClr val="accent1">
                <a:lumMod val="60000"/>
                <a:lumOff val="40000"/>
              </a:schemeClr>
            </a:solidFill>
            <a:ln w="12700">
              <a:noFill/>
              <a:prstDash val="solid"/>
            </a:ln>
            <a:effectLst>
              <a:outerShdw blurRad="50800" dist="12700" dir="5400000" algn="ctr" rotWithShape="0">
                <a:schemeClr val="bg1">
                  <a:alpha val="43000"/>
                </a:schemeClr>
              </a:outerShdw>
            </a:effectLst>
            <a:scene3d>
              <a:camera prst="orthographicFront"/>
              <a:lightRig rig="threePt" dir="t"/>
            </a:scene3d>
            <a:sp3d/>
          </c:spPr>
          <c:invertIfNegative val="0"/>
          <c:cat>
            <c:multiLvlStrRef>
              <c:f>datos!$B$17:$C$50</c:f>
              <c:multiLvlStrCache>
                <c:ptCount val="34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I</c:v>
                  </c:pt>
                  <c:pt idx="5">
                    <c:v>II</c:v>
                  </c:pt>
                  <c:pt idx="6">
                    <c:v>III</c:v>
                  </c:pt>
                  <c:pt idx="7">
                    <c:v>IV</c:v>
                  </c:pt>
                  <c:pt idx="8">
                    <c:v>I</c:v>
                  </c:pt>
                  <c:pt idx="9">
                    <c:v>II</c:v>
                  </c:pt>
                  <c:pt idx="10">
                    <c:v>III</c:v>
                  </c:pt>
                  <c:pt idx="11">
                    <c:v>IV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I</c:v>
                  </c:pt>
                  <c:pt idx="17">
                    <c:v>II</c:v>
                  </c:pt>
                  <c:pt idx="18">
                    <c:v>III</c:v>
                  </c:pt>
                  <c:pt idx="19">
                    <c:v>IV</c:v>
                  </c:pt>
                  <c:pt idx="20">
                    <c:v>I</c:v>
                  </c:pt>
                  <c:pt idx="21">
                    <c:v>II</c:v>
                  </c:pt>
                  <c:pt idx="22">
                    <c:v>III</c:v>
                  </c:pt>
                  <c:pt idx="23">
                    <c:v>IV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I</c:v>
                  </c:pt>
                  <c:pt idx="29">
                    <c:v>II</c:v>
                  </c:pt>
                  <c:pt idx="30">
                    <c:v>III</c:v>
                  </c:pt>
                  <c:pt idx="31">
                    <c:v>IV</c:v>
                  </c:pt>
                  <c:pt idx="32">
                    <c:v>I</c:v>
                  </c:pt>
                  <c:pt idx="33">
                    <c:v>II</c:v>
                  </c:pt>
                </c:lvl>
                <c:lvl>
                  <c:pt idx="0">
                    <c:v>2015</c:v>
                  </c:pt>
                  <c:pt idx="4">
                    <c:v>2016</c:v>
                  </c:pt>
                  <c:pt idx="8">
                    <c:v>2017</c:v>
                  </c:pt>
                  <c:pt idx="12">
                    <c:v>2018</c:v>
                  </c:pt>
                  <c:pt idx="16">
                    <c:v>2019</c:v>
                  </c:pt>
                  <c:pt idx="20">
                    <c:v>2020</c:v>
                  </c:pt>
                  <c:pt idx="24">
                    <c:v>2021</c:v>
                  </c:pt>
                  <c:pt idx="28">
                    <c:v>2022</c:v>
                  </c:pt>
                  <c:pt idx="32">
                    <c:v>2023</c:v>
                  </c:pt>
                </c:lvl>
              </c:multiLvlStrCache>
            </c:multiLvlStrRef>
          </c:cat>
          <c:val>
            <c:numRef>
              <c:f>datos!$H$17:$H$50</c:f>
              <c:numCache>
                <c:formatCode>0.0</c:formatCode>
                <c:ptCount val="34"/>
                <c:pt idx="0">
                  <c:v>88.107349678508598</c:v>
                </c:pt>
                <c:pt idx="1">
                  <c:v>89.468556018569004</c:v>
                </c:pt>
                <c:pt idx="2">
                  <c:v>91.472943615724702</c:v>
                </c:pt>
                <c:pt idx="3">
                  <c:v>92.911927007700797</c:v>
                </c:pt>
                <c:pt idx="4">
                  <c:v>91.521612418831495</c:v>
                </c:pt>
                <c:pt idx="5">
                  <c:v>92.884767300272202</c:v>
                </c:pt>
                <c:pt idx="6">
                  <c:v>94.203809458649104</c:v>
                </c:pt>
                <c:pt idx="7">
                  <c:v>95.440433306652096</c:v>
                </c:pt>
                <c:pt idx="8">
                  <c:v>97.807621473593997</c:v>
                </c:pt>
                <c:pt idx="9">
                  <c:v>95.671629299594699</c:v>
                </c:pt>
                <c:pt idx="10">
                  <c:v>93.657107448059705</c:v>
                </c:pt>
                <c:pt idx="11">
                  <c:v>95.441347562018706</c:v>
                </c:pt>
                <c:pt idx="12">
                  <c:v>99.673074768258104</c:v>
                </c:pt>
                <c:pt idx="13">
                  <c:v>101.387138004264</c:v>
                </c:pt>
                <c:pt idx="14">
                  <c:v>99.731420372491002</c:v>
                </c:pt>
                <c:pt idx="15">
                  <c:v>98.948327987751497</c:v>
                </c:pt>
                <c:pt idx="16">
                  <c:v>98.692320048126703</c:v>
                </c:pt>
                <c:pt idx="17">
                  <c:v>97.746564845349198</c:v>
                </c:pt>
                <c:pt idx="18">
                  <c:v>98.238952754096701</c:v>
                </c:pt>
                <c:pt idx="19">
                  <c:v>96.664844449804505</c:v>
                </c:pt>
                <c:pt idx="20">
                  <c:v>101.123937608378</c:v>
                </c:pt>
                <c:pt idx="21">
                  <c:v>52.260153352848498</c:v>
                </c:pt>
                <c:pt idx="22">
                  <c:v>65.357760692656299</c:v>
                </c:pt>
                <c:pt idx="23">
                  <c:v>72.342863102445605</c:v>
                </c:pt>
                <c:pt idx="24">
                  <c:v>73.979439308842601</c:v>
                </c:pt>
                <c:pt idx="25">
                  <c:v>84.246051229586598</c:v>
                </c:pt>
                <c:pt idx="26">
                  <c:v>87.636302729310103</c:v>
                </c:pt>
                <c:pt idx="27">
                  <c:v>91.104543053914398</c:v>
                </c:pt>
                <c:pt idx="28">
                  <c:v>90.978405844330396</c:v>
                </c:pt>
                <c:pt idx="29">
                  <c:v>95.951169168610605</c:v>
                </c:pt>
                <c:pt idx="30">
                  <c:v>98.190682713260898</c:v>
                </c:pt>
                <c:pt idx="31">
                  <c:v>98.485643424915196</c:v>
                </c:pt>
                <c:pt idx="32">
                  <c:v>98.813706194275198</c:v>
                </c:pt>
                <c:pt idx="33">
                  <c:v>101.967131685387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F8A-4B2C-9B83-2B2C701517A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0"/>
        <c:axId val="349177760"/>
        <c:axId val="1"/>
      </c:barChart>
      <c:lineChart>
        <c:grouping val="standard"/>
        <c:varyColors val="0"/>
        <c:ser>
          <c:idx val="1"/>
          <c:order val="1"/>
          <c:tx>
            <c:v>Serie de tendencia-ciclo</c:v>
          </c:tx>
          <c:spPr>
            <a:ln w="15875">
              <a:solidFill>
                <a:schemeClr val="tx2">
                  <a:lumMod val="75000"/>
                </a:schemeClr>
              </a:solidFill>
              <a:prstDash val="solid"/>
            </a:ln>
          </c:spPr>
          <c:marker>
            <c:symbol val="none"/>
          </c:marker>
          <c:cat>
            <c:multiLvlStrRef>
              <c:f>datos!$B$17:$C$50</c:f>
              <c:multiLvlStrCache>
                <c:ptCount val="34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I</c:v>
                  </c:pt>
                  <c:pt idx="5">
                    <c:v>II</c:v>
                  </c:pt>
                  <c:pt idx="6">
                    <c:v>III</c:v>
                  </c:pt>
                  <c:pt idx="7">
                    <c:v>IV</c:v>
                  </c:pt>
                  <c:pt idx="8">
                    <c:v>I</c:v>
                  </c:pt>
                  <c:pt idx="9">
                    <c:v>II</c:v>
                  </c:pt>
                  <c:pt idx="10">
                    <c:v>III</c:v>
                  </c:pt>
                  <c:pt idx="11">
                    <c:v>IV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I</c:v>
                  </c:pt>
                  <c:pt idx="17">
                    <c:v>II</c:v>
                  </c:pt>
                  <c:pt idx="18">
                    <c:v>III</c:v>
                  </c:pt>
                  <c:pt idx="19">
                    <c:v>IV</c:v>
                  </c:pt>
                  <c:pt idx="20">
                    <c:v>I</c:v>
                  </c:pt>
                  <c:pt idx="21">
                    <c:v>II</c:v>
                  </c:pt>
                  <c:pt idx="22">
                    <c:v>III</c:v>
                  </c:pt>
                  <c:pt idx="23">
                    <c:v>IV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I</c:v>
                  </c:pt>
                  <c:pt idx="29">
                    <c:v>II</c:v>
                  </c:pt>
                  <c:pt idx="30">
                    <c:v>III</c:v>
                  </c:pt>
                  <c:pt idx="31">
                    <c:v>IV</c:v>
                  </c:pt>
                  <c:pt idx="32">
                    <c:v>I</c:v>
                  </c:pt>
                  <c:pt idx="33">
                    <c:v>II</c:v>
                  </c:pt>
                </c:lvl>
                <c:lvl>
                  <c:pt idx="0">
                    <c:v>2015</c:v>
                  </c:pt>
                  <c:pt idx="4">
                    <c:v>2016</c:v>
                  </c:pt>
                  <c:pt idx="8">
                    <c:v>2017</c:v>
                  </c:pt>
                  <c:pt idx="12">
                    <c:v>2018</c:v>
                  </c:pt>
                  <c:pt idx="16">
                    <c:v>2019</c:v>
                  </c:pt>
                  <c:pt idx="20">
                    <c:v>2020</c:v>
                  </c:pt>
                  <c:pt idx="24">
                    <c:v>2021</c:v>
                  </c:pt>
                  <c:pt idx="28">
                    <c:v>2022</c:v>
                  </c:pt>
                  <c:pt idx="32">
                    <c:v>2023</c:v>
                  </c:pt>
                </c:lvl>
              </c:multiLvlStrCache>
            </c:multiLvlStrRef>
          </c:cat>
          <c:val>
            <c:numRef>
              <c:f>datos!$I$17:$I$50</c:f>
              <c:numCache>
                <c:formatCode>0.0</c:formatCode>
                <c:ptCount val="34"/>
                <c:pt idx="0">
                  <c:v>88.377495715519501</c:v>
                </c:pt>
                <c:pt idx="1">
                  <c:v>89.492298890415597</c:v>
                </c:pt>
                <c:pt idx="2">
                  <c:v>91.550431289098796</c:v>
                </c:pt>
                <c:pt idx="3">
                  <c:v>92.335773560980797</c:v>
                </c:pt>
                <c:pt idx="4">
                  <c:v>92.136952777347503</c:v>
                </c:pt>
                <c:pt idx="5">
                  <c:v>92.682163073953504</c:v>
                </c:pt>
                <c:pt idx="6">
                  <c:v>94.111931652533698</c:v>
                </c:pt>
                <c:pt idx="7">
                  <c:v>95.943165030683801</c:v>
                </c:pt>
                <c:pt idx="8">
                  <c:v>97.054382656149897</c:v>
                </c:pt>
                <c:pt idx="9">
                  <c:v>95.741190626265606</c:v>
                </c:pt>
                <c:pt idx="10">
                  <c:v>94.026337856595006</c:v>
                </c:pt>
                <c:pt idx="11">
                  <c:v>95.706702107386903</c:v>
                </c:pt>
                <c:pt idx="12">
                  <c:v>99.371068763137998</c:v>
                </c:pt>
                <c:pt idx="13">
                  <c:v>101.013064636224</c:v>
                </c:pt>
                <c:pt idx="14">
                  <c:v>100.06829759365</c:v>
                </c:pt>
                <c:pt idx="15">
                  <c:v>99.012303893462402</c:v>
                </c:pt>
                <c:pt idx="16">
                  <c:v>98.446728566511894</c:v>
                </c:pt>
                <c:pt idx="17">
                  <c:v>98.041116966079301</c:v>
                </c:pt>
                <c:pt idx="18">
                  <c:v>97.862986990499607</c:v>
                </c:pt>
                <c:pt idx="19">
                  <c:v>98.782953748575196</c:v>
                </c:pt>
                <c:pt idx="20">
                  <c:v>100.848421463367</c:v>
                </c:pt>
                <c:pt idx="21">
                  <c:v>70.604995112470803</c:v>
                </c:pt>
                <c:pt idx="22">
                  <c:v>71.563650221027999</c:v>
                </c:pt>
                <c:pt idx="23">
                  <c:v>72.460016922536596</c:v>
                </c:pt>
                <c:pt idx="24">
                  <c:v>73.963026417408201</c:v>
                </c:pt>
                <c:pt idx="25">
                  <c:v>84.296952108260001</c:v>
                </c:pt>
                <c:pt idx="26">
                  <c:v>87.723406387160594</c:v>
                </c:pt>
                <c:pt idx="27">
                  <c:v>90.719066064583203</c:v>
                </c:pt>
                <c:pt idx="28">
                  <c:v>93.187030299391196</c:v>
                </c:pt>
                <c:pt idx="29">
                  <c:v>95.840659803429304</c:v>
                </c:pt>
                <c:pt idx="30">
                  <c:v>97.972759128188798</c:v>
                </c:pt>
                <c:pt idx="31">
                  <c:v>98.425829714285101</c:v>
                </c:pt>
                <c:pt idx="32">
                  <c:v>99.275207457276807</c:v>
                </c:pt>
                <c:pt idx="33">
                  <c:v>101.760883137177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4F8A-4B2C-9B83-2B2C701517A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49177760"/>
        <c:axId val="1"/>
      </c:lineChart>
      <c:catAx>
        <c:axId val="349177760"/>
        <c:scaling>
          <c:orientation val="minMax"/>
        </c:scaling>
        <c:delete val="0"/>
        <c:axPos val="b"/>
        <c:numFmt formatCode="General" sourceLinked="1"/>
        <c:majorTickMark val="cross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75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1"/>
        <c:crosses val="autoZero"/>
        <c:auto val="1"/>
        <c:lblAlgn val="ctr"/>
        <c:lblOffset val="100"/>
        <c:tickLblSkip val="1"/>
        <c:tickMarkSkip val="4"/>
        <c:noMultiLvlLbl val="1"/>
      </c:catAx>
      <c:valAx>
        <c:axId val="1"/>
        <c:scaling>
          <c:orientation val="minMax"/>
          <c:min val="40"/>
        </c:scaling>
        <c:delete val="0"/>
        <c:axPos val="l"/>
        <c:numFmt formatCode="0" sourceLinked="0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349177760"/>
        <c:crosses val="autoZero"/>
        <c:crossBetween val="between"/>
        <c:majorUnit val="20"/>
      </c:valAx>
      <c:spPr>
        <a:noFill/>
        <a:ln w="3175">
          <a:solidFill>
            <a:schemeClr val="bg1">
              <a:lumMod val="75000"/>
            </a:schemeClr>
          </a:solidFill>
        </a:ln>
      </c:spPr>
    </c:plotArea>
    <c:legend>
      <c:legendPos val="r"/>
      <c:layout>
        <c:manualLayout>
          <c:xMode val="edge"/>
          <c:yMode val="edge"/>
          <c:x val="2.7681198206098635E-2"/>
          <c:y val="0.93995586741173465"/>
          <c:w val="0.95550611790878759"/>
          <c:h val="5.9016393442622953E-2"/>
        </c:manualLayout>
      </c:layout>
      <c:overlay val="0"/>
      <c:spPr>
        <a:noFill/>
        <a:ln w="25400">
          <a:noFill/>
        </a:ln>
      </c:spPr>
      <c:txPr>
        <a:bodyPr/>
        <a:lstStyle/>
        <a:p>
          <a:pPr>
            <a:defRPr sz="800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es-MX"/>
        </a:p>
      </c:txPr>
    </c:legend>
    <c:plotVisOnly val="1"/>
    <c:dispBlanksAs val="gap"/>
    <c:showDLblsOverMax val="0"/>
  </c:chart>
  <c:spPr>
    <a:noFill/>
    <a:ln w="3175">
      <a:solidFill>
        <a:srgbClr val="000000"/>
      </a:solidFill>
      <a:prstDash val="solid"/>
    </a:ln>
    <a:effectLst>
      <a:outerShdw dist="12700" dir="2700000" algn="br">
        <a:srgbClr val="000000"/>
      </a:outerShdw>
    </a:effectLst>
  </c:spPr>
  <c:txPr>
    <a:bodyPr/>
    <a:lstStyle/>
    <a:p>
      <a:pPr>
        <a:defRPr sz="9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es-MX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7.2302558398220279E-2"/>
          <c:y val="4.0917497459994921E-2"/>
          <c:w val="0.91082190194638979"/>
          <c:h val="0.7733918592837187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datos!$H$4</c:f>
              <c:strCache>
                <c:ptCount val="1"/>
                <c:pt idx="0">
                  <c:v>Serie desestacionalizada</c:v>
                </c:pt>
              </c:strCache>
            </c:strRef>
          </c:tx>
          <c:spPr>
            <a:solidFill>
              <a:schemeClr val="accent1">
                <a:lumMod val="60000"/>
                <a:lumOff val="40000"/>
              </a:schemeClr>
            </a:solidFill>
            <a:ln w="12700">
              <a:noFill/>
              <a:prstDash val="solid"/>
            </a:ln>
            <a:effectLst>
              <a:outerShdw blurRad="50800" dist="50800" dir="5400000" algn="ctr" rotWithShape="0">
                <a:schemeClr val="bg1"/>
              </a:outerShdw>
            </a:effectLst>
            <a:scene3d>
              <a:camera prst="orthographicFront"/>
              <a:lightRig rig="threePt" dir="t"/>
            </a:scene3d>
            <a:sp3d/>
          </c:spPr>
          <c:invertIfNegative val="0"/>
          <c:dPt>
            <c:idx val="35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0-983C-425E-933F-8BD3901730F0}"/>
              </c:ext>
            </c:extLst>
          </c:dPt>
          <c:cat>
            <c:multiLvlStrRef>
              <c:f>datos!$B$17:$C$50</c:f>
              <c:multiLvlStrCache>
                <c:ptCount val="34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I</c:v>
                  </c:pt>
                  <c:pt idx="5">
                    <c:v>II</c:v>
                  </c:pt>
                  <c:pt idx="6">
                    <c:v>III</c:v>
                  </c:pt>
                  <c:pt idx="7">
                    <c:v>IV</c:v>
                  </c:pt>
                  <c:pt idx="8">
                    <c:v>I</c:v>
                  </c:pt>
                  <c:pt idx="9">
                    <c:v>II</c:v>
                  </c:pt>
                  <c:pt idx="10">
                    <c:v>III</c:v>
                  </c:pt>
                  <c:pt idx="11">
                    <c:v>IV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I</c:v>
                  </c:pt>
                  <c:pt idx="17">
                    <c:v>II</c:v>
                  </c:pt>
                  <c:pt idx="18">
                    <c:v>III</c:v>
                  </c:pt>
                  <c:pt idx="19">
                    <c:v>IV</c:v>
                  </c:pt>
                  <c:pt idx="20">
                    <c:v>I</c:v>
                  </c:pt>
                  <c:pt idx="21">
                    <c:v>II</c:v>
                  </c:pt>
                  <c:pt idx="22">
                    <c:v>III</c:v>
                  </c:pt>
                  <c:pt idx="23">
                    <c:v>IV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I</c:v>
                  </c:pt>
                  <c:pt idx="29">
                    <c:v>II</c:v>
                  </c:pt>
                  <c:pt idx="30">
                    <c:v>III</c:v>
                  </c:pt>
                  <c:pt idx="31">
                    <c:v>IV</c:v>
                  </c:pt>
                  <c:pt idx="32">
                    <c:v>I</c:v>
                  </c:pt>
                  <c:pt idx="33">
                    <c:v>II</c:v>
                  </c:pt>
                </c:lvl>
                <c:lvl>
                  <c:pt idx="0">
                    <c:v>2015</c:v>
                  </c:pt>
                  <c:pt idx="4">
                    <c:v>2016</c:v>
                  </c:pt>
                  <c:pt idx="8">
                    <c:v>2017</c:v>
                  </c:pt>
                  <c:pt idx="12">
                    <c:v>2018</c:v>
                  </c:pt>
                  <c:pt idx="16">
                    <c:v>2019</c:v>
                  </c:pt>
                  <c:pt idx="20">
                    <c:v>2020</c:v>
                  </c:pt>
                  <c:pt idx="24">
                    <c:v>2021</c:v>
                  </c:pt>
                  <c:pt idx="28">
                    <c:v>2022</c:v>
                  </c:pt>
                  <c:pt idx="32">
                    <c:v>2023</c:v>
                  </c:pt>
                </c:lvl>
              </c:multiLvlStrCache>
            </c:multiLvlStrRef>
          </c:cat>
          <c:val>
            <c:numRef>
              <c:f>datos!$J$17:$J$50</c:f>
              <c:numCache>
                <c:formatCode>0.0</c:formatCode>
                <c:ptCount val="34"/>
                <c:pt idx="0">
                  <c:v>88.840803431306298</c:v>
                </c:pt>
                <c:pt idx="1">
                  <c:v>89.861346481911298</c:v>
                </c:pt>
                <c:pt idx="2">
                  <c:v>93.002593079290307</c:v>
                </c:pt>
                <c:pt idx="3">
                  <c:v>95.062889614370903</c:v>
                </c:pt>
                <c:pt idx="4">
                  <c:v>93.830992514414007</c:v>
                </c:pt>
                <c:pt idx="5">
                  <c:v>93.844345247608501</c:v>
                </c:pt>
                <c:pt idx="6">
                  <c:v>94.642301695040899</c:v>
                </c:pt>
                <c:pt idx="7">
                  <c:v>96.558723024112794</c:v>
                </c:pt>
                <c:pt idx="8">
                  <c:v>98.111758246040495</c:v>
                </c:pt>
                <c:pt idx="9">
                  <c:v>96.397532026013906</c:v>
                </c:pt>
                <c:pt idx="10">
                  <c:v>92.296623553016502</c:v>
                </c:pt>
                <c:pt idx="11">
                  <c:v>92.963878746840905</c:v>
                </c:pt>
                <c:pt idx="12">
                  <c:v>98.735073159778906</c:v>
                </c:pt>
                <c:pt idx="13">
                  <c:v>101.70339998819701</c:v>
                </c:pt>
                <c:pt idx="14">
                  <c:v>99.878170687201305</c:v>
                </c:pt>
                <c:pt idx="15">
                  <c:v>98.934716125106704</c:v>
                </c:pt>
                <c:pt idx="16">
                  <c:v>99.278420811371603</c:v>
                </c:pt>
                <c:pt idx="17">
                  <c:v>99.0598247938307</c:v>
                </c:pt>
                <c:pt idx="18">
                  <c:v>99.745582112287295</c:v>
                </c:pt>
                <c:pt idx="19">
                  <c:v>98.676683683558196</c:v>
                </c:pt>
                <c:pt idx="20">
                  <c:v>103.127459717656</c:v>
                </c:pt>
                <c:pt idx="21">
                  <c:v>56.651011859134996</c:v>
                </c:pt>
                <c:pt idx="22">
                  <c:v>67.424215326366806</c:v>
                </c:pt>
                <c:pt idx="23">
                  <c:v>76.760316023668395</c:v>
                </c:pt>
                <c:pt idx="24">
                  <c:v>76.492789061761897</c:v>
                </c:pt>
                <c:pt idx="25">
                  <c:v>82.291011852614503</c:v>
                </c:pt>
                <c:pt idx="26">
                  <c:v>86.123740271637203</c:v>
                </c:pt>
                <c:pt idx="27">
                  <c:v>91.462290479269299</c:v>
                </c:pt>
                <c:pt idx="28">
                  <c:v>88.623235042021506</c:v>
                </c:pt>
                <c:pt idx="29">
                  <c:v>92.400266486865902</c:v>
                </c:pt>
                <c:pt idx="30">
                  <c:v>93.760937433018498</c:v>
                </c:pt>
                <c:pt idx="31">
                  <c:v>94.699032903791704</c:v>
                </c:pt>
                <c:pt idx="32">
                  <c:v>95.164418696079196</c:v>
                </c:pt>
                <c:pt idx="33">
                  <c:v>95.597499189301104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83C-425E-933F-8BD3901730F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0"/>
        <c:axId val="349172960"/>
        <c:axId val="1"/>
      </c:barChart>
      <c:lineChart>
        <c:grouping val="standard"/>
        <c:varyColors val="0"/>
        <c:ser>
          <c:idx val="1"/>
          <c:order val="1"/>
          <c:tx>
            <c:v>Serie de tendencia-ciclo</c:v>
          </c:tx>
          <c:spPr>
            <a:ln w="15875">
              <a:solidFill>
                <a:schemeClr val="tx2">
                  <a:lumMod val="75000"/>
                </a:schemeClr>
              </a:solidFill>
              <a:prstDash val="solid"/>
            </a:ln>
          </c:spPr>
          <c:marker>
            <c:symbol val="none"/>
          </c:marker>
          <c:cat>
            <c:multiLvlStrRef>
              <c:f>datos!$B$17:$C$50</c:f>
              <c:multiLvlStrCache>
                <c:ptCount val="34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I</c:v>
                  </c:pt>
                  <c:pt idx="5">
                    <c:v>II</c:v>
                  </c:pt>
                  <c:pt idx="6">
                    <c:v>III</c:v>
                  </c:pt>
                  <c:pt idx="7">
                    <c:v>IV</c:v>
                  </c:pt>
                  <c:pt idx="8">
                    <c:v>I</c:v>
                  </c:pt>
                  <c:pt idx="9">
                    <c:v>II</c:v>
                  </c:pt>
                  <c:pt idx="10">
                    <c:v>III</c:v>
                  </c:pt>
                  <c:pt idx="11">
                    <c:v>IV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I</c:v>
                  </c:pt>
                  <c:pt idx="17">
                    <c:v>II</c:v>
                  </c:pt>
                  <c:pt idx="18">
                    <c:v>III</c:v>
                  </c:pt>
                  <c:pt idx="19">
                    <c:v>IV</c:v>
                  </c:pt>
                  <c:pt idx="20">
                    <c:v>I</c:v>
                  </c:pt>
                  <c:pt idx="21">
                    <c:v>II</c:v>
                  </c:pt>
                  <c:pt idx="22">
                    <c:v>III</c:v>
                  </c:pt>
                  <c:pt idx="23">
                    <c:v>IV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I</c:v>
                  </c:pt>
                  <c:pt idx="29">
                    <c:v>II</c:v>
                  </c:pt>
                  <c:pt idx="30">
                    <c:v>III</c:v>
                  </c:pt>
                  <c:pt idx="31">
                    <c:v>IV</c:v>
                  </c:pt>
                  <c:pt idx="32">
                    <c:v>I</c:v>
                  </c:pt>
                  <c:pt idx="33">
                    <c:v>II</c:v>
                  </c:pt>
                </c:lvl>
                <c:lvl>
                  <c:pt idx="0">
                    <c:v>2015</c:v>
                  </c:pt>
                  <c:pt idx="4">
                    <c:v>2016</c:v>
                  </c:pt>
                  <c:pt idx="8">
                    <c:v>2017</c:v>
                  </c:pt>
                  <c:pt idx="12">
                    <c:v>2018</c:v>
                  </c:pt>
                  <c:pt idx="16">
                    <c:v>2019</c:v>
                  </c:pt>
                  <c:pt idx="20">
                    <c:v>2020</c:v>
                  </c:pt>
                  <c:pt idx="24">
                    <c:v>2021</c:v>
                  </c:pt>
                  <c:pt idx="28">
                    <c:v>2022</c:v>
                  </c:pt>
                  <c:pt idx="32">
                    <c:v>2023</c:v>
                  </c:pt>
                </c:lvl>
              </c:multiLvlStrCache>
            </c:multiLvlStrRef>
          </c:cat>
          <c:val>
            <c:numRef>
              <c:f>datos!$K$17:$K$50</c:f>
              <c:numCache>
                <c:formatCode>0.0</c:formatCode>
                <c:ptCount val="34"/>
                <c:pt idx="0">
                  <c:v>88.418105094542796</c:v>
                </c:pt>
                <c:pt idx="1">
                  <c:v>90.330128911533606</c:v>
                </c:pt>
                <c:pt idx="2">
                  <c:v>92.929870664051194</c:v>
                </c:pt>
                <c:pt idx="3">
                  <c:v>94.567356649832902</c:v>
                </c:pt>
                <c:pt idx="4">
                  <c:v>94.197985106475898</c:v>
                </c:pt>
                <c:pt idx="5">
                  <c:v>93.786007300012599</c:v>
                </c:pt>
                <c:pt idx="6">
                  <c:v>94.775623216998795</c:v>
                </c:pt>
                <c:pt idx="7">
                  <c:v>96.663137399170793</c:v>
                </c:pt>
                <c:pt idx="8">
                  <c:v>97.833878718069698</c:v>
                </c:pt>
                <c:pt idx="9">
                  <c:v>95.936834119206296</c:v>
                </c:pt>
                <c:pt idx="10">
                  <c:v>92.797324524056805</c:v>
                </c:pt>
                <c:pt idx="11">
                  <c:v>93.569103325422901</c:v>
                </c:pt>
                <c:pt idx="12">
                  <c:v>98.300672868053198</c:v>
                </c:pt>
                <c:pt idx="13">
                  <c:v>101.140510450863</c:v>
                </c:pt>
                <c:pt idx="14">
                  <c:v>100.265124790474</c:v>
                </c:pt>
                <c:pt idx="15">
                  <c:v>99.100281627533604</c:v>
                </c:pt>
                <c:pt idx="16">
                  <c:v>99.034929923849404</c:v>
                </c:pt>
                <c:pt idx="17">
                  <c:v>99.362758100063999</c:v>
                </c:pt>
                <c:pt idx="18">
                  <c:v>99.016211045304402</c:v>
                </c:pt>
                <c:pt idx="19">
                  <c:v>99.762679564801005</c:v>
                </c:pt>
                <c:pt idx="20">
                  <c:v>102.444179502311</c:v>
                </c:pt>
                <c:pt idx="21">
                  <c:v>76.462059363412706</c:v>
                </c:pt>
                <c:pt idx="22">
                  <c:v>77.366850331089495</c:v>
                </c:pt>
                <c:pt idx="23">
                  <c:v>76.624753660911296</c:v>
                </c:pt>
                <c:pt idx="24">
                  <c:v>77.470857089827902</c:v>
                </c:pt>
                <c:pt idx="25">
                  <c:v>81.455300255316999</c:v>
                </c:pt>
                <c:pt idx="26">
                  <c:v>86.872583779089098</c:v>
                </c:pt>
                <c:pt idx="27">
                  <c:v>90.323492242753105</c:v>
                </c:pt>
                <c:pt idx="28">
                  <c:v>91.720312445145595</c:v>
                </c:pt>
                <c:pt idx="29">
                  <c:v>92.325675128479205</c:v>
                </c:pt>
                <c:pt idx="30">
                  <c:v>93.729479139478499</c:v>
                </c:pt>
                <c:pt idx="31">
                  <c:v>94.663014336543299</c:v>
                </c:pt>
                <c:pt idx="32">
                  <c:v>94.962628982640396</c:v>
                </c:pt>
                <c:pt idx="33">
                  <c:v>96.261793904278704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983C-425E-933F-8BD3901730F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49172960"/>
        <c:axId val="1"/>
      </c:lineChart>
      <c:catAx>
        <c:axId val="349172960"/>
        <c:scaling>
          <c:orientation val="minMax"/>
        </c:scaling>
        <c:delete val="0"/>
        <c:axPos val="b"/>
        <c:numFmt formatCode="General" sourceLinked="1"/>
        <c:majorTickMark val="cross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75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1"/>
        <c:crosses val="autoZero"/>
        <c:auto val="1"/>
        <c:lblAlgn val="ctr"/>
        <c:lblOffset val="100"/>
        <c:tickLblSkip val="1"/>
        <c:tickMarkSkip val="4"/>
        <c:noMultiLvlLbl val="1"/>
      </c:catAx>
      <c:valAx>
        <c:axId val="1"/>
        <c:scaling>
          <c:orientation val="minMax"/>
          <c:max val="120"/>
          <c:min val="40"/>
        </c:scaling>
        <c:delete val="0"/>
        <c:axPos val="l"/>
        <c:numFmt formatCode="0" sourceLinked="0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349172960"/>
        <c:crosses val="autoZero"/>
        <c:crossBetween val="between"/>
        <c:majorUnit val="20"/>
      </c:valAx>
      <c:spPr>
        <a:noFill/>
        <a:ln w="3175" cmpd="dbl">
          <a:solidFill>
            <a:schemeClr val="bg1">
              <a:lumMod val="75000"/>
            </a:schemeClr>
          </a:solidFill>
          <a:prstDash val="solid"/>
        </a:ln>
        <a:effectLst>
          <a:outerShdw blurRad="50800" dist="12700" dir="5400000" algn="ctr" rotWithShape="0">
            <a:schemeClr val="bg1">
              <a:alpha val="43000"/>
            </a:schemeClr>
          </a:outerShdw>
        </a:effectLst>
      </c:spPr>
    </c:plotArea>
    <c:legend>
      <c:legendPos val="r"/>
      <c:layout>
        <c:manualLayout>
          <c:xMode val="edge"/>
          <c:yMode val="edge"/>
          <c:x val="2.2246895722769455E-2"/>
          <c:y val="0.92356211899923801"/>
          <c:w val="0.96885428253615125"/>
          <c:h val="7.3770491803278687E-2"/>
        </c:manualLayout>
      </c:layout>
      <c:overlay val="0"/>
      <c:spPr>
        <a:noFill/>
        <a:ln w="25400">
          <a:noFill/>
        </a:ln>
      </c:spPr>
      <c:txPr>
        <a:bodyPr/>
        <a:lstStyle/>
        <a:p>
          <a:pPr>
            <a:defRPr sz="800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es-MX"/>
        </a:p>
      </c:txPr>
    </c:legend>
    <c:plotVisOnly val="1"/>
    <c:dispBlanksAs val="gap"/>
    <c:showDLblsOverMax val="0"/>
  </c:chart>
  <c:spPr>
    <a:noFill/>
    <a:ln w="3175">
      <a:solidFill>
        <a:schemeClr val="tx1"/>
      </a:solidFill>
      <a:prstDash val="solid"/>
    </a:ln>
    <a:effectLst>
      <a:outerShdw dist="12700" dir="2700000" algn="br">
        <a:srgbClr val="000000"/>
      </a:outerShdw>
    </a:effectLst>
  </c:spPr>
  <c:txPr>
    <a:bodyPr/>
    <a:lstStyle/>
    <a:p>
      <a:pPr>
        <a:defRPr sz="9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es-MX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7.2302558398220279E-2"/>
          <c:y val="4.5957820040640078E-2"/>
          <c:w val="0.91082190194638979"/>
          <c:h val="0.7683515367030734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datos!$H$4</c:f>
              <c:strCache>
                <c:ptCount val="1"/>
                <c:pt idx="0">
                  <c:v>Serie desestacionalizada</c:v>
                </c:pt>
              </c:strCache>
            </c:strRef>
          </c:tx>
          <c:spPr>
            <a:solidFill>
              <a:schemeClr val="accent1">
                <a:lumMod val="60000"/>
                <a:lumOff val="40000"/>
              </a:schemeClr>
            </a:solidFill>
            <a:ln w="12700">
              <a:noFill/>
              <a:prstDash val="solid"/>
            </a:ln>
            <a:effectLst>
              <a:outerShdw blurRad="50800" dist="12700" dir="5400000" algn="ctr" rotWithShape="0">
                <a:schemeClr val="bg1">
                  <a:alpha val="43000"/>
                </a:schemeClr>
              </a:outerShdw>
            </a:effectLst>
            <a:scene3d>
              <a:camera prst="orthographicFront"/>
              <a:lightRig rig="threePt" dir="t"/>
            </a:scene3d>
            <a:sp3d/>
          </c:spPr>
          <c:invertIfNegative val="0"/>
          <c:cat>
            <c:multiLvlStrRef>
              <c:f>datos!$B$17:$C$50</c:f>
              <c:multiLvlStrCache>
                <c:ptCount val="34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I</c:v>
                  </c:pt>
                  <c:pt idx="5">
                    <c:v>II</c:v>
                  </c:pt>
                  <c:pt idx="6">
                    <c:v>III</c:v>
                  </c:pt>
                  <c:pt idx="7">
                    <c:v>IV</c:v>
                  </c:pt>
                  <c:pt idx="8">
                    <c:v>I</c:v>
                  </c:pt>
                  <c:pt idx="9">
                    <c:v>II</c:v>
                  </c:pt>
                  <c:pt idx="10">
                    <c:v>III</c:v>
                  </c:pt>
                  <c:pt idx="11">
                    <c:v>IV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I</c:v>
                  </c:pt>
                  <c:pt idx="17">
                    <c:v>II</c:v>
                  </c:pt>
                  <c:pt idx="18">
                    <c:v>III</c:v>
                  </c:pt>
                  <c:pt idx="19">
                    <c:v>IV</c:v>
                  </c:pt>
                  <c:pt idx="20">
                    <c:v>I</c:v>
                  </c:pt>
                  <c:pt idx="21">
                    <c:v>II</c:v>
                  </c:pt>
                  <c:pt idx="22">
                    <c:v>III</c:v>
                  </c:pt>
                  <c:pt idx="23">
                    <c:v>IV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I</c:v>
                  </c:pt>
                  <c:pt idx="29">
                    <c:v>II</c:v>
                  </c:pt>
                  <c:pt idx="30">
                    <c:v>III</c:v>
                  </c:pt>
                  <c:pt idx="31">
                    <c:v>IV</c:v>
                  </c:pt>
                  <c:pt idx="32">
                    <c:v>I</c:v>
                  </c:pt>
                  <c:pt idx="33">
                    <c:v>II</c:v>
                  </c:pt>
                </c:lvl>
                <c:lvl>
                  <c:pt idx="0">
                    <c:v>2015</c:v>
                  </c:pt>
                  <c:pt idx="4">
                    <c:v>2016</c:v>
                  </c:pt>
                  <c:pt idx="8">
                    <c:v>2017</c:v>
                  </c:pt>
                  <c:pt idx="12">
                    <c:v>2018</c:v>
                  </c:pt>
                  <c:pt idx="16">
                    <c:v>2019</c:v>
                  </c:pt>
                  <c:pt idx="20">
                    <c:v>2020</c:v>
                  </c:pt>
                  <c:pt idx="24">
                    <c:v>2021</c:v>
                  </c:pt>
                  <c:pt idx="28">
                    <c:v>2022</c:v>
                  </c:pt>
                  <c:pt idx="32">
                    <c:v>2023</c:v>
                  </c:pt>
                </c:lvl>
              </c:multiLvlStrCache>
            </c:multiLvlStrRef>
          </c:cat>
          <c:val>
            <c:numRef>
              <c:f>datos!$L$17:$L$50</c:f>
              <c:numCache>
                <c:formatCode>0.0</c:formatCode>
                <c:ptCount val="34"/>
                <c:pt idx="0">
                  <c:v>92.607827105567907</c:v>
                </c:pt>
                <c:pt idx="1">
                  <c:v>92.796935413321805</c:v>
                </c:pt>
                <c:pt idx="2">
                  <c:v>95.778189297804701</c:v>
                </c:pt>
                <c:pt idx="3">
                  <c:v>97.852978208844405</c:v>
                </c:pt>
                <c:pt idx="4">
                  <c:v>95.357940539819893</c:v>
                </c:pt>
                <c:pt idx="5">
                  <c:v>93.836529792162494</c:v>
                </c:pt>
                <c:pt idx="6">
                  <c:v>94.080769804179496</c:v>
                </c:pt>
                <c:pt idx="7">
                  <c:v>95.6141489347646</c:v>
                </c:pt>
                <c:pt idx="8">
                  <c:v>97.480661156691298</c:v>
                </c:pt>
                <c:pt idx="9">
                  <c:v>96.926713500842396</c:v>
                </c:pt>
                <c:pt idx="10">
                  <c:v>92.1013686795838</c:v>
                </c:pt>
                <c:pt idx="11">
                  <c:v>91.864092137906198</c:v>
                </c:pt>
                <c:pt idx="12">
                  <c:v>98.709272450373405</c:v>
                </c:pt>
                <c:pt idx="13">
                  <c:v>101.988348752967</c:v>
                </c:pt>
                <c:pt idx="14">
                  <c:v>100.455739184499</c:v>
                </c:pt>
                <c:pt idx="15">
                  <c:v>98.123201842882906</c:v>
                </c:pt>
                <c:pt idx="16">
                  <c:v>97.445802679120803</c:v>
                </c:pt>
                <c:pt idx="17">
                  <c:v>99.377382902527998</c:v>
                </c:pt>
                <c:pt idx="18">
                  <c:v>99.967692021368507</c:v>
                </c:pt>
                <c:pt idx="19">
                  <c:v>99.439302242259998</c:v>
                </c:pt>
                <c:pt idx="20">
                  <c:v>103.396651762603</c:v>
                </c:pt>
                <c:pt idx="21">
                  <c:v>66.022722676776894</c:v>
                </c:pt>
                <c:pt idx="22">
                  <c:v>73.694926172495002</c:v>
                </c:pt>
                <c:pt idx="23">
                  <c:v>82.072135853754702</c:v>
                </c:pt>
                <c:pt idx="24">
                  <c:v>82.877253254392102</c:v>
                </c:pt>
                <c:pt idx="25">
                  <c:v>83.001299803813197</c:v>
                </c:pt>
                <c:pt idx="26">
                  <c:v>85.069547874721493</c:v>
                </c:pt>
                <c:pt idx="27">
                  <c:v>89.2409375125998</c:v>
                </c:pt>
                <c:pt idx="28">
                  <c:v>86.322345291417804</c:v>
                </c:pt>
                <c:pt idx="29">
                  <c:v>89.707474520068999</c:v>
                </c:pt>
                <c:pt idx="30">
                  <c:v>91.919435892318504</c:v>
                </c:pt>
                <c:pt idx="31">
                  <c:v>92.528256401774797</c:v>
                </c:pt>
                <c:pt idx="32">
                  <c:v>92.184781196248096</c:v>
                </c:pt>
                <c:pt idx="33">
                  <c:v>96.740413318637593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6BA-4569-83AA-BD740775088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0"/>
        <c:axId val="349184480"/>
        <c:axId val="1"/>
      </c:barChart>
      <c:lineChart>
        <c:grouping val="standard"/>
        <c:varyColors val="0"/>
        <c:ser>
          <c:idx val="1"/>
          <c:order val="1"/>
          <c:tx>
            <c:v>Serie de tendencia-ciclo</c:v>
          </c:tx>
          <c:spPr>
            <a:ln w="15875">
              <a:solidFill>
                <a:schemeClr val="tx2">
                  <a:lumMod val="75000"/>
                </a:schemeClr>
              </a:solidFill>
              <a:prstDash val="solid"/>
            </a:ln>
          </c:spPr>
          <c:marker>
            <c:symbol val="none"/>
          </c:marker>
          <c:cat>
            <c:multiLvlStrRef>
              <c:f>datos!$B$17:$C$50</c:f>
              <c:multiLvlStrCache>
                <c:ptCount val="34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I</c:v>
                  </c:pt>
                  <c:pt idx="5">
                    <c:v>II</c:v>
                  </c:pt>
                  <c:pt idx="6">
                    <c:v>III</c:v>
                  </c:pt>
                  <c:pt idx="7">
                    <c:v>IV</c:v>
                  </c:pt>
                  <c:pt idx="8">
                    <c:v>I</c:v>
                  </c:pt>
                  <c:pt idx="9">
                    <c:v>II</c:v>
                  </c:pt>
                  <c:pt idx="10">
                    <c:v>III</c:v>
                  </c:pt>
                  <c:pt idx="11">
                    <c:v>IV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I</c:v>
                  </c:pt>
                  <c:pt idx="17">
                    <c:v>II</c:v>
                  </c:pt>
                  <c:pt idx="18">
                    <c:v>III</c:v>
                  </c:pt>
                  <c:pt idx="19">
                    <c:v>IV</c:v>
                  </c:pt>
                  <c:pt idx="20">
                    <c:v>I</c:v>
                  </c:pt>
                  <c:pt idx="21">
                    <c:v>II</c:v>
                  </c:pt>
                  <c:pt idx="22">
                    <c:v>III</c:v>
                  </c:pt>
                  <c:pt idx="23">
                    <c:v>IV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I</c:v>
                  </c:pt>
                  <c:pt idx="29">
                    <c:v>II</c:v>
                  </c:pt>
                  <c:pt idx="30">
                    <c:v>III</c:v>
                  </c:pt>
                  <c:pt idx="31">
                    <c:v>IV</c:v>
                  </c:pt>
                  <c:pt idx="32">
                    <c:v>I</c:v>
                  </c:pt>
                  <c:pt idx="33">
                    <c:v>II</c:v>
                  </c:pt>
                </c:lvl>
                <c:lvl>
                  <c:pt idx="0">
                    <c:v>2015</c:v>
                  </c:pt>
                  <c:pt idx="4">
                    <c:v>2016</c:v>
                  </c:pt>
                  <c:pt idx="8">
                    <c:v>2017</c:v>
                  </c:pt>
                  <c:pt idx="12">
                    <c:v>2018</c:v>
                  </c:pt>
                  <c:pt idx="16">
                    <c:v>2019</c:v>
                  </c:pt>
                  <c:pt idx="20">
                    <c:v>2020</c:v>
                  </c:pt>
                  <c:pt idx="24">
                    <c:v>2021</c:v>
                  </c:pt>
                  <c:pt idx="28">
                    <c:v>2022</c:v>
                  </c:pt>
                  <c:pt idx="32">
                    <c:v>2023</c:v>
                  </c:pt>
                </c:lvl>
              </c:multiLvlStrCache>
            </c:multiLvlStrRef>
          </c:cat>
          <c:val>
            <c:numRef>
              <c:f>datos!$M$17:$M$50</c:f>
              <c:numCache>
                <c:formatCode>0.0</c:formatCode>
                <c:ptCount val="34"/>
                <c:pt idx="0">
                  <c:v>92.188621819443696</c:v>
                </c:pt>
                <c:pt idx="1">
                  <c:v>93.336469988984703</c:v>
                </c:pt>
                <c:pt idx="2">
                  <c:v>95.775601088675103</c:v>
                </c:pt>
                <c:pt idx="3">
                  <c:v>97.176953323292494</c:v>
                </c:pt>
                <c:pt idx="4">
                  <c:v>95.706821738861905</c:v>
                </c:pt>
                <c:pt idx="5">
                  <c:v>93.929674005686394</c:v>
                </c:pt>
                <c:pt idx="6">
                  <c:v>94.1159774339297</c:v>
                </c:pt>
                <c:pt idx="7">
                  <c:v>95.746139584343993</c:v>
                </c:pt>
                <c:pt idx="8">
                  <c:v>97.414382243015993</c:v>
                </c:pt>
                <c:pt idx="9">
                  <c:v>96.128705754683295</c:v>
                </c:pt>
                <c:pt idx="10">
                  <c:v>92.615052757711197</c:v>
                </c:pt>
                <c:pt idx="11">
                  <c:v>92.917359201681506</c:v>
                </c:pt>
                <c:pt idx="12">
                  <c:v>98.065162216128698</c:v>
                </c:pt>
                <c:pt idx="13">
                  <c:v>101.59074072094801</c:v>
                </c:pt>
                <c:pt idx="14">
                  <c:v>100.570041754727</c:v>
                </c:pt>
                <c:pt idx="15">
                  <c:v>98.233431631608298</c:v>
                </c:pt>
                <c:pt idx="16">
                  <c:v>97.805893328498698</c:v>
                </c:pt>
                <c:pt idx="17">
                  <c:v>99.070986830271295</c:v>
                </c:pt>
                <c:pt idx="18">
                  <c:v>99.572520043024298</c:v>
                </c:pt>
                <c:pt idx="19">
                  <c:v>100.33783669023001</c:v>
                </c:pt>
                <c:pt idx="20">
                  <c:v>102.776474513468</c:v>
                </c:pt>
                <c:pt idx="21">
                  <c:v>80.566334524910005</c:v>
                </c:pt>
                <c:pt idx="22">
                  <c:v>81.471739493840701</c:v>
                </c:pt>
                <c:pt idx="23">
                  <c:v>82.211923313091006</c:v>
                </c:pt>
                <c:pt idx="24">
                  <c:v>82.486844406954006</c:v>
                </c:pt>
                <c:pt idx="25">
                  <c:v>83.684951235096406</c:v>
                </c:pt>
                <c:pt idx="26">
                  <c:v>86.554307468589002</c:v>
                </c:pt>
                <c:pt idx="27">
                  <c:v>88.721749318562601</c:v>
                </c:pt>
                <c:pt idx="28">
                  <c:v>88.941977352159199</c:v>
                </c:pt>
                <c:pt idx="29">
                  <c:v>89.826771601071499</c:v>
                </c:pt>
                <c:pt idx="30">
                  <c:v>91.676256460120101</c:v>
                </c:pt>
                <c:pt idx="31">
                  <c:v>92.164943892060506</c:v>
                </c:pt>
                <c:pt idx="32">
                  <c:v>93.213070641708597</c:v>
                </c:pt>
                <c:pt idx="33">
                  <c:v>96.169634349138505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16BA-4569-83AA-BD740775088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49184480"/>
        <c:axId val="1"/>
      </c:lineChart>
      <c:catAx>
        <c:axId val="349184480"/>
        <c:scaling>
          <c:orientation val="minMax"/>
        </c:scaling>
        <c:delete val="0"/>
        <c:axPos val="b"/>
        <c:numFmt formatCode="General" sourceLinked="1"/>
        <c:majorTickMark val="cross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75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1"/>
        <c:crosses val="autoZero"/>
        <c:auto val="1"/>
        <c:lblAlgn val="ctr"/>
        <c:lblOffset val="100"/>
        <c:tickLblSkip val="1"/>
        <c:tickMarkSkip val="4"/>
        <c:noMultiLvlLbl val="1"/>
      </c:catAx>
      <c:valAx>
        <c:axId val="1"/>
        <c:scaling>
          <c:orientation val="minMax"/>
          <c:max val="130"/>
          <c:min val="50"/>
        </c:scaling>
        <c:delete val="0"/>
        <c:axPos val="l"/>
        <c:numFmt formatCode="0" sourceLinked="0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349184480"/>
        <c:crosses val="autoZero"/>
        <c:crossBetween val="between"/>
        <c:majorUnit val="20"/>
      </c:valAx>
      <c:spPr>
        <a:noFill/>
        <a:ln w="3175">
          <a:solidFill>
            <a:schemeClr val="bg1">
              <a:lumMod val="75000"/>
            </a:schemeClr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1.7542673683489201E-2"/>
          <c:y val="0.94007810515621026"/>
          <c:w val="0.97775305895439379"/>
          <c:h val="5.9016393442622953E-2"/>
        </c:manualLayout>
      </c:layout>
      <c:overlay val="0"/>
      <c:spPr>
        <a:noFill/>
        <a:ln w="25400">
          <a:noFill/>
        </a:ln>
      </c:spPr>
      <c:txPr>
        <a:bodyPr/>
        <a:lstStyle/>
        <a:p>
          <a:pPr>
            <a:defRPr sz="800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es-MX"/>
        </a:p>
      </c:txPr>
    </c:legend>
    <c:plotVisOnly val="1"/>
    <c:dispBlanksAs val="gap"/>
    <c:showDLblsOverMax val="0"/>
  </c:chart>
  <c:spPr>
    <a:noFill/>
    <a:ln w="3175">
      <a:solidFill>
        <a:srgbClr val="000000"/>
      </a:solidFill>
      <a:prstDash val="solid"/>
    </a:ln>
    <a:effectLst>
      <a:outerShdw dist="12700" dir="2700000" algn="br">
        <a:srgbClr val="000000"/>
      </a:outerShdw>
    </a:effectLst>
  </c:spPr>
  <c:txPr>
    <a:bodyPr/>
    <a:lstStyle/>
    <a:p>
      <a:pPr>
        <a:defRPr sz="8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es-MX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6.0463818271328733E-2"/>
          <c:y val="4.6788084201168402E-2"/>
          <c:w val="0.91996432940296202"/>
          <c:h val="0.778432181864363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datos!$H$4</c:f>
              <c:strCache>
                <c:ptCount val="1"/>
                <c:pt idx="0">
                  <c:v>Serie desestacionalizada</c:v>
                </c:pt>
              </c:strCache>
            </c:strRef>
          </c:tx>
          <c:spPr>
            <a:solidFill>
              <a:schemeClr val="accent1">
                <a:lumMod val="60000"/>
                <a:lumOff val="40000"/>
              </a:schemeClr>
            </a:solidFill>
            <a:ln w="12700">
              <a:noFill/>
              <a:prstDash val="solid"/>
            </a:ln>
            <a:effectLst>
              <a:outerShdw blurRad="50800" dist="12700" dir="5400000" algn="ctr" rotWithShape="0">
                <a:schemeClr val="bg1">
                  <a:alpha val="43000"/>
                </a:schemeClr>
              </a:outerShdw>
            </a:effectLst>
            <a:scene3d>
              <a:camera prst="orthographicFront"/>
              <a:lightRig rig="threePt" dir="t"/>
            </a:scene3d>
            <a:sp3d/>
          </c:spPr>
          <c:invertIfNegative val="0"/>
          <c:cat>
            <c:multiLvlStrRef>
              <c:f>datos!$B$17:$C$50</c:f>
              <c:multiLvlStrCache>
                <c:ptCount val="34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I</c:v>
                  </c:pt>
                  <c:pt idx="5">
                    <c:v>II</c:v>
                  </c:pt>
                  <c:pt idx="6">
                    <c:v>III</c:v>
                  </c:pt>
                  <c:pt idx="7">
                    <c:v>IV</c:v>
                  </c:pt>
                  <c:pt idx="8">
                    <c:v>I</c:v>
                  </c:pt>
                  <c:pt idx="9">
                    <c:v>II</c:v>
                  </c:pt>
                  <c:pt idx="10">
                    <c:v>III</c:v>
                  </c:pt>
                  <c:pt idx="11">
                    <c:v>IV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I</c:v>
                  </c:pt>
                  <c:pt idx="17">
                    <c:v>II</c:v>
                  </c:pt>
                  <c:pt idx="18">
                    <c:v>III</c:v>
                  </c:pt>
                  <c:pt idx="19">
                    <c:v>IV</c:v>
                  </c:pt>
                  <c:pt idx="20">
                    <c:v>I</c:v>
                  </c:pt>
                  <c:pt idx="21">
                    <c:v>II</c:v>
                  </c:pt>
                  <c:pt idx="22">
                    <c:v>III</c:v>
                  </c:pt>
                  <c:pt idx="23">
                    <c:v>IV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I</c:v>
                  </c:pt>
                  <c:pt idx="29">
                    <c:v>II</c:v>
                  </c:pt>
                  <c:pt idx="30">
                    <c:v>III</c:v>
                  </c:pt>
                  <c:pt idx="31">
                    <c:v>IV</c:v>
                  </c:pt>
                  <c:pt idx="32">
                    <c:v>I</c:v>
                  </c:pt>
                  <c:pt idx="33">
                    <c:v>II</c:v>
                  </c:pt>
                </c:lvl>
                <c:lvl>
                  <c:pt idx="0">
                    <c:v>2015</c:v>
                  </c:pt>
                  <c:pt idx="4">
                    <c:v>2016</c:v>
                  </c:pt>
                  <c:pt idx="8">
                    <c:v>2017</c:v>
                  </c:pt>
                  <c:pt idx="12">
                    <c:v>2018</c:v>
                  </c:pt>
                  <c:pt idx="16">
                    <c:v>2019</c:v>
                  </c:pt>
                  <c:pt idx="20">
                    <c:v>2020</c:v>
                  </c:pt>
                  <c:pt idx="24">
                    <c:v>2021</c:v>
                  </c:pt>
                  <c:pt idx="28">
                    <c:v>2022</c:v>
                  </c:pt>
                  <c:pt idx="32">
                    <c:v>2023</c:v>
                  </c:pt>
                </c:lvl>
              </c:multiLvlStrCache>
            </c:multiLvlStrRef>
          </c:cat>
          <c:val>
            <c:numRef>
              <c:f>datos!$N$17:$N$50</c:f>
              <c:numCache>
                <c:formatCode>0.0</c:formatCode>
                <c:ptCount val="34"/>
                <c:pt idx="0">
                  <c:v>70.289696409524495</c:v>
                </c:pt>
                <c:pt idx="1">
                  <c:v>75.618489422030805</c:v>
                </c:pt>
                <c:pt idx="2">
                  <c:v>79.617041224374304</c:v>
                </c:pt>
                <c:pt idx="3">
                  <c:v>81.310061946619001</c:v>
                </c:pt>
                <c:pt idx="4">
                  <c:v>85.806254374178295</c:v>
                </c:pt>
                <c:pt idx="5">
                  <c:v>94.046788601375695</c:v>
                </c:pt>
                <c:pt idx="6">
                  <c:v>99.083559928396795</c:v>
                </c:pt>
                <c:pt idx="7">
                  <c:v>100.931110493422</c:v>
                </c:pt>
                <c:pt idx="8">
                  <c:v>99.963642870118207</c:v>
                </c:pt>
                <c:pt idx="9">
                  <c:v>94.160949764830093</c:v>
                </c:pt>
                <c:pt idx="10">
                  <c:v>94.187612413627605</c:v>
                </c:pt>
                <c:pt idx="11">
                  <c:v>97.865379893188305</c:v>
                </c:pt>
                <c:pt idx="12">
                  <c:v>97.939813318153099</c:v>
                </c:pt>
                <c:pt idx="13">
                  <c:v>100.95943557944901</c:v>
                </c:pt>
                <c:pt idx="14">
                  <c:v>97.954137414360801</c:v>
                </c:pt>
                <c:pt idx="15">
                  <c:v>102.61770193766399</c:v>
                </c:pt>
                <c:pt idx="16">
                  <c:v>105.239519159005</c:v>
                </c:pt>
                <c:pt idx="17">
                  <c:v>98.7880799628213</c:v>
                </c:pt>
                <c:pt idx="18">
                  <c:v>99.882260250914499</c:v>
                </c:pt>
                <c:pt idx="19">
                  <c:v>95.361443823580004</c:v>
                </c:pt>
                <c:pt idx="20">
                  <c:v>99.179711118149697</c:v>
                </c:pt>
                <c:pt idx="21">
                  <c:v>10.7763464707014</c:v>
                </c:pt>
                <c:pt idx="22">
                  <c:v>34.186683805407696</c:v>
                </c:pt>
                <c:pt idx="23">
                  <c:v>50.952943741033501</c:v>
                </c:pt>
                <c:pt idx="24">
                  <c:v>46.885134558020802</c:v>
                </c:pt>
                <c:pt idx="25">
                  <c:v>79.104497564098196</c:v>
                </c:pt>
                <c:pt idx="26">
                  <c:v>92.964608411986106</c:v>
                </c:pt>
                <c:pt idx="27">
                  <c:v>102.465103907325</c:v>
                </c:pt>
                <c:pt idx="28">
                  <c:v>98.114232332098794</c:v>
                </c:pt>
                <c:pt idx="29">
                  <c:v>105.47908960279599</c:v>
                </c:pt>
                <c:pt idx="30">
                  <c:v>105.273447481717</c:v>
                </c:pt>
                <c:pt idx="31">
                  <c:v>103.44207191226801</c:v>
                </c:pt>
                <c:pt idx="32">
                  <c:v>109.09847917741899</c:v>
                </c:pt>
                <c:pt idx="33">
                  <c:v>89.418612117081196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EFF-4710-B1E7-951F547924D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0"/>
        <c:axId val="349173440"/>
        <c:axId val="1"/>
      </c:barChart>
      <c:lineChart>
        <c:grouping val="standard"/>
        <c:varyColors val="0"/>
        <c:ser>
          <c:idx val="1"/>
          <c:order val="1"/>
          <c:tx>
            <c:v>Serie de tendencia-ciclo</c:v>
          </c:tx>
          <c:spPr>
            <a:ln w="15875">
              <a:solidFill>
                <a:schemeClr val="tx2">
                  <a:lumMod val="75000"/>
                </a:schemeClr>
              </a:solidFill>
              <a:prstDash val="solid"/>
            </a:ln>
          </c:spPr>
          <c:marker>
            <c:symbol val="none"/>
          </c:marker>
          <c:cat>
            <c:multiLvlStrRef>
              <c:f>datos!$B$17:$C$50</c:f>
              <c:multiLvlStrCache>
                <c:ptCount val="34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I</c:v>
                  </c:pt>
                  <c:pt idx="5">
                    <c:v>II</c:v>
                  </c:pt>
                  <c:pt idx="6">
                    <c:v>III</c:v>
                  </c:pt>
                  <c:pt idx="7">
                    <c:v>IV</c:v>
                  </c:pt>
                  <c:pt idx="8">
                    <c:v>I</c:v>
                  </c:pt>
                  <c:pt idx="9">
                    <c:v>II</c:v>
                  </c:pt>
                  <c:pt idx="10">
                    <c:v>III</c:v>
                  </c:pt>
                  <c:pt idx="11">
                    <c:v>IV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I</c:v>
                  </c:pt>
                  <c:pt idx="17">
                    <c:v>II</c:v>
                  </c:pt>
                  <c:pt idx="18">
                    <c:v>III</c:v>
                  </c:pt>
                  <c:pt idx="19">
                    <c:v>IV</c:v>
                  </c:pt>
                  <c:pt idx="20">
                    <c:v>I</c:v>
                  </c:pt>
                  <c:pt idx="21">
                    <c:v>II</c:v>
                  </c:pt>
                  <c:pt idx="22">
                    <c:v>III</c:v>
                  </c:pt>
                  <c:pt idx="23">
                    <c:v>IV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I</c:v>
                  </c:pt>
                  <c:pt idx="29">
                    <c:v>II</c:v>
                  </c:pt>
                  <c:pt idx="30">
                    <c:v>III</c:v>
                  </c:pt>
                  <c:pt idx="31">
                    <c:v>IV</c:v>
                  </c:pt>
                  <c:pt idx="32">
                    <c:v>I</c:v>
                  </c:pt>
                  <c:pt idx="33">
                    <c:v>II</c:v>
                  </c:pt>
                </c:lvl>
                <c:lvl>
                  <c:pt idx="0">
                    <c:v>2015</c:v>
                  </c:pt>
                  <c:pt idx="4">
                    <c:v>2016</c:v>
                  </c:pt>
                  <c:pt idx="8">
                    <c:v>2017</c:v>
                  </c:pt>
                  <c:pt idx="12">
                    <c:v>2018</c:v>
                  </c:pt>
                  <c:pt idx="16">
                    <c:v>2019</c:v>
                  </c:pt>
                  <c:pt idx="20">
                    <c:v>2020</c:v>
                  </c:pt>
                  <c:pt idx="24">
                    <c:v>2021</c:v>
                  </c:pt>
                  <c:pt idx="28">
                    <c:v>2022</c:v>
                  </c:pt>
                  <c:pt idx="32">
                    <c:v>2023</c:v>
                  </c:pt>
                </c:lvl>
              </c:multiLvlStrCache>
            </c:multiLvlStrRef>
          </c:cat>
          <c:val>
            <c:numRef>
              <c:f>datos!$O$17:$O$50</c:f>
              <c:numCache>
                <c:formatCode>0.0</c:formatCode>
                <c:ptCount val="34"/>
                <c:pt idx="0">
                  <c:v>69.922900896952797</c:v>
                </c:pt>
                <c:pt idx="1">
                  <c:v>75.733692792083104</c:v>
                </c:pt>
                <c:pt idx="2">
                  <c:v>79.170314490939603</c:v>
                </c:pt>
                <c:pt idx="3">
                  <c:v>81.616069591769005</c:v>
                </c:pt>
                <c:pt idx="4">
                  <c:v>86.385536789132502</c:v>
                </c:pt>
                <c:pt idx="5">
                  <c:v>93.535545302082397</c:v>
                </c:pt>
                <c:pt idx="6">
                  <c:v>99.057151295021896</c:v>
                </c:pt>
                <c:pt idx="7">
                  <c:v>101.10692380535799</c:v>
                </c:pt>
                <c:pt idx="8">
                  <c:v>99.0322423137398</c:v>
                </c:pt>
                <c:pt idx="9">
                  <c:v>95.103954923386894</c:v>
                </c:pt>
                <c:pt idx="10">
                  <c:v>94.560339501749198</c:v>
                </c:pt>
                <c:pt idx="11">
                  <c:v>96.851875706817694</c:v>
                </c:pt>
                <c:pt idx="12">
                  <c:v>99.079293301462599</c:v>
                </c:pt>
                <c:pt idx="13">
                  <c:v>99.295303621661404</c:v>
                </c:pt>
                <c:pt idx="14">
                  <c:v>99.6726418031989</c:v>
                </c:pt>
                <c:pt idx="15">
                  <c:v>102.42098474056399</c:v>
                </c:pt>
                <c:pt idx="16">
                  <c:v>103.502952426961</c:v>
                </c:pt>
                <c:pt idx="17">
                  <c:v>100.974686026219</c:v>
                </c:pt>
                <c:pt idx="18">
                  <c:v>97.891320987355897</c:v>
                </c:pt>
                <c:pt idx="19">
                  <c:v>97.253017333063795</c:v>
                </c:pt>
                <c:pt idx="20">
                  <c:v>97.951944524928905</c:v>
                </c:pt>
                <c:pt idx="21">
                  <c:v>47.953000089322003</c:v>
                </c:pt>
                <c:pt idx="22">
                  <c:v>48.496070432028503</c:v>
                </c:pt>
                <c:pt idx="23">
                  <c:v>50.522711811955602</c:v>
                </c:pt>
                <c:pt idx="24">
                  <c:v>60.247279574212101</c:v>
                </c:pt>
                <c:pt idx="25">
                  <c:v>77.329892033670106</c:v>
                </c:pt>
                <c:pt idx="26">
                  <c:v>93.873040696494996</c:v>
                </c:pt>
                <c:pt idx="27">
                  <c:v>99.890852857238798</c:v>
                </c:pt>
                <c:pt idx="28">
                  <c:v>101.407658231532</c:v>
                </c:pt>
                <c:pt idx="29">
                  <c:v>103.626464155931</c:v>
                </c:pt>
                <c:pt idx="30">
                  <c:v>105.040777002238</c:v>
                </c:pt>
                <c:pt idx="31">
                  <c:v>106.521404228017</c:v>
                </c:pt>
                <c:pt idx="32">
                  <c:v>103.47843035285101</c:v>
                </c:pt>
                <c:pt idx="33">
                  <c:v>93.518496866051095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6EFF-4710-B1E7-951F547924D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49173440"/>
        <c:axId val="1"/>
      </c:lineChart>
      <c:catAx>
        <c:axId val="349173440"/>
        <c:scaling>
          <c:orientation val="minMax"/>
        </c:scaling>
        <c:delete val="0"/>
        <c:axPos val="b"/>
        <c:numFmt formatCode="General" sourceLinked="1"/>
        <c:majorTickMark val="cross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75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1"/>
        <c:crosses val="autoZero"/>
        <c:auto val="1"/>
        <c:lblAlgn val="ctr"/>
        <c:lblOffset val="100"/>
        <c:tickLblSkip val="1"/>
        <c:tickMarkSkip val="4"/>
        <c:noMultiLvlLbl val="1"/>
      </c:catAx>
      <c:valAx>
        <c:axId val="1"/>
        <c:scaling>
          <c:orientation val="minMax"/>
          <c:max val="140"/>
          <c:min val="0"/>
        </c:scaling>
        <c:delete val="0"/>
        <c:axPos val="l"/>
        <c:numFmt formatCode="0" sourceLinked="0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s-MX"/>
          </a:p>
        </c:txPr>
        <c:crossAx val="349173440"/>
        <c:crosses val="autoZero"/>
        <c:crossBetween val="between"/>
      </c:valAx>
      <c:spPr>
        <a:noFill/>
        <a:ln w="3175">
          <a:solidFill>
            <a:schemeClr val="bg1">
              <a:lumMod val="75000"/>
            </a:schemeClr>
          </a:solidFill>
        </a:ln>
      </c:spPr>
    </c:plotArea>
    <c:legend>
      <c:legendPos val="r"/>
      <c:layout>
        <c:manualLayout>
          <c:xMode val="edge"/>
          <c:yMode val="edge"/>
          <c:x val="0"/>
          <c:y val="0.93831637350774699"/>
          <c:w val="1"/>
          <c:h val="5.9016393442622953E-2"/>
        </c:manualLayout>
      </c:layout>
      <c:overlay val="0"/>
      <c:spPr>
        <a:noFill/>
        <a:ln w="25400">
          <a:noFill/>
        </a:ln>
      </c:spPr>
      <c:txPr>
        <a:bodyPr/>
        <a:lstStyle/>
        <a:p>
          <a:pPr>
            <a:defRPr sz="800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es-MX"/>
        </a:p>
      </c:txPr>
    </c:legend>
    <c:plotVisOnly val="1"/>
    <c:dispBlanksAs val="gap"/>
    <c:showDLblsOverMax val="0"/>
  </c:chart>
  <c:spPr>
    <a:noFill/>
    <a:ln w="3175">
      <a:solidFill>
        <a:srgbClr val="000000"/>
      </a:solidFill>
      <a:prstDash val="solid"/>
    </a:ln>
    <a:effectLst>
      <a:outerShdw dist="12700" dir="2700000" algn="br">
        <a:srgbClr val="000000"/>
      </a:outerShdw>
    </a:effectLst>
  </c:spPr>
  <c:txPr>
    <a:bodyPr/>
    <a:lstStyle/>
    <a:p>
      <a:pPr>
        <a:defRPr sz="9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es-MX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B9587B-0418-434B-8921-CF8995C3C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8</Pages>
  <Words>1455</Words>
  <Characters>8007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Comunicado. Indicadores Trimestrales de la Actividad Turística</vt:lpstr>
    </vt:vector>
  </TitlesOfParts>
  <Manager>INEGI</Manager>
  <Company>INEGI</Company>
  <LinksUpToDate>false</LinksUpToDate>
  <CharactersWithSpaces>9444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Comunicado. Indicadores Trimestrales de la Actividad Turística</dc:title>
  <dc:subject/>
  <dc:creator>INEGI</dc:creator>
  <cp:keywords/>
  <cp:lastModifiedBy>GUILLEN MEDINA MOISES</cp:lastModifiedBy>
  <cp:revision>7</cp:revision>
  <cp:lastPrinted>2022-10-26T15:12:00Z</cp:lastPrinted>
  <dcterms:created xsi:type="dcterms:W3CDTF">2023-10-27T16:50:00Z</dcterms:created>
  <dcterms:modified xsi:type="dcterms:W3CDTF">2023-10-27T23:40:00Z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d3e25618b5fe4792aa7a12f3ba3a003779665e99b0dd39360803768be14381e7</vt:lpwstr>
  </property>
</Properties>
</file>