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charts/chart3.xml" ContentType="application/vnd.openxmlformats-officedocument.drawingml.chart+xml"/>
  <Override PartName="/word/drawings/drawing3.xml" ContentType="application/vnd.openxmlformats-officedocument.drawingml.chartshapes+xml"/>
  <Override PartName="/word/charts/chart4.xml" ContentType="application/vnd.openxmlformats-officedocument.drawingml.chart+xml"/>
  <Override PartName="/word/drawings/drawing4.xml" ContentType="application/vnd.openxmlformats-officedocument.drawingml.chartshapes+xml"/>
  <Override PartName="/word/charts/chart5.xml" ContentType="application/vnd.openxmlformats-officedocument.drawingml.chart+xml"/>
  <Override PartName="/word/drawings/drawing5.xml" ContentType="application/vnd.openxmlformats-officedocument.drawingml.chartshapes+xml"/>
  <Override PartName="/word/charts/chart6.xml" ContentType="application/vnd.openxmlformats-officedocument.drawingml.chart+xml"/>
  <Override PartName="/word/drawings/drawing6.xml" ContentType="application/vnd.openxmlformats-officedocument.drawingml.chartshapes+xml"/>
  <Override PartName="/word/charts/chart7.xml" ContentType="application/vnd.openxmlformats-officedocument.drawingml.chart+xml"/>
  <Override PartName="/word/drawings/drawing7.xml" ContentType="application/vnd.openxmlformats-officedocument.drawingml.chartshapes+xml"/>
  <Override PartName="/word/charts/chart8.xml" ContentType="application/vnd.openxmlformats-officedocument.drawingml.chart+xml"/>
  <Override PartName="/word/drawings/drawing8.xml" ContentType="application/vnd.openxmlformats-officedocument.drawingml.chartshapes+xml"/>
  <Override PartName="/word/charts/chart9.xml" ContentType="application/vnd.openxmlformats-officedocument.drawingml.chart+xml"/>
  <Override PartName="/word/drawings/drawing9.xml" ContentType="application/vnd.openxmlformats-officedocument.drawingml.chartshapes+xml"/>
  <Override PartName="/word/charts/chart10.xml" ContentType="application/vnd.openxmlformats-officedocument.drawingml.chart+xml"/>
  <Override PartName="/word/drawings/drawing10.xml" ContentType="application/vnd.openxmlformats-officedocument.drawingml.chartshapes+xml"/>
  <Override PartName="/word/charts/chart11.xml" ContentType="application/vnd.openxmlformats-officedocument.drawingml.chart+xml"/>
  <Override PartName="/word/drawings/drawing11.xml" ContentType="application/vnd.openxmlformats-officedocument.drawingml.chartshapes+xml"/>
  <Override PartName="/word/charts/chart12.xml" ContentType="application/vnd.openxmlformats-officedocument.drawingml.chart+xml"/>
  <Override PartName="/word/drawings/drawing12.xml" ContentType="application/vnd.openxmlformats-officedocument.drawingml.chartshapes+xml"/>
  <Override PartName="/word/charts/chart13.xml" ContentType="application/vnd.openxmlformats-officedocument.drawingml.chart+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47982A" w14:textId="77777777" w:rsidR="00BC2858" w:rsidRDefault="00BC2858" w:rsidP="009D16C1">
      <w:pPr>
        <w:pStyle w:val="Ttulo2"/>
        <w:keepNext w:val="0"/>
        <w:widowControl w:val="0"/>
        <w:spacing w:before="0"/>
        <w:jc w:val="center"/>
        <w:rPr>
          <w:b/>
          <w:smallCaps/>
          <w:sz w:val="28"/>
          <w:szCs w:val="22"/>
        </w:rPr>
      </w:pPr>
    </w:p>
    <w:p w14:paraId="05EC480E" w14:textId="76DE2E18" w:rsidR="00BC2858" w:rsidRDefault="00BC2858" w:rsidP="009D16C1">
      <w:pPr>
        <w:pStyle w:val="Ttulo2"/>
        <w:keepNext w:val="0"/>
        <w:widowControl w:val="0"/>
        <w:spacing w:before="0"/>
        <w:jc w:val="center"/>
        <w:rPr>
          <w:b/>
          <w:smallCaps/>
          <w:sz w:val="28"/>
          <w:szCs w:val="22"/>
        </w:rPr>
      </w:pPr>
      <w:r>
        <w:rPr>
          <w:noProof/>
          <w:lang w:eastAsia="es-MX"/>
        </w:rPr>
        <mc:AlternateContent>
          <mc:Choice Requires="wps">
            <w:drawing>
              <wp:anchor distT="45720" distB="45720" distL="114300" distR="114300" simplePos="0" relativeHeight="251659264" behindDoc="0" locked="0" layoutInCell="1" allowOverlap="1" wp14:anchorId="4C82A933" wp14:editId="449B4EB2">
                <wp:simplePos x="0" y="0"/>
                <wp:positionH relativeFrom="margin">
                  <wp:align>right</wp:align>
                </wp:positionH>
                <wp:positionV relativeFrom="paragraph">
                  <wp:posOffset>97155</wp:posOffset>
                </wp:positionV>
                <wp:extent cx="333629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653DCF4C" w14:textId="0D7C7D7C" w:rsidR="00BC2858" w:rsidRPr="003D4E37" w:rsidRDefault="00BC2858" w:rsidP="00BC2858">
                            <w:pPr>
                              <w:jc w:val="right"/>
                            </w:pPr>
                            <w:r w:rsidRPr="00776EFB">
                              <w:rPr>
                                <w:rFonts w:ascii="Arial" w:hAnsi="Arial" w:cs="Arial"/>
                                <w:b/>
                                <w:color w:val="FFFFFF" w:themeColor="background1"/>
                                <w:shd w:val="clear" w:color="auto" w:fill="365F91" w:themeFill="accent1" w:themeFillShade="BF"/>
                                <w:lang w:val="pt-BR"/>
                              </w:rPr>
                              <w:t xml:space="preserve">Próxima </w:t>
                            </w:r>
                            <w:proofErr w:type="spellStart"/>
                            <w:r w:rsidRPr="00776EFB">
                              <w:rPr>
                                <w:rFonts w:ascii="Arial" w:hAnsi="Arial" w:cs="Arial"/>
                                <w:b/>
                                <w:color w:val="FFFFFF" w:themeColor="background1"/>
                                <w:shd w:val="clear" w:color="auto" w:fill="365F91" w:themeFill="accent1" w:themeFillShade="BF"/>
                                <w:lang w:val="pt-BR"/>
                              </w:rPr>
                              <w:t>publicación</w:t>
                            </w:r>
                            <w:proofErr w:type="spellEnd"/>
                            <w:r w:rsidRPr="00776EFB">
                              <w:rPr>
                                <w:rFonts w:ascii="Arial" w:hAnsi="Arial" w:cs="Arial"/>
                                <w:b/>
                                <w:color w:val="FFFFFF" w:themeColor="background1"/>
                                <w:shd w:val="clear" w:color="auto" w:fill="365F91" w:themeFill="accent1" w:themeFillShade="BF"/>
                                <w:lang w:val="pt-BR"/>
                              </w:rPr>
                              <w:t xml:space="preserve">: </w:t>
                            </w:r>
                            <w:r>
                              <w:rPr>
                                <w:rFonts w:ascii="Arial" w:hAnsi="Arial" w:cs="Arial"/>
                                <w:b/>
                                <w:color w:val="FFFFFF" w:themeColor="background1"/>
                                <w:shd w:val="clear" w:color="auto" w:fill="365F91" w:themeFill="accent1" w:themeFillShade="BF"/>
                                <w:lang w:val="pt-BR"/>
                              </w:rPr>
                              <w:t>2</w:t>
                            </w:r>
                            <w:r>
                              <w:rPr>
                                <w:rFonts w:ascii="Arial" w:hAnsi="Arial" w:cs="Arial"/>
                                <w:b/>
                                <w:color w:val="FFFFFF" w:themeColor="background1"/>
                                <w:shd w:val="clear" w:color="auto" w:fill="365F91" w:themeFill="accent1" w:themeFillShade="BF"/>
                                <w:lang w:val="pt-BR"/>
                              </w:rPr>
                              <w:t>7 de septiembre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82A933" id="_x0000_t202" coordsize="21600,21600" o:spt="202" path="m,l,21600r21600,l21600,xe">
                <v:stroke joinstyle="miter"/>
                <v:path gradientshapeok="t" o:connecttype="rect"/>
              </v:shapetype>
              <v:shape id="Cuadro de texto 217" o:spid="_x0000_s1026" type="#_x0000_t202" style="position:absolute;left:0;text-align:left;margin-left:211.5pt;margin-top:7.65pt;width:262.7pt;height:21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" stroked="f">
                <v:textbox>
                  <w:txbxContent>
                    <w:p w14:paraId="653DCF4C" w14:textId="0D7C7D7C" w:rsidR="00BC2858" w:rsidRPr="003D4E37" w:rsidRDefault="00BC2858" w:rsidP="00BC2858">
                      <w:pPr>
                        <w:jc w:val="right"/>
                      </w:pPr>
                      <w:r w:rsidRPr="00776EFB">
                        <w:rPr>
                          <w:rFonts w:ascii="Arial" w:hAnsi="Arial" w:cs="Arial"/>
                          <w:b/>
                          <w:color w:val="FFFFFF" w:themeColor="background1"/>
                          <w:shd w:val="clear" w:color="auto" w:fill="365F91" w:themeFill="accent1" w:themeFillShade="BF"/>
                          <w:lang w:val="pt-BR"/>
                        </w:rPr>
                        <w:t xml:space="preserve">Próxima </w:t>
                      </w:r>
                      <w:proofErr w:type="spellStart"/>
                      <w:r w:rsidRPr="00776EFB">
                        <w:rPr>
                          <w:rFonts w:ascii="Arial" w:hAnsi="Arial" w:cs="Arial"/>
                          <w:b/>
                          <w:color w:val="FFFFFF" w:themeColor="background1"/>
                          <w:shd w:val="clear" w:color="auto" w:fill="365F91" w:themeFill="accent1" w:themeFillShade="BF"/>
                          <w:lang w:val="pt-BR"/>
                        </w:rPr>
                        <w:t>publicación</w:t>
                      </w:r>
                      <w:proofErr w:type="spellEnd"/>
                      <w:r w:rsidRPr="00776EFB">
                        <w:rPr>
                          <w:rFonts w:ascii="Arial" w:hAnsi="Arial" w:cs="Arial"/>
                          <w:b/>
                          <w:color w:val="FFFFFF" w:themeColor="background1"/>
                          <w:shd w:val="clear" w:color="auto" w:fill="365F91" w:themeFill="accent1" w:themeFillShade="BF"/>
                          <w:lang w:val="pt-BR"/>
                        </w:rPr>
                        <w:t xml:space="preserve">: </w:t>
                      </w:r>
                      <w:r>
                        <w:rPr>
                          <w:rFonts w:ascii="Arial" w:hAnsi="Arial" w:cs="Arial"/>
                          <w:b/>
                          <w:color w:val="FFFFFF" w:themeColor="background1"/>
                          <w:shd w:val="clear" w:color="auto" w:fill="365F91" w:themeFill="accent1" w:themeFillShade="BF"/>
                          <w:lang w:val="pt-BR"/>
                        </w:rPr>
                        <w:t>2</w:t>
                      </w:r>
                      <w:r>
                        <w:rPr>
                          <w:rFonts w:ascii="Arial" w:hAnsi="Arial" w:cs="Arial"/>
                          <w:b/>
                          <w:color w:val="FFFFFF" w:themeColor="background1"/>
                          <w:shd w:val="clear" w:color="auto" w:fill="365F91" w:themeFill="accent1" w:themeFillShade="BF"/>
                          <w:lang w:val="pt-BR"/>
                        </w:rPr>
                        <w:t>7 de septiembre</w:t>
                      </w:r>
                    </w:p>
                  </w:txbxContent>
                </v:textbox>
                <w10:wrap type="square" anchorx="margin"/>
              </v:shape>
            </w:pict>
          </mc:Fallback>
        </mc:AlternateContent>
      </w:r>
    </w:p>
    <w:p w14:paraId="74066C7F" w14:textId="1872601E" w:rsidR="00BC2858" w:rsidRDefault="00BC2858" w:rsidP="009D16C1">
      <w:pPr>
        <w:pStyle w:val="Ttulo2"/>
        <w:keepNext w:val="0"/>
        <w:widowControl w:val="0"/>
        <w:spacing w:before="0"/>
        <w:jc w:val="center"/>
        <w:rPr>
          <w:b/>
          <w:smallCaps/>
          <w:sz w:val="28"/>
          <w:szCs w:val="22"/>
        </w:rPr>
      </w:pPr>
    </w:p>
    <w:p w14:paraId="104A8280" w14:textId="77777777" w:rsidR="00BC2858" w:rsidRDefault="00BC2858" w:rsidP="009D16C1">
      <w:pPr>
        <w:pStyle w:val="Ttulo2"/>
        <w:keepNext w:val="0"/>
        <w:widowControl w:val="0"/>
        <w:spacing w:before="0"/>
        <w:jc w:val="center"/>
        <w:rPr>
          <w:b/>
          <w:smallCaps/>
          <w:sz w:val="28"/>
          <w:szCs w:val="22"/>
        </w:rPr>
      </w:pPr>
    </w:p>
    <w:p w14:paraId="437C9D1F" w14:textId="1526E5CC" w:rsidR="00D1290B" w:rsidRPr="00BC2858" w:rsidRDefault="00E13FDF" w:rsidP="009D16C1">
      <w:pPr>
        <w:pStyle w:val="Ttulo2"/>
        <w:keepNext w:val="0"/>
        <w:widowControl w:val="0"/>
        <w:spacing w:before="0"/>
        <w:jc w:val="center"/>
        <w:rPr>
          <w:rFonts w:ascii="Arial Negrita" w:hAnsi="Arial Negrita"/>
          <w:b/>
          <w:caps/>
          <w:szCs w:val="22"/>
        </w:rPr>
      </w:pPr>
      <w:r w:rsidRPr="00BC2858">
        <w:rPr>
          <w:rFonts w:ascii="Arial Negrita" w:hAnsi="Arial Negrita"/>
          <w:b/>
          <w:caps/>
          <w:szCs w:val="22"/>
        </w:rPr>
        <w:t>INFORMACIÓN OPORTUNA SOBRE LA</w:t>
      </w:r>
      <w:r w:rsidR="00D1290B" w:rsidRPr="00BC2858">
        <w:rPr>
          <w:rFonts w:ascii="Arial Negrita" w:hAnsi="Arial Negrita"/>
          <w:b/>
          <w:caps/>
          <w:szCs w:val="22"/>
        </w:rPr>
        <w:t xml:space="preserve"> </w:t>
      </w:r>
      <w:r w:rsidRPr="00BC2858">
        <w:rPr>
          <w:rFonts w:ascii="Arial Negrita" w:hAnsi="Arial Negrita"/>
          <w:b/>
          <w:caps/>
          <w:szCs w:val="22"/>
        </w:rPr>
        <w:t>BALANZA COMERCIAL</w:t>
      </w:r>
    </w:p>
    <w:p w14:paraId="1DCCE830" w14:textId="1EA4893A" w:rsidR="00054F15" w:rsidRPr="00BC2858" w:rsidRDefault="00E13FDF" w:rsidP="00D1290B">
      <w:pPr>
        <w:pStyle w:val="Ttulo2"/>
        <w:keepNext w:val="0"/>
        <w:widowControl w:val="0"/>
        <w:spacing w:before="0"/>
        <w:jc w:val="center"/>
        <w:rPr>
          <w:rFonts w:ascii="Arial Negrita" w:hAnsi="Arial Negrita"/>
          <w:b/>
          <w:caps/>
        </w:rPr>
      </w:pPr>
      <w:r w:rsidRPr="00BC2858">
        <w:rPr>
          <w:rFonts w:ascii="Arial Negrita" w:hAnsi="Arial Negrita"/>
          <w:b/>
          <w:caps/>
          <w:szCs w:val="22"/>
        </w:rPr>
        <w:t>DE MERCANCÍAS DE MÉXICO</w:t>
      </w:r>
    </w:p>
    <w:p w14:paraId="139EACD4" w14:textId="06A685FB" w:rsidR="00757DAD" w:rsidRPr="00BC2858" w:rsidRDefault="00BC2858" w:rsidP="00D1290B">
      <w:pPr>
        <w:pStyle w:val="Ttulo2"/>
        <w:keepNext w:val="0"/>
        <w:widowControl w:val="0"/>
        <w:spacing w:before="0"/>
        <w:jc w:val="center"/>
        <w:rPr>
          <w:rFonts w:ascii="Arial Negrita" w:hAnsi="Arial Negrita"/>
          <w:b/>
          <w:smallCaps/>
          <w:sz w:val="22"/>
          <w:szCs w:val="28"/>
        </w:rPr>
      </w:pPr>
      <w:r>
        <w:rPr>
          <w:rFonts w:ascii="Arial Negrita" w:hAnsi="Arial Negrita"/>
          <w:b/>
          <w:smallCaps/>
          <w:sz w:val="22"/>
          <w:szCs w:val="28"/>
        </w:rPr>
        <w:t>J</w:t>
      </w:r>
      <w:r w:rsidR="00F61E3A" w:rsidRPr="00BC2858">
        <w:rPr>
          <w:rFonts w:ascii="Arial Negrita" w:hAnsi="Arial Negrita"/>
          <w:b/>
          <w:smallCaps/>
          <w:sz w:val="22"/>
          <w:szCs w:val="28"/>
        </w:rPr>
        <w:t>u</w:t>
      </w:r>
      <w:r w:rsidR="00543399" w:rsidRPr="00BC2858">
        <w:rPr>
          <w:rFonts w:ascii="Arial Negrita" w:hAnsi="Arial Negrita"/>
          <w:b/>
          <w:smallCaps/>
          <w:sz w:val="22"/>
          <w:szCs w:val="28"/>
        </w:rPr>
        <w:t>l</w:t>
      </w:r>
      <w:r w:rsidR="00F61E3A" w:rsidRPr="00BC2858">
        <w:rPr>
          <w:rFonts w:ascii="Arial Negrita" w:hAnsi="Arial Negrita"/>
          <w:b/>
          <w:smallCaps/>
          <w:sz w:val="22"/>
          <w:szCs w:val="28"/>
        </w:rPr>
        <w:t>io</w:t>
      </w:r>
      <w:r w:rsidR="00FB3DB3" w:rsidRPr="00BC2858">
        <w:rPr>
          <w:rFonts w:ascii="Arial Negrita" w:hAnsi="Arial Negrita"/>
          <w:b/>
          <w:smallCaps/>
          <w:sz w:val="22"/>
          <w:szCs w:val="28"/>
        </w:rPr>
        <w:t xml:space="preserve"> de 202</w:t>
      </w:r>
      <w:r w:rsidR="00B60E8A" w:rsidRPr="00BC2858">
        <w:rPr>
          <w:rFonts w:ascii="Arial Negrita" w:hAnsi="Arial Negrita"/>
          <w:b/>
          <w:smallCaps/>
          <w:sz w:val="22"/>
          <w:szCs w:val="28"/>
        </w:rPr>
        <w:t>3</w:t>
      </w:r>
    </w:p>
    <w:p w14:paraId="78F777AE" w14:textId="21B92EA0" w:rsidR="00DD5098" w:rsidRPr="00BC2858" w:rsidRDefault="00190303" w:rsidP="00BC2858">
      <w:pPr>
        <w:pStyle w:val="bullet"/>
        <w:spacing w:before="120"/>
        <w:ind w:right="49"/>
        <w:rPr>
          <w:rFonts w:cs="Arial"/>
          <w:b w:val="0"/>
          <w:color w:val="auto"/>
          <w:sz w:val="24"/>
          <w:szCs w:val="22"/>
        </w:rPr>
      </w:pPr>
      <w:r w:rsidRPr="00BC2858">
        <w:rPr>
          <w:rFonts w:cs="Arial"/>
          <w:b w:val="0"/>
          <w:color w:val="auto"/>
          <w:sz w:val="24"/>
          <w:szCs w:val="22"/>
        </w:rPr>
        <w:t xml:space="preserve">En </w:t>
      </w:r>
      <w:r w:rsidR="00F61E3A" w:rsidRPr="00BC2858">
        <w:rPr>
          <w:rFonts w:cs="Arial"/>
          <w:b w:val="0"/>
          <w:color w:val="auto"/>
          <w:sz w:val="24"/>
          <w:szCs w:val="22"/>
        </w:rPr>
        <w:t>ju</w:t>
      </w:r>
      <w:r w:rsidR="00543399" w:rsidRPr="00BC2858">
        <w:rPr>
          <w:rFonts w:cs="Arial"/>
          <w:b w:val="0"/>
          <w:color w:val="auto"/>
          <w:sz w:val="24"/>
          <w:szCs w:val="22"/>
        </w:rPr>
        <w:t>l</w:t>
      </w:r>
      <w:r w:rsidR="00F61E3A" w:rsidRPr="00BC2858">
        <w:rPr>
          <w:rFonts w:cs="Arial"/>
          <w:b w:val="0"/>
          <w:color w:val="auto"/>
          <w:sz w:val="24"/>
          <w:szCs w:val="22"/>
        </w:rPr>
        <w:t>io</w:t>
      </w:r>
      <w:r w:rsidR="00D1290B" w:rsidRPr="00BC2858">
        <w:rPr>
          <w:rFonts w:cs="Arial"/>
          <w:b w:val="0"/>
          <w:color w:val="auto"/>
          <w:sz w:val="24"/>
          <w:szCs w:val="22"/>
        </w:rPr>
        <w:t xml:space="preserve"> </w:t>
      </w:r>
      <w:r w:rsidRPr="00BC2858">
        <w:rPr>
          <w:rFonts w:cs="Arial"/>
          <w:b w:val="0"/>
          <w:color w:val="auto"/>
          <w:sz w:val="24"/>
          <w:szCs w:val="22"/>
        </w:rPr>
        <w:t xml:space="preserve">de </w:t>
      </w:r>
      <w:r w:rsidR="00C4622A" w:rsidRPr="00BC2858">
        <w:rPr>
          <w:rFonts w:cs="Arial"/>
          <w:b w:val="0"/>
          <w:color w:val="auto"/>
          <w:sz w:val="24"/>
          <w:szCs w:val="22"/>
        </w:rPr>
        <w:t>202</w:t>
      </w:r>
      <w:r w:rsidR="00B60E8A" w:rsidRPr="00BC2858">
        <w:rPr>
          <w:rFonts w:cs="Arial"/>
          <w:b w:val="0"/>
          <w:color w:val="auto"/>
          <w:sz w:val="24"/>
          <w:szCs w:val="22"/>
        </w:rPr>
        <w:t>3</w:t>
      </w:r>
      <w:r w:rsidR="00C4622A" w:rsidRPr="00BC2858">
        <w:rPr>
          <w:rFonts w:cs="Arial"/>
          <w:b w:val="0"/>
          <w:color w:val="auto"/>
          <w:sz w:val="24"/>
          <w:szCs w:val="22"/>
        </w:rPr>
        <w:t xml:space="preserve">, </w:t>
      </w:r>
      <w:r w:rsidRPr="00BC2858">
        <w:rPr>
          <w:rFonts w:cs="Arial"/>
          <w:b w:val="0"/>
          <w:color w:val="auto"/>
          <w:sz w:val="24"/>
          <w:szCs w:val="22"/>
        </w:rPr>
        <w:t>la</w:t>
      </w:r>
      <w:r w:rsidR="00074C0A" w:rsidRPr="00BC2858">
        <w:rPr>
          <w:rFonts w:cs="Arial"/>
          <w:b w:val="0"/>
          <w:color w:val="auto"/>
          <w:sz w:val="24"/>
          <w:szCs w:val="22"/>
        </w:rPr>
        <w:t xml:space="preserve"> información oportuna de comercio</w:t>
      </w:r>
      <w:r w:rsidR="00B37F33" w:rsidRPr="00BC2858">
        <w:rPr>
          <w:rFonts w:cs="Arial"/>
          <w:b w:val="0"/>
          <w:color w:val="auto"/>
          <w:sz w:val="24"/>
          <w:szCs w:val="22"/>
        </w:rPr>
        <w:t xml:space="preserve"> exterior</w:t>
      </w:r>
      <w:r w:rsidR="005E21D6" w:rsidRPr="00BC2858">
        <w:rPr>
          <w:rFonts w:cs="Arial"/>
          <w:b w:val="0"/>
          <w:color w:val="auto"/>
          <w:sz w:val="24"/>
          <w:szCs w:val="22"/>
        </w:rPr>
        <w:t xml:space="preserve"> </w:t>
      </w:r>
      <w:r w:rsidR="00653EC2" w:rsidRPr="00BC2858">
        <w:rPr>
          <w:rFonts w:cs="Arial"/>
          <w:b w:val="0"/>
          <w:color w:val="auto"/>
          <w:sz w:val="24"/>
          <w:szCs w:val="22"/>
        </w:rPr>
        <w:t xml:space="preserve">indica </w:t>
      </w:r>
      <w:r w:rsidR="00567E6D" w:rsidRPr="00BC2858">
        <w:rPr>
          <w:rFonts w:cs="Arial"/>
          <w:b w:val="0"/>
          <w:color w:val="auto"/>
          <w:sz w:val="24"/>
          <w:szCs w:val="22"/>
        </w:rPr>
        <w:t xml:space="preserve">un </w:t>
      </w:r>
      <w:r w:rsidR="006B5E29" w:rsidRPr="00BC2858">
        <w:rPr>
          <w:rFonts w:cs="Arial"/>
          <w:b w:val="0"/>
          <w:color w:val="auto"/>
          <w:sz w:val="24"/>
          <w:szCs w:val="22"/>
        </w:rPr>
        <w:t xml:space="preserve">déficit </w:t>
      </w:r>
      <w:r w:rsidR="00567E6D" w:rsidRPr="00BC2858">
        <w:rPr>
          <w:rFonts w:cs="Arial"/>
          <w:b w:val="0"/>
          <w:color w:val="auto"/>
          <w:sz w:val="24"/>
          <w:szCs w:val="22"/>
        </w:rPr>
        <w:t xml:space="preserve">comercial de </w:t>
      </w:r>
      <w:r w:rsidR="00DE3436" w:rsidRPr="00BC2858">
        <w:rPr>
          <w:b w:val="0"/>
          <w:color w:val="auto"/>
          <w:sz w:val="24"/>
          <w:szCs w:val="22"/>
        </w:rPr>
        <w:t>881</w:t>
      </w:r>
      <w:r w:rsidR="00567E6D" w:rsidRPr="00BC2858">
        <w:rPr>
          <w:rFonts w:cs="Arial"/>
          <w:b w:val="0"/>
          <w:color w:val="auto"/>
          <w:sz w:val="24"/>
          <w:szCs w:val="22"/>
        </w:rPr>
        <w:t xml:space="preserve"> millones de dólares</w:t>
      </w:r>
      <w:r w:rsidR="00383E44" w:rsidRPr="00BC2858">
        <w:rPr>
          <w:rFonts w:cs="Arial"/>
          <w:b w:val="0"/>
          <w:color w:val="auto"/>
          <w:sz w:val="24"/>
          <w:szCs w:val="22"/>
        </w:rPr>
        <w:t>, saldo que se compara con el</w:t>
      </w:r>
      <w:r w:rsidR="008D3201" w:rsidRPr="00BC2858">
        <w:rPr>
          <w:rFonts w:cs="Arial"/>
          <w:b w:val="0"/>
          <w:color w:val="auto"/>
          <w:sz w:val="24"/>
          <w:szCs w:val="22"/>
        </w:rPr>
        <w:t xml:space="preserve"> </w:t>
      </w:r>
      <w:r w:rsidR="009038BF" w:rsidRPr="00BC2858">
        <w:rPr>
          <w:rFonts w:cs="Arial"/>
          <w:b w:val="0"/>
          <w:color w:val="auto"/>
          <w:sz w:val="24"/>
          <w:szCs w:val="22"/>
        </w:rPr>
        <w:t>déficit</w:t>
      </w:r>
      <w:r w:rsidR="005D1DA0" w:rsidRPr="00BC2858">
        <w:rPr>
          <w:rFonts w:cs="Arial"/>
          <w:b w:val="0"/>
          <w:color w:val="auto"/>
          <w:sz w:val="24"/>
          <w:szCs w:val="22"/>
        </w:rPr>
        <w:t xml:space="preserve"> </w:t>
      </w:r>
      <w:r w:rsidR="009038BF" w:rsidRPr="00BC2858">
        <w:rPr>
          <w:rFonts w:cs="Arial"/>
          <w:b w:val="0"/>
          <w:color w:val="auto"/>
          <w:sz w:val="24"/>
          <w:szCs w:val="22"/>
        </w:rPr>
        <w:t>de</w:t>
      </w:r>
      <w:r w:rsidR="005E21D6" w:rsidRPr="00BC2858">
        <w:rPr>
          <w:rFonts w:cs="Arial"/>
          <w:b w:val="0"/>
          <w:color w:val="auto"/>
          <w:sz w:val="24"/>
          <w:szCs w:val="22"/>
        </w:rPr>
        <w:t xml:space="preserve"> </w:t>
      </w:r>
      <w:r w:rsidR="00DE3436" w:rsidRPr="00BC2858">
        <w:rPr>
          <w:rFonts w:cs="Arial"/>
          <w:b w:val="0"/>
          <w:color w:val="auto"/>
          <w:sz w:val="24"/>
          <w:szCs w:val="22"/>
        </w:rPr>
        <w:t>6</w:t>
      </w:r>
      <w:r w:rsidR="009038BF" w:rsidRPr="00BC2858">
        <w:rPr>
          <w:rFonts w:cs="Arial"/>
          <w:b w:val="0"/>
          <w:color w:val="auto"/>
          <w:sz w:val="24"/>
          <w:szCs w:val="22"/>
        </w:rPr>
        <w:t> </w:t>
      </w:r>
      <w:r w:rsidR="00DE3436" w:rsidRPr="00BC2858">
        <w:rPr>
          <w:rFonts w:cs="Arial"/>
          <w:b w:val="0"/>
          <w:color w:val="auto"/>
          <w:sz w:val="24"/>
          <w:szCs w:val="22"/>
        </w:rPr>
        <w:t>247</w:t>
      </w:r>
      <w:r w:rsidR="001500E3" w:rsidRPr="00BC2858">
        <w:rPr>
          <w:rFonts w:cs="Arial"/>
          <w:b w:val="0"/>
          <w:color w:val="auto"/>
          <w:sz w:val="24"/>
          <w:szCs w:val="22"/>
        </w:rPr>
        <w:t xml:space="preserve"> </w:t>
      </w:r>
      <w:r w:rsidR="00383E44" w:rsidRPr="00BC2858">
        <w:rPr>
          <w:rFonts w:cs="Arial"/>
          <w:b w:val="0"/>
          <w:color w:val="auto"/>
          <w:sz w:val="24"/>
          <w:szCs w:val="22"/>
        </w:rPr>
        <w:t xml:space="preserve">millones de dólares </w:t>
      </w:r>
      <w:r w:rsidR="001B561A" w:rsidRPr="00BC2858">
        <w:rPr>
          <w:rFonts w:cs="Arial"/>
          <w:b w:val="0"/>
          <w:color w:val="auto"/>
          <w:sz w:val="24"/>
          <w:szCs w:val="22"/>
        </w:rPr>
        <w:t xml:space="preserve">obtenido </w:t>
      </w:r>
      <w:r w:rsidR="00383E44" w:rsidRPr="00BC2858">
        <w:rPr>
          <w:rFonts w:cs="Arial"/>
          <w:b w:val="0"/>
          <w:color w:val="auto"/>
          <w:sz w:val="24"/>
          <w:szCs w:val="22"/>
        </w:rPr>
        <w:t xml:space="preserve">en </w:t>
      </w:r>
      <w:r w:rsidR="00DB59E6" w:rsidRPr="00BC2858">
        <w:rPr>
          <w:rFonts w:cs="Arial"/>
          <w:b w:val="0"/>
          <w:color w:val="auto"/>
          <w:sz w:val="24"/>
          <w:szCs w:val="22"/>
        </w:rPr>
        <w:t xml:space="preserve">el mismo </w:t>
      </w:r>
      <w:r w:rsidR="00383E44" w:rsidRPr="00BC2858">
        <w:rPr>
          <w:rFonts w:cs="Arial"/>
          <w:b w:val="0"/>
          <w:color w:val="auto"/>
          <w:sz w:val="24"/>
          <w:szCs w:val="22"/>
        </w:rPr>
        <w:t>mes de 202</w:t>
      </w:r>
      <w:r w:rsidR="00D844D3" w:rsidRPr="00BC2858">
        <w:rPr>
          <w:rFonts w:cs="Arial"/>
          <w:b w:val="0"/>
          <w:color w:val="auto"/>
          <w:sz w:val="24"/>
          <w:szCs w:val="22"/>
        </w:rPr>
        <w:t>2</w:t>
      </w:r>
      <w:r w:rsidR="00AB7211" w:rsidRPr="00BC2858">
        <w:rPr>
          <w:rFonts w:cs="Arial"/>
          <w:b w:val="0"/>
          <w:color w:val="auto"/>
          <w:sz w:val="24"/>
          <w:szCs w:val="22"/>
        </w:rPr>
        <w:t xml:space="preserve">. </w:t>
      </w:r>
    </w:p>
    <w:p w14:paraId="7D46DBDD" w14:textId="0CBC52E2" w:rsidR="004072AF" w:rsidRDefault="004072AF" w:rsidP="00BC2858">
      <w:pPr>
        <w:pStyle w:val="bullet"/>
        <w:spacing w:before="150"/>
        <w:ind w:right="49"/>
        <w:rPr>
          <w:rFonts w:cs="Arial"/>
          <w:b w:val="0"/>
          <w:color w:val="auto"/>
          <w:sz w:val="24"/>
          <w:szCs w:val="22"/>
        </w:rPr>
      </w:pPr>
      <w:r w:rsidRPr="00BC2858">
        <w:rPr>
          <w:rFonts w:cs="Arial"/>
          <w:b w:val="0"/>
          <w:color w:val="auto"/>
          <w:sz w:val="24"/>
          <w:szCs w:val="22"/>
        </w:rPr>
        <w:t xml:space="preserve">En los primeros </w:t>
      </w:r>
      <w:r w:rsidR="00543399" w:rsidRPr="00BC2858">
        <w:rPr>
          <w:rFonts w:cs="Arial"/>
          <w:b w:val="0"/>
          <w:color w:val="auto"/>
          <w:sz w:val="24"/>
          <w:szCs w:val="22"/>
        </w:rPr>
        <w:t>siete</w:t>
      </w:r>
      <w:r w:rsidRPr="00BC2858">
        <w:rPr>
          <w:rFonts w:cs="Arial"/>
          <w:b w:val="0"/>
          <w:color w:val="auto"/>
          <w:sz w:val="24"/>
          <w:szCs w:val="22"/>
        </w:rPr>
        <w:t xml:space="preserve"> meses de 2023, la balanza comercial presentó un déficit de </w:t>
      </w:r>
      <w:r w:rsidR="00DE3436" w:rsidRPr="00BC2858">
        <w:rPr>
          <w:rFonts w:cs="Arial"/>
          <w:b w:val="0"/>
          <w:color w:val="auto"/>
          <w:sz w:val="24"/>
          <w:szCs w:val="22"/>
        </w:rPr>
        <w:t>7</w:t>
      </w:r>
      <w:r w:rsidR="00495A5B" w:rsidRPr="00BC2858">
        <w:rPr>
          <w:rFonts w:cs="Arial"/>
          <w:b w:val="0"/>
          <w:color w:val="auto"/>
          <w:sz w:val="24"/>
          <w:szCs w:val="22"/>
        </w:rPr>
        <w:t> </w:t>
      </w:r>
      <w:r w:rsidR="00DE3436" w:rsidRPr="00BC2858">
        <w:rPr>
          <w:rFonts w:cs="Arial"/>
          <w:b w:val="0"/>
          <w:color w:val="auto"/>
          <w:sz w:val="24"/>
          <w:szCs w:val="22"/>
        </w:rPr>
        <w:t>225</w:t>
      </w:r>
      <w:r w:rsidR="00143F5D">
        <w:rPr>
          <w:rFonts w:cs="Arial"/>
          <w:b w:val="0"/>
          <w:color w:val="auto"/>
          <w:sz w:val="24"/>
          <w:szCs w:val="22"/>
        </w:rPr>
        <w:t> </w:t>
      </w:r>
      <w:r w:rsidRPr="00BC2858">
        <w:rPr>
          <w:rFonts w:cs="Arial"/>
          <w:b w:val="0"/>
          <w:color w:val="auto"/>
          <w:sz w:val="24"/>
          <w:szCs w:val="22"/>
        </w:rPr>
        <w:t>millones de dólares</w:t>
      </w:r>
      <w:r w:rsidR="00961D7D" w:rsidRPr="00BC2858">
        <w:rPr>
          <w:rFonts w:cs="Arial"/>
          <w:b w:val="0"/>
          <w:color w:val="auto"/>
          <w:sz w:val="24"/>
          <w:szCs w:val="22"/>
        </w:rPr>
        <w:t xml:space="preserve">, </w:t>
      </w:r>
      <w:r w:rsidR="00892220" w:rsidRPr="00BC2858">
        <w:rPr>
          <w:rFonts w:cs="Arial"/>
          <w:b w:val="0"/>
          <w:color w:val="auto"/>
          <w:sz w:val="24"/>
          <w:szCs w:val="22"/>
        </w:rPr>
        <w:t>en el mismo per</w:t>
      </w:r>
      <w:r w:rsidR="00961D7D" w:rsidRPr="00BC2858">
        <w:rPr>
          <w:rFonts w:cs="Arial"/>
          <w:b w:val="0"/>
          <w:color w:val="auto"/>
          <w:sz w:val="24"/>
          <w:szCs w:val="22"/>
        </w:rPr>
        <w:t>i</w:t>
      </w:r>
      <w:r w:rsidR="00892220" w:rsidRPr="00BC2858">
        <w:rPr>
          <w:rFonts w:cs="Arial"/>
          <w:b w:val="0"/>
          <w:color w:val="auto"/>
          <w:sz w:val="24"/>
          <w:szCs w:val="22"/>
        </w:rPr>
        <w:t>odo de 2022</w:t>
      </w:r>
      <w:r w:rsidR="00961D7D" w:rsidRPr="00BC2858">
        <w:rPr>
          <w:rFonts w:cs="Arial"/>
          <w:b w:val="0"/>
          <w:color w:val="auto"/>
          <w:sz w:val="24"/>
          <w:szCs w:val="22"/>
        </w:rPr>
        <w:t xml:space="preserve"> </w:t>
      </w:r>
      <w:r w:rsidR="001C3EC8" w:rsidRPr="00BC2858">
        <w:rPr>
          <w:rFonts w:cs="Arial"/>
          <w:b w:val="0"/>
          <w:color w:val="auto"/>
          <w:sz w:val="24"/>
          <w:szCs w:val="22"/>
        </w:rPr>
        <w:t>el déficit</w:t>
      </w:r>
      <w:r w:rsidR="00835D82" w:rsidRPr="00BC2858">
        <w:rPr>
          <w:rFonts w:cs="Arial"/>
          <w:b w:val="0"/>
          <w:color w:val="auto"/>
          <w:sz w:val="24"/>
          <w:szCs w:val="22"/>
        </w:rPr>
        <w:t xml:space="preserve"> </w:t>
      </w:r>
      <w:r w:rsidR="00944902" w:rsidRPr="00BC2858">
        <w:rPr>
          <w:rFonts w:cs="Arial"/>
          <w:b w:val="0"/>
          <w:color w:val="auto"/>
          <w:sz w:val="24"/>
          <w:szCs w:val="22"/>
        </w:rPr>
        <w:t>f</w:t>
      </w:r>
      <w:r w:rsidR="001C3EC8" w:rsidRPr="00BC2858">
        <w:rPr>
          <w:rFonts w:cs="Arial"/>
          <w:b w:val="0"/>
          <w:color w:val="auto"/>
          <w:sz w:val="24"/>
          <w:szCs w:val="22"/>
        </w:rPr>
        <w:t>ue de</w:t>
      </w:r>
      <w:r w:rsidR="00EA6DB6" w:rsidRPr="00BC2858">
        <w:rPr>
          <w:rFonts w:cs="Arial"/>
          <w:b w:val="0"/>
          <w:color w:val="auto"/>
          <w:sz w:val="24"/>
          <w:szCs w:val="22"/>
        </w:rPr>
        <w:t xml:space="preserve"> </w:t>
      </w:r>
      <w:r w:rsidR="00961D7D" w:rsidRPr="00BC2858">
        <w:rPr>
          <w:rFonts w:cs="Arial"/>
          <w:b w:val="0"/>
          <w:color w:val="auto"/>
          <w:sz w:val="24"/>
          <w:szCs w:val="22"/>
        </w:rPr>
        <w:t xml:space="preserve">19 037 </w:t>
      </w:r>
      <w:r w:rsidR="001E0471" w:rsidRPr="00BC2858">
        <w:rPr>
          <w:rFonts w:cs="Arial"/>
          <w:b w:val="0"/>
          <w:color w:val="auto"/>
          <w:sz w:val="24"/>
          <w:szCs w:val="22"/>
        </w:rPr>
        <w:t>millones de dólares</w:t>
      </w:r>
      <w:r w:rsidRPr="00BC2858">
        <w:rPr>
          <w:rFonts w:cs="Arial"/>
          <w:b w:val="0"/>
          <w:color w:val="auto"/>
          <w:sz w:val="24"/>
          <w:szCs w:val="22"/>
        </w:rPr>
        <w:t>.</w:t>
      </w:r>
    </w:p>
    <w:p w14:paraId="7FA8305F" w14:textId="77777777" w:rsidR="00143F5D" w:rsidRDefault="00143F5D" w:rsidP="00BC2858">
      <w:pPr>
        <w:pStyle w:val="bullet"/>
        <w:spacing w:before="150"/>
        <w:ind w:right="49"/>
        <w:rPr>
          <w:rFonts w:cs="Arial"/>
          <w:b w:val="0"/>
          <w:color w:val="auto"/>
          <w:sz w:val="24"/>
          <w:szCs w:val="22"/>
        </w:rPr>
      </w:pPr>
    </w:p>
    <w:p w14:paraId="31EE36E1" w14:textId="77777777" w:rsidR="00143F5D" w:rsidRDefault="00143F5D" w:rsidP="00143F5D">
      <w:pPr>
        <w:pStyle w:val="bullet"/>
        <w:spacing w:before="0"/>
        <w:ind w:right="51"/>
        <w:rPr>
          <w:rFonts w:ascii="Arial Negrita" w:hAnsi="Arial Negrita" w:cs="Arial"/>
          <w:smallCaps/>
          <w:color w:val="auto"/>
          <w:sz w:val="24"/>
          <w:szCs w:val="24"/>
        </w:rPr>
      </w:pPr>
      <w:r w:rsidRPr="00D47671">
        <w:rPr>
          <w:rFonts w:ascii="Arial Negrita" w:hAnsi="Arial Negrita" w:cs="Arial"/>
          <w:smallCaps/>
          <w:color w:val="auto"/>
          <w:sz w:val="24"/>
          <w:szCs w:val="24"/>
        </w:rPr>
        <w:t>Exportaciones</w:t>
      </w:r>
    </w:p>
    <w:p w14:paraId="439A46B1" w14:textId="1B4F51C0" w:rsidR="00567E6D" w:rsidRDefault="00567E6D" w:rsidP="00BC2858">
      <w:pPr>
        <w:pStyle w:val="bullet"/>
        <w:spacing w:before="150"/>
        <w:ind w:right="49"/>
        <w:rPr>
          <w:rFonts w:cs="Arial"/>
          <w:b w:val="0"/>
          <w:color w:val="auto"/>
          <w:sz w:val="24"/>
          <w:szCs w:val="22"/>
        </w:rPr>
      </w:pPr>
      <w:r w:rsidRPr="00BC2858">
        <w:rPr>
          <w:rFonts w:cs="Arial"/>
          <w:b w:val="0"/>
          <w:color w:val="auto"/>
          <w:sz w:val="24"/>
          <w:szCs w:val="22"/>
        </w:rPr>
        <w:t xml:space="preserve">En el mes de referencia, </w:t>
      </w:r>
      <w:r w:rsidR="00421077" w:rsidRPr="00BC2858">
        <w:rPr>
          <w:rFonts w:cs="Arial"/>
          <w:b w:val="0"/>
          <w:color w:val="auto"/>
          <w:sz w:val="24"/>
          <w:szCs w:val="22"/>
        </w:rPr>
        <w:t>el valor de las exportaciones de mercancías alcanzó 47</w:t>
      </w:r>
      <w:r w:rsidR="007E32E3" w:rsidRPr="00BC2858">
        <w:rPr>
          <w:rFonts w:cs="Arial"/>
          <w:b w:val="0"/>
          <w:color w:val="auto"/>
          <w:sz w:val="24"/>
          <w:szCs w:val="22"/>
        </w:rPr>
        <w:t> </w:t>
      </w:r>
      <w:r w:rsidR="00421077" w:rsidRPr="00BC2858">
        <w:rPr>
          <w:rFonts w:cs="Arial"/>
          <w:b w:val="0"/>
          <w:color w:val="auto"/>
          <w:sz w:val="24"/>
          <w:szCs w:val="22"/>
        </w:rPr>
        <w:t>550 millones de dólares, cifra compuesta por 44</w:t>
      </w:r>
      <w:r w:rsidR="007E32E3" w:rsidRPr="00BC2858">
        <w:rPr>
          <w:rFonts w:cs="Arial"/>
          <w:b w:val="0"/>
          <w:color w:val="auto"/>
          <w:sz w:val="24"/>
          <w:szCs w:val="22"/>
        </w:rPr>
        <w:t> </w:t>
      </w:r>
      <w:r w:rsidR="00421077" w:rsidRPr="00BC2858">
        <w:rPr>
          <w:rFonts w:cs="Arial"/>
          <w:b w:val="0"/>
          <w:color w:val="auto"/>
          <w:sz w:val="24"/>
          <w:szCs w:val="22"/>
        </w:rPr>
        <w:t>821 millones de dólares de exportaciones no petroleras y por 2</w:t>
      </w:r>
      <w:r w:rsidR="007E32E3" w:rsidRPr="00BC2858">
        <w:rPr>
          <w:rFonts w:cs="Arial"/>
          <w:b w:val="0"/>
          <w:color w:val="auto"/>
          <w:sz w:val="24"/>
          <w:szCs w:val="22"/>
        </w:rPr>
        <w:t> </w:t>
      </w:r>
      <w:r w:rsidR="00421077" w:rsidRPr="00BC2858">
        <w:rPr>
          <w:rFonts w:cs="Arial"/>
          <w:b w:val="0"/>
          <w:color w:val="auto"/>
          <w:sz w:val="24"/>
          <w:szCs w:val="22"/>
        </w:rPr>
        <w:t xml:space="preserve">730 millones de dólares de petroleras. Así, las exportaciones totales </w:t>
      </w:r>
      <w:r w:rsidR="007E32E3" w:rsidRPr="00BC2858">
        <w:rPr>
          <w:rFonts w:cs="Arial"/>
          <w:b w:val="0"/>
          <w:color w:val="auto"/>
          <w:sz w:val="24"/>
          <w:szCs w:val="22"/>
        </w:rPr>
        <w:t>mostraron</w:t>
      </w:r>
      <w:r w:rsidR="00421077" w:rsidRPr="00BC2858">
        <w:rPr>
          <w:rFonts w:cs="Arial"/>
          <w:b w:val="0"/>
          <w:color w:val="auto"/>
          <w:sz w:val="24"/>
          <w:szCs w:val="22"/>
        </w:rPr>
        <w:t xml:space="preserve"> un aumento anual de 2.9</w:t>
      </w:r>
      <w:r w:rsidR="007E32E3" w:rsidRPr="00BC2858">
        <w:rPr>
          <w:rFonts w:cs="Arial"/>
          <w:b w:val="0"/>
          <w:color w:val="auto"/>
          <w:sz w:val="24"/>
          <w:szCs w:val="22"/>
        </w:rPr>
        <w:t> </w:t>
      </w:r>
      <w:r w:rsidR="00421077" w:rsidRPr="00BC2858">
        <w:rPr>
          <w:rFonts w:cs="Arial"/>
          <w:b w:val="0"/>
          <w:color w:val="auto"/>
          <w:sz w:val="24"/>
          <w:szCs w:val="22"/>
        </w:rPr>
        <w:t>%, el cual fue resultado neto de un incremento de 5.7</w:t>
      </w:r>
      <w:r w:rsidR="007E32E3" w:rsidRPr="00BC2858">
        <w:rPr>
          <w:rFonts w:cs="Arial"/>
          <w:b w:val="0"/>
          <w:color w:val="auto"/>
          <w:sz w:val="24"/>
          <w:szCs w:val="22"/>
        </w:rPr>
        <w:t> </w:t>
      </w:r>
      <w:r w:rsidR="00421077" w:rsidRPr="00BC2858">
        <w:rPr>
          <w:rFonts w:cs="Arial"/>
          <w:b w:val="0"/>
          <w:color w:val="auto"/>
          <w:sz w:val="24"/>
          <w:szCs w:val="22"/>
        </w:rPr>
        <w:t>% en las exportaciones no petroleras y de una caída de 28.5</w:t>
      </w:r>
      <w:r w:rsidR="007E32E3" w:rsidRPr="00BC2858">
        <w:rPr>
          <w:rFonts w:cs="Arial"/>
          <w:b w:val="0"/>
          <w:color w:val="auto"/>
          <w:sz w:val="24"/>
          <w:szCs w:val="22"/>
        </w:rPr>
        <w:t> </w:t>
      </w:r>
      <w:r w:rsidR="00421077" w:rsidRPr="00BC2858">
        <w:rPr>
          <w:rFonts w:cs="Arial"/>
          <w:b w:val="0"/>
          <w:color w:val="auto"/>
          <w:sz w:val="24"/>
          <w:szCs w:val="22"/>
        </w:rPr>
        <w:t xml:space="preserve">% en las petroleras. Al interior de las exportaciones no petroleras, las dirigidas a Estados Unidos crecieron </w:t>
      </w:r>
      <w:r w:rsidR="006B5E29" w:rsidRPr="00BC2858">
        <w:rPr>
          <w:rFonts w:cs="Arial"/>
          <w:b w:val="0"/>
          <w:color w:val="auto"/>
          <w:sz w:val="24"/>
          <w:szCs w:val="22"/>
        </w:rPr>
        <w:t xml:space="preserve">6.9 % </w:t>
      </w:r>
      <w:r w:rsidR="00421077" w:rsidRPr="00BC2858">
        <w:rPr>
          <w:rFonts w:cs="Arial"/>
          <w:b w:val="0"/>
          <w:color w:val="auto"/>
          <w:sz w:val="24"/>
          <w:szCs w:val="22"/>
        </w:rPr>
        <w:t xml:space="preserve">a tasa anual </w:t>
      </w:r>
      <w:r w:rsidR="007E32E3" w:rsidRPr="00BC2858">
        <w:rPr>
          <w:rFonts w:cs="Arial"/>
          <w:b w:val="0"/>
          <w:color w:val="auto"/>
          <w:sz w:val="24"/>
          <w:szCs w:val="22"/>
        </w:rPr>
        <w:t xml:space="preserve">y </w:t>
      </w:r>
      <w:r w:rsidR="00421077" w:rsidRPr="00BC2858">
        <w:rPr>
          <w:rFonts w:cs="Arial"/>
          <w:b w:val="0"/>
          <w:color w:val="auto"/>
          <w:sz w:val="24"/>
          <w:szCs w:val="22"/>
        </w:rPr>
        <w:t>las canalizadas al resto del mundo</w:t>
      </w:r>
      <w:r w:rsidR="006B5E29" w:rsidRPr="00BC2858">
        <w:rPr>
          <w:rFonts w:cs="Arial"/>
          <w:b w:val="0"/>
          <w:color w:val="auto"/>
          <w:sz w:val="24"/>
          <w:szCs w:val="22"/>
        </w:rPr>
        <w:t>,</w:t>
      </w:r>
      <w:r w:rsidR="00421077" w:rsidRPr="00BC2858">
        <w:rPr>
          <w:rFonts w:cs="Arial"/>
          <w:b w:val="0"/>
          <w:color w:val="auto"/>
          <w:sz w:val="24"/>
          <w:szCs w:val="22"/>
        </w:rPr>
        <w:t xml:space="preserve"> 0.3</w:t>
      </w:r>
      <w:r w:rsidR="007E32E3" w:rsidRPr="00BC2858">
        <w:rPr>
          <w:rFonts w:cs="Arial"/>
          <w:b w:val="0"/>
          <w:color w:val="auto"/>
          <w:sz w:val="24"/>
          <w:szCs w:val="22"/>
        </w:rPr>
        <w:t xml:space="preserve"> </w:t>
      </w:r>
      <w:r w:rsidR="004F36AD" w:rsidRPr="00BC2858">
        <w:rPr>
          <w:rFonts w:cs="Arial"/>
          <w:b w:val="0"/>
          <w:color w:val="auto"/>
          <w:sz w:val="24"/>
          <w:szCs w:val="22"/>
        </w:rPr>
        <w:t>por ciento</w:t>
      </w:r>
      <w:r w:rsidRPr="00BC2858">
        <w:rPr>
          <w:rFonts w:cs="Arial"/>
          <w:b w:val="0"/>
          <w:color w:val="auto"/>
          <w:sz w:val="24"/>
          <w:szCs w:val="22"/>
        </w:rPr>
        <w:t>.</w:t>
      </w:r>
    </w:p>
    <w:p w14:paraId="0C82615B" w14:textId="77777777" w:rsidR="00143F5D" w:rsidRPr="00BC2858" w:rsidRDefault="00143F5D" w:rsidP="00143F5D">
      <w:pPr>
        <w:pStyle w:val="bullet"/>
        <w:spacing w:before="150"/>
        <w:ind w:right="49"/>
        <w:rPr>
          <w:rFonts w:cs="Arial"/>
          <w:b w:val="0"/>
          <w:color w:val="auto"/>
          <w:sz w:val="24"/>
          <w:szCs w:val="22"/>
        </w:rPr>
      </w:pPr>
      <w:r w:rsidRPr="00BC2858">
        <w:rPr>
          <w:rFonts w:cs="Arial"/>
          <w:b w:val="0"/>
          <w:color w:val="auto"/>
          <w:sz w:val="24"/>
          <w:szCs w:val="22"/>
        </w:rPr>
        <w:t>En el séptimo mes de este año y con cifras desestacionalizadas, las exportaciones totales de mercancías reportaron un avance mensual de 0.98 %, el cual se originó de la combinación de un aumento de 1.23 % en las exportaciones no petroleras y de un descenso de 3.59 % en las petroleras.</w:t>
      </w:r>
    </w:p>
    <w:p w14:paraId="13D1F3E2" w14:textId="77777777" w:rsidR="00143F5D" w:rsidRDefault="00143F5D" w:rsidP="00BC2858">
      <w:pPr>
        <w:pStyle w:val="bullet"/>
        <w:spacing w:before="150"/>
        <w:ind w:right="49"/>
        <w:rPr>
          <w:rFonts w:cs="Arial"/>
          <w:b w:val="0"/>
          <w:color w:val="auto"/>
          <w:sz w:val="24"/>
          <w:szCs w:val="22"/>
        </w:rPr>
      </w:pPr>
    </w:p>
    <w:p w14:paraId="51DEA482" w14:textId="77777777" w:rsidR="00143F5D" w:rsidRDefault="00143F5D" w:rsidP="00143F5D">
      <w:pPr>
        <w:pStyle w:val="bullet"/>
        <w:tabs>
          <w:tab w:val="left" w:pos="8505"/>
        </w:tabs>
        <w:spacing w:before="0"/>
        <w:ind w:right="51"/>
        <w:rPr>
          <w:rFonts w:ascii="Arial Negrita" w:hAnsi="Arial Negrita" w:cs="Arial"/>
          <w:smallCaps/>
          <w:color w:val="auto"/>
          <w:sz w:val="24"/>
          <w:szCs w:val="24"/>
        </w:rPr>
      </w:pPr>
      <w:r w:rsidRPr="00D47671">
        <w:rPr>
          <w:rFonts w:ascii="Arial Negrita" w:hAnsi="Arial Negrita" w:cs="Arial"/>
          <w:smallCaps/>
          <w:color w:val="auto"/>
          <w:sz w:val="24"/>
          <w:szCs w:val="24"/>
        </w:rPr>
        <w:t>Importaciones</w:t>
      </w:r>
    </w:p>
    <w:p w14:paraId="2D327BB6" w14:textId="0E712575" w:rsidR="007309C1" w:rsidRPr="00BC2858" w:rsidRDefault="007309C1" w:rsidP="00BC2858">
      <w:pPr>
        <w:pStyle w:val="bullet"/>
        <w:spacing w:before="150"/>
        <w:ind w:right="49"/>
        <w:rPr>
          <w:rFonts w:cs="Arial"/>
          <w:b w:val="0"/>
          <w:color w:val="auto"/>
          <w:sz w:val="24"/>
          <w:szCs w:val="22"/>
        </w:rPr>
      </w:pPr>
      <w:r w:rsidRPr="00BC2858">
        <w:rPr>
          <w:rFonts w:cs="Arial"/>
          <w:b w:val="0"/>
          <w:color w:val="auto"/>
          <w:sz w:val="24"/>
          <w:szCs w:val="22"/>
        </w:rPr>
        <w:t>En ju</w:t>
      </w:r>
      <w:r w:rsidR="00543399" w:rsidRPr="00BC2858">
        <w:rPr>
          <w:rFonts w:cs="Arial"/>
          <w:b w:val="0"/>
          <w:color w:val="auto"/>
          <w:sz w:val="24"/>
          <w:szCs w:val="22"/>
        </w:rPr>
        <w:t>l</w:t>
      </w:r>
      <w:r w:rsidRPr="00BC2858">
        <w:rPr>
          <w:rFonts w:cs="Arial"/>
          <w:b w:val="0"/>
          <w:color w:val="auto"/>
          <w:sz w:val="24"/>
          <w:szCs w:val="22"/>
        </w:rPr>
        <w:t xml:space="preserve">io de 2023, </w:t>
      </w:r>
      <w:r w:rsidR="002C298E" w:rsidRPr="00BC2858">
        <w:rPr>
          <w:rFonts w:cs="Arial"/>
          <w:b w:val="0"/>
          <w:color w:val="auto"/>
          <w:sz w:val="24"/>
          <w:szCs w:val="22"/>
        </w:rPr>
        <w:t>e</w:t>
      </w:r>
      <w:r w:rsidR="00421077" w:rsidRPr="00BC2858">
        <w:rPr>
          <w:rFonts w:cs="Arial"/>
          <w:b w:val="0"/>
          <w:color w:val="auto"/>
          <w:sz w:val="24"/>
          <w:szCs w:val="22"/>
        </w:rPr>
        <w:t>l valor de las importaciones de mercancías alcanzó 48</w:t>
      </w:r>
      <w:r w:rsidR="002C298E" w:rsidRPr="00BC2858">
        <w:rPr>
          <w:rFonts w:cs="Arial"/>
          <w:b w:val="0"/>
          <w:color w:val="auto"/>
          <w:sz w:val="24"/>
          <w:szCs w:val="22"/>
        </w:rPr>
        <w:t> </w:t>
      </w:r>
      <w:r w:rsidR="00421077" w:rsidRPr="00BC2858">
        <w:rPr>
          <w:rFonts w:cs="Arial"/>
          <w:b w:val="0"/>
          <w:color w:val="auto"/>
          <w:sz w:val="24"/>
          <w:szCs w:val="22"/>
        </w:rPr>
        <w:t>432 millones de dólares, monto que implicó una reducción anual de 7.7</w:t>
      </w:r>
      <w:r w:rsidR="002C298E" w:rsidRPr="00BC2858">
        <w:rPr>
          <w:rFonts w:cs="Arial"/>
          <w:b w:val="0"/>
          <w:color w:val="auto"/>
          <w:sz w:val="24"/>
          <w:szCs w:val="22"/>
        </w:rPr>
        <w:t xml:space="preserve"> por ciento</w:t>
      </w:r>
      <w:r w:rsidR="00421077" w:rsidRPr="00BC2858">
        <w:rPr>
          <w:rFonts w:cs="Arial"/>
          <w:b w:val="0"/>
          <w:color w:val="auto"/>
          <w:sz w:val="24"/>
          <w:szCs w:val="22"/>
        </w:rPr>
        <w:t>. Dicha cifra se derivó de la combinación de un</w:t>
      </w:r>
      <w:r w:rsidR="001D3BD7" w:rsidRPr="00BC2858">
        <w:rPr>
          <w:rFonts w:cs="Arial"/>
          <w:b w:val="0"/>
          <w:color w:val="auto"/>
          <w:sz w:val="24"/>
          <w:szCs w:val="22"/>
        </w:rPr>
        <w:t xml:space="preserve"> </w:t>
      </w:r>
      <w:r w:rsidR="006B5E29" w:rsidRPr="00BC2858">
        <w:rPr>
          <w:rFonts w:cs="Arial"/>
          <w:b w:val="0"/>
          <w:color w:val="auto"/>
          <w:sz w:val="24"/>
          <w:szCs w:val="22"/>
        </w:rPr>
        <w:t xml:space="preserve">descenso </w:t>
      </w:r>
      <w:r w:rsidR="00421077" w:rsidRPr="00BC2858">
        <w:rPr>
          <w:rFonts w:cs="Arial"/>
          <w:b w:val="0"/>
          <w:color w:val="auto"/>
          <w:sz w:val="24"/>
          <w:szCs w:val="22"/>
        </w:rPr>
        <w:t>de 50.8</w:t>
      </w:r>
      <w:r w:rsidR="002C298E" w:rsidRPr="00BC2858">
        <w:rPr>
          <w:rFonts w:cs="Arial"/>
          <w:b w:val="0"/>
          <w:color w:val="auto"/>
          <w:sz w:val="24"/>
          <w:szCs w:val="22"/>
        </w:rPr>
        <w:t> </w:t>
      </w:r>
      <w:r w:rsidR="00421077" w:rsidRPr="00BC2858">
        <w:rPr>
          <w:rFonts w:cs="Arial"/>
          <w:b w:val="0"/>
          <w:color w:val="auto"/>
          <w:sz w:val="24"/>
          <w:szCs w:val="22"/>
        </w:rPr>
        <w:t>% en las importaciones petroleras y de un incremento de 0.3</w:t>
      </w:r>
      <w:r w:rsidR="002C298E" w:rsidRPr="00BC2858">
        <w:rPr>
          <w:rFonts w:cs="Arial"/>
          <w:b w:val="0"/>
          <w:color w:val="auto"/>
          <w:sz w:val="24"/>
          <w:szCs w:val="22"/>
        </w:rPr>
        <w:t> </w:t>
      </w:r>
      <w:r w:rsidR="00421077" w:rsidRPr="00BC2858">
        <w:rPr>
          <w:rFonts w:cs="Arial"/>
          <w:b w:val="0"/>
          <w:color w:val="auto"/>
          <w:sz w:val="24"/>
          <w:szCs w:val="22"/>
        </w:rPr>
        <w:t>% en las no petroleras. Al considerar las importaciones por tipo de bien, se observaron disminuciones anuales de 9.1</w:t>
      </w:r>
      <w:r w:rsidR="002C298E" w:rsidRPr="00BC2858">
        <w:rPr>
          <w:rFonts w:cs="Arial"/>
          <w:b w:val="0"/>
          <w:color w:val="auto"/>
          <w:sz w:val="24"/>
          <w:szCs w:val="22"/>
        </w:rPr>
        <w:t> </w:t>
      </w:r>
      <w:r w:rsidR="00421077" w:rsidRPr="00BC2858">
        <w:rPr>
          <w:rFonts w:cs="Arial"/>
          <w:b w:val="0"/>
          <w:color w:val="auto"/>
          <w:sz w:val="24"/>
          <w:szCs w:val="22"/>
        </w:rPr>
        <w:t>% en las importaciones de bienes de consumo y de 10.4</w:t>
      </w:r>
      <w:r w:rsidR="002C298E" w:rsidRPr="00BC2858">
        <w:rPr>
          <w:rFonts w:cs="Arial"/>
          <w:b w:val="0"/>
          <w:color w:val="auto"/>
          <w:sz w:val="24"/>
          <w:szCs w:val="22"/>
        </w:rPr>
        <w:t> </w:t>
      </w:r>
      <w:r w:rsidR="00421077" w:rsidRPr="00BC2858">
        <w:rPr>
          <w:rFonts w:cs="Arial"/>
          <w:b w:val="0"/>
          <w:color w:val="auto"/>
          <w:sz w:val="24"/>
          <w:szCs w:val="22"/>
        </w:rPr>
        <w:t>% en las de bienes de uso intermedio</w:t>
      </w:r>
      <w:r w:rsidR="006B5E29" w:rsidRPr="00BC2858">
        <w:rPr>
          <w:rFonts w:cs="Arial"/>
          <w:b w:val="0"/>
          <w:color w:val="auto"/>
          <w:sz w:val="24"/>
          <w:szCs w:val="22"/>
        </w:rPr>
        <w:t>.</w:t>
      </w:r>
      <w:r w:rsidR="002C298E" w:rsidRPr="00BC2858">
        <w:rPr>
          <w:rFonts w:cs="Arial"/>
          <w:b w:val="0"/>
          <w:color w:val="auto"/>
          <w:sz w:val="24"/>
          <w:szCs w:val="22"/>
        </w:rPr>
        <w:t xml:space="preserve"> </w:t>
      </w:r>
      <w:r w:rsidR="006B5E29" w:rsidRPr="00BC2858">
        <w:rPr>
          <w:rFonts w:cs="Arial"/>
          <w:b w:val="0"/>
          <w:color w:val="auto"/>
          <w:sz w:val="24"/>
          <w:szCs w:val="22"/>
        </w:rPr>
        <w:t xml:space="preserve">Las importaciones de bienes de capital </w:t>
      </w:r>
      <w:r w:rsidR="00421077" w:rsidRPr="00BC2858">
        <w:rPr>
          <w:rFonts w:cs="Arial"/>
          <w:b w:val="0"/>
          <w:color w:val="auto"/>
          <w:sz w:val="24"/>
          <w:szCs w:val="22"/>
        </w:rPr>
        <w:t>creci</w:t>
      </w:r>
      <w:r w:rsidR="006B5E29" w:rsidRPr="00BC2858">
        <w:rPr>
          <w:rFonts w:cs="Arial"/>
          <w:b w:val="0"/>
          <w:color w:val="auto"/>
          <w:sz w:val="24"/>
          <w:szCs w:val="22"/>
        </w:rPr>
        <w:t>eron</w:t>
      </w:r>
      <w:r w:rsidR="00421077" w:rsidRPr="00BC2858">
        <w:rPr>
          <w:rFonts w:cs="Arial"/>
          <w:b w:val="0"/>
          <w:color w:val="auto"/>
          <w:sz w:val="24"/>
          <w:szCs w:val="22"/>
        </w:rPr>
        <w:t xml:space="preserve"> 23.3</w:t>
      </w:r>
      <w:r w:rsidR="00143F5D">
        <w:rPr>
          <w:rFonts w:cs="Arial"/>
          <w:b w:val="0"/>
          <w:color w:val="auto"/>
          <w:sz w:val="24"/>
          <w:szCs w:val="22"/>
        </w:rPr>
        <w:t> </w:t>
      </w:r>
      <w:r w:rsidR="006B5E29" w:rsidRPr="00BC2858">
        <w:rPr>
          <w:rFonts w:cs="Arial"/>
          <w:b w:val="0"/>
          <w:color w:val="auto"/>
          <w:sz w:val="24"/>
          <w:szCs w:val="22"/>
        </w:rPr>
        <w:t>por</w:t>
      </w:r>
      <w:r w:rsidR="00143F5D">
        <w:rPr>
          <w:rFonts w:cs="Arial"/>
          <w:b w:val="0"/>
          <w:color w:val="auto"/>
          <w:sz w:val="24"/>
          <w:szCs w:val="22"/>
        </w:rPr>
        <w:t> </w:t>
      </w:r>
      <w:r w:rsidR="006B5E29" w:rsidRPr="00BC2858">
        <w:rPr>
          <w:rFonts w:cs="Arial"/>
          <w:b w:val="0"/>
          <w:color w:val="auto"/>
          <w:sz w:val="24"/>
          <w:szCs w:val="22"/>
        </w:rPr>
        <w:t>ciento.</w:t>
      </w:r>
      <w:r w:rsidR="00653EC2" w:rsidRPr="00BC2858">
        <w:rPr>
          <w:rFonts w:cs="Arial"/>
          <w:b w:val="0"/>
          <w:color w:val="auto"/>
          <w:sz w:val="24"/>
          <w:szCs w:val="22"/>
        </w:rPr>
        <w:t xml:space="preserve"> </w:t>
      </w:r>
    </w:p>
    <w:p w14:paraId="04A59504" w14:textId="6CE5E18B" w:rsidR="00D75156" w:rsidRDefault="00143F5D" w:rsidP="00BC2858">
      <w:pPr>
        <w:pStyle w:val="bullet"/>
        <w:spacing w:before="150" w:after="360"/>
        <w:ind w:right="49"/>
        <w:rPr>
          <w:rFonts w:cs="Arial"/>
          <w:b w:val="0"/>
          <w:color w:val="auto"/>
          <w:sz w:val="24"/>
          <w:szCs w:val="22"/>
        </w:rPr>
      </w:pPr>
      <w:r w:rsidRPr="001857B9">
        <w:rPr>
          <w:rFonts w:cs="Arial"/>
          <w:b w:val="0"/>
          <w:color w:val="auto"/>
          <w:sz w:val="24"/>
          <w:szCs w:val="22"/>
        </w:rPr>
        <w:t>Con series ajustadas por estacionalidad,</w:t>
      </w:r>
      <w:r w:rsidR="005E2591" w:rsidRPr="00BC2858">
        <w:rPr>
          <w:rFonts w:cs="Arial"/>
          <w:b w:val="0"/>
          <w:color w:val="auto"/>
          <w:sz w:val="24"/>
          <w:szCs w:val="22"/>
        </w:rPr>
        <w:t xml:space="preserve"> </w:t>
      </w:r>
      <w:r w:rsidR="00D75156" w:rsidRPr="00BC2858">
        <w:rPr>
          <w:rFonts w:cs="Arial"/>
          <w:b w:val="0"/>
          <w:color w:val="auto"/>
          <w:sz w:val="24"/>
          <w:szCs w:val="22"/>
        </w:rPr>
        <w:t>las importaciones totales mostraron un retroceso mensual de 1.95 %, resultado neto de una reducción de 2.51 % en las importaciones no petroleras y de un incremento de 5.37 % en las petroleras. Por tipo de bien, se presentaron disminuciones mensuales de 2.62 % en las importaciones de bienes de uso intermedio y de 2.12 % en las de bienes de capital</w:t>
      </w:r>
      <w:r w:rsidR="006B5E29" w:rsidRPr="00BC2858">
        <w:rPr>
          <w:rFonts w:cs="Arial"/>
          <w:b w:val="0"/>
          <w:color w:val="auto"/>
          <w:sz w:val="24"/>
          <w:szCs w:val="22"/>
        </w:rPr>
        <w:t>.</w:t>
      </w:r>
      <w:r w:rsidR="00D75156" w:rsidRPr="00BC2858">
        <w:rPr>
          <w:rFonts w:cs="Arial"/>
          <w:b w:val="0"/>
          <w:color w:val="auto"/>
          <w:sz w:val="24"/>
          <w:szCs w:val="22"/>
        </w:rPr>
        <w:t xml:space="preserve"> </w:t>
      </w:r>
      <w:r w:rsidR="003E2EE9" w:rsidRPr="00BC2858">
        <w:rPr>
          <w:rFonts w:cs="Arial"/>
          <w:b w:val="0"/>
          <w:color w:val="auto"/>
          <w:sz w:val="24"/>
          <w:szCs w:val="22"/>
        </w:rPr>
        <w:t>L</w:t>
      </w:r>
      <w:r w:rsidR="00D75156" w:rsidRPr="00BC2858">
        <w:rPr>
          <w:rFonts w:cs="Arial"/>
          <w:b w:val="0"/>
          <w:color w:val="auto"/>
          <w:sz w:val="24"/>
          <w:szCs w:val="22"/>
        </w:rPr>
        <w:t>as importaciones de bienes de consumo</w:t>
      </w:r>
      <w:r w:rsidR="003E2EE9" w:rsidRPr="00BC2858">
        <w:rPr>
          <w:rFonts w:cs="Arial"/>
          <w:b w:val="0"/>
          <w:color w:val="auto"/>
          <w:sz w:val="24"/>
          <w:szCs w:val="22"/>
        </w:rPr>
        <w:t xml:space="preserve"> aumentaron 1.84</w:t>
      </w:r>
      <w:r>
        <w:rPr>
          <w:rFonts w:cs="Arial"/>
          <w:b w:val="0"/>
          <w:color w:val="auto"/>
          <w:sz w:val="24"/>
          <w:szCs w:val="22"/>
        </w:rPr>
        <w:t> </w:t>
      </w:r>
      <w:r w:rsidR="00961D7D" w:rsidRPr="00BC2858">
        <w:rPr>
          <w:rFonts w:cs="Arial"/>
          <w:b w:val="0"/>
          <w:color w:val="auto"/>
          <w:sz w:val="24"/>
          <w:szCs w:val="22"/>
        </w:rPr>
        <w:t>por ciento</w:t>
      </w:r>
      <w:r w:rsidR="00D75156" w:rsidRPr="00BC2858">
        <w:rPr>
          <w:rFonts w:cs="Arial"/>
          <w:b w:val="0"/>
          <w:color w:val="auto"/>
          <w:sz w:val="24"/>
          <w:szCs w:val="22"/>
        </w:rPr>
        <w:t>.</w:t>
      </w:r>
    </w:p>
    <w:p w14:paraId="770AA254" w14:textId="77777777" w:rsidR="00143F5D" w:rsidRDefault="00143F5D" w:rsidP="00BC2858">
      <w:pPr>
        <w:pStyle w:val="bullet"/>
        <w:spacing w:before="150" w:after="360"/>
        <w:ind w:right="49"/>
        <w:rPr>
          <w:rFonts w:cs="Arial"/>
          <w:b w:val="0"/>
          <w:color w:val="auto"/>
          <w:sz w:val="24"/>
          <w:szCs w:val="22"/>
        </w:rPr>
      </w:pPr>
    </w:p>
    <w:p w14:paraId="2F49868B" w14:textId="77777777" w:rsidR="00143F5D" w:rsidRDefault="00143F5D" w:rsidP="00143F5D">
      <w:pPr>
        <w:pStyle w:val="p01"/>
        <w:keepNext/>
        <w:widowControl/>
        <w:spacing w:before="0"/>
        <w:jc w:val="center"/>
        <w:rPr>
          <w:rFonts w:ascii="Arial" w:hAnsi="Arial" w:cs="Arial"/>
          <w:bCs/>
          <w:color w:val="auto"/>
          <w:szCs w:val="24"/>
          <w:lang w:val="es-MX"/>
        </w:rPr>
      </w:pPr>
      <w:r>
        <w:rPr>
          <w:rFonts w:ascii="Arial" w:hAnsi="Arial" w:cs="Arial"/>
          <w:bCs/>
          <w:color w:val="auto"/>
          <w:szCs w:val="24"/>
          <w:lang w:val="es-MX"/>
        </w:rPr>
        <w:t>Cifras originales</w:t>
      </w:r>
    </w:p>
    <w:p w14:paraId="58A29C98" w14:textId="77777777" w:rsidR="00143F5D" w:rsidRPr="007A64AF" w:rsidRDefault="00143F5D" w:rsidP="00143F5D">
      <w:pPr>
        <w:pStyle w:val="p01"/>
        <w:keepNext/>
        <w:widowControl/>
        <w:spacing w:before="360"/>
        <w:jc w:val="center"/>
        <w:rPr>
          <w:rFonts w:ascii="Arial" w:hAnsi="Arial" w:cs="Arial"/>
          <w:bCs/>
          <w:color w:val="auto"/>
          <w:sz w:val="20"/>
          <w:szCs w:val="18"/>
          <w:lang w:val="es-MX"/>
        </w:rPr>
      </w:pPr>
      <w:r w:rsidRPr="007A64AF">
        <w:rPr>
          <w:rFonts w:ascii="Arial" w:hAnsi="Arial" w:cs="Arial"/>
          <w:bCs/>
          <w:color w:val="auto"/>
          <w:sz w:val="20"/>
          <w:szCs w:val="18"/>
          <w:lang w:val="es-MX"/>
        </w:rPr>
        <w:t>Cuadro 1</w:t>
      </w:r>
    </w:p>
    <w:p w14:paraId="715E530D" w14:textId="77777777" w:rsidR="00143F5D" w:rsidRDefault="00143F5D" w:rsidP="00143F5D">
      <w:pPr>
        <w:pStyle w:val="p01"/>
        <w:keepNext/>
        <w:widowControl/>
        <w:spacing w:before="0"/>
        <w:jc w:val="center"/>
        <w:rPr>
          <w:rFonts w:ascii="Arial" w:hAnsi="Arial" w:cs="Arial"/>
          <w:b/>
          <w:smallCaps/>
          <w:color w:val="auto"/>
          <w:sz w:val="22"/>
          <w:lang w:val="es-MX"/>
        </w:rPr>
      </w:pPr>
      <w:r>
        <w:rPr>
          <w:rFonts w:ascii="Arial" w:hAnsi="Arial" w:cs="Arial"/>
          <w:b/>
          <w:smallCaps/>
          <w:color w:val="auto"/>
          <w:sz w:val="22"/>
          <w:lang w:val="es-MX"/>
        </w:rPr>
        <w:t>Balanza Comercial de Mercancías de México</w:t>
      </w:r>
    </w:p>
    <w:tbl>
      <w:tblPr>
        <w:tblW w:w="7819" w:type="dxa"/>
        <w:jc w:val="center"/>
        <w:tblCellMar>
          <w:left w:w="70" w:type="dxa"/>
          <w:right w:w="70" w:type="dxa"/>
        </w:tblCellMar>
        <w:tblLook w:val="04A0" w:firstRow="1" w:lastRow="0" w:firstColumn="1" w:lastColumn="0" w:noHBand="0" w:noVBand="1"/>
      </w:tblPr>
      <w:tblGrid>
        <w:gridCol w:w="191"/>
        <w:gridCol w:w="190"/>
        <w:gridCol w:w="190"/>
        <w:gridCol w:w="2145"/>
        <w:gridCol w:w="1276"/>
        <w:gridCol w:w="1134"/>
        <w:gridCol w:w="1559"/>
        <w:gridCol w:w="1134"/>
      </w:tblGrid>
      <w:tr w:rsidR="00143F5D" w14:paraId="1F82623F" w14:textId="77777777" w:rsidTr="0079757F">
        <w:trPr>
          <w:trHeight w:val="330"/>
          <w:jc w:val="center"/>
        </w:trPr>
        <w:tc>
          <w:tcPr>
            <w:tcW w:w="2716" w:type="dxa"/>
            <w:gridSpan w:val="4"/>
            <w:vMerge w:val="restart"/>
            <w:tcBorders>
              <w:top w:val="double" w:sz="6" w:space="0" w:color="auto"/>
              <w:left w:val="double" w:sz="6" w:space="0" w:color="auto"/>
              <w:bottom w:val="double" w:sz="6" w:space="0" w:color="000000"/>
              <w:right w:val="double" w:sz="6" w:space="0" w:color="000000"/>
            </w:tcBorders>
            <w:shd w:val="clear" w:color="auto" w:fill="C2D69B" w:themeFill="accent3" w:themeFillTint="99"/>
            <w:vAlign w:val="center"/>
          </w:tcPr>
          <w:p w14:paraId="4AA4FFC6" w14:textId="77777777" w:rsidR="00143F5D" w:rsidRDefault="00143F5D" w:rsidP="0079757F">
            <w:pPr>
              <w:jc w:val="center"/>
              <w:rPr>
                <w:rFonts w:ascii="Arial" w:hAnsi="Arial" w:cs="Arial"/>
                <w:color w:val="000000"/>
                <w:sz w:val="18"/>
                <w:szCs w:val="18"/>
              </w:rPr>
            </w:pPr>
            <w:r>
              <w:rPr>
                <w:rFonts w:ascii="Arial" w:hAnsi="Arial" w:cs="Arial"/>
                <w:color w:val="000000"/>
                <w:sz w:val="18"/>
                <w:szCs w:val="18"/>
              </w:rPr>
              <w:t>Concepto</w:t>
            </w:r>
          </w:p>
        </w:tc>
        <w:tc>
          <w:tcPr>
            <w:tcW w:w="2410" w:type="dxa"/>
            <w:gridSpan w:val="2"/>
            <w:tcBorders>
              <w:top w:val="double" w:sz="6" w:space="0" w:color="auto"/>
              <w:left w:val="nil"/>
              <w:bottom w:val="double" w:sz="6" w:space="0" w:color="auto"/>
              <w:right w:val="double" w:sz="6" w:space="0" w:color="000000"/>
            </w:tcBorders>
            <w:shd w:val="clear" w:color="auto" w:fill="C2D69B" w:themeFill="accent3" w:themeFillTint="99"/>
            <w:vAlign w:val="center"/>
            <w:hideMark/>
          </w:tcPr>
          <w:p w14:paraId="36F5380E" w14:textId="77777777" w:rsidR="00143F5D" w:rsidRDefault="00143F5D" w:rsidP="0079757F">
            <w:pPr>
              <w:jc w:val="center"/>
              <w:rPr>
                <w:rFonts w:ascii="Arial" w:hAnsi="Arial" w:cs="Arial"/>
                <w:color w:val="000000"/>
                <w:sz w:val="18"/>
                <w:szCs w:val="18"/>
              </w:rPr>
            </w:pPr>
            <w:r>
              <w:rPr>
                <w:rFonts w:ascii="Arial" w:hAnsi="Arial" w:cs="Arial"/>
                <w:color w:val="000000"/>
                <w:sz w:val="18"/>
                <w:szCs w:val="18"/>
              </w:rPr>
              <w:t>Julio*</w:t>
            </w:r>
          </w:p>
        </w:tc>
        <w:tc>
          <w:tcPr>
            <w:tcW w:w="2693" w:type="dxa"/>
            <w:gridSpan w:val="2"/>
            <w:tcBorders>
              <w:top w:val="double" w:sz="6" w:space="0" w:color="auto"/>
              <w:left w:val="nil"/>
              <w:bottom w:val="double" w:sz="6" w:space="0" w:color="auto"/>
              <w:right w:val="double" w:sz="6" w:space="0" w:color="000000"/>
            </w:tcBorders>
            <w:shd w:val="clear" w:color="auto" w:fill="C2D69B" w:themeFill="accent3" w:themeFillTint="99"/>
            <w:vAlign w:val="center"/>
            <w:hideMark/>
          </w:tcPr>
          <w:p w14:paraId="787444DA" w14:textId="77777777" w:rsidR="00143F5D" w:rsidRDefault="00143F5D" w:rsidP="0079757F">
            <w:pPr>
              <w:jc w:val="center"/>
              <w:rPr>
                <w:rFonts w:ascii="Arial" w:hAnsi="Arial" w:cs="Arial"/>
                <w:color w:val="000000"/>
                <w:sz w:val="18"/>
                <w:szCs w:val="18"/>
              </w:rPr>
            </w:pPr>
            <w:r>
              <w:rPr>
                <w:rFonts w:ascii="Arial" w:hAnsi="Arial" w:cs="Arial"/>
                <w:color w:val="000000"/>
                <w:sz w:val="18"/>
                <w:szCs w:val="18"/>
              </w:rPr>
              <w:t>Enero - Julio*</w:t>
            </w:r>
          </w:p>
        </w:tc>
      </w:tr>
      <w:tr w:rsidR="00143F5D" w14:paraId="128A020F" w14:textId="77777777" w:rsidTr="0079757F">
        <w:trPr>
          <w:trHeight w:val="510"/>
          <w:jc w:val="center"/>
        </w:trPr>
        <w:tc>
          <w:tcPr>
            <w:tcW w:w="2716" w:type="dxa"/>
            <w:gridSpan w:val="4"/>
            <w:vMerge/>
            <w:tcBorders>
              <w:top w:val="double" w:sz="6" w:space="0" w:color="auto"/>
              <w:left w:val="double" w:sz="6" w:space="0" w:color="auto"/>
              <w:bottom w:val="double" w:sz="6" w:space="0" w:color="000000"/>
              <w:right w:val="double" w:sz="6" w:space="0" w:color="000000"/>
            </w:tcBorders>
            <w:shd w:val="clear" w:color="auto" w:fill="C2D69B" w:themeFill="accent3" w:themeFillTint="99"/>
            <w:vAlign w:val="center"/>
          </w:tcPr>
          <w:p w14:paraId="67FFD8E3" w14:textId="77777777" w:rsidR="00143F5D" w:rsidRDefault="00143F5D" w:rsidP="0079757F">
            <w:pPr>
              <w:rPr>
                <w:rFonts w:ascii="Arial" w:hAnsi="Arial" w:cs="Arial"/>
                <w:color w:val="000000"/>
                <w:sz w:val="18"/>
                <w:szCs w:val="18"/>
              </w:rPr>
            </w:pPr>
          </w:p>
        </w:tc>
        <w:tc>
          <w:tcPr>
            <w:tcW w:w="1276" w:type="dxa"/>
            <w:tcBorders>
              <w:top w:val="nil"/>
              <w:left w:val="nil"/>
              <w:bottom w:val="double" w:sz="6" w:space="0" w:color="000000"/>
              <w:right w:val="double" w:sz="6" w:space="0" w:color="000000"/>
            </w:tcBorders>
            <w:shd w:val="clear" w:color="auto" w:fill="C2D69B" w:themeFill="accent3" w:themeFillTint="99"/>
            <w:vAlign w:val="center"/>
            <w:hideMark/>
          </w:tcPr>
          <w:p w14:paraId="5D3059AD" w14:textId="77777777" w:rsidR="00143F5D" w:rsidRDefault="00143F5D" w:rsidP="0079757F">
            <w:pPr>
              <w:jc w:val="center"/>
              <w:rPr>
                <w:rFonts w:ascii="Arial" w:hAnsi="Arial" w:cs="Arial"/>
                <w:color w:val="000000"/>
                <w:sz w:val="18"/>
                <w:szCs w:val="18"/>
              </w:rPr>
            </w:pPr>
            <w:r>
              <w:rPr>
                <w:rFonts w:ascii="Arial" w:hAnsi="Arial" w:cs="Arial"/>
                <w:color w:val="000000"/>
                <w:sz w:val="18"/>
                <w:szCs w:val="18"/>
              </w:rPr>
              <w:t>Millones de dólares</w:t>
            </w:r>
          </w:p>
        </w:tc>
        <w:tc>
          <w:tcPr>
            <w:tcW w:w="1134" w:type="dxa"/>
            <w:tcBorders>
              <w:top w:val="nil"/>
              <w:left w:val="nil"/>
              <w:bottom w:val="double" w:sz="6" w:space="0" w:color="000000"/>
              <w:right w:val="double" w:sz="6" w:space="0" w:color="000000"/>
            </w:tcBorders>
            <w:shd w:val="clear" w:color="auto" w:fill="C2D69B" w:themeFill="accent3" w:themeFillTint="99"/>
            <w:vAlign w:val="center"/>
            <w:hideMark/>
          </w:tcPr>
          <w:p w14:paraId="22ED1A31" w14:textId="77777777" w:rsidR="00143F5D" w:rsidRDefault="00143F5D" w:rsidP="0079757F">
            <w:pPr>
              <w:jc w:val="center"/>
              <w:rPr>
                <w:rFonts w:ascii="Arial" w:hAnsi="Arial" w:cs="Arial"/>
                <w:color w:val="000000"/>
                <w:sz w:val="18"/>
                <w:szCs w:val="18"/>
              </w:rPr>
            </w:pPr>
            <w:r>
              <w:rPr>
                <w:rFonts w:ascii="Arial" w:hAnsi="Arial" w:cs="Arial"/>
                <w:color w:val="000000"/>
                <w:sz w:val="18"/>
                <w:szCs w:val="18"/>
              </w:rPr>
              <w:t>Variación % anual</w:t>
            </w:r>
          </w:p>
        </w:tc>
        <w:tc>
          <w:tcPr>
            <w:tcW w:w="1559" w:type="dxa"/>
            <w:tcBorders>
              <w:top w:val="nil"/>
              <w:left w:val="nil"/>
              <w:bottom w:val="double" w:sz="6" w:space="0" w:color="000000"/>
              <w:right w:val="double" w:sz="6" w:space="0" w:color="000000"/>
            </w:tcBorders>
            <w:shd w:val="clear" w:color="auto" w:fill="C2D69B" w:themeFill="accent3" w:themeFillTint="99"/>
            <w:vAlign w:val="center"/>
            <w:hideMark/>
          </w:tcPr>
          <w:p w14:paraId="7D128331" w14:textId="77777777" w:rsidR="00143F5D" w:rsidRDefault="00143F5D" w:rsidP="0079757F">
            <w:pPr>
              <w:jc w:val="center"/>
              <w:rPr>
                <w:rFonts w:ascii="Arial" w:hAnsi="Arial" w:cs="Arial"/>
                <w:color w:val="000000"/>
                <w:sz w:val="18"/>
                <w:szCs w:val="18"/>
              </w:rPr>
            </w:pPr>
            <w:r>
              <w:rPr>
                <w:rFonts w:ascii="Arial" w:hAnsi="Arial" w:cs="Arial"/>
                <w:color w:val="000000"/>
                <w:sz w:val="18"/>
                <w:szCs w:val="18"/>
              </w:rPr>
              <w:t>Millones de dólares</w:t>
            </w:r>
          </w:p>
        </w:tc>
        <w:tc>
          <w:tcPr>
            <w:tcW w:w="1134" w:type="dxa"/>
            <w:tcBorders>
              <w:top w:val="nil"/>
              <w:left w:val="nil"/>
              <w:bottom w:val="double" w:sz="6" w:space="0" w:color="000000"/>
              <w:right w:val="double" w:sz="6" w:space="0" w:color="auto"/>
            </w:tcBorders>
            <w:shd w:val="clear" w:color="auto" w:fill="C2D69B" w:themeFill="accent3" w:themeFillTint="99"/>
            <w:vAlign w:val="center"/>
            <w:hideMark/>
          </w:tcPr>
          <w:p w14:paraId="4A3FF43F" w14:textId="77777777" w:rsidR="00143F5D" w:rsidRDefault="00143F5D" w:rsidP="0079757F">
            <w:pPr>
              <w:jc w:val="center"/>
              <w:rPr>
                <w:rFonts w:ascii="Arial" w:hAnsi="Arial" w:cs="Arial"/>
                <w:color w:val="000000"/>
                <w:sz w:val="18"/>
                <w:szCs w:val="18"/>
              </w:rPr>
            </w:pPr>
            <w:r>
              <w:rPr>
                <w:rFonts w:ascii="Arial" w:hAnsi="Arial" w:cs="Arial"/>
                <w:color w:val="000000"/>
                <w:sz w:val="18"/>
                <w:szCs w:val="18"/>
              </w:rPr>
              <w:t>Variación % anual</w:t>
            </w:r>
          </w:p>
        </w:tc>
      </w:tr>
      <w:tr w:rsidR="00143F5D" w14:paraId="56CE2042" w14:textId="77777777" w:rsidTr="0079757F">
        <w:trPr>
          <w:trHeight w:val="255"/>
          <w:jc w:val="center"/>
        </w:trPr>
        <w:tc>
          <w:tcPr>
            <w:tcW w:w="2716" w:type="dxa"/>
            <w:gridSpan w:val="4"/>
            <w:tcBorders>
              <w:top w:val="double" w:sz="6" w:space="0" w:color="000000"/>
              <w:left w:val="double" w:sz="6" w:space="0" w:color="000000"/>
              <w:bottom w:val="nil"/>
              <w:right w:val="double" w:sz="6" w:space="0" w:color="000000"/>
            </w:tcBorders>
            <w:shd w:val="clear" w:color="auto" w:fill="auto"/>
            <w:noWrap/>
            <w:vAlign w:val="center"/>
            <w:hideMark/>
          </w:tcPr>
          <w:p w14:paraId="537DC5E0" w14:textId="77777777" w:rsidR="00143F5D" w:rsidRPr="00C24D4B" w:rsidRDefault="00143F5D" w:rsidP="0079757F">
            <w:pPr>
              <w:rPr>
                <w:rFonts w:ascii="Arial" w:hAnsi="Arial" w:cs="Arial"/>
                <w:b/>
                <w:bCs/>
                <w:color w:val="000000"/>
                <w:sz w:val="18"/>
                <w:szCs w:val="18"/>
              </w:rPr>
            </w:pPr>
            <w:r w:rsidRPr="00C24D4B">
              <w:rPr>
                <w:rFonts w:ascii="Arial" w:hAnsi="Arial" w:cs="Arial"/>
                <w:b/>
                <w:bCs/>
                <w:color w:val="000000"/>
                <w:sz w:val="18"/>
                <w:szCs w:val="18"/>
              </w:rPr>
              <w:t>Exportaciones totales</w:t>
            </w:r>
          </w:p>
        </w:tc>
        <w:tc>
          <w:tcPr>
            <w:tcW w:w="1276" w:type="dxa"/>
            <w:shd w:val="clear" w:color="auto" w:fill="auto"/>
            <w:vAlign w:val="center"/>
            <w:hideMark/>
          </w:tcPr>
          <w:p w14:paraId="1B1D06B5" w14:textId="77777777" w:rsidR="00143F5D" w:rsidRPr="00C24D4B" w:rsidRDefault="00143F5D" w:rsidP="0079757F">
            <w:pPr>
              <w:tabs>
                <w:tab w:val="left" w:pos="1069"/>
              </w:tabs>
              <w:ind w:right="73"/>
              <w:jc w:val="right"/>
              <w:rPr>
                <w:rFonts w:ascii="Arial" w:hAnsi="Arial" w:cs="Arial"/>
                <w:b/>
                <w:bCs/>
                <w:color w:val="000000"/>
                <w:sz w:val="18"/>
                <w:szCs w:val="18"/>
              </w:rPr>
            </w:pPr>
            <w:r>
              <w:rPr>
                <w:rFonts w:ascii="Arial" w:hAnsi="Arial" w:cs="Arial"/>
                <w:b/>
                <w:bCs/>
                <w:color w:val="000000"/>
                <w:sz w:val="18"/>
                <w:szCs w:val="18"/>
              </w:rPr>
              <w:t>47</w:t>
            </w:r>
            <w:r w:rsidRPr="00C24D4B">
              <w:rPr>
                <w:rFonts w:ascii="Arial" w:hAnsi="Arial" w:cs="Arial"/>
                <w:b/>
                <w:bCs/>
                <w:color w:val="000000"/>
                <w:sz w:val="18"/>
                <w:szCs w:val="18"/>
              </w:rPr>
              <w:t xml:space="preserve"> </w:t>
            </w:r>
            <w:r>
              <w:rPr>
                <w:rFonts w:ascii="Arial" w:hAnsi="Arial" w:cs="Arial"/>
                <w:b/>
                <w:bCs/>
                <w:color w:val="000000"/>
                <w:sz w:val="18"/>
                <w:szCs w:val="18"/>
              </w:rPr>
              <w:t>550.4</w:t>
            </w:r>
          </w:p>
        </w:tc>
        <w:tc>
          <w:tcPr>
            <w:tcW w:w="1134" w:type="dxa"/>
            <w:tcBorders>
              <w:top w:val="nil"/>
              <w:left w:val="nil"/>
              <w:bottom w:val="nil"/>
              <w:right w:val="double" w:sz="6" w:space="0" w:color="000000"/>
            </w:tcBorders>
            <w:shd w:val="clear" w:color="auto" w:fill="auto"/>
            <w:vAlign w:val="center"/>
            <w:hideMark/>
          </w:tcPr>
          <w:p w14:paraId="4397098C" w14:textId="77777777" w:rsidR="00143F5D" w:rsidRPr="00C24D4B" w:rsidRDefault="00143F5D" w:rsidP="0079757F">
            <w:pPr>
              <w:ind w:left="-67" w:right="216"/>
              <w:jc w:val="right"/>
              <w:rPr>
                <w:rFonts w:ascii="Arial" w:hAnsi="Arial" w:cs="Arial"/>
                <w:b/>
                <w:bCs/>
                <w:color w:val="000000"/>
                <w:sz w:val="18"/>
                <w:szCs w:val="18"/>
              </w:rPr>
            </w:pPr>
            <w:r>
              <w:rPr>
                <w:rFonts w:ascii="Arial" w:hAnsi="Arial" w:cs="Arial"/>
                <w:b/>
                <w:bCs/>
                <w:color w:val="000000"/>
                <w:sz w:val="18"/>
                <w:szCs w:val="18"/>
              </w:rPr>
              <w:t>2.9</w:t>
            </w:r>
          </w:p>
        </w:tc>
        <w:tc>
          <w:tcPr>
            <w:tcW w:w="1559" w:type="dxa"/>
            <w:shd w:val="clear" w:color="auto" w:fill="auto"/>
            <w:vAlign w:val="center"/>
            <w:hideMark/>
          </w:tcPr>
          <w:p w14:paraId="145617C1" w14:textId="77777777" w:rsidR="00143F5D" w:rsidRPr="00C24D4B" w:rsidRDefault="00143F5D" w:rsidP="0079757F">
            <w:pPr>
              <w:ind w:right="211"/>
              <w:jc w:val="right"/>
              <w:rPr>
                <w:rFonts w:ascii="Arial" w:hAnsi="Arial" w:cs="Arial"/>
                <w:b/>
                <w:bCs/>
                <w:color w:val="000000"/>
                <w:sz w:val="18"/>
                <w:szCs w:val="18"/>
              </w:rPr>
            </w:pPr>
            <w:r>
              <w:rPr>
                <w:rFonts w:ascii="Arial" w:hAnsi="Arial" w:cs="Arial"/>
                <w:b/>
                <w:bCs/>
                <w:color w:val="000000"/>
                <w:sz w:val="18"/>
                <w:szCs w:val="18"/>
              </w:rPr>
              <w:t>339</w:t>
            </w:r>
            <w:r w:rsidRPr="00C24D4B">
              <w:rPr>
                <w:rFonts w:ascii="Arial" w:hAnsi="Arial" w:cs="Arial"/>
                <w:b/>
                <w:bCs/>
                <w:color w:val="000000"/>
                <w:sz w:val="18"/>
                <w:szCs w:val="18"/>
              </w:rPr>
              <w:t xml:space="preserve"> </w:t>
            </w:r>
            <w:r>
              <w:rPr>
                <w:rFonts w:ascii="Arial" w:hAnsi="Arial" w:cs="Arial"/>
                <w:b/>
                <w:bCs/>
                <w:color w:val="000000"/>
                <w:sz w:val="18"/>
                <w:szCs w:val="18"/>
              </w:rPr>
              <w:t>518.9</w:t>
            </w:r>
          </w:p>
        </w:tc>
        <w:tc>
          <w:tcPr>
            <w:tcW w:w="1134" w:type="dxa"/>
            <w:tcBorders>
              <w:top w:val="nil"/>
              <w:left w:val="nil"/>
              <w:bottom w:val="nil"/>
              <w:right w:val="double" w:sz="6" w:space="0" w:color="auto"/>
            </w:tcBorders>
            <w:shd w:val="clear" w:color="auto" w:fill="auto"/>
            <w:vAlign w:val="center"/>
            <w:hideMark/>
          </w:tcPr>
          <w:p w14:paraId="45D9FD10" w14:textId="77777777" w:rsidR="00143F5D" w:rsidRPr="00C24D4B" w:rsidRDefault="00143F5D" w:rsidP="0079757F">
            <w:pPr>
              <w:ind w:left="-71" w:right="209"/>
              <w:jc w:val="right"/>
              <w:rPr>
                <w:rFonts w:ascii="Arial" w:hAnsi="Arial" w:cs="Arial"/>
                <w:b/>
                <w:bCs/>
                <w:color w:val="000000"/>
                <w:sz w:val="18"/>
                <w:szCs w:val="18"/>
              </w:rPr>
            </w:pPr>
            <w:r>
              <w:rPr>
                <w:rFonts w:ascii="Arial" w:hAnsi="Arial" w:cs="Arial"/>
                <w:b/>
                <w:bCs/>
                <w:color w:val="000000"/>
                <w:sz w:val="18"/>
                <w:szCs w:val="18"/>
              </w:rPr>
              <w:t>3.8</w:t>
            </w:r>
          </w:p>
        </w:tc>
      </w:tr>
      <w:tr w:rsidR="00143F5D" w14:paraId="414FCEC2" w14:textId="77777777" w:rsidTr="0079757F">
        <w:trPr>
          <w:trHeight w:val="255"/>
          <w:jc w:val="center"/>
        </w:trPr>
        <w:tc>
          <w:tcPr>
            <w:tcW w:w="191" w:type="dxa"/>
            <w:tcBorders>
              <w:left w:val="double" w:sz="6" w:space="0" w:color="000000"/>
            </w:tcBorders>
            <w:shd w:val="clear" w:color="auto" w:fill="auto"/>
            <w:vAlign w:val="center"/>
            <w:hideMark/>
          </w:tcPr>
          <w:p w14:paraId="3CB86ED3"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 </w:t>
            </w:r>
          </w:p>
        </w:tc>
        <w:tc>
          <w:tcPr>
            <w:tcW w:w="2525" w:type="dxa"/>
            <w:gridSpan w:val="3"/>
            <w:tcBorders>
              <w:top w:val="nil"/>
              <w:left w:val="nil"/>
              <w:bottom w:val="nil"/>
              <w:right w:val="double" w:sz="6" w:space="0" w:color="000000"/>
            </w:tcBorders>
            <w:shd w:val="clear" w:color="auto" w:fill="auto"/>
            <w:noWrap/>
            <w:vAlign w:val="center"/>
            <w:hideMark/>
          </w:tcPr>
          <w:p w14:paraId="0A806F3F"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Petroleras</w:t>
            </w:r>
          </w:p>
        </w:tc>
        <w:tc>
          <w:tcPr>
            <w:tcW w:w="1276" w:type="dxa"/>
            <w:shd w:val="clear" w:color="auto" w:fill="auto"/>
            <w:vAlign w:val="center"/>
            <w:hideMark/>
          </w:tcPr>
          <w:p w14:paraId="7C386826" w14:textId="77777777" w:rsidR="00143F5D" w:rsidRPr="00F9707F" w:rsidRDefault="00143F5D" w:rsidP="0079757F">
            <w:pPr>
              <w:tabs>
                <w:tab w:val="left" w:pos="1069"/>
              </w:tabs>
              <w:ind w:right="73"/>
              <w:jc w:val="right"/>
              <w:rPr>
                <w:rFonts w:ascii="Arial" w:hAnsi="Arial" w:cs="Arial"/>
                <w:color w:val="000000"/>
                <w:sz w:val="18"/>
                <w:szCs w:val="18"/>
              </w:rPr>
            </w:pPr>
            <w:r w:rsidRPr="00F9707F">
              <w:rPr>
                <w:rFonts w:ascii="Arial" w:hAnsi="Arial" w:cs="Arial"/>
                <w:bCs/>
                <w:color w:val="000000"/>
                <w:sz w:val="18"/>
                <w:szCs w:val="18"/>
              </w:rPr>
              <w:t xml:space="preserve">2 </w:t>
            </w:r>
            <w:r>
              <w:rPr>
                <w:rFonts w:ascii="Arial" w:hAnsi="Arial" w:cs="Arial"/>
                <w:bCs/>
                <w:color w:val="000000"/>
                <w:sz w:val="18"/>
                <w:szCs w:val="18"/>
              </w:rPr>
              <w:t>729.8</w:t>
            </w:r>
          </w:p>
        </w:tc>
        <w:tc>
          <w:tcPr>
            <w:tcW w:w="1134" w:type="dxa"/>
            <w:tcBorders>
              <w:top w:val="nil"/>
              <w:left w:val="nil"/>
              <w:bottom w:val="nil"/>
              <w:right w:val="double" w:sz="6" w:space="0" w:color="auto"/>
            </w:tcBorders>
            <w:shd w:val="clear" w:color="auto" w:fill="auto"/>
            <w:vAlign w:val="center"/>
            <w:hideMark/>
          </w:tcPr>
          <w:p w14:paraId="1B0076B6" w14:textId="77777777" w:rsidR="00143F5D" w:rsidRPr="00F9707F" w:rsidRDefault="00143F5D" w:rsidP="0079757F">
            <w:pPr>
              <w:ind w:left="-67" w:right="216"/>
              <w:jc w:val="right"/>
              <w:rPr>
                <w:rFonts w:ascii="Arial" w:hAnsi="Arial" w:cs="Arial"/>
                <w:color w:val="000000"/>
                <w:sz w:val="18"/>
                <w:szCs w:val="18"/>
              </w:rPr>
            </w:pPr>
            <w:r>
              <w:rPr>
                <w:rFonts w:ascii="Arial" w:hAnsi="Arial" w:cs="Arial"/>
                <w:bCs/>
                <w:color w:val="000000"/>
                <w:sz w:val="18"/>
                <w:szCs w:val="18"/>
              </w:rPr>
              <w:t>-28.5</w:t>
            </w:r>
          </w:p>
        </w:tc>
        <w:tc>
          <w:tcPr>
            <w:tcW w:w="1559" w:type="dxa"/>
            <w:shd w:val="clear" w:color="auto" w:fill="auto"/>
            <w:vAlign w:val="center"/>
            <w:hideMark/>
          </w:tcPr>
          <w:p w14:paraId="7BD6F629" w14:textId="77777777" w:rsidR="00143F5D" w:rsidRPr="00F9707F" w:rsidRDefault="00143F5D" w:rsidP="0079757F">
            <w:pPr>
              <w:ind w:right="211"/>
              <w:jc w:val="right"/>
              <w:rPr>
                <w:rFonts w:ascii="Arial" w:hAnsi="Arial" w:cs="Arial"/>
                <w:color w:val="000000"/>
                <w:sz w:val="18"/>
                <w:szCs w:val="18"/>
              </w:rPr>
            </w:pPr>
            <w:r>
              <w:rPr>
                <w:rFonts w:ascii="Arial" w:hAnsi="Arial" w:cs="Arial"/>
                <w:bCs/>
                <w:color w:val="000000"/>
                <w:sz w:val="18"/>
                <w:szCs w:val="18"/>
              </w:rPr>
              <w:t>18 491.5</w:t>
            </w:r>
          </w:p>
        </w:tc>
        <w:tc>
          <w:tcPr>
            <w:tcW w:w="1134" w:type="dxa"/>
            <w:tcBorders>
              <w:top w:val="nil"/>
              <w:left w:val="nil"/>
              <w:bottom w:val="nil"/>
              <w:right w:val="double" w:sz="6" w:space="0" w:color="auto"/>
            </w:tcBorders>
            <w:shd w:val="clear" w:color="auto" w:fill="auto"/>
            <w:vAlign w:val="center"/>
            <w:hideMark/>
          </w:tcPr>
          <w:p w14:paraId="00AE7F21" w14:textId="77777777" w:rsidR="00143F5D" w:rsidRPr="00F9707F" w:rsidRDefault="00143F5D" w:rsidP="0079757F">
            <w:pPr>
              <w:ind w:left="-71" w:right="209"/>
              <w:jc w:val="right"/>
              <w:rPr>
                <w:rFonts w:ascii="Arial" w:hAnsi="Arial" w:cs="Arial"/>
                <w:color w:val="000000"/>
                <w:sz w:val="18"/>
                <w:szCs w:val="18"/>
              </w:rPr>
            </w:pPr>
            <w:r>
              <w:rPr>
                <w:rFonts w:ascii="Arial" w:hAnsi="Arial" w:cs="Arial"/>
                <w:bCs/>
                <w:color w:val="000000"/>
                <w:sz w:val="18"/>
                <w:szCs w:val="18"/>
              </w:rPr>
              <w:t>-24.2</w:t>
            </w:r>
          </w:p>
        </w:tc>
      </w:tr>
      <w:tr w:rsidR="00143F5D" w14:paraId="051B1266" w14:textId="77777777" w:rsidTr="0079757F">
        <w:trPr>
          <w:trHeight w:val="255"/>
          <w:jc w:val="center"/>
        </w:trPr>
        <w:tc>
          <w:tcPr>
            <w:tcW w:w="191" w:type="dxa"/>
            <w:tcBorders>
              <w:left w:val="double" w:sz="6" w:space="0" w:color="000000"/>
            </w:tcBorders>
            <w:shd w:val="clear" w:color="auto" w:fill="auto"/>
            <w:vAlign w:val="center"/>
            <w:hideMark/>
          </w:tcPr>
          <w:p w14:paraId="2DBBC40B"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 </w:t>
            </w:r>
          </w:p>
        </w:tc>
        <w:tc>
          <w:tcPr>
            <w:tcW w:w="2525" w:type="dxa"/>
            <w:gridSpan w:val="3"/>
            <w:tcBorders>
              <w:top w:val="nil"/>
              <w:left w:val="nil"/>
              <w:bottom w:val="nil"/>
              <w:right w:val="double" w:sz="6" w:space="0" w:color="000000"/>
            </w:tcBorders>
            <w:shd w:val="clear" w:color="auto" w:fill="auto"/>
            <w:noWrap/>
            <w:vAlign w:val="center"/>
            <w:hideMark/>
          </w:tcPr>
          <w:p w14:paraId="175C9797"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No petroleras</w:t>
            </w:r>
          </w:p>
        </w:tc>
        <w:tc>
          <w:tcPr>
            <w:tcW w:w="1276" w:type="dxa"/>
            <w:shd w:val="clear" w:color="auto" w:fill="auto"/>
            <w:vAlign w:val="center"/>
            <w:hideMark/>
          </w:tcPr>
          <w:p w14:paraId="56303B2B" w14:textId="77777777" w:rsidR="00143F5D" w:rsidRPr="00F9707F" w:rsidRDefault="00143F5D" w:rsidP="0079757F">
            <w:pPr>
              <w:tabs>
                <w:tab w:val="left" w:pos="1069"/>
              </w:tabs>
              <w:ind w:right="73"/>
              <w:jc w:val="right"/>
              <w:rPr>
                <w:rFonts w:ascii="Arial" w:hAnsi="Arial" w:cs="Arial"/>
                <w:color w:val="000000"/>
                <w:sz w:val="18"/>
                <w:szCs w:val="18"/>
              </w:rPr>
            </w:pPr>
            <w:r>
              <w:rPr>
                <w:rFonts w:ascii="Arial" w:hAnsi="Arial" w:cs="Arial"/>
                <w:bCs/>
                <w:color w:val="000000"/>
                <w:sz w:val="18"/>
                <w:szCs w:val="18"/>
              </w:rPr>
              <w:t>44</w:t>
            </w:r>
            <w:r w:rsidRPr="00F9707F">
              <w:rPr>
                <w:rFonts w:ascii="Arial" w:hAnsi="Arial" w:cs="Arial"/>
                <w:bCs/>
                <w:color w:val="000000"/>
                <w:sz w:val="18"/>
                <w:szCs w:val="18"/>
              </w:rPr>
              <w:t xml:space="preserve"> </w:t>
            </w:r>
            <w:r>
              <w:rPr>
                <w:rFonts w:ascii="Arial" w:hAnsi="Arial" w:cs="Arial"/>
                <w:bCs/>
                <w:color w:val="000000"/>
                <w:sz w:val="18"/>
                <w:szCs w:val="18"/>
              </w:rPr>
              <w:t>820.7</w:t>
            </w:r>
          </w:p>
        </w:tc>
        <w:tc>
          <w:tcPr>
            <w:tcW w:w="1134" w:type="dxa"/>
            <w:tcBorders>
              <w:top w:val="nil"/>
              <w:left w:val="nil"/>
              <w:bottom w:val="nil"/>
              <w:right w:val="double" w:sz="6" w:space="0" w:color="auto"/>
            </w:tcBorders>
            <w:shd w:val="clear" w:color="auto" w:fill="auto"/>
            <w:vAlign w:val="center"/>
            <w:hideMark/>
          </w:tcPr>
          <w:p w14:paraId="135ACD1F" w14:textId="77777777" w:rsidR="00143F5D" w:rsidRPr="00F9707F" w:rsidRDefault="00143F5D" w:rsidP="0079757F">
            <w:pPr>
              <w:ind w:left="-67" w:right="216"/>
              <w:jc w:val="right"/>
              <w:rPr>
                <w:rFonts w:ascii="Arial" w:hAnsi="Arial" w:cs="Arial"/>
                <w:color w:val="000000"/>
                <w:sz w:val="18"/>
                <w:szCs w:val="18"/>
              </w:rPr>
            </w:pPr>
            <w:r>
              <w:rPr>
                <w:rFonts w:ascii="Arial" w:hAnsi="Arial" w:cs="Arial"/>
                <w:bCs/>
                <w:color w:val="000000"/>
                <w:sz w:val="18"/>
                <w:szCs w:val="18"/>
              </w:rPr>
              <w:t>5.7</w:t>
            </w:r>
          </w:p>
        </w:tc>
        <w:tc>
          <w:tcPr>
            <w:tcW w:w="1559" w:type="dxa"/>
            <w:shd w:val="clear" w:color="auto" w:fill="auto"/>
            <w:vAlign w:val="center"/>
            <w:hideMark/>
          </w:tcPr>
          <w:p w14:paraId="1D7BD257" w14:textId="77777777" w:rsidR="00143F5D" w:rsidRPr="00F9707F" w:rsidRDefault="00143F5D" w:rsidP="0079757F">
            <w:pPr>
              <w:ind w:right="211"/>
              <w:jc w:val="right"/>
              <w:rPr>
                <w:rFonts w:ascii="Arial" w:hAnsi="Arial" w:cs="Arial"/>
                <w:color w:val="000000"/>
                <w:sz w:val="18"/>
                <w:szCs w:val="18"/>
              </w:rPr>
            </w:pPr>
            <w:r>
              <w:rPr>
                <w:rFonts w:ascii="Arial" w:hAnsi="Arial" w:cs="Arial"/>
                <w:bCs/>
                <w:color w:val="000000"/>
                <w:sz w:val="18"/>
                <w:szCs w:val="18"/>
              </w:rPr>
              <w:t>321 027.4</w:t>
            </w:r>
          </w:p>
        </w:tc>
        <w:tc>
          <w:tcPr>
            <w:tcW w:w="1134" w:type="dxa"/>
            <w:tcBorders>
              <w:top w:val="nil"/>
              <w:left w:val="nil"/>
              <w:bottom w:val="nil"/>
              <w:right w:val="double" w:sz="6" w:space="0" w:color="auto"/>
            </w:tcBorders>
            <w:shd w:val="clear" w:color="auto" w:fill="auto"/>
            <w:vAlign w:val="center"/>
            <w:hideMark/>
          </w:tcPr>
          <w:p w14:paraId="3241104C" w14:textId="77777777" w:rsidR="00143F5D" w:rsidRPr="00F9707F" w:rsidRDefault="00143F5D" w:rsidP="0079757F">
            <w:pPr>
              <w:ind w:left="-71" w:right="209"/>
              <w:jc w:val="right"/>
              <w:rPr>
                <w:rFonts w:ascii="Arial" w:hAnsi="Arial" w:cs="Arial"/>
                <w:color w:val="000000"/>
                <w:sz w:val="18"/>
                <w:szCs w:val="18"/>
              </w:rPr>
            </w:pPr>
            <w:r>
              <w:rPr>
                <w:rFonts w:ascii="Arial" w:hAnsi="Arial" w:cs="Arial"/>
                <w:color w:val="000000"/>
                <w:sz w:val="18"/>
                <w:szCs w:val="18"/>
              </w:rPr>
              <w:t>6.0</w:t>
            </w:r>
          </w:p>
        </w:tc>
      </w:tr>
      <w:tr w:rsidR="00143F5D" w14:paraId="21BBC350" w14:textId="77777777" w:rsidTr="0079757F">
        <w:trPr>
          <w:trHeight w:val="255"/>
          <w:jc w:val="center"/>
        </w:trPr>
        <w:tc>
          <w:tcPr>
            <w:tcW w:w="191" w:type="dxa"/>
            <w:tcBorders>
              <w:left w:val="double" w:sz="6" w:space="0" w:color="000000"/>
            </w:tcBorders>
            <w:shd w:val="clear" w:color="auto" w:fill="auto"/>
            <w:vAlign w:val="center"/>
            <w:hideMark/>
          </w:tcPr>
          <w:p w14:paraId="7A9D7DE9" w14:textId="77777777" w:rsidR="00143F5D" w:rsidRPr="00F9707F" w:rsidRDefault="00143F5D" w:rsidP="0079757F">
            <w:pPr>
              <w:rPr>
                <w:rFonts w:ascii="Arial" w:hAnsi="Arial" w:cs="Arial"/>
                <w:color w:val="000000"/>
                <w:sz w:val="18"/>
                <w:szCs w:val="18"/>
              </w:rPr>
            </w:pPr>
            <w:r w:rsidRPr="00F9707F">
              <w:rPr>
                <w:rFonts w:ascii="Arial" w:hAnsi="Arial" w:cs="Arial"/>
                <w:color w:val="000000"/>
                <w:sz w:val="18"/>
                <w:szCs w:val="18"/>
              </w:rPr>
              <w:t> </w:t>
            </w:r>
          </w:p>
        </w:tc>
        <w:tc>
          <w:tcPr>
            <w:tcW w:w="190" w:type="dxa"/>
            <w:shd w:val="clear" w:color="auto" w:fill="auto"/>
            <w:noWrap/>
            <w:vAlign w:val="bottom"/>
            <w:hideMark/>
          </w:tcPr>
          <w:p w14:paraId="06F44FF4" w14:textId="77777777" w:rsidR="00143F5D" w:rsidRPr="00F9707F" w:rsidRDefault="00143F5D" w:rsidP="0079757F">
            <w:pPr>
              <w:rPr>
                <w:rFonts w:ascii="Calibri" w:hAnsi="Calibri" w:cs="Calibri"/>
                <w:color w:val="000000"/>
                <w:sz w:val="22"/>
                <w:szCs w:val="22"/>
              </w:rPr>
            </w:pPr>
            <w:r w:rsidRPr="00F9707F">
              <w:rPr>
                <w:rFonts w:ascii="Calibri" w:hAnsi="Calibri" w:cs="Calibri"/>
                <w:color w:val="000000"/>
                <w:sz w:val="22"/>
                <w:szCs w:val="22"/>
              </w:rPr>
              <w:t> </w:t>
            </w:r>
          </w:p>
        </w:tc>
        <w:tc>
          <w:tcPr>
            <w:tcW w:w="2335" w:type="dxa"/>
            <w:gridSpan w:val="2"/>
            <w:tcBorders>
              <w:top w:val="nil"/>
              <w:left w:val="nil"/>
              <w:bottom w:val="nil"/>
              <w:right w:val="double" w:sz="6" w:space="0" w:color="000000"/>
            </w:tcBorders>
            <w:shd w:val="clear" w:color="auto" w:fill="auto"/>
            <w:vAlign w:val="center"/>
            <w:hideMark/>
          </w:tcPr>
          <w:p w14:paraId="65AC044D" w14:textId="77777777" w:rsidR="00143F5D" w:rsidRPr="00F9707F" w:rsidRDefault="00143F5D" w:rsidP="0079757F">
            <w:pPr>
              <w:rPr>
                <w:rFonts w:ascii="Arial" w:hAnsi="Arial" w:cs="Arial"/>
                <w:color w:val="000000"/>
                <w:sz w:val="18"/>
                <w:szCs w:val="18"/>
              </w:rPr>
            </w:pPr>
            <w:r w:rsidRPr="00F9707F">
              <w:rPr>
                <w:rFonts w:ascii="Arial" w:hAnsi="Arial" w:cs="Arial"/>
                <w:color w:val="000000"/>
                <w:sz w:val="18"/>
                <w:szCs w:val="18"/>
              </w:rPr>
              <w:t>Agropecuarias</w:t>
            </w:r>
          </w:p>
        </w:tc>
        <w:tc>
          <w:tcPr>
            <w:tcW w:w="1276" w:type="dxa"/>
            <w:shd w:val="clear" w:color="auto" w:fill="auto"/>
            <w:vAlign w:val="center"/>
            <w:hideMark/>
          </w:tcPr>
          <w:p w14:paraId="132DF4D0" w14:textId="77777777" w:rsidR="00143F5D" w:rsidRPr="00F9707F" w:rsidRDefault="00143F5D" w:rsidP="0079757F">
            <w:pPr>
              <w:tabs>
                <w:tab w:val="left" w:pos="1069"/>
              </w:tabs>
              <w:ind w:right="73"/>
              <w:jc w:val="right"/>
              <w:rPr>
                <w:rFonts w:ascii="Arial" w:hAnsi="Arial" w:cs="Arial"/>
                <w:color w:val="000000"/>
                <w:sz w:val="18"/>
                <w:szCs w:val="18"/>
              </w:rPr>
            </w:pPr>
            <w:r>
              <w:rPr>
                <w:rFonts w:ascii="Arial" w:hAnsi="Arial" w:cs="Arial"/>
                <w:bCs/>
                <w:color w:val="000000"/>
                <w:sz w:val="18"/>
                <w:szCs w:val="18"/>
              </w:rPr>
              <w:t>1</w:t>
            </w:r>
            <w:r w:rsidRPr="00F9707F">
              <w:rPr>
                <w:rFonts w:ascii="Arial" w:hAnsi="Arial" w:cs="Arial"/>
                <w:bCs/>
                <w:color w:val="000000"/>
                <w:sz w:val="18"/>
                <w:szCs w:val="18"/>
              </w:rPr>
              <w:t xml:space="preserve"> </w:t>
            </w:r>
            <w:r>
              <w:rPr>
                <w:rFonts w:ascii="Arial" w:hAnsi="Arial" w:cs="Arial"/>
                <w:bCs/>
                <w:color w:val="000000"/>
                <w:sz w:val="18"/>
                <w:szCs w:val="18"/>
              </w:rPr>
              <w:t>326.3</w:t>
            </w:r>
          </w:p>
        </w:tc>
        <w:tc>
          <w:tcPr>
            <w:tcW w:w="1134" w:type="dxa"/>
            <w:tcBorders>
              <w:top w:val="nil"/>
              <w:left w:val="nil"/>
              <w:bottom w:val="nil"/>
              <w:right w:val="double" w:sz="6" w:space="0" w:color="auto"/>
            </w:tcBorders>
            <w:shd w:val="clear" w:color="auto" w:fill="auto"/>
            <w:vAlign w:val="center"/>
            <w:hideMark/>
          </w:tcPr>
          <w:p w14:paraId="6515862F" w14:textId="77777777" w:rsidR="00143F5D" w:rsidRPr="00F9707F" w:rsidRDefault="00143F5D" w:rsidP="0079757F">
            <w:pPr>
              <w:ind w:left="-67" w:right="216"/>
              <w:jc w:val="right"/>
              <w:rPr>
                <w:rFonts w:ascii="Arial" w:hAnsi="Arial" w:cs="Arial"/>
                <w:color w:val="000000"/>
                <w:sz w:val="18"/>
                <w:szCs w:val="18"/>
              </w:rPr>
            </w:pPr>
            <w:r>
              <w:rPr>
                <w:rFonts w:ascii="Arial" w:hAnsi="Arial" w:cs="Arial"/>
                <w:bCs/>
                <w:color w:val="000000"/>
                <w:sz w:val="18"/>
                <w:szCs w:val="18"/>
              </w:rPr>
              <w:t>-6.0</w:t>
            </w:r>
          </w:p>
        </w:tc>
        <w:tc>
          <w:tcPr>
            <w:tcW w:w="1559" w:type="dxa"/>
            <w:shd w:val="clear" w:color="auto" w:fill="auto"/>
            <w:vAlign w:val="center"/>
            <w:hideMark/>
          </w:tcPr>
          <w:p w14:paraId="05C9A2E0" w14:textId="77777777" w:rsidR="00143F5D" w:rsidRPr="00F9707F" w:rsidRDefault="00143F5D" w:rsidP="0079757F">
            <w:pPr>
              <w:ind w:right="211"/>
              <w:jc w:val="right"/>
              <w:rPr>
                <w:rFonts w:ascii="Arial" w:hAnsi="Arial" w:cs="Arial"/>
                <w:color w:val="000000"/>
                <w:sz w:val="18"/>
                <w:szCs w:val="18"/>
              </w:rPr>
            </w:pPr>
            <w:r>
              <w:rPr>
                <w:rFonts w:ascii="Arial" w:hAnsi="Arial" w:cs="Arial"/>
                <w:bCs/>
                <w:color w:val="000000"/>
                <w:sz w:val="18"/>
                <w:szCs w:val="18"/>
              </w:rPr>
              <w:t>13 651.0</w:t>
            </w:r>
          </w:p>
        </w:tc>
        <w:tc>
          <w:tcPr>
            <w:tcW w:w="1134" w:type="dxa"/>
            <w:tcBorders>
              <w:top w:val="nil"/>
              <w:left w:val="nil"/>
              <w:bottom w:val="nil"/>
              <w:right w:val="double" w:sz="6" w:space="0" w:color="auto"/>
            </w:tcBorders>
            <w:shd w:val="clear" w:color="auto" w:fill="auto"/>
            <w:vAlign w:val="center"/>
            <w:hideMark/>
          </w:tcPr>
          <w:p w14:paraId="237A3123" w14:textId="77777777" w:rsidR="00143F5D" w:rsidRPr="00F9707F" w:rsidRDefault="00143F5D" w:rsidP="0079757F">
            <w:pPr>
              <w:ind w:left="-71" w:right="209"/>
              <w:jc w:val="right"/>
              <w:rPr>
                <w:rFonts w:ascii="Arial" w:hAnsi="Arial" w:cs="Arial"/>
                <w:color w:val="000000"/>
                <w:sz w:val="18"/>
                <w:szCs w:val="18"/>
              </w:rPr>
            </w:pPr>
            <w:r>
              <w:rPr>
                <w:rFonts w:ascii="Arial" w:hAnsi="Arial" w:cs="Arial"/>
                <w:color w:val="000000"/>
                <w:sz w:val="18"/>
                <w:szCs w:val="18"/>
              </w:rPr>
              <w:t>3.2</w:t>
            </w:r>
          </w:p>
        </w:tc>
      </w:tr>
      <w:tr w:rsidR="00143F5D" w14:paraId="316DB91F" w14:textId="77777777" w:rsidTr="0079757F">
        <w:trPr>
          <w:trHeight w:val="255"/>
          <w:jc w:val="center"/>
        </w:trPr>
        <w:tc>
          <w:tcPr>
            <w:tcW w:w="191" w:type="dxa"/>
            <w:tcBorders>
              <w:left w:val="double" w:sz="6" w:space="0" w:color="000000"/>
            </w:tcBorders>
            <w:shd w:val="clear" w:color="auto" w:fill="auto"/>
            <w:vAlign w:val="center"/>
            <w:hideMark/>
          </w:tcPr>
          <w:p w14:paraId="3B40A55C"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 </w:t>
            </w:r>
          </w:p>
        </w:tc>
        <w:tc>
          <w:tcPr>
            <w:tcW w:w="190" w:type="dxa"/>
            <w:shd w:val="clear" w:color="auto" w:fill="auto"/>
            <w:noWrap/>
            <w:vAlign w:val="bottom"/>
            <w:hideMark/>
          </w:tcPr>
          <w:p w14:paraId="3A149755" w14:textId="77777777" w:rsidR="00143F5D" w:rsidRPr="00F9707F" w:rsidRDefault="00143F5D" w:rsidP="0079757F">
            <w:pPr>
              <w:rPr>
                <w:rFonts w:ascii="Calibri" w:hAnsi="Calibri" w:cs="Calibri"/>
                <w:color w:val="000000"/>
                <w:sz w:val="22"/>
                <w:szCs w:val="22"/>
              </w:rPr>
            </w:pPr>
            <w:r w:rsidRPr="00F9707F">
              <w:rPr>
                <w:rFonts w:ascii="Calibri" w:hAnsi="Calibri" w:cs="Calibri"/>
                <w:color w:val="000000"/>
                <w:sz w:val="22"/>
                <w:szCs w:val="22"/>
              </w:rPr>
              <w:t> </w:t>
            </w:r>
          </w:p>
        </w:tc>
        <w:tc>
          <w:tcPr>
            <w:tcW w:w="2335" w:type="dxa"/>
            <w:gridSpan w:val="2"/>
            <w:tcBorders>
              <w:top w:val="nil"/>
              <w:left w:val="nil"/>
              <w:bottom w:val="nil"/>
              <w:right w:val="double" w:sz="6" w:space="0" w:color="000000"/>
            </w:tcBorders>
            <w:shd w:val="clear" w:color="auto" w:fill="auto"/>
            <w:vAlign w:val="center"/>
            <w:hideMark/>
          </w:tcPr>
          <w:p w14:paraId="42FE7AB6" w14:textId="77777777" w:rsidR="00143F5D" w:rsidRPr="00F9707F" w:rsidRDefault="00143F5D" w:rsidP="0079757F">
            <w:pPr>
              <w:rPr>
                <w:rFonts w:ascii="Arial" w:hAnsi="Arial" w:cs="Arial"/>
                <w:color w:val="000000"/>
                <w:sz w:val="18"/>
                <w:szCs w:val="18"/>
              </w:rPr>
            </w:pPr>
            <w:r w:rsidRPr="00F9707F">
              <w:rPr>
                <w:rFonts w:ascii="Arial" w:hAnsi="Arial" w:cs="Arial"/>
                <w:color w:val="000000"/>
                <w:sz w:val="18"/>
                <w:szCs w:val="18"/>
              </w:rPr>
              <w:t>Extractivas</w:t>
            </w:r>
          </w:p>
        </w:tc>
        <w:tc>
          <w:tcPr>
            <w:tcW w:w="1276" w:type="dxa"/>
            <w:shd w:val="clear" w:color="auto" w:fill="auto"/>
            <w:vAlign w:val="center"/>
            <w:hideMark/>
          </w:tcPr>
          <w:p w14:paraId="37B661FF" w14:textId="77777777" w:rsidR="00143F5D" w:rsidRPr="00F9707F" w:rsidRDefault="00143F5D" w:rsidP="0079757F">
            <w:pPr>
              <w:tabs>
                <w:tab w:val="left" w:pos="1069"/>
              </w:tabs>
              <w:ind w:right="73"/>
              <w:jc w:val="right"/>
              <w:rPr>
                <w:rFonts w:ascii="Arial" w:hAnsi="Arial" w:cs="Arial"/>
                <w:color w:val="000000"/>
                <w:sz w:val="18"/>
                <w:szCs w:val="18"/>
              </w:rPr>
            </w:pPr>
            <w:r>
              <w:rPr>
                <w:rFonts w:ascii="Arial" w:hAnsi="Arial" w:cs="Arial"/>
                <w:bCs/>
                <w:color w:val="000000"/>
                <w:sz w:val="18"/>
                <w:szCs w:val="18"/>
              </w:rPr>
              <w:t xml:space="preserve"> 591.0</w:t>
            </w:r>
          </w:p>
        </w:tc>
        <w:tc>
          <w:tcPr>
            <w:tcW w:w="1134" w:type="dxa"/>
            <w:tcBorders>
              <w:top w:val="nil"/>
              <w:left w:val="nil"/>
              <w:bottom w:val="nil"/>
              <w:right w:val="double" w:sz="6" w:space="0" w:color="auto"/>
            </w:tcBorders>
            <w:shd w:val="clear" w:color="auto" w:fill="auto"/>
            <w:vAlign w:val="center"/>
            <w:hideMark/>
          </w:tcPr>
          <w:p w14:paraId="6ADA5138" w14:textId="77777777" w:rsidR="00143F5D" w:rsidRPr="00F9707F" w:rsidRDefault="00143F5D" w:rsidP="0079757F">
            <w:pPr>
              <w:ind w:left="-67" w:right="216"/>
              <w:jc w:val="right"/>
              <w:rPr>
                <w:rFonts w:ascii="Arial" w:hAnsi="Arial" w:cs="Arial"/>
                <w:color w:val="000000"/>
                <w:sz w:val="18"/>
                <w:szCs w:val="18"/>
              </w:rPr>
            </w:pPr>
            <w:r>
              <w:rPr>
                <w:rFonts w:ascii="Arial" w:hAnsi="Arial" w:cs="Arial"/>
                <w:bCs/>
                <w:color w:val="000000"/>
                <w:sz w:val="18"/>
                <w:szCs w:val="18"/>
              </w:rPr>
              <w:t>-25.9</w:t>
            </w:r>
          </w:p>
        </w:tc>
        <w:tc>
          <w:tcPr>
            <w:tcW w:w="1559" w:type="dxa"/>
            <w:shd w:val="clear" w:color="auto" w:fill="auto"/>
            <w:vAlign w:val="center"/>
            <w:hideMark/>
          </w:tcPr>
          <w:p w14:paraId="546ACC86" w14:textId="77777777" w:rsidR="00143F5D" w:rsidRPr="00F9707F" w:rsidRDefault="00143F5D" w:rsidP="0079757F">
            <w:pPr>
              <w:ind w:right="211"/>
              <w:jc w:val="right"/>
              <w:rPr>
                <w:rFonts w:ascii="Arial" w:hAnsi="Arial" w:cs="Arial"/>
                <w:color w:val="000000"/>
                <w:sz w:val="18"/>
                <w:szCs w:val="18"/>
              </w:rPr>
            </w:pPr>
            <w:r>
              <w:rPr>
                <w:rFonts w:ascii="Arial" w:hAnsi="Arial" w:cs="Arial"/>
                <w:bCs/>
                <w:color w:val="000000"/>
                <w:sz w:val="18"/>
                <w:szCs w:val="18"/>
              </w:rPr>
              <w:t>5 580.5</w:t>
            </w:r>
          </w:p>
        </w:tc>
        <w:tc>
          <w:tcPr>
            <w:tcW w:w="1134" w:type="dxa"/>
            <w:tcBorders>
              <w:top w:val="nil"/>
              <w:left w:val="nil"/>
              <w:bottom w:val="nil"/>
              <w:right w:val="double" w:sz="6" w:space="0" w:color="auto"/>
            </w:tcBorders>
            <w:shd w:val="clear" w:color="auto" w:fill="auto"/>
            <w:vAlign w:val="center"/>
            <w:hideMark/>
          </w:tcPr>
          <w:p w14:paraId="20352233" w14:textId="77777777" w:rsidR="00143F5D" w:rsidRPr="00F9707F" w:rsidRDefault="00143F5D" w:rsidP="0079757F">
            <w:pPr>
              <w:ind w:left="-71" w:right="209"/>
              <w:jc w:val="right"/>
              <w:rPr>
                <w:rFonts w:ascii="Arial" w:hAnsi="Arial" w:cs="Arial"/>
                <w:color w:val="000000"/>
                <w:sz w:val="18"/>
                <w:szCs w:val="18"/>
              </w:rPr>
            </w:pPr>
            <w:r>
              <w:rPr>
                <w:rFonts w:ascii="Arial" w:hAnsi="Arial" w:cs="Arial"/>
                <w:bCs/>
                <w:color w:val="000000"/>
                <w:sz w:val="18"/>
                <w:szCs w:val="18"/>
              </w:rPr>
              <w:t>3.9</w:t>
            </w:r>
          </w:p>
        </w:tc>
      </w:tr>
      <w:tr w:rsidR="00143F5D" w14:paraId="12E9E025" w14:textId="77777777" w:rsidTr="0079757F">
        <w:trPr>
          <w:trHeight w:val="255"/>
          <w:jc w:val="center"/>
        </w:trPr>
        <w:tc>
          <w:tcPr>
            <w:tcW w:w="191" w:type="dxa"/>
            <w:tcBorders>
              <w:left w:val="double" w:sz="6" w:space="0" w:color="000000"/>
            </w:tcBorders>
            <w:shd w:val="clear" w:color="auto" w:fill="auto"/>
            <w:vAlign w:val="center"/>
            <w:hideMark/>
          </w:tcPr>
          <w:p w14:paraId="5963B5BF"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 </w:t>
            </w:r>
          </w:p>
        </w:tc>
        <w:tc>
          <w:tcPr>
            <w:tcW w:w="190" w:type="dxa"/>
            <w:shd w:val="clear" w:color="auto" w:fill="auto"/>
            <w:noWrap/>
            <w:vAlign w:val="bottom"/>
            <w:hideMark/>
          </w:tcPr>
          <w:p w14:paraId="61405845" w14:textId="77777777" w:rsidR="00143F5D" w:rsidRPr="00F9707F" w:rsidRDefault="00143F5D" w:rsidP="0079757F">
            <w:pPr>
              <w:rPr>
                <w:rFonts w:ascii="Calibri" w:hAnsi="Calibri" w:cs="Calibri"/>
                <w:color w:val="000000"/>
                <w:sz w:val="22"/>
                <w:szCs w:val="22"/>
              </w:rPr>
            </w:pPr>
            <w:r w:rsidRPr="00F9707F">
              <w:rPr>
                <w:rFonts w:ascii="Calibri" w:hAnsi="Calibri" w:cs="Calibri"/>
                <w:color w:val="000000"/>
                <w:sz w:val="22"/>
                <w:szCs w:val="22"/>
              </w:rPr>
              <w:t> </w:t>
            </w:r>
          </w:p>
        </w:tc>
        <w:tc>
          <w:tcPr>
            <w:tcW w:w="2335" w:type="dxa"/>
            <w:gridSpan w:val="2"/>
            <w:tcBorders>
              <w:top w:val="nil"/>
              <w:left w:val="nil"/>
              <w:bottom w:val="nil"/>
              <w:right w:val="double" w:sz="6" w:space="0" w:color="000000"/>
            </w:tcBorders>
            <w:shd w:val="clear" w:color="auto" w:fill="auto"/>
            <w:vAlign w:val="center"/>
            <w:hideMark/>
          </w:tcPr>
          <w:p w14:paraId="7C8740E1"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Manufactureras</w:t>
            </w:r>
          </w:p>
        </w:tc>
        <w:tc>
          <w:tcPr>
            <w:tcW w:w="1276" w:type="dxa"/>
            <w:shd w:val="clear" w:color="auto" w:fill="auto"/>
            <w:vAlign w:val="center"/>
            <w:hideMark/>
          </w:tcPr>
          <w:p w14:paraId="6BD0F491" w14:textId="77777777" w:rsidR="00143F5D" w:rsidRPr="00F9707F" w:rsidRDefault="00143F5D" w:rsidP="0079757F">
            <w:pPr>
              <w:tabs>
                <w:tab w:val="left" w:pos="1069"/>
              </w:tabs>
              <w:ind w:right="73"/>
              <w:jc w:val="right"/>
              <w:rPr>
                <w:rFonts w:ascii="Arial" w:hAnsi="Arial" w:cs="Arial"/>
                <w:color w:val="000000"/>
                <w:sz w:val="18"/>
                <w:szCs w:val="18"/>
              </w:rPr>
            </w:pPr>
            <w:r>
              <w:rPr>
                <w:rFonts w:ascii="Arial" w:hAnsi="Arial" w:cs="Arial"/>
                <w:bCs/>
                <w:color w:val="000000"/>
                <w:sz w:val="18"/>
                <w:szCs w:val="18"/>
              </w:rPr>
              <w:t>42</w:t>
            </w:r>
            <w:r w:rsidRPr="00F9707F">
              <w:rPr>
                <w:rFonts w:ascii="Arial" w:hAnsi="Arial" w:cs="Arial"/>
                <w:bCs/>
                <w:color w:val="000000"/>
                <w:sz w:val="18"/>
                <w:szCs w:val="18"/>
              </w:rPr>
              <w:t xml:space="preserve"> </w:t>
            </w:r>
            <w:r>
              <w:rPr>
                <w:rFonts w:ascii="Arial" w:hAnsi="Arial" w:cs="Arial"/>
                <w:bCs/>
                <w:color w:val="000000"/>
                <w:sz w:val="18"/>
                <w:szCs w:val="18"/>
              </w:rPr>
              <w:t>903.4</w:t>
            </w:r>
          </w:p>
        </w:tc>
        <w:tc>
          <w:tcPr>
            <w:tcW w:w="1134" w:type="dxa"/>
            <w:tcBorders>
              <w:top w:val="nil"/>
              <w:left w:val="nil"/>
              <w:bottom w:val="nil"/>
              <w:right w:val="double" w:sz="6" w:space="0" w:color="auto"/>
            </w:tcBorders>
            <w:shd w:val="clear" w:color="auto" w:fill="auto"/>
            <w:vAlign w:val="center"/>
            <w:hideMark/>
          </w:tcPr>
          <w:p w14:paraId="4A435031" w14:textId="77777777" w:rsidR="00143F5D" w:rsidRPr="00F9707F" w:rsidRDefault="00143F5D" w:rsidP="0079757F">
            <w:pPr>
              <w:ind w:left="-67" w:right="216"/>
              <w:jc w:val="right"/>
              <w:rPr>
                <w:rFonts w:ascii="Arial" w:hAnsi="Arial" w:cs="Arial"/>
                <w:color w:val="000000"/>
                <w:sz w:val="18"/>
                <w:szCs w:val="18"/>
              </w:rPr>
            </w:pPr>
            <w:r>
              <w:rPr>
                <w:rFonts w:ascii="Arial" w:hAnsi="Arial" w:cs="Arial"/>
                <w:bCs/>
                <w:color w:val="000000"/>
                <w:sz w:val="18"/>
                <w:szCs w:val="18"/>
              </w:rPr>
              <w:t>6.8</w:t>
            </w:r>
          </w:p>
        </w:tc>
        <w:tc>
          <w:tcPr>
            <w:tcW w:w="1559" w:type="dxa"/>
            <w:shd w:val="clear" w:color="auto" w:fill="auto"/>
            <w:vAlign w:val="center"/>
            <w:hideMark/>
          </w:tcPr>
          <w:p w14:paraId="136848D6" w14:textId="77777777" w:rsidR="00143F5D" w:rsidRPr="00F9707F" w:rsidRDefault="00143F5D" w:rsidP="0079757F">
            <w:pPr>
              <w:ind w:right="211"/>
              <w:jc w:val="right"/>
              <w:rPr>
                <w:rFonts w:ascii="Arial" w:hAnsi="Arial" w:cs="Arial"/>
                <w:color w:val="000000"/>
                <w:sz w:val="18"/>
                <w:szCs w:val="18"/>
              </w:rPr>
            </w:pPr>
            <w:r>
              <w:rPr>
                <w:rFonts w:ascii="Arial" w:hAnsi="Arial" w:cs="Arial"/>
                <w:bCs/>
                <w:color w:val="000000"/>
                <w:sz w:val="18"/>
                <w:szCs w:val="18"/>
              </w:rPr>
              <w:t>301 795.9</w:t>
            </w:r>
          </w:p>
        </w:tc>
        <w:tc>
          <w:tcPr>
            <w:tcW w:w="1134" w:type="dxa"/>
            <w:tcBorders>
              <w:top w:val="nil"/>
              <w:left w:val="nil"/>
              <w:bottom w:val="nil"/>
              <w:right w:val="double" w:sz="6" w:space="0" w:color="auto"/>
            </w:tcBorders>
            <w:shd w:val="clear" w:color="auto" w:fill="auto"/>
            <w:vAlign w:val="center"/>
            <w:hideMark/>
          </w:tcPr>
          <w:p w14:paraId="22BEF5D6" w14:textId="77777777" w:rsidR="00143F5D" w:rsidRPr="00F9707F" w:rsidRDefault="00143F5D" w:rsidP="0079757F">
            <w:pPr>
              <w:ind w:left="-71" w:right="209"/>
              <w:jc w:val="right"/>
              <w:rPr>
                <w:rFonts w:ascii="Arial" w:hAnsi="Arial" w:cs="Arial"/>
                <w:color w:val="000000"/>
                <w:sz w:val="18"/>
                <w:szCs w:val="18"/>
              </w:rPr>
            </w:pPr>
            <w:r>
              <w:rPr>
                <w:rFonts w:ascii="Arial" w:hAnsi="Arial" w:cs="Arial"/>
                <w:bCs/>
                <w:color w:val="000000"/>
                <w:sz w:val="18"/>
                <w:szCs w:val="18"/>
              </w:rPr>
              <w:t>6.2</w:t>
            </w:r>
          </w:p>
        </w:tc>
      </w:tr>
      <w:tr w:rsidR="00143F5D" w14:paraId="55757A40" w14:textId="77777777" w:rsidTr="0079757F">
        <w:trPr>
          <w:trHeight w:val="255"/>
          <w:jc w:val="center"/>
        </w:trPr>
        <w:tc>
          <w:tcPr>
            <w:tcW w:w="191" w:type="dxa"/>
            <w:tcBorders>
              <w:left w:val="double" w:sz="6" w:space="0" w:color="000000"/>
            </w:tcBorders>
            <w:shd w:val="clear" w:color="auto" w:fill="auto"/>
            <w:vAlign w:val="center"/>
            <w:hideMark/>
          </w:tcPr>
          <w:p w14:paraId="3148B745"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 </w:t>
            </w:r>
          </w:p>
        </w:tc>
        <w:tc>
          <w:tcPr>
            <w:tcW w:w="190" w:type="dxa"/>
            <w:shd w:val="clear" w:color="auto" w:fill="auto"/>
            <w:noWrap/>
            <w:vAlign w:val="bottom"/>
            <w:hideMark/>
          </w:tcPr>
          <w:p w14:paraId="4DABA503" w14:textId="77777777" w:rsidR="00143F5D" w:rsidRPr="00F9707F" w:rsidRDefault="00143F5D" w:rsidP="0079757F">
            <w:pPr>
              <w:rPr>
                <w:rFonts w:ascii="Calibri" w:hAnsi="Calibri" w:cs="Calibri"/>
                <w:color w:val="000000"/>
                <w:sz w:val="22"/>
                <w:szCs w:val="22"/>
              </w:rPr>
            </w:pPr>
            <w:r w:rsidRPr="00F9707F">
              <w:rPr>
                <w:rFonts w:ascii="Calibri" w:hAnsi="Calibri" w:cs="Calibri"/>
                <w:color w:val="000000"/>
                <w:sz w:val="22"/>
                <w:szCs w:val="22"/>
              </w:rPr>
              <w:t> </w:t>
            </w:r>
          </w:p>
        </w:tc>
        <w:tc>
          <w:tcPr>
            <w:tcW w:w="190" w:type="dxa"/>
            <w:shd w:val="clear" w:color="auto" w:fill="auto"/>
            <w:noWrap/>
            <w:vAlign w:val="bottom"/>
            <w:hideMark/>
          </w:tcPr>
          <w:p w14:paraId="4CE640DA" w14:textId="77777777" w:rsidR="00143F5D" w:rsidRPr="00F9707F" w:rsidRDefault="00143F5D" w:rsidP="0079757F">
            <w:pPr>
              <w:rPr>
                <w:rFonts w:ascii="Calibri" w:hAnsi="Calibri" w:cs="Calibri"/>
                <w:color w:val="000000"/>
                <w:sz w:val="22"/>
                <w:szCs w:val="22"/>
              </w:rPr>
            </w:pPr>
            <w:r w:rsidRPr="00F9707F">
              <w:rPr>
                <w:rFonts w:ascii="Calibri" w:hAnsi="Calibri" w:cs="Calibri"/>
                <w:color w:val="000000"/>
                <w:sz w:val="22"/>
                <w:szCs w:val="22"/>
              </w:rPr>
              <w:t> </w:t>
            </w:r>
          </w:p>
        </w:tc>
        <w:tc>
          <w:tcPr>
            <w:tcW w:w="2145" w:type="dxa"/>
            <w:tcBorders>
              <w:top w:val="nil"/>
              <w:left w:val="nil"/>
              <w:bottom w:val="nil"/>
              <w:right w:val="double" w:sz="6" w:space="0" w:color="auto"/>
            </w:tcBorders>
            <w:shd w:val="clear" w:color="auto" w:fill="auto"/>
            <w:vAlign w:val="center"/>
            <w:hideMark/>
          </w:tcPr>
          <w:p w14:paraId="3852C017"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Automotrices</w:t>
            </w:r>
          </w:p>
        </w:tc>
        <w:tc>
          <w:tcPr>
            <w:tcW w:w="1276" w:type="dxa"/>
            <w:shd w:val="clear" w:color="auto" w:fill="auto"/>
            <w:vAlign w:val="center"/>
            <w:hideMark/>
          </w:tcPr>
          <w:p w14:paraId="59A0047A" w14:textId="77777777" w:rsidR="00143F5D" w:rsidRPr="00F9707F" w:rsidRDefault="00143F5D" w:rsidP="0079757F">
            <w:pPr>
              <w:tabs>
                <w:tab w:val="left" w:pos="1069"/>
              </w:tabs>
              <w:ind w:right="73"/>
              <w:jc w:val="right"/>
              <w:rPr>
                <w:rFonts w:ascii="Arial" w:hAnsi="Arial" w:cs="Arial"/>
                <w:bCs/>
                <w:color w:val="000000"/>
                <w:sz w:val="18"/>
                <w:szCs w:val="18"/>
              </w:rPr>
            </w:pPr>
            <w:r>
              <w:rPr>
                <w:rFonts w:ascii="Arial" w:hAnsi="Arial" w:cs="Arial"/>
                <w:bCs/>
                <w:color w:val="000000"/>
                <w:sz w:val="18"/>
                <w:szCs w:val="18"/>
              </w:rPr>
              <w:t>15</w:t>
            </w:r>
            <w:r w:rsidRPr="00F9707F">
              <w:rPr>
                <w:rFonts w:ascii="Arial" w:hAnsi="Arial" w:cs="Arial"/>
                <w:bCs/>
                <w:color w:val="000000"/>
                <w:sz w:val="18"/>
                <w:szCs w:val="18"/>
              </w:rPr>
              <w:t xml:space="preserve"> </w:t>
            </w:r>
            <w:r>
              <w:rPr>
                <w:rFonts w:ascii="Arial" w:hAnsi="Arial" w:cs="Arial"/>
                <w:bCs/>
                <w:color w:val="000000"/>
                <w:sz w:val="18"/>
                <w:szCs w:val="18"/>
              </w:rPr>
              <w:t>951.4</w:t>
            </w:r>
          </w:p>
        </w:tc>
        <w:tc>
          <w:tcPr>
            <w:tcW w:w="1134" w:type="dxa"/>
            <w:tcBorders>
              <w:top w:val="nil"/>
              <w:left w:val="nil"/>
              <w:bottom w:val="nil"/>
              <w:right w:val="double" w:sz="6" w:space="0" w:color="auto"/>
            </w:tcBorders>
            <w:shd w:val="clear" w:color="auto" w:fill="auto"/>
            <w:vAlign w:val="center"/>
            <w:hideMark/>
          </w:tcPr>
          <w:p w14:paraId="6AD89927" w14:textId="77777777" w:rsidR="00143F5D" w:rsidRPr="00F9707F" w:rsidRDefault="00143F5D" w:rsidP="0079757F">
            <w:pPr>
              <w:ind w:left="-67" w:right="216"/>
              <w:jc w:val="right"/>
              <w:rPr>
                <w:rFonts w:ascii="Arial" w:hAnsi="Arial" w:cs="Arial"/>
                <w:bCs/>
                <w:color w:val="000000"/>
                <w:sz w:val="18"/>
                <w:szCs w:val="18"/>
              </w:rPr>
            </w:pPr>
            <w:r>
              <w:rPr>
                <w:rFonts w:ascii="Arial" w:hAnsi="Arial" w:cs="Arial"/>
                <w:bCs/>
                <w:color w:val="000000"/>
                <w:sz w:val="18"/>
                <w:szCs w:val="18"/>
              </w:rPr>
              <w:t>35.7</w:t>
            </w:r>
          </w:p>
        </w:tc>
        <w:tc>
          <w:tcPr>
            <w:tcW w:w="1559" w:type="dxa"/>
            <w:shd w:val="clear" w:color="auto" w:fill="auto"/>
            <w:vAlign w:val="center"/>
            <w:hideMark/>
          </w:tcPr>
          <w:p w14:paraId="12786F65" w14:textId="77777777" w:rsidR="00143F5D" w:rsidRPr="00F9707F" w:rsidRDefault="00143F5D" w:rsidP="0079757F">
            <w:pPr>
              <w:ind w:right="211"/>
              <w:jc w:val="right"/>
              <w:rPr>
                <w:rFonts w:ascii="Arial" w:hAnsi="Arial" w:cs="Arial"/>
                <w:bCs/>
                <w:color w:val="000000"/>
                <w:sz w:val="18"/>
                <w:szCs w:val="18"/>
              </w:rPr>
            </w:pPr>
            <w:r>
              <w:rPr>
                <w:rFonts w:ascii="Arial" w:hAnsi="Arial" w:cs="Arial"/>
                <w:bCs/>
                <w:color w:val="000000"/>
                <w:sz w:val="18"/>
                <w:szCs w:val="18"/>
              </w:rPr>
              <w:t>105 354.6</w:t>
            </w:r>
          </w:p>
        </w:tc>
        <w:tc>
          <w:tcPr>
            <w:tcW w:w="1134" w:type="dxa"/>
            <w:tcBorders>
              <w:top w:val="nil"/>
              <w:left w:val="nil"/>
              <w:bottom w:val="nil"/>
              <w:right w:val="double" w:sz="6" w:space="0" w:color="auto"/>
            </w:tcBorders>
            <w:shd w:val="clear" w:color="auto" w:fill="auto"/>
            <w:vAlign w:val="center"/>
            <w:hideMark/>
          </w:tcPr>
          <w:p w14:paraId="315643D8" w14:textId="77777777" w:rsidR="00143F5D" w:rsidRPr="00F9707F" w:rsidRDefault="00143F5D" w:rsidP="0079757F">
            <w:pPr>
              <w:ind w:left="-71" w:right="209"/>
              <w:jc w:val="right"/>
              <w:rPr>
                <w:rFonts w:ascii="Arial" w:hAnsi="Arial" w:cs="Arial"/>
                <w:color w:val="000000"/>
                <w:sz w:val="18"/>
                <w:szCs w:val="18"/>
              </w:rPr>
            </w:pPr>
            <w:r>
              <w:rPr>
                <w:rFonts w:ascii="Arial" w:hAnsi="Arial" w:cs="Arial"/>
                <w:bCs/>
                <w:color w:val="000000"/>
                <w:sz w:val="18"/>
                <w:szCs w:val="18"/>
              </w:rPr>
              <w:t>17.0</w:t>
            </w:r>
          </w:p>
        </w:tc>
      </w:tr>
      <w:tr w:rsidR="00143F5D" w14:paraId="13FDC4AA" w14:textId="77777777" w:rsidTr="0079757F">
        <w:trPr>
          <w:trHeight w:val="255"/>
          <w:jc w:val="center"/>
        </w:trPr>
        <w:tc>
          <w:tcPr>
            <w:tcW w:w="191" w:type="dxa"/>
            <w:tcBorders>
              <w:left w:val="double" w:sz="6" w:space="0" w:color="000000"/>
            </w:tcBorders>
            <w:shd w:val="clear" w:color="auto" w:fill="auto"/>
            <w:vAlign w:val="center"/>
            <w:hideMark/>
          </w:tcPr>
          <w:p w14:paraId="16DFDFB7"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 </w:t>
            </w:r>
          </w:p>
        </w:tc>
        <w:tc>
          <w:tcPr>
            <w:tcW w:w="190" w:type="dxa"/>
            <w:shd w:val="clear" w:color="auto" w:fill="auto"/>
            <w:noWrap/>
            <w:vAlign w:val="bottom"/>
            <w:hideMark/>
          </w:tcPr>
          <w:p w14:paraId="259629A0" w14:textId="77777777" w:rsidR="00143F5D" w:rsidRPr="00F9707F" w:rsidRDefault="00143F5D" w:rsidP="0079757F">
            <w:pPr>
              <w:rPr>
                <w:rFonts w:ascii="Calibri" w:hAnsi="Calibri" w:cs="Calibri"/>
                <w:color w:val="000000"/>
                <w:sz w:val="22"/>
                <w:szCs w:val="22"/>
              </w:rPr>
            </w:pPr>
            <w:r w:rsidRPr="00F9707F">
              <w:rPr>
                <w:rFonts w:ascii="Calibri" w:hAnsi="Calibri" w:cs="Calibri"/>
                <w:color w:val="000000"/>
                <w:sz w:val="22"/>
                <w:szCs w:val="22"/>
              </w:rPr>
              <w:t> </w:t>
            </w:r>
          </w:p>
        </w:tc>
        <w:tc>
          <w:tcPr>
            <w:tcW w:w="190" w:type="dxa"/>
            <w:shd w:val="clear" w:color="auto" w:fill="auto"/>
            <w:noWrap/>
            <w:vAlign w:val="bottom"/>
            <w:hideMark/>
          </w:tcPr>
          <w:p w14:paraId="0CC7B72B" w14:textId="77777777" w:rsidR="00143F5D" w:rsidRPr="00F9707F" w:rsidRDefault="00143F5D" w:rsidP="0079757F">
            <w:pPr>
              <w:rPr>
                <w:rFonts w:ascii="Calibri" w:hAnsi="Calibri" w:cs="Calibri"/>
                <w:color w:val="000000"/>
                <w:sz w:val="22"/>
                <w:szCs w:val="22"/>
              </w:rPr>
            </w:pPr>
            <w:r w:rsidRPr="00F9707F">
              <w:rPr>
                <w:rFonts w:ascii="Calibri" w:hAnsi="Calibri" w:cs="Calibri"/>
                <w:color w:val="000000"/>
                <w:sz w:val="22"/>
                <w:szCs w:val="22"/>
              </w:rPr>
              <w:t> </w:t>
            </w:r>
          </w:p>
        </w:tc>
        <w:tc>
          <w:tcPr>
            <w:tcW w:w="2145" w:type="dxa"/>
            <w:tcBorders>
              <w:top w:val="nil"/>
              <w:left w:val="nil"/>
              <w:bottom w:val="nil"/>
              <w:right w:val="double" w:sz="6" w:space="0" w:color="auto"/>
            </w:tcBorders>
            <w:shd w:val="clear" w:color="auto" w:fill="auto"/>
            <w:vAlign w:val="center"/>
            <w:hideMark/>
          </w:tcPr>
          <w:p w14:paraId="64CAB081"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No automotrices</w:t>
            </w:r>
          </w:p>
        </w:tc>
        <w:tc>
          <w:tcPr>
            <w:tcW w:w="1276" w:type="dxa"/>
            <w:shd w:val="clear" w:color="auto" w:fill="auto"/>
            <w:vAlign w:val="center"/>
            <w:hideMark/>
          </w:tcPr>
          <w:p w14:paraId="4EE2346E" w14:textId="77777777" w:rsidR="00143F5D" w:rsidRPr="00F9707F" w:rsidRDefault="00143F5D" w:rsidP="0079757F">
            <w:pPr>
              <w:tabs>
                <w:tab w:val="left" w:pos="1069"/>
              </w:tabs>
              <w:ind w:right="73"/>
              <w:jc w:val="right"/>
              <w:rPr>
                <w:rFonts w:ascii="Arial" w:hAnsi="Arial" w:cs="Arial"/>
                <w:bCs/>
                <w:color w:val="000000"/>
                <w:sz w:val="18"/>
                <w:szCs w:val="18"/>
              </w:rPr>
            </w:pPr>
            <w:r>
              <w:rPr>
                <w:rFonts w:ascii="Arial" w:hAnsi="Arial" w:cs="Arial"/>
                <w:bCs/>
                <w:color w:val="000000"/>
                <w:sz w:val="18"/>
                <w:szCs w:val="18"/>
              </w:rPr>
              <w:t>26</w:t>
            </w:r>
            <w:r w:rsidRPr="00F9707F">
              <w:rPr>
                <w:rFonts w:ascii="Arial" w:hAnsi="Arial" w:cs="Arial"/>
                <w:bCs/>
                <w:color w:val="000000"/>
                <w:sz w:val="18"/>
                <w:szCs w:val="18"/>
              </w:rPr>
              <w:t xml:space="preserve"> </w:t>
            </w:r>
            <w:r>
              <w:rPr>
                <w:rFonts w:ascii="Arial" w:hAnsi="Arial" w:cs="Arial"/>
                <w:bCs/>
                <w:color w:val="000000"/>
                <w:sz w:val="18"/>
                <w:szCs w:val="18"/>
              </w:rPr>
              <w:t>951.9</w:t>
            </w:r>
          </w:p>
        </w:tc>
        <w:tc>
          <w:tcPr>
            <w:tcW w:w="1134" w:type="dxa"/>
            <w:tcBorders>
              <w:top w:val="nil"/>
              <w:left w:val="nil"/>
              <w:bottom w:val="nil"/>
              <w:right w:val="double" w:sz="6" w:space="0" w:color="auto"/>
            </w:tcBorders>
            <w:shd w:val="clear" w:color="auto" w:fill="auto"/>
            <w:vAlign w:val="center"/>
            <w:hideMark/>
          </w:tcPr>
          <w:p w14:paraId="57024B8F" w14:textId="77777777" w:rsidR="00143F5D" w:rsidRPr="00F9707F" w:rsidRDefault="00143F5D" w:rsidP="0079757F">
            <w:pPr>
              <w:ind w:left="-67" w:right="216"/>
              <w:jc w:val="right"/>
              <w:rPr>
                <w:rFonts w:ascii="Arial" w:hAnsi="Arial" w:cs="Arial"/>
                <w:bCs/>
                <w:color w:val="000000"/>
                <w:sz w:val="18"/>
                <w:szCs w:val="18"/>
              </w:rPr>
            </w:pPr>
            <w:r>
              <w:rPr>
                <w:rFonts w:ascii="Arial" w:hAnsi="Arial" w:cs="Arial"/>
                <w:bCs/>
                <w:color w:val="000000"/>
                <w:sz w:val="18"/>
                <w:szCs w:val="18"/>
              </w:rPr>
              <w:t>-5.2</w:t>
            </w:r>
          </w:p>
        </w:tc>
        <w:tc>
          <w:tcPr>
            <w:tcW w:w="1559" w:type="dxa"/>
            <w:shd w:val="clear" w:color="auto" w:fill="auto"/>
            <w:vAlign w:val="center"/>
            <w:hideMark/>
          </w:tcPr>
          <w:p w14:paraId="0E19807F" w14:textId="77777777" w:rsidR="00143F5D" w:rsidRPr="00F9707F" w:rsidRDefault="00143F5D" w:rsidP="0079757F">
            <w:pPr>
              <w:ind w:right="211"/>
              <w:jc w:val="right"/>
              <w:rPr>
                <w:rFonts w:ascii="Arial" w:hAnsi="Arial" w:cs="Arial"/>
                <w:bCs/>
                <w:color w:val="000000"/>
                <w:sz w:val="18"/>
                <w:szCs w:val="18"/>
              </w:rPr>
            </w:pPr>
            <w:r>
              <w:rPr>
                <w:rFonts w:ascii="Arial" w:hAnsi="Arial" w:cs="Arial"/>
                <w:bCs/>
                <w:color w:val="000000"/>
                <w:sz w:val="18"/>
                <w:szCs w:val="18"/>
              </w:rPr>
              <w:t>196 441.3</w:t>
            </w:r>
          </w:p>
        </w:tc>
        <w:tc>
          <w:tcPr>
            <w:tcW w:w="1134" w:type="dxa"/>
            <w:tcBorders>
              <w:top w:val="nil"/>
              <w:left w:val="nil"/>
              <w:bottom w:val="nil"/>
              <w:right w:val="double" w:sz="6" w:space="0" w:color="auto"/>
            </w:tcBorders>
            <w:shd w:val="clear" w:color="auto" w:fill="auto"/>
            <w:vAlign w:val="center"/>
            <w:hideMark/>
          </w:tcPr>
          <w:p w14:paraId="03634FEC" w14:textId="77777777" w:rsidR="00143F5D" w:rsidRPr="00F9707F" w:rsidRDefault="00143F5D" w:rsidP="0079757F">
            <w:pPr>
              <w:ind w:left="-71" w:right="209"/>
              <w:jc w:val="right"/>
              <w:rPr>
                <w:rFonts w:ascii="Arial" w:hAnsi="Arial" w:cs="Arial"/>
                <w:color w:val="000000"/>
                <w:sz w:val="18"/>
                <w:szCs w:val="18"/>
              </w:rPr>
            </w:pPr>
            <w:r>
              <w:rPr>
                <w:rFonts w:ascii="Arial" w:hAnsi="Arial" w:cs="Arial"/>
                <w:bCs/>
                <w:color w:val="000000"/>
                <w:sz w:val="18"/>
                <w:szCs w:val="18"/>
              </w:rPr>
              <w:t>1.2</w:t>
            </w:r>
          </w:p>
        </w:tc>
      </w:tr>
      <w:tr w:rsidR="00143F5D" w14:paraId="29919273" w14:textId="77777777" w:rsidTr="0079757F">
        <w:trPr>
          <w:trHeight w:val="255"/>
          <w:jc w:val="center"/>
        </w:trPr>
        <w:tc>
          <w:tcPr>
            <w:tcW w:w="2716" w:type="dxa"/>
            <w:gridSpan w:val="4"/>
            <w:tcBorders>
              <w:top w:val="nil"/>
              <w:left w:val="double" w:sz="6" w:space="0" w:color="000000"/>
              <w:bottom w:val="nil"/>
              <w:right w:val="double" w:sz="6" w:space="0" w:color="000000"/>
            </w:tcBorders>
            <w:shd w:val="clear" w:color="auto" w:fill="auto"/>
            <w:noWrap/>
            <w:vAlign w:val="center"/>
            <w:hideMark/>
          </w:tcPr>
          <w:p w14:paraId="096E5C84" w14:textId="77777777" w:rsidR="00143F5D" w:rsidRPr="00C24D4B" w:rsidRDefault="00143F5D" w:rsidP="0079757F">
            <w:pPr>
              <w:rPr>
                <w:rFonts w:ascii="Arial" w:hAnsi="Arial" w:cs="Arial"/>
                <w:b/>
                <w:bCs/>
                <w:color w:val="000000"/>
                <w:sz w:val="18"/>
                <w:szCs w:val="18"/>
              </w:rPr>
            </w:pPr>
            <w:r w:rsidRPr="00C24D4B">
              <w:rPr>
                <w:rFonts w:ascii="Arial" w:hAnsi="Arial" w:cs="Arial"/>
                <w:b/>
                <w:bCs/>
                <w:color w:val="000000"/>
                <w:sz w:val="18"/>
                <w:szCs w:val="18"/>
              </w:rPr>
              <w:t xml:space="preserve">Importaciones totales </w:t>
            </w:r>
          </w:p>
        </w:tc>
        <w:tc>
          <w:tcPr>
            <w:tcW w:w="1276" w:type="dxa"/>
            <w:shd w:val="clear" w:color="auto" w:fill="auto"/>
            <w:vAlign w:val="center"/>
            <w:hideMark/>
          </w:tcPr>
          <w:p w14:paraId="69DFF49D" w14:textId="77777777" w:rsidR="00143F5D" w:rsidRPr="00C24D4B" w:rsidRDefault="00143F5D" w:rsidP="0079757F">
            <w:pPr>
              <w:tabs>
                <w:tab w:val="left" w:pos="1069"/>
              </w:tabs>
              <w:ind w:right="73"/>
              <w:jc w:val="right"/>
              <w:rPr>
                <w:rFonts w:ascii="Arial" w:hAnsi="Arial" w:cs="Arial"/>
                <w:b/>
                <w:color w:val="000000"/>
                <w:sz w:val="18"/>
                <w:szCs w:val="18"/>
              </w:rPr>
            </w:pPr>
            <w:r>
              <w:rPr>
                <w:rFonts w:ascii="Arial" w:hAnsi="Arial" w:cs="Arial"/>
                <w:b/>
                <w:color w:val="000000"/>
                <w:sz w:val="18"/>
                <w:szCs w:val="18"/>
              </w:rPr>
              <w:t>48</w:t>
            </w:r>
            <w:r w:rsidRPr="00C24D4B">
              <w:rPr>
                <w:rFonts w:ascii="Arial" w:hAnsi="Arial" w:cs="Arial"/>
                <w:b/>
                <w:color w:val="000000"/>
                <w:sz w:val="18"/>
                <w:szCs w:val="18"/>
              </w:rPr>
              <w:t xml:space="preserve"> </w:t>
            </w:r>
            <w:r>
              <w:rPr>
                <w:rFonts w:ascii="Arial" w:hAnsi="Arial" w:cs="Arial"/>
                <w:b/>
                <w:color w:val="000000"/>
                <w:sz w:val="18"/>
                <w:szCs w:val="18"/>
              </w:rPr>
              <w:t>431.6</w:t>
            </w:r>
          </w:p>
        </w:tc>
        <w:tc>
          <w:tcPr>
            <w:tcW w:w="1134" w:type="dxa"/>
            <w:tcBorders>
              <w:top w:val="nil"/>
              <w:left w:val="nil"/>
              <w:bottom w:val="nil"/>
              <w:right w:val="double" w:sz="6" w:space="0" w:color="000000"/>
            </w:tcBorders>
            <w:shd w:val="clear" w:color="auto" w:fill="auto"/>
            <w:vAlign w:val="center"/>
            <w:hideMark/>
          </w:tcPr>
          <w:p w14:paraId="4FB821DF" w14:textId="77777777" w:rsidR="00143F5D" w:rsidRPr="00C24D4B" w:rsidRDefault="00143F5D" w:rsidP="0079757F">
            <w:pPr>
              <w:ind w:left="-67" w:right="216"/>
              <w:jc w:val="right"/>
              <w:rPr>
                <w:rFonts w:ascii="Arial" w:hAnsi="Arial" w:cs="Arial"/>
                <w:b/>
                <w:color w:val="000000"/>
                <w:sz w:val="18"/>
                <w:szCs w:val="18"/>
              </w:rPr>
            </w:pPr>
            <w:r>
              <w:rPr>
                <w:rFonts w:ascii="Arial" w:hAnsi="Arial" w:cs="Arial"/>
                <w:b/>
                <w:color w:val="000000"/>
                <w:sz w:val="18"/>
                <w:szCs w:val="18"/>
              </w:rPr>
              <w:t>-7.7</w:t>
            </w:r>
          </w:p>
        </w:tc>
        <w:tc>
          <w:tcPr>
            <w:tcW w:w="1559" w:type="dxa"/>
            <w:shd w:val="clear" w:color="auto" w:fill="auto"/>
            <w:vAlign w:val="center"/>
            <w:hideMark/>
          </w:tcPr>
          <w:p w14:paraId="65F844FF" w14:textId="77777777" w:rsidR="00143F5D" w:rsidRPr="00C24D4B" w:rsidRDefault="00143F5D" w:rsidP="0079757F">
            <w:pPr>
              <w:ind w:right="211"/>
              <w:jc w:val="right"/>
              <w:rPr>
                <w:rFonts w:ascii="Arial" w:hAnsi="Arial" w:cs="Arial"/>
                <w:b/>
                <w:color w:val="000000"/>
                <w:sz w:val="18"/>
                <w:szCs w:val="18"/>
              </w:rPr>
            </w:pPr>
            <w:r>
              <w:rPr>
                <w:rFonts w:ascii="Arial" w:hAnsi="Arial" w:cs="Arial"/>
                <w:b/>
                <w:color w:val="000000"/>
                <w:sz w:val="18"/>
                <w:szCs w:val="18"/>
              </w:rPr>
              <w:t>346</w:t>
            </w:r>
            <w:r w:rsidRPr="00C24D4B">
              <w:rPr>
                <w:rFonts w:ascii="Arial" w:hAnsi="Arial" w:cs="Arial"/>
                <w:b/>
                <w:color w:val="000000"/>
                <w:sz w:val="18"/>
                <w:szCs w:val="18"/>
              </w:rPr>
              <w:t xml:space="preserve"> </w:t>
            </w:r>
            <w:r>
              <w:rPr>
                <w:rFonts w:ascii="Arial" w:hAnsi="Arial" w:cs="Arial"/>
                <w:b/>
                <w:color w:val="000000"/>
                <w:sz w:val="18"/>
                <w:szCs w:val="18"/>
              </w:rPr>
              <w:t>744.0</w:t>
            </w:r>
          </w:p>
        </w:tc>
        <w:tc>
          <w:tcPr>
            <w:tcW w:w="1134" w:type="dxa"/>
            <w:tcBorders>
              <w:top w:val="nil"/>
              <w:left w:val="nil"/>
              <w:bottom w:val="nil"/>
              <w:right w:val="double" w:sz="6" w:space="0" w:color="000000"/>
            </w:tcBorders>
            <w:shd w:val="clear" w:color="auto" w:fill="auto"/>
            <w:vAlign w:val="center"/>
            <w:hideMark/>
          </w:tcPr>
          <w:p w14:paraId="007BD471" w14:textId="77777777" w:rsidR="00143F5D" w:rsidRPr="00C24D4B" w:rsidRDefault="00143F5D" w:rsidP="0079757F">
            <w:pPr>
              <w:ind w:left="-71" w:right="209"/>
              <w:jc w:val="right"/>
              <w:rPr>
                <w:rFonts w:ascii="Arial" w:hAnsi="Arial" w:cs="Arial"/>
                <w:b/>
                <w:bCs/>
                <w:color w:val="000000"/>
                <w:sz w:val="18"/>
                <w:szCs w:val="18"/>
              </w:rPr>
            </w:pPr>
            <w:r>
              <w:rPr>
                <w:rFonts w:ascii="Arial" w:hAnsi="Arial" w:cs="Arial"/>
                <w:b/>
                <w:bCs/>
                <w:color w:val="000000"/>
                <w:sz w:val="18"/>
                <w:szCs w:val="18"/>
              </w:rPr>
              <w:t>0.2</w:t>
            </w:r>
          </w:p>
        </w:tc>
      </w:tr>
      <w:tr w:rsidR="00143F5D" w14:paraId="6FFF01FC" w14:textId="77777777" w:rsidTr="0079757F">
        <w:trPr>
          <w:trHeight w:val="255"/>
          <w:jc w:val="center"/>
        </w:trPr>
        <w:tc>
          <w:tcPr>
            <w:tcW w:w="191" w:type="dxa"/>
            <w:tcBorders>
              <w:left w:val="double" w:sz="6" w:space="0" w:color="000000"/>
            </w:tcBorders>
            <w:shd w:val="clear" w:color="auto" w:fill="auto"/>
            <w:vAlign w:val="center"/>
            <w:hideMark/>
          </w:tcPr>
          <w:p w14:paraId="50ABFD60"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 </w:t>
            </w:r>
          </w:p>
        </w:tc>
        <w:tc>
          <w:tcPr>
            <w:tcW w:w="2525" w:type="dxa"/>
            <w:gridSpan w:val="3"/>
            <w:tcBorders>
              <w:top w:val="nil"/>
              <w:left w:val="nil"/>
              <w:bottom w:val="nil"/>
              <w:right w:val="double" w:sz="6" w:space="0" w:color="000000"/>
            </w:tcBorders>
            <w:shd w:val="clear" w:color="auto" w:fill="auto"/>
            <w:noWrap/>
            <w:vAlign w:val="center"/>
            <w:hideMark/>
          </w:tcPr>
          <w:p w14:paraId="712428AC"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Petroleras</w:t>
            </w:r>
          </w:p>
        </w:tc>
        <w:tc>
          <w:tcPr>
            <w:tcW w:w="1276" w:type="dxa"/>
            <w:shd w:val="clear" w:color="auto" w:fill="auto"/>
            <w:vAlign w:val="center"/>
            <w:hideMark/>
          </w:tcPr>
          <w:p w14:paraId="13393A16" w14:textId="77777777" w:rsidR="00143F5D" w:rsidRPr="00F9707F" w:rsidRDefault="00143F5D" w:rsidP="0079757F">
            <w:pPr>
              <w:tabs>
                <w:tab w:val="left" w:pos="1069"/>
              </w:tabs>
              <w:ind w:right="73"/>
              <w:jc w:val="right"/>
              <w:rPr>
                <w:rFonts w:ascii="Arial" w:hAnsi="Arial" w:cs="Arial"/>
                <w:bCs/>
                <w:color w:val="000000"/>
                <w:sz w:val="18"/>
                <w:szCs w:val="18"/>
              </w:rPr>
            </w:pPr>
            <w:r>
              <w:rPr>
                <w:rFonts w:ascii="Arial" w:hAnsi="Arial" w:cs="Arial"/>
                <w:bCs/>
                <w:color w:val="000000"/>
                <w:sz w:val="18"/>
                <w:szCs w:val="18"/>
              </w:rPr>
              <w:t>4 027.9</w:t>
            </w:r>
          </w:p>
        </w:tc>
        <w:tc>
          <w:tcPr>
            <w:tcW w:w="1134" w:type="dxa"/>
            <w:tcBorders>
              <w:top w:val="nil"/>
              <w:left w:val="nil"/>
              <w:bottom w:val="nil"/>
              <w:right w:val="double" w:sz="6" w:space="0" w:color="auto"/>
            </w:tcBorders>
            <w:shd w:val="clear" w:color="auto" w:fill="auto"/>
            <w:vAlign w:val="center"/>
            <w:hideMark/>
          </w:tcPr>
          <w:p w14:paraId="15760B2D" w14:textId="77777777" w:rsidR="00143F5D" w:rsidRPr="00F9707F" w:rsidRDefault="00143F5D" w:rsidP="0079757F">
            <w:pPr>
              <w:ind w:left="-67" w:right="216"/>
              <w:jc w:val="right"/>
              <w:rPr>
                <w:rFonts w:ascii="Arial" w:hAnsi="Arial" w:cs="Arial"/>
                <w:bCs/>
                <w:color w:val="000000"/>
                <w:sz w:val="18"/>
                <w:szCs w:val="18"/>
              </w:rPr>
            </w:pPr>
            <w:r>
              <w:rPr>
                <w:rFonts w:ascii="Arial" w:hAnsi="Arial" w:cs="Arial"/>
                <w:bCs/>
                <w:color w:val="000000"/>
                <w:sz w:val="18"/>
                <w:szCs w:val="18"/>
              </w:rPr>
              <w:t>-50.8</w:t>
            </w:r>
          </w:p>
        </w:tc>
        <w:tc>
          <w:tcPr>
            <w:tcW w:w="1559" w:type="dxa"/>
            <w:shd w:val="clear" w:color="auto" w:fill="auto"/>
            <w:vAlign w:val="center"/>
            <w:hideMark/>
          </w:tcPr>
          <w:p w14:paraId="6C978520" w14:textId="77777777" w:rsidR="00143F5D" w:rsidRPr="00F9707F" w:rsidRDefault="00143F5D" w:rsidP="0079757F">
            <w:pPr>
              <w:ind w:right="211"/>
              <w:jc w:val="right"/>
              <w:rPr>
                <w:rFonts w:ascii="Arial" w:hAnsi="Arial" w:cs="Arial"/>
                <w:bCs/>
                <w:color w:val="000000"/>
                <w:sz w:val="18"/>
                <w:szCs w:val="18"/>
              </w:rPr>
            </w:pPr>
            <w:r>
              <w:rPr>
                <w:rFonts w:ascii="Arial" w:hAnsi="Arial" w:cs="Arial"/>
                <w:bCs/>
                <w:color w:val="000000"/>
                <w:sz w:val="18"/>
                <w:szCs w:val="18"/>
              </w:rPr>
              <w:t>32 144.0</w:t>
            </w:r>
          </w:p>
        </w:tc>
        <w:tc>
          <w:tcPr>
            <w:tcW w:w="1134" w:type="dxa"/>
            <w:tcBorders>
              <w:top w:val="nil"/>
              <w:left w:val="nil"/>
              <w:bottom w:val="nil"/>
              <w:right w:val="double" w:sz="6" w:space="0" w:color="auto"/>
            </w:tcBorders>
            <w:shd w:val="clear" w:color="auto" w:fill="auto"/>
            <w:vAlign w:val="center"/>
            <w:hideMark/>
          </w:tcPr>
          <w:p w14:paraId="0BDB1D48" w14:textId="77777777" w:rsidR="00143F5D" w:rsidRPr="00F9707F" w:rsidRDefault="00143F5D" w:rsidP="0079757F">
            <w:pPr>
              <w:ind w:left="-71" w:right="209"/>
              <w:jc w:val="right"/>
              <w:rPr>
                <w:rFonts w:ascii="Arial" w:hAnsi="Arial" w:cs="Arial"/>
                <w:color w:val="000000"/>
                <w:sz w:val="18"/>
                <w:szCs w:val="18"/>
              </w:rPr>
            </w:pPr>
            <w:r>
              <w:rPr>
                <w:rFonts w:ascii="Arial" w:hAnsi="Arial" w:cs="Arial"/>
                <w:bCs/>
                <w:color w:val="000000"/>
                <w:sz w:val="18"/>
                <w:szCs w:val="18"/>
              </w:rPr>
              <w:t>-28.1</w:t>
            </w:r>
          </w:p>
        </w:tc>
      </w:tr>
      <w:tr w:rsidR="00143F5D" w14:paraId="58B475F1" w14:textId="77777777" w:rsidTr="0079757F">
        <w:trPr>
          <w:trHeight w:val="255"/>
          <w:jc w:val="center"/>
        </w:trPr>
        <w:tc>
          <w:tcPr>
            <w:tcW w:w="191" w:type="dxa"/>
            <w:tcBorders>
              <w:left w:val="double" w:sz="6" w:space="0" w:color="000000"/>
            </w:tcBorders>
            <w:shd w:val="clear" w:color="auto" w:fill="auto"/>
            <w:vAlign w:val="center"/>
            <w:hideMark/>
          </w:tcPr>
          <w:p w14:paraId="24FC0E8B"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 </w:t>
            </w:r>
          </w:p>
        </w:tc>
        <w:tc>
          <w:tcPr>
            <w:tcW w:w="2525" w:type="dxa"/>
            <w:gridSpan w:val="3"/>
            <w:tcBorders>
              <w:top w:val="nil"/>
              <w:left w:val="nil"/>
              <w:bottom w:val="nil"/>
              <w:right w:val="double" w:sz="6" w:space="0" w:color="000000"/>
            </w:tcBorders>
            <w:shd w:val="clear" w:color="auto" w:fill="auto"/>
            <w:noWrap/>
            <w:vAlign w:val="center"/>
            <w:hideMark/>
          </w:tcPr>
          <w:p w14:paraId="74C6B6D8"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No petroleras</w:t>
            </w:r>
          </w:p>
        </w:tc>
        <w:tc>
          <w:tcPr>
            <w:tcW w:w="1276" w:type="dxa"/>
            <w:shd w:val="clear" w:color="auto" w:fill="auto"/>
            <w:vAlign w:val="center"/>
            <w:hideMark/>
          </w:tcPr>
          <w:p w14:paraId="06618032" w14:textId="77777777" w:rsidR="00143F5D" w:rsidRPr="00F9707F" w:rsidRDefault="00143F5D" w:rsidP="0079757F">
            <w:pPr>
              <w:tabs>
                <w:tab w:val="left" w:pos="1069"/>
              </w:tabs>
              <w:ind w:right="73"/>
              <w:jc w:val="right"/>
              <w:rPr>
                <w:rFonts w:ascii="Arial" w:hAnsi="Arial" w:cs="Arial"/>
                <w:bCs/>
                <w:color w:val="000000"/>
                <w:sz w:val="18"/>
                <w:szCs w:val="18"/>
              </w:rPr>
            </w:pPr>
            <w:r>
              <w:rPr>
                <w:rFonts w:ascii="Arial" w:hAnsi="Arial" w:cs="Arial"/>
                <w:bCs/>
                <w:color w:val="000000"/>
                <w:sz w:val="18"/>
                <w:szCs w:val="18"/>
              </w:rPr>
              <w:t>44 403.7</w:t>
            </w:r>
          </w:p>
        </w:tc>
        <w:tc>
          <w:tcPr>
            <w:tcW w:w="1134" w:type="dxa"/>
            <w:tcBorders>
              <w:top w:val="nil"/>
              <w:left w:val="nil"/>
              <w:bottom w:val="nil"/>
              <w:right w:val="double" w:sz="6" w:space="0" w:color="auto"/>
            </w:tcBorders>
            <w:shd w:val="clear" w:color="auto" w:fill="auto"/>
            <w:vAlign w:val="center"/>
            <w:hideMark/>
          </w:tcPr>
          <w:p w14:paraId="657FBE3A" w14:textId="77777777" w:rsidR="00143F5D" w:rsidRPr="00F9707F" w:rsidRDefault="00143F5D" w:rsidP="0079757F">
            <w:pPr>
              <w:ind w:left="-67" w:right="216"/>
              <w:jc w:val="right"/>
              <w:rPr>
                <w:rFonts w:ascii="Arial" w:hAnsi="Arial" w:cs="Arial"/>
                <w:bCs/>
                <w:color w:val="000000"/>
                <w:sz w:val="18"/>
                <w:szCs w:val="18"/>
              </w:rPr>
            </w:pPr>
            <w:r>
              <w:rPr>
                <w:rFonts w:ascii="Arial" w:hAnsi="Arial" w:cs="Arial"/>
                <w:bCs/>
                <w:color w:val="000000"/>
                <w:sz w:val="18"/>
                <w:szCs w:val="18"/>
              </w:rPr>
              <w:t>0.3</w:t>
            </w:r>
          </w:p>
        </w:tc>
        <w:tc>
          <w:tcPr>
            <w:tcW w:w="1559" w:type="dxa"/>
            <w:shd w:val="clear" w:color="auto" w:fill="auto"/>
            <w:vAlign w:val="center"/>
            <w:hideMark/>
          </w:tcPr>
          <w:p w14:paraId="70B19C85" w14:textId="77777777" w:rsidR="00143F5D" w:rsidRPr="00F9707F" w:rsidRDefault="00143F5D" w:rsidP="0079757F">
            <w:pPr>
              <w:ind w:right="211"/>
              <w:jc w:val="right"/>
              <w:rPr>
                <w:rFonts w:ascii="Arial" w:hAnsi="Arial" w:cs="Arial"/>
                <w:bCs/>
                <w:color w:val="000000"/>
                <w:sz w:val="18"/>
                <w:szCs w:val="18"/>
              </w:rPr>
            </w:pPr>
            <w:r>
              <w:rPr>
                <w:rFonts w:ascii="Arial" w:hAnsi="Arial" w:cs="Arial"/>
                <w:bCs/>
                <w:color w:val="000000"/>
                <w:sz w:val="18"/>
                <w:szCs w:val="18"/>
              </w:rPr>
              <w:t>314 600.0</w:t>
            </w:r>
          </w:p>
        </w:tc>
        <w:tc>
          <w:tcPr>
            <w:tcW w:w="1134" w:type="dxa"/>
            <w:tcBorders>
              <w:top w:val="nil"/>
              <w:left w:val="nil"/>
              <w:bottom w:val="nil"/>
              <w:right w:val="double" w:sz="6" w:space="0" w:color="auto"/>
            </w:tcBorders>
            <w:shd w:val="clear" w:color="auto" w:fill="auto"/>
            <w:vAlign w:val="center"/>
            <w:hideMark/>
          </w:tcPr>
          <w:p w14:paraId="68CE9845" w14:textId="77777777" w:rsidR="00143F5D" w:rsidRPr="00F9707F" w:rsidRDefault="00143F5D" w:rsidP="0079757F">
            <w:pPr>
              <w:ind w:left="-71" w:right="209"/>
              <w:jc w:val="right"/>
              <w:rPr>
                <w:rFonts w:ascii="Arial" w:hAnsi="Arial" w:cs="Arial"/>
                <w:color w:val="000000"/>
                <w:sz w:val="18"/>
                <w:szCs w:val="18"/>
              </w:rPr>
            </w:pPr>
            <w:r>
              <w:rPr>
                <w:rFonts w:ascii="Arial" w:hAnsi="Arial" w:cs="Arial"/>
                <w:bCs/>
                <w:color w:val="000000"/>
                <w:sz w:val="18"/>
                <w:szCs w:val="18"/>
              </w:rPr>
              <w:t>4.4</w:t>
            </w:r>
          </w:p>
        </w:tc>
      </w:tr>
      <w:tr w:rsidR="00143F5D" w14:paraId="74624933" w14:textId="77777777" w:rsidTr="0079757F">
        <w:trPr>
          <w:trHeight w:val="255"/>
          <w:jc w:val="center"/>
        </w:trPr>
        <w:tc>
          <w:tcPr>
            <w:tcW w:w="191" w:type="dxa"/>
            <w:tcBorders>
              <w:left w:val="double" w:sz="6" w:space="0" w:color="000000"/>
            </w:tcBorders>
            <w:shd w:val="clear" w:color="auto" w:fill="auto"/>
            <w:vAlign w:val="center"/>
            <w:hideMark/>
          </w:tcPr>
          <w:p w14:paraId="1E1D8774"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 </w:t>
            </w:r>
          </w:p>
        </w:tc>
        <w:tc>
          <w:tcPr>
            <w:tcW w:w="2525" w:type="dxa"/>
            <w:gridSpan w:val="3"/>
            <w:tcBorders>
              <w:top w:val="nil"/>
              <w:left w:val="nil"/>
              <w:bottom w:val="nil"/>
              <w:right w:val="double" w:sz="6" w:space="0" w:color="000000"/>
            </w:tcBorders>
            <w:shd w:val="clear" w:color="auto" w:fill="auto"/>
            <w:noWrap/>
            <w:vAlign w:val="center"/>
            <w:hideMark/>
          </w:tcPr>
          <w:p w14:paraId="6DE22C01"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Bienes de consumo</w:t>
            </w:r>
          </w:p>
        </w:tc>
        <w:tc>
          <w:tcPr>
            <w:tcW w:w="1276" w:type="dxa"/>
            <w:shd w:val="clear" w:color="auto" w:fill="auto"/>
            <w:vAlign w:val="center"/>
            <w:hideMark/>
          </w:tcPr>
          <w:p w14:paraId="18BF0B6A" w14:textId="77777777" w:rsidR="00143F5D" w:rsidRPr="00F9707F" w:rsidRDefault="00143F5D" w:rsidP="0079757F">
            <w:pPr>
              <w:tabs>
                <w:tab w:val="left" w:pos="1069"/>
              </w:tabs>
              <w:ind w:right="73"/>
              <w:jc w:val="right"/>
              <w:rPr>
                <w:rFonts w:ascii="Arial" w:hAnsi="Arial" w:cs="Arial"/>
                <w:bCs/>
                <w:color w:val="000000"/>
                <w:sz w:val="18"/>
                <w:szCs w:val="18"/>
              </w:rPr>
            </w:pPr>
            <w:r>
              <w:rPr>
                <w:rFonts w:ascii="Arial" w:hAnsi="Arial" w:cs="Arial"/>
                <w:bCs/>
                <w:color w:val="000000"/>
                <w:sz w:val="18"/>
                <w:szCs w:val="18"/>
              </w:rPr>
              <w:t>6</w:t>
            </w:r>
            <w:r w:rsidRPr="00F9707F">
              <w:rPr>
                <w:rFonts w:ascii="Arial" w:hAnsi="Arial" w:cs="Arial"/>
                <w:bCs/>
                <w:color w:val="000000"/>
                <w:sz w:val="18"/>
                <w:szCs w:val="18"/>
              </w:rPr>
              <w:t xml:space="preserve"> </w:t>
            </w:r>
            <w:r>
              <w:rPr>
                <w:rFonts w:ascii="Arial" w:hAnsi="Arial" w:cs="Arial"/>
                <w:bCs/>
                <w:color w:val="000000"/>
                <w:sz w:val="18"/>
                <w:szCs w:val="18"/>
              </w:rPr>
              <w:t>857.6</w:t>
            </w:r>
          </w:p>
        </w:tc>
        <w:tc>
          <w:tcPr>
            <w:tcW w:w="1134" w:type="dxa"/>
            <w:tcBorders>
              <w:top w:val="nil"/>
              <w:left w:val="nil"/>
              <w:bottom w:val="nil"/>
              <w:right w:val="double" w:sz="6" w:space="0" w:color="auto"/>
            </w:tcBorders>
            <w:shd w:val="clear" w:color="auto" w:fill="auto"/>
            <w:vAlign w:val="center"/>
            <w:hideMark/>
          </w:tcPr>
          <w:p w14:paraId="7425AE75" w14:textId="77777777" w:rsidR="00143F5D" w:rsidRPr="00F9707F" w:rsidRDefault="00143F5D" w:rsidP="0079757F">
            <w:pPr>
              <w:ind w:left="-67" w:right="216"/>
              <w:jc w:val="right"/>
              <w:rPr>
                <w:rFonts w:ascii="Arial" w:hAnsi="Arial" w:cs="Arial"/>
                <w:bCs/>
                <w:color w:val="000000"/>
                <w:sz w:val="18"/>
                <w:szCs w:val="18"/>
              </w:rPr>
            </w:pPr>
            <w:r>
              <w:rPr>
                <w:rFonts w:ascii="Arial" w:hAnsi="Arial" w:cs="Arial"/>
                <w:bCs/>
                <w:color w:val="000000"/>
                <w:sz w:val="18"/>
                <w:szCs w:val="18"/>
              </w:rPr>
              <w:t>-9.1</w:t>
            </w:r>
          </w:p>
        </w:tc>
        <w:tc>
          <w:tcPr>
            <w:tcW w:w="1559" w:type="dxa"/>
            <w:shd w:val="clear" w:color="auto" w:fill="auto"/>
            <w:vAlign w:val="center"/>
            <w:hideMark/>
          </w:tcPr>
          <w:p w14:paraId="64A2AD3F" w14:textId="77777777" w:rsidR="00143F5D" w:rsidRPr="00F9707F" w:rsidRDefault="00143F5D" w:rsidP="0079757F">
            <w:pPr>
              <w:ind w:right="211"/>
              <w:jc w:val="right"/>
              <w:rPr>
                <w:rFonts w:ascii="Arial" w:hAnsi="Arial" w:cs="Arial"/>
                <w:bCs/>
                <w:color w:val="000000"/>
                <w:sz w:val="18"/>
                <w:szCs w:val="18"/>
              </w:rPr>
            </w:pPr>
            <w:r>
              <w:rPr>
                <w:rFonts w:ascii="Arial" w:hAnsi="Arial" w:cs="Arial"/>
                <w:bCs/>
                <w:color w:val="000000"/>
                <w:sz w:val="18"/>
                <w:szCs w:val="18"/>
              </w:rPr>
              <w:t>48 850.7</w:t>
            </w:r>
          </w:p>
        </w:tc>
        <w:tc>
          <w:tcPr>
            <w:tcW w:w="1134" w:type="dxa"/>
            <w:tcBorders>
              <w:top w:val="nil"/>
              <w:left w:val="nil"/>
              <w:bottom w:val="nil"/>
              <w:right w:val="double" w:sz="6" w:space="0" w:color="auto"/>
            </w:tcBorders>
            <w:shd w:val="clear" w:color="auto" w:fill="auto"/>
            <w:vAlign w:val="center"/>
            <w:hideMark/>
          </w:tcPr>
          <w:p w14:paraId="4FDD35B5" w14:textId="77777777" w:rsidR="00143F5D" w:rsidRPr="00F9707F" w:rsidRDefault="00143F5D" w:rsidP="0079757F">
            <w:pPr>
              <w:ind w:left="-71" w:right="209"/>
              <w:jc w:val="right"/>
              <w:rPr>
                <w:rFonts w:ascii="Arial" w:hAnsi="Arial" w:cs="Arial"/>
                <w:color w:val="000000"/>
                <w:sz w:val="18"/>
                <w:szCs w:val="18"/>
              </w:rPr>
            </w:pPr>
            <w:r>
              <w:rPr>
                <w:rFonts w:ascii="Arial" w:hAnsi="Arial" w:cs="Arial"/>
                <w:bCs/>
                <w:color w:val="000000"/>
                <w:sz w:val="18"/>
                <w:szCs w:val="18"/>
              </w:rPr>
              <w:t>5.7</w:t>
            </w:r>
          </w:p>
        </w:tc>
      </w:tr>
      <w:tr w:rsidR="00143F5D" w14:paraId="20F8C307" w14:textId="77777777" w:rsidTr="0079757F">
        <w:trPr>
          <w:trHeight w:val="255"/>
          <w:jc w:val="center"/>
        </w:trPr>
        <w:tc>
          <w:tcPr>
            <w:tcW w:w="191" w:type="dxa"/>
            <w:tcBorders>
              <w:left w:val="double" w:sz="6" w:space="0" w:color="000000"/>
            </w:tcBorders>
            <w:shd w:val="clear" w:color="auto" w:fill="auto"/>
            <w:vAlign w:val="center"/>
            <w:hideMark/>
          </w:tcPr>
          <w:p w14:paraId="799F31AB"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 </w:t>
            </w:r>
          </w:p>
        </w:tc>
        <w:tc>
          <w:tcPr>
            <w:tcW w:w="190" w:type="dxa"/>
            <w:shd w:val="clear" w:color="auto" w:fill="auto"/>
            <w:noWrap/>
            <w:vAlign w:val="bottom"/>
            <w:hideMark/>
          </w:tcPr>
          <w:p w14:paraId="6B416EF8" w14:textId="77777777" w:rsidR="00143F5D" w:rsidRPr="00F9707F" w:rsidRDefault="00143F5D" w:rsidP="0079757F">
            <w:pPr>
              <w:rPr>
                <w:rFonts w:ascii="Calibri" w:hAnsi="Calibri" w:cs="Calibri"/>
                <w:color w:val="000000"/>
                <w:sz w:val="22"/>
                <w:szCs w:val="22"/>
              </w:rPr>
            </w:pPr>
            <w:r w:rsidRPr="00F9707F">
              <w:rPr>
                <w:rFonts w:ascii="Calibri" w:hAnsi="Calibri" w:cs="Calibri"/>
                <w:color w:val="000000"/>
                <w:sz w:val="22"/>
                <w:szCs w:val="22"/>
              </w:rPr>
              <w:t> </w:t>
            </w:r>
          </w:p>
        </w:tc>
        <w:tc>
          <w:tcPr>
            <w:tcW w:w="2335" w:type="dxa"/>
            <w:gridSpan w:val="2"/>
            <w:tcBorders>
              <w:top w:val="nil"/>
              <w:left w:val="nil"/>
              <w:bottom w:val="nil"/>
              <w:right w:val="double" w:sz="6" w:space="0" w:color="000000"/>
            </w:tcBorders>
            <w:shd w:val="clear" w:color="auto" w:fill="auto"/>
            <w:vAlign w:val="center"/>
            <w:hideMark/>
          </w:tcPr>
          <w:p w14:paraId="484B180E"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Petroleras</w:t>
            </w:r>
          </w:p>
        </w:tc>
        <w:tc>
          <w:tcPr>
            <w:tcW w:w="1276" w:type="dxa"/>
            <w:shd w:val="clear" w:color="auto" w:fill="auto"/>
            <w:vAlign w:val="center"/>
            <w:hideMark/>
          </w:tcPr>
          <w:p w14:paraId="03E6A396" w14:textId="77777777" w:rsidR="00143F5D" w:rsidRPr="00F9707F" w:rsidRDefault="00143F5D" w:rsidP="0079757F">
            <w:pPr>
              <w:tabs>
                <w:tab w:val="left" w:pos="1069"/>
              </w:tabs>
              <w:ind w:right="73"/>
              <w:jc w:val="right"/>
              <w:rPr>
                <w:rFonts w:ascii="Arial" w:hAnsi="Arial" w:cs="Arial"/>
                <w:bCs/>
                <w:color w:val="000000"/>
                <w:sz w:val="18"/>
                <w:szCs w:val="18"/>
              </w:rPr>
            </w:pPr>
            <w:r w:rsidRPr="00F9707F">
              <w:rPr>
                <w:rFonts w:ascii="Arial" w:hAnsi="Arial" w:cs="Arial"/>
                <w:bCs/>
                <w:color w:val="000000"/>
                <w:sz w:val="18"/>
                <w:szCs w:val="18"/>
              </w:rPr>
              <w:t xml:space="preserve">1 </w:t>
            </w:r>
            <w:r>
              <w:rPr>
                <w:rFonts w:ascii="Arial" w:hAnsi="Arial" w:cs="Arial"/>
                <w:bCs/>
                <w:color w:val="000000"/>
                <w:sz w:val="18"/>
                <w:szCs w:val="18"/>
              </w:rPr>
              <w:t>391.0</w:t>
            </w:r>
          </w:p>
        </w:tc>
        <w:tc>
          <w:tcPr>
            <w:tcW w:w="1134" w:type="dxa"/>
            <w:tcBorders>
              <w:top w:val="nil"/>
              <w:left w:val="nil"/>
              <w:bottom w:val="nil"/>
              <w:right w:val="double" w:sz="6" w:space="0" w:color="auto"/>
            </w:tcBorders>
            <w:shd w:val="clear" w:color="auto" w:fill="auto"/>
            <w:vAlign w:val="center"/>
            <w:hideMark/>
          </w:tcPr>
          <w:p w14:paraId="421E6472" w14:textId="77777777" w:rsidR="00143F5D" w:rsidRPr="00F9707F" w:rsidRDefault="00143F5D" w:rsidP="0079757F">
            <w:pPr>
              <w:ind w:left="-67" w:right="216"/>
              <w:jc w:val="right"/>
              <w:rPr>
                <w:rFonts w:ascii="Arial" w:hAnsi="Arial" w:cs="Arial"/>
                <w:bCs/>
                <w:color w:val="000000"/>
                <w:sz w:val="18"/>
                <w:szCs w:val="18"/>
              </w:rPr>
            </w:pPr>
            <w:r>
              <w:rPr>
                <w:rFonts w:ascii="Arial" w:hAnsi="Arial" w:cs="Arial"/>
                <w:bCs/>
                <w:color w:val="000000"/>
                <w:sz w:val="18"/>
                <w:szCs w:val="18"/>
              </w:rPr>
              <w:t>-52.4</w:t>
            </w:r>
          </w:p>
        </w:tc>
        <w:tc>
          <w:tcPr>
            <w:tcW w:w="1559" w:type="dxa"/>
            <w:shd w:val="clear" w:color="auto" w:fill="auto"/>
            <w:vAlign w:val="center"/>
            <w:hideMark/>
          </w:tcPr>
          <w:p w14:paraId="230030AC" w14:textId="77777777" w:rsidR="00143F5D" w:rsidRPr="00F9707F" w:rsidRDefault="00143F5D" w:rsidP="0079757F">
            <w:pPr>
              <w:ind w:right="211"/>
              <w:jc w:val="right"/>
              <w:rPr>
                <w:rFonts w:ascii="Arial" w:hAnsi="Arial" w:cs="Arial"/>
                <w:bCs/>
                <w:color w:val="000000"/>
                <w:sz w:val="18"/>
                <w:szCs w:val="18"/>
              </w:rPr>
            </w:pPr>
            <w:r>
              <w:rPr>
                <w:rFonts w:ascii="Arial" w:hAnsi="Arial" w:cs="Arial"/>
                <w:bCs/>
                <w:color w:val="000000"/>
                <w:sz w:val="18"/>
                <w:szCs w:val="18"/>
              </w:rPr>
              <w:t>11 190.5</w:t>
            </w:r>
          </w:p>
        </w:tc>
        <w:tc>
          <w:tcPr>
            <w:tcW w:w="1134" w:type="dxa"/>
            <w:tcBorders>
              <w:top w:val="nil"/>
              <w:left w:val="nil"/>
              <w:bottom w:val="nil"/>
              <w:right w:val="double" w:sz="6" w:space="0" w:color="auto"/>
            </w:tcBorders>
            <w:shd w:val="clear" w:color="auto" w:fill="auto"/>
            <w:vAlign w:val="center"/>
            <w:hideMark/>
          </w:tcPr>
          <w:p w14:paraId="5958065B" w14:textId="77777777" w:rsidR="00143F5D" w:rsidRPr="00F9707F" w:rsidRDefault="00143F5D" w:rsidP="0079757F">
            <w:pPr>
              <w:ind w:left="-71" w:right="209"/>
              <w:jc w:val="right"/>
              <w:rPr>
                <w:rFonts w:ascii="Arial" w:hAnsi="Arial" w:cs="Arial"/>
                <w:color w:val="000000"/>
                <w:sz w:val="18"/>
                <w:szCs w:val="18"/>
              </w:rPr>
            </w:pPr>
            <w:r>
              <w:rPr>
                <w:rFonts w:ascii="Arial" w:hAnsi="Arial" w:cs="Arial"/>
                <w:bCs/>
                <w:color w:val="000000"/>
                <w:sz w:val="18"/>
                <w:szCs w:val="18"/>
              </w:rPr>
              <w:t>-26.2</w:t>
            </w:r>
          </w:p>
        </w:tc>
      </w:tr>
      <w:tr w:rsidR="00143F5D" w14:paraId="03465293" w14:textId="77777777" w:rsidTr="0079757F">
        <w:trPr>
          <w:trHeight w:val="255"/>
          <w:jc w:val="center"/>
        </w:trPr>
        <w:tc>
          <w:tcPr>
            <w:tcW w:w="191" w:type="dxa"/>
            <w:tcBorders>
              <w:left w:val="double" w:sz="6" w:space="0" w:color="000000"/>
            </w:tcBorders>
            <w:shd w:val="clear" w:color="auto" w:fill="auto"/>
            <w:vAlign w:val="center"/>
            <w:hideMark/>
          </w:tcPr>
          <w:p w14:paraId="025EA196"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 </w:t>
            </w:r>
          </w:p>
        </w:tc>
        <w:tc>
          <w:tcPr>
            <w:tcW w:w="190" w:type="dxa"/>
            <w:shd w:val="clear" w:color="auto" w:fill="auto"/>
            <w:noWrap/>
            <w:vAlign w:val="bottom"/>
            <w:hideMark/>
          </w:tcPr>
          <w:p w14:paraId="0369BA42" w14:textId="77777777" w:rsidR="00143F5D" w:rsidRPr="00F9707F" w:rsidRDefault="00143F5D" w:rsidP="0079757F">
            <w:pPr>
              <w:rPr>
                <w:rFonts w:ascii="Calibri" w:hAnsi="Calibri" w:cs="Calibri"/>
                <w:color w:val="000000"/>
                <w:sz w:val="22"/>
                <w:szCs w:val="22"/>
              </w:rPr>
            </w:pPr>
            <w:r w:rsidRPr="00F9707F">
              <w:rPr>
                <w:rFonts w:ascii="Calibri" w:hAnsi="Calibri" w:cs="Calibri"/>
                <w:color w:val="000000"/>
                <w:sz w:val="22"/>
                <w:szCs w:val="22"/>
              </w:rPr>
              <w:t> </w:t>
            </w:r>
          </w:p>
        </w:tc>
        <w:tc>
          <w:tcPr>
            <w:tcW w:w="2335" w:type="dxa"/>
            <w:gridSpan w:val="2"/>
            <w:tcBorders>
              <w:top w:val="nil"/>
              <w:left w:val="nil"/>
              <w:bottom w:val="nil"/>
              <w:right w:val="double" w:sz="6" w:space="0" w:color="000000"/>
            </w:tcBorders>
            <w:shd w:val="clear" w:color="auto" w:fill="auto"/>
            <w:vAlign w:val="center"/>
            <w:hideMark/>
          </w:tcPr>
          <w:p w14:paraId="0A1B2364"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No petroleras</w:t>
            </w:r>
          </w:p>
        </w:tc>
        <w:tc>
          <w:tcPr>
            <w:tcW w:w="1276" w:type="dxa"/>
            <w:shd w:val="clear" w:color="auto" w:fill="auto"/>
            <w:vAlign w:val="center"/>
            <w:hideMark/>
          </w:tcPr>
          <w:p w14:paraId="4E295A48" w14:textId="77777777" w:rsidR="00143F5D" w:rsidRPr="00F9707F" w:rsidRDefault="00143F5D" w:rsidP="0079757F">
            <w:pPr>
              <w:tabs>
                <w:tab w:val="left" w:pos="1069"/>
              </w:tabs>
              <w:ind w:right="73"/>
              <w:jc w:val="right"/>
              <w:rPr>
                <w:rFonts w:ascii="Arial" w:hAnsi="Arial" w:cs="Arial"/>
                <w:bCs/>
                <w:color w:val="000000"/>
                <w:sz w:val="18"/>
                <w:szCs w:val="18"/>
              </w:rPr>
            </w:pPr>
            <w:r>
              <w:rPr>
                <w:rFonts w:ascii="Arial" w:hAnsi="Arial" w:cs="Arial"/>
                <w:bCs/>
                <w:color w:val="000000"/>
                <w:sz w:val="18"/>
                <w:szCs w:val="18"/>
              </w:rPr>
              <w:t>5</w:t>
            </w:r>
            <w:r w:rsidRPr="00F9707F">
              <w:rPr>
                <w:rFonts w:ascii="Arial" w:hAnsi="Arial" w:cs="Arial"/>
                <w:bCs/>
                <w:color w:val="000000"/>
                <w:sz w:val="18"/>
                <w:szCs w:val="18"/>
              </w:rPr>
              <w:t xml:space="preserve"> </w:t>
            </w:r>
            <w:r>
              <w:rPr>
                <w:rFonts w:ascii="Arial" w:hAnsi="Arial" w:cs="Arial"/>
                <w:bCs/>
                <w:color w:val="000000"/>
                <w:sz w:val="18"/>
                <w:szCs w:val="18"/>
              </w:rPr>
              <w:t>466.5</w:t>
            </w:r>
          </w:p>
        </w:tc>
        <w:tc>
          <w:tcPr>
            <w:tcW w:w="1134" w:type="dxa"/>
            <w:tcBorders>
              <w:top w:val="nil"/>
              <w:left w:val="nil"/>
              <w:bottom w:val="nil"/>
              <w:right w:val="double" w:sz="6" w:space="0" w:color="auto"/>
            </w:tcBorders>
            <w:shd w:val="clear" w:color="auto" w:fill="auto"/>
            <w:vAlign w:val="center"/>
            <w:hideMark/>
          </w:tcPr>
          <w:p w14:paraId="23795820" w14:textId="77777777" w:rsidR="00143F5D" w:rsidRPr="00F9707F" w:rsidRDefault="00143F5D" w:rsidP="0079757F">
            <w:pPr>
              <w:ind w:left="-67" w:right="216"/>
              <w:jc w:val="right"/>
              <w:rPr>
                <w:rFonts w:ascii="Arial" w:hAnsi="Arial" w:cs="Arial"/>
                <w:bCs/>
                <w:color w:val="000000"/>
                <w:sz w:val="18"/>
                <w:szCs w:val="18"/>
              </w:rPr>
            </w:pPr>
            <w:r>
              <w:rPr>
                <w:rFonts w:ascii="Arial" w:hAnsi="Arial" w:cs="Arial"/>
                <w:bCs/>
                <w:color w:val="000000"/>
                <w:sz w:val="18"/>
                <w:szCs w:val="18"/>
              </w:rPr>
              <w:t>18.4</w:t>
            </w:r>
          </w:p>
        </w:tc>
        <w:tc>
          <w:tcPr>
            <w:tcW w:w="1559" w:type="dxa"/>
            <w:shd w:val="clear" w:color="auto" w:fill="auto"/>
            <w:vAlign w:val="center"/>
            <w:hideMark/>
          </w:tcPr>
          <w:p w14:paraId="013679A7" w14:textId="77777777" w:rsidR="00143F5D" w:rsidRPr="00F9707F" w:rsidRDefault="00143F5D" w:rsidP="0079757F">
            <w:pPr>
              <w:ind w:right="211"/>
              <w:jc w:val="right"/>
              <w:rPr>
                <w:rFonts w:ascii="Arial" w:hAnsi="Arial" w:cs="Arial"/>
                <w:bCs/>
                <w:color w:val="000000"/>
                <w:sz w:val="18"/>
                <w:szCs w:val="18"/>
              </w:rPr>
            </w:pPr>
            <w:r>
              <w:rPr>
                <w:rFonts w:ascii="Arial" w:hAnsi="Arial" w:cs="Arial"/>
                <w:bCs/>
                <w:color w:val="000000"/>
                <w:sz w:val="18"/>
                <w:szCs w:val="18"/>
              </w:rPr>
              <w:t>37 660.2</w:t>
            </w:r>
          </w:p>
        </w:tc>
        <w:tc>
          <w:tcPr>
            <w:tcW w:w="1134" w:type="dxa"/>
            <w:tcBorders>
              <w:top w:val="nil"/>
              <w:left w:val="nil"/>
              <w:bottom w:val="nil"/>
              <w:right w:val="double" w:sz="6" w:space="0" w:color="auto"/>
            </w:tcBorders>
            <w:shd w:val="clear" w:color="auto" w:fill="auto"/>
            <w:vAlign w:val="center"/>
            <w:hideMark/>
          </w:tcPr>
          <w:p w14:paraId="21E5ADB9" w14:textId="77777777" w:rsidR="00143F5D" w:rsidRPr="00F9707F" w:rsidRDefault="00143F5D" w:rsidP="0079757F">
            <w:pPr>
              <w:ind w:left="-71" w:right="209"/>
              <w:jc w:val="right"/>
              <w:rPr>
                <w:rFonts w:ascii="Arial" w:hAnsi="Arial" w:cs="Arial"/>
                <w:color w:val="000000"/>
                <w:sz w:val="18"/>
                <w:szCs w:val="18"/>
              </w:rPr>
            </w:pPr>
            <w:r>
              <w:rPr>
                <w:rFonts w:ascii="Arial" w:hAnsi="Arial" w:cs="Arial"/>
                <w:bCs/>
                <w:color w:val="000000"/>
                <w:sz w:val="18"/>
                <w:szCs w:val="18"/>
              </w:rPr>
              <w:t>21.2</w:t>
            </w:r>
          </w:p>
        </w:tc>
      </w:tr>
      <w:tr w:rsidR="00143F5D" w14:paraId="57C026EA" w14:textId="77777777" w:rsidTr="0079757F">
        <w:trPr>
          <w:trHeight w:val="255"/>
          <w:jc w:val="center"/>
        </w:trPr>
        <w:tc>
          <w:tcPr>
            <w:tcW w:w="191" w:type="dxa"/>
            <w:tcBorders>
              <w:left w:val="double" w:sz="6" w:space="0" w:color="000000"/>
            </w:tcBorders>
            <w:shd w:val="clear" w:color="auto" w:fill="auto"/>
            <w:vAlign w:val="center"/>
            <w:hideMark/>
          </w:tcPr>
          <w:p w14:paraId="3BDA9181"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 </w:t>
            </w:r>
          </w:p>
        </w:tc>
        <w:tc>
          <w:tcPr>
            <w:tcW w:w="2525" w:type="dxa"/>
            <w:gridSpan w:val="3"/>
            <w:tcBorders>
              <w:top w:val="nil"/>
              <w:left w:val="nil"/>
              <w:bottom w:val="nil"/>
              <w:right w:val="double" w:sz="6" w:space="0" w:color="000000"/>
            </w:tcBorders>
            <w:shd w:val="clear" w:color="auto" w:fill="auto"/>
            <w:noWrap/>
            <w:vAlign w:val="center"/>
            <w:hideMark/>
          </w:tcPr>
          <w:p w14:paraId="4B0CD79F"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Bienes intermedios</w:t>
            </w:r>
          </w:p>
        </w:tc>
        <w:tc>
          <w:tcPr>
            <w:tcW w:w="1276" w:type="dxa"/>
            <w:shd w:val="clear" w:color="auto" w:fill="auto"/>
            <w:vAlign w:val="center"/>
            <w:hideMark/>
          </w:tcPr>
          <w:p w14:paraId="46B8C813" w14:textId="77777777" w:rsidR="00143F5D" w:rsidRPr="00F9707F" w:rsidRDefault="00143F5D" w:rsidP="0079757F">
            <w:pPr>
              <w:tabs>
                <w:tab w:val="left" w:pos="1069"/>
              </w:tabs>
              <w:ind w:right="73"/>
              <w:jc w:val="right"/>
              <w:rPr>
                <w:rFonts w:ascii="Arial" w:hAnsi="Arial" w:cs="Arial"/>
                <w:bCs/>
                <w:color w:val="000000"/>
                <w:sz w:val="18"/>
                <w:szCs w:val="18"/>
              </w:rPr>
            </w:pPr>
            <w:r>
              <w:rPr>
                <w:rFonts w:ascii="Arial" w:hAnsi="Arial" w:cs="Arial"/>
                <w:bCs/>
                <w:color w:val="000000"/>
                <w:sz w:val="18"/>
                <w:szCs w:val="18"/>
              </w:rPr>
              <w:t>36 779.1</w:t>
            </w:r>
          </w:p>
        </w:tc>
        <w:tc>
          <w:tcPr>
            <w:tcW w:w="1134" w:type="dxa"/>
            <w:tcBorders>
              <w:top w:val="nil"/>
              <w:left w:val="nil"/>
              <w:bottom w:val="nil"/>
              <w:right w:val="double" w:sz="6" w:space="0" w:color="auto"/>
            </w:tcBorders>
            <w:shd w:val="clear" w:color="auto" w:fill="auto"/>
            <w:vAlign w:val="center"/>
            <w:hideMark/>
          </w:tcPr>
          <w:p w14:paraId="39E06E86" w14:textId="77777777" w:rsidR="00143F5D" w:rsidRPr="00F9707F" w:rsidRDefault="00143F5D" w:rsidP="0079757F">
            <w:pPr>
              <w:ind w:left="-67" w:right="216"/>
              <w:jc w:val="right"/>
              <w:rPr>
                <w:rFonts w:ascii="Arial" w:hAnsi="Arial" w:cs="Arial"/>
                <w:bCs/>
                <w:color w:val="000000"/>
                <w:sz w:val="18"/>
                <w:szCs w:val="18"/>
              </w:rPr>
            </w:pPr>
            <w:r>
              <w:rPr>
                <w:rFonts w:ascii="Arial" w:hAnsi="Arial" w:cs="Arial"/>
                <w:bCs/>
                <w:color w:val="000000"/>
                <w:sz w:val="18"/>
                <w:szCs w:val="18"/>
              </w:rPr>
              <w:t>-10.4</w:t>
            </w:r>
          </w:p>
        </w:tc>
        <w:tc>
          <w:tcPr>
            <w:tcW w:w="1559" w:type="dxa"/>
            <w:shd w:val="clear" w:color="auto" w:fill="auto"/>
            <w:vAlign w:val="center"/>
            <w:hideMark/>
          </w:tcPr>
          <w:p w14:paraId="71FCDA8D" w14:textId="77777777" w:rsidR="00143F5D" w:rsidRPr="00F9707F" w:rsidRDefault="00143F5D" w:rsidP="0079757F">
            <w:pPr>
              <w:ind w:right="211"/>
              <w:jc w:val="right"/>
              <w:rPr>
                <w:rFonts w:ascii="Arial" w:hAnsi="Arial" w:cs="Arial"/>
                <w:bCs/>
                <w:color w:val="000000"/>
                <w:sz w:val="18"/>
                <w:szCs w:val="18"/>
              </w:rPr>
            </w:pPr>
            <w:r>
              <w:rPr>
                <w:rFonts w:ascii="Arial" w:hAnsi="Arial" w:cs="Arial"/>
                <w:bCs/>
                <w:color w:val="000000"/>
                <w:sz w:val="18"/>
                <w:szCs w:val="18"/>
              </w:rPr>
              <w:t>265 354.1</w:t>
            </w:r>
          </w:p>
        </w:tc>
        <w:tc>
          <w:tcPr>
            <w:tcW w:w="1134" w:type="dxa"/>
            <w:tcBorders>
              <w:top w:val="nil"/>
              <w:left w:val="nil"/>
              <w:bottom w:val="nil"/>
              <w:right w:val="double" w:sz="6" w:space="0" w:color="auto"/>
            </w:tcBorders>
            <w:shd w:val="clear" w:color="auto" w:fill="auto"/>
            <w:vAlign w:val="center"/>
            <w:hideMark/>
          </w:tcPr>
          <w:p w14:paraId="0C594531" w14:textId="77777777" w:rsidR="00143F5D" w:rsidRPr="00F9707F" w:rsidRDefault="00143F5D" w:rsidP="0079757F">
            <w:pPr>
              <w:ind w:left="-71" w:right="209"/>
              <w:jc w:val="right"/>
              <w:rPr>
                <w:rFonts w:ascii="Arial" w:hAnsi="Arial" w:cs="Arial"/>
                <w:color w:val="000000"/>
                <w:sz w:val="18"/>
                <w:szCs w:val="18"/>
              </w:rPr>
            </w:pPr>
            <w:r>
              <w:rPr>
                <w:rFonts w:ascii="Arial" w:hAnsi="Arial" w:cs="Arial"/>
                <w:bCs/>
                <w:color w:val="000000"/>
                <w:sz w:val="18"/>
                <w:szCs w:val="18"/>
              </w:rPr>
              <w:t>-3.0</w:t>
            </w:r>
          </w:p>
        </w:tc>
      </w:tr>
      <w:tr w:rsidR="00143F5D" w14:paraId="1D0FA3D4" w14:textId="77777777" w:rsidTr="0079757F">
        <w:trPr>
          <w:trHeight w:val="255"/>
          <w:jc w:val="center"/>
        </w:trPr>
        <w:tc>
          <w:tcPr>
            <w:tcW w:w="191" w:type="dxa"/>
            <w:tcBorders>
              <w:left w:val="double" w:sz="6" w:space="0" w:color="000000"/>
            </w:tcBorders>
            <w:shd w:val="clear" w:color="auto" w:fill="auto"/>
            <w:vAlign w:val="center"/>
            <w:hideMark/>
          </w:tcPr>
          <w:p w14:paraId="01A1CF1B"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 </w:t>
            </w:r>
          </w:p>
        </w:tc>
        <w:tc>
          <w:tcPr>
            <w:tcW w:w="190" w:type="dxa"/>
            <w:shd w:val="clear" w:color="auto" w:fill="auto"/>
            <w:noWrap/>
            <w:vAlign w:val="bottom"/>
            <w:hideMark/>
          </w:tcPr>
          <w:p w14:paraId="3792E818" w14:textId="77777777" w:rsidR="00143F5D" w:rsidRPr="00F9707F" w:rsidRDefault="00143F5D" w:rsidP="0079757F">
            <w:pPr>
              <w:rPr>
                <w:rFonts w:ascii="Calibri" w:hAnsi="Calibri" w:cs="Calibri"/>
                <w:color w:val="000000"/>
                <w:sz w:val="22"/>
                <w:szCs w:val="22"/>
              </w:rPr>
            </w:pPr>
            <w:r w:rsidRPr="00F9707F">
              <w:rPr>
                <w:rFonts w:ascii="Calibri" w:hAnsi="Calibri" w:cs="Calibri"/>
                <w:color w:val="000000"/>
                <w:sz w:val="22"/>
                <w:szCs w:val="22"/>
              </w:rPr>
              <w:t> </w:t>
            </w:r>
          </w:p>
        </w:tc>
        <w:tc>
          <w:tcPr>
            <w:tcW w:w="2335" w:type="dxa"/>
            <w:gridSpan w:val="2"/>
            <w:tcBorders>
              <w:top w:val="nil"/>
              <w:left w:val="nil"/>
              <w:bottom w:val="nil"/>
              <w:right w:val="double" w:sz="6" w:space="0" w:color="000000"/>
            </w:tcBorders>
            <w:shd w:val="clear" w:color="auto" w:fill="auto"/>
            <w:vAlign w:val="center"/>
            <w:hideMark/>
          </w:tcPr>
          <w:p w14:paraId="19DEBDC9"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Petroleras</w:t>
            </w:r>
          </w:p>
        </w:tc>
        <w:tc>
          <w:tcPr>
            <w:tcW w:w="1276" w:type="dxa"/>
            <w:shd w:val="clear" w:color="auto" w:fill="auto"/>
            <w:vAlign w:val="center"/>
            <w:hideMark/>
          </w:tcPr>
          <w:p w14:paraId="11237787" w14:textId="77777777" w:rsidR="00143F5D" w:rsidRPr="00F9707F" w:rsidRDefault="00143F5D" w:rsidP="0079757F">
            <w:pPr>
              <w:tabs>
                <w:tab w:val="left" w:pos="1069"/>
              </w:tabs>
              <w:ind w:right="73"/>
              <w:jc w:val="right"/>
              <w:rPr>
                <w:rFonts w:ascii="Arial" w:hAnsi="Arial" w:cs="Arial"/>
                <w:bCs/>
                <w:color w:val="000000"/>
                <w:sz w:val="18"/>
                <w:szCs w:val="18"/>
              </w:rPr>
            </w:pPr>
            <w:r>
              <w:rPr>
                <w:rFonts w:ascii="Arial" w:hAnsi="Arial" w:cs="Arial"/>
                <w:bCs/>
                <w:color w:val="000000"/>
                <w:sz w:val="18"/>
                <w:szCs w:val="18"/>
              </w:rPr>
              <w:t>2</w:t>
            </w:r>
            <w:r w:rsidRPr="00F9707F">
              <w:rPr>
                <w:rFonts w:ascii="Arial" w:hAnsi="Arial" w:cs="Arial"/>
                <w:bCs/>
                <w:color w:val="000000"/>
                <w:sz w:val="18"/>
                <w:szCs w:val="18"/>
              </w:rPr>
              <w:t xml:space="preserve"> </w:t>
            </w:r>
            <w:r>
              <w:rPr>
                <w:rFonts w:ascii="Arial" w:hAnsi="Arial" w:cs="Arial"/>
                <w:bCs/>
                <w:color w:val="000000"/>
                <w:sz w:val="18"/>
                <w:szCs w:val="18"/>
              </w:rPr>
              <w:t>636.9</w:t>
            </w:r>
          </w:p>
        </w:tc>
        <w:tc>
          <w:tcPr>
            <w:tcW w:w="1134" w:type="dxa"/>
            <w:tcBorders>
              <w:top w:val="nil"/>
              <w:left w:val="nil"/>
              <w:bottom w:val="nil"/>
              <w:right w:val="double" w:sz="6" w:space="0" w:color="auto"/>
            </w:tcBorders>
            <w:shd w:val="clear" w:color="auto" w:fill="auto"/>
            <w:vAlign w:val="center"/>
            <w:hideMark/>
          </w:tcPr>
          <w:p w14:paraId="18AD2FAA" w14:textId="77777777" w:rsidR="00143F5D" w:rsidRPr="00F9707F" w:rsidRDefault="00143F5D" w:rsidP="0079757F">
            <w:pPr>
              <w:ind w:left="-67" w:right="216"/>
              <w:jc w:val="right"/>
              <w:rPr>
                <w:rFonts w:ascii="Arial" w:hAnsi="Arial" w:cs="Arial"/>
                <w:bCs/>
                <w:color w:val="000000"/>
                <w:sz w:val="18"/>
                <w:szCs w:val="18"/>
              </w:rPr>
            </w:pPr>
            <w:r>
              <w:rPr>
                <w:rFonts w:ascii="Arial" w:hAnsi="Arial" w:cs="Arial"/>
                <w:bCs/>
                <w:color w:val="000000"/>
                <w:sz w:val="18"/>
                <w:szCs w:val="18"/>
              </w:rPr>
              <w:t>-49.8</w:t>
            </w:r>
          </w:p>
        </w:tc>
        <w:tc>
          <w:tcPr>
            <w:tcW w:w="1559" w:type="dxa"/>
            <w:shd w:val="clear" w:color="auto" w:fill="auto"/>
            <w:vAlign w:val="center"/>
            <w:hideMark/>
          </w:tcPr>
          <w:p w14:paraId="470A5A62" w14:textId="77777777" w:rsidR="00143F5D" w:rsidRPr="00F9707F" w:rsidRDefault="00143F5D" w:rsidP="0079757F">
            <w:pPr>
              <w:ind w:right="211"/>
              <w:jc w:val="right"/>
              <w:rPr>
                <w:rFonts w:ascii="Arial" w:hAnsi="Arial" w:cs="Arial"/>
                <w:bCs/>
                <w:color w:val="000000"/>
                <w:sz w:val="18"/>
                <w:szCs w:val="18"/>
              </w:rPr>
            </w:pPr>
            <w:r>
              <w:rPr>
                <w:rFonts w:ascii="Arial" w:hAnsi="Arial" w:cs="Arial"/>
                <w:bCs/>
                <w:color w:val="000000"/>
                <w:sz w:val="18"/>
                <w:szCs w:val="18"/>
              </w:rPr>
              <w:t>20</w:t>
            </w:r>
            <w:r w:rsidRPr="00F9707F">
              <w:rPr>
                <w:rFonts w:ascii="Arial" w:hAnsi="Arial" w:cs="Arial"/>
                <w:bCs/>
                <w:color w:val="000000"/>
                <w:sz w:val="18"/>
                <w:szCs w:val="18"/>
              </w:rPr>
              <w:t xml:space="preserve"> </w:t>
            </w:r>
            <w:r>
              <w:rPr>
                <w:rFonts w:ascii="Arial" w:hAnsi="Arial" w:cs="Arial"/>
                <w:bCs/>
                <w:color w:val="000000"/>
                <w:sz w:val="18"/>
                <w:szCs w:val="18"/>
              </w:rPr>
              <w:t>953.5</w:t>
            </w:r>
          </w:p>
        </w:tc>
        <w:tc>
          <w:tcPr>
            <w:tcW w:w="1134" w:type="dxa"/>
            <w:tcBorders>
              <w:top w:val="nil"/>
              <w:left w:val="nil"/>
              <w:bottom w:val="nil"/>
              <w:right w:val="double" w:sz="6" w:space="0" w:color="auto"/>
            </w:tcBorders>
            <w:shd w:val="clear" w:color="auto" w:fill="auto"/>
            <w:vAlign w:val="center"/>
            <w:hideMark/>
          </w:tcPr>
          <w:p w14:paraId="733A4255" w14:textId="77777777" w:rsidR="00143F5D" w:rsidRPr="00F9707F" w:rsidRDefault="00143F5D" w:rsidP="0079757F">
            <w:pPr>
              <w:ind w:left="-71" w:right="209"/>
              <w:jc w:val="right"/>
              <w:rPr>
                <w:rFonts w:ascii="Arial" w:hAnsi="Arial" w:cs="Arial"/>
                <w:color w:val="000000"/>
                <w:sz w:val="18"/>
                <w:szCs w:val="18"/>
              </w:rPr>
            </w:pPr>
            <w:r>
              <w:rPr>
                <w:rFonts w:ascii="Arial" w:hAnsi="Arial" w:cs="Arial"/>
                <w:bCs/>
                <w:color w:val="000000"/>
                <w:sz w:val="18"/>
                <w:szCs w:val="18"/>
              </w:rPr>
              <w:t>-29.1</w:t>
            </w:r>
          </w:p>
        </w:tc>
      </w:tr>
      <w:tr w:rsidR="00143F5D" w14:paraId="48A33824" w14:textId="77777777" w:rsidTr="0079757F">
        <w:trPr>
          <w:trHeight w:val="255"/>
          <w:jc w:val="center"/>
        </w:trPr>
        <w:tc>
          <w:tcPr>
            <w:tcW w:w="191" w:type="dxa"/>
            <w:tcBorders>
              <w:left w:val="double" w:sz="6" w:space="0" w:color="000000"/>
            </w:tcBorders>
            <w:shd w:val="clear" w:color="auto" w:fill="auto"/>
            <w:vAlign w:val="center"/>
            <w:hideMark/>
          </w:tcPr>
          <w:p w14:paraId="7C0CB3AF"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 </w:t>
            </w:r>
          </w:p>
        </w:tc>
        <w:tc>
          <w:tcPr>
            <w:tcW w:w="190" w:type="dxa"/>
            <w:shd w:val="clear" w:color="auto" w:fill="auto"/>
            <w:noWrap/>
            <w:vAlign w:val="bottom"/>
            <w:hideMark/>
          </w:tcPr>
          <w:p w14:paraId="0E563F35" w14:textId="77777777" w:rsidR="00143F5D" w:rsidRPr="00F9707F" w:rsidRDefault="00143F5D" w:rsidP="0079757F">
            <w:pPr>
              <w:rPr>
                <w:rFonts w:ascii="Calibri" w:hAnsi="Calibri" w:cs="Calibri"/>
                <w:color w:val="000000"/>
                <w:sz w:val="22"/>
                <w:szCs w:val="22"/>
              </w:rPr>
            </w:pPr>
            <w:r w:rsidRPr="00F9707F">
              <w:rPr>
                <w:rFonts w:ascii="Calibri" w:hAnsi="Calibri" w:cs="Calibri"/>
                <w:color w:val="000000"/>
                <w:sz w:val="22"/>
                <w:szCs w:val="22"/>
              </w:rPr>
              <w:t> </w:t>
            </w:r>
          </w:p>
        </w:tc>
        <w:tc>
          <w:tcPr>
            <w:tcW w:w="2335" w:type="dxa"/>
            <w:gridSpan w:val="2"/>
            <w:tcBorders>
              <w:top w:val="nil"/>
              <w:left w:val="nil"/>
              <w:bottom w:val="nil"/>
              <w:right w:val="double" w:sz="6" w:space="0" w:color="000000"/>
            </w:tcBorders>
            <w:shd w:val="clear" w:color="auto" w:fill="auto"/>
            <w:vAlign w:val="center"/>
            <w:hideMark/>
          </w:tcPr>
          <w:p w14:paraId="1DC386D5"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No petroleras</w:t>
            </w:r>
          </w:p>
        </w:tc>
        <w:tc>
          <w:tcPr>
            <w:tcW w:w="1276" w:type="dxa"/>
            <w:shd w:val="clear" w:color="auto" w:fill="auto"/>
            <w:vAlign w:val="center"/>
            <w:hideMark/>
          </w:tcPr>
          <w:p w14:paraId="71186428" w14:textId="77777777" w:rsidR="00143F5D" w:rsidRPr="00F9707F" w:rsidRDefault="00143F5D" w:rsidP="0079757F">
            <w:pPr>
              <w:tabs>
                <w:tab w:val="left" w:pos="1069"/>
              </w:tabs>
              <w:ind w:right="73"/>
              <w:jc w:val="right"/>
              <w:rPr>
                <w:rFonts w:ascii="Arial" w:hAnsi="Arial" w:cs="Arial"/>
                <w:color w:val="000000"/>
                <w:sz w:val="18"/>
                <w:szCs w:val="18"/>
              </w:rPr>
            </w:pPr>
            <w:r>
              <w:rPr>
                <w:rFonts w:ascii="Arial" w:hAnsi="Arial" w:cs="Arial"/>
                <w:bCs/>
                <w:color w:val="000000"/>
                <w:sz w:val="18"/>
                <w:szCs w:val="18"/>
              </w:rPr>
              <w:t>34 142.2</w:t>
            </w:r>
          </w:p>
        </w:tc>
        <w:tc>
          <w:tcPr>
            <w:tcW w:w="1134" w:type="dxa"/>
            <w:tcBorders>
              <w:top w:val="nil"/>
              <w:left w:val="nil"/>
              <w:bottom w:val="nil"/>
              <w:right w:val="double" w:sz="6" w:space="0" w:color="auto"/>
            </w:tcBorders>
            <w:shd w:val="clear" w:color="auto" w:fill="auto"/>
            <w:vAlign w:val="center"/>
            <w:hideMark/>
          </w:tcPr>
          <w:p w14:paraId="4FC73702" w14:textId="77777777" w:rsidR="00143F5D" w:rsidRPr="00F9707F" w:rsidRDefault="00143F5D" w:rsidP="0079757F">
            <w:pPr>
              <w:ind w:left="-67" w:right="216"/>
              <w:jc w:val="right"/>
              <w:rPr>
                <w:rFonts w:ascii="Arial" w:hAnsi="Arial" w:cs="Arial"/>
                <w:color w:val="000000"/>
                <w:sz w:val="18"/>
                <w:szCs w:val="18"/>
              </w:rPr>
            </w:pPr>
            <w:r>
              <w:rPr>
                <w:rFonts w:ascii="Arial" w:hAnsi="Arial" w:cs="Arial"/>
                <w:bCs/>
                <w:color w:val="000000"/>
                <w:sz w:val="18"/>
                <w:szCs w:val="18"/>
              </w:rPr>
              <w:t>-4.6</w:t>
            </w:r>
          </w:p>
        </w:tc>
        <w:tc>
          <w:tcPr>
            <w:tcW w:w="1559" w:type="dxa"/>
            <w:shd w:val="clear" w:color="auto" w:fill="auto"/>
            <w:vAlign w:val="center"/>
            <w:hideMark/>
          </w:tcPr>
          <w:p w14:paraId="289637E5" w14:textId="77777777" w:rsidR="00143F5D" w:rsidRPr="00F9707F" w:rsidRDefault="00143F5D" w:rsidP="0079757F">
            <w:pPr>
              <w:ind w:right="211"/>
              <w:jc w:val="right"/>
              <w:rPr>
                <w:rFonts w:ascii="Arial" w:hAnsi="Arial" w:cs="Arial"/>
                <w:color w:val="000000"/>
                <w:sz w:val="18"/>
                <w:szCs w:val="18"/>
              </w:rPr>
            </w:pPr>
            <w:r>
              <w:rPr>
                <w:rFonts w:ascii="Arial" w:hAnsi="Arial" w:cs="Arial"/>
                <w:bCs/>
                <w:color w:val="000000"/>
                <w:sz w:val="18"/>
                <w:szCs w:val="18"/>
              </w:rPr>
              <w:t>244 400.6</w:t>
            </w:r>
          </w:p>
        </w:tc>
        <w:tc>
          <w:tcPr>
            <w:tcW w:w="1134" w:type="dxa"/>
            <w:tcBorders>
              <w:top w:val="nil"/>
              <w:left w:val="nil"/>
              <w:bottom w:val="nil"/>
              <w:right w:val="double" w:sz="6" w:space="0" w:color="auto"/>
            </w:tcBorders>
            <w:shd w:val="clear" w:color="auto" w:fill="auto"/>
            <w:vAlign w:val="center"/>
            <w:hideMark/>
          </w:tcPr>
          <w:p w14:paraId="25EB22CF" w14:textId="77777777" w:rsidR="00143F5D" w:rsidRPr="00F9707F" w:rsidRDefault="00143F5D" w:rsidP="0079757F">
            <w:pPr>
              <w:ind w:left="-71" w:right="209"/>
              <w:jc w:val="right"/>
              <w:rPr>
                <w:rFonts w:ascii="Arial" w:hAnsi="Arial" w:cs="Arial"/>
                <w:color w:val="000000"/>
                <w:sz w:val="18"/>
                <w:szCs w:val="18"/>
              </w:rPr>
            </w:pPr>
            <w:r>
              <w:rPr>
                <w:rFonts w:ascii="Arial" w:hAnsi="Arial" w:cs="Arial"/>
                <w:bCs/>
                <w:color w:val="000000"/>
                <w:sz w:val="18"/>
                <w:szCs w:val="18"/>
              </w:rPr>
              <w:t>0.2</w:t>
            </w:r>
          </w:p>
        </w:tc>
      </w:tr>
      <w:tr w:rsidR="00143F5D" w14:paraId="4831D626" w14:textId="77777777" w:rsidTr="0079757F">
        <w:trPr>
          <w:trHeight w:val="255"/>
          <w:jc w:val="center"/>
        </w:trPr>
        <w:tc>
          <w:tcPr>
            <w:tcW w:w="191" w:type="dxa"/>
            <w:tcBorders>
              <w:left w:val="double" w:sz="6" w:space="0" w:color="000000"/>
            </w:tcBorders>
            <w:shd w:val="clear" w:color="auto" w:fill="auto"/>
            <w:vAlign w:val="center"/>
            <w:hideMark/>
          </w:tcPr>
          <w:p w14:paraId="38AD87DB"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 </w:t>
            </w:r>
          </w:p>
        </w:tc>
        <w:tc>
          <w:tcPr>
            <w:tcW w:w="2525" w:type="dxa"/>
            <w:gridSpan w:val="3"/>
            <w:tcBorders>
              <w:top w:val="nil"/>
              <w:left w:val="nil"/>
              <w:bottom w:val="nil"/>
              <w:right w:val="double" w:sz="6" w:space="0" w:color="000000"/>
            </w:tcBorders>
            <w:shd w:val="clear" w:color="auto" w:fill="auto"/>
            <w:noWrap/>
            <w:vAlign w:val="center"/>
            <w:hideMark/>
          </w:tcPr>
          <w:p w14:paraId="7441C109" w14:textId="77777777" w:rsidR="00143F5D" w:rsidRPr="00F9707F" w:rsidRDefault="00143F5D" w:rsidP="0079757F">
            <w:pPr>
              <w:jc w:val="both"/>
              <w:rPr>
                <w:rFonts w:ascii="Arial" w:hAnsi="Arial" w:cs="Arial"/>
                <w:color w:val="000000"/>
                <w:sz w:val="18"/>
                <w:szCs w:val="18"/>
              </w:rPr>
            </w:pPr>
            <w:r w:rsidRPr="00F9707F">
              <w:rPr>
                <w:rFonts w:ascii="Arial" w:hAnsi="Arial" w:cs="Arial"/>
                <w:color w:val="000000"/>
                <w:sz w:val="18"/>
                <w:szCs w:val="18"/>
              </w:rPr>
              <w:t>Bienes de capital</w:t>
            </w:r>
          </w:p>
        </w:tc>
        <w:tc>
          <w:tcPr>
            <w:tcW w:w="1276" w:type="dxa"/>
            <w:shd w:val="clear" w:color="auto" w:fill="auto"/>
            <w:vAlign w:val="center"/>
            <w:hideMark/>
          </w:tcPr>
          <w:p w14:paraId="1997665D" w14:textId="77777777" w:rsidR="00143F5D" w:rsidRPr="00F9707F" w:rsidRDefault="00143F5D" w:rsidP="0079757F">
            <w:pPr>
              <w:tabs>
                <w:tab w:val="left" w:pos="1069"/>
              </w:tabs>
              <w:ind w:right="73"/>
              <w:jc w:val="right"/>
              <w:rPr>
                <w:rFonts w:ascii="Arial" w:hAnsi="Arial" w:cs="Arial"/>
                <w:color w:val="000000"/>
                <w:sz w:val="18"/>
                <w:szCs w:val="18"/>
              </w:rPr>
            </w:pPr>
            <w:r>
              <w:rPr>
                <w:rFonts w:ascii="Arial" w:hAnsi="Arial" w:cs="Arial"/>
                <w:bCs/>
                <w:color w:val="000000"/>
                <w:sz w:val="18"/>
                <w:szCs w:val="18"/>
              </w:rPr>
              <w:t>4</w:t>
            </w:r>
            <w:r w:rsidRPr="00F9707F">
              <w:rPr>
                <w:rFonts w:ascii="Arial" w:hAnsi="Arial" w:cs="Arial"/>
                <w:bCs/>
                <w:color w:val="000000"/>
                <w:sz w:val="18"/>
                <w:szCs w:val="18"/>
              </w:rPr>
              <w:t xml:space="preserve"> </w:t>
            </w:r>
            <w:r>
              <w:rPr>
                <w:rFonts w:ascii="Arial" w:hAnsi="Arial" w:cs="Arial"/>
                <w:bCs/>
                <w:color w:val="000000"/>
                <w:sz w:val="18"/>
                <w:szCs w:val="18"/>
              </w:rPr>
              <w:t>795.0</w:t>
            </w:r>
          </w:p>
        </w:tc>
        <w:tc>
          <w:tcPr>
            <w:tcW w:w="1134" w:type="dxa"/>
            <w:tcBorders>
              <w:top w:val="nil"/>
              <w:left w:val="nil"/>
              <w:bottom w:val="nil"/>
              <w:right w:val="double" w:sz="6" w:space="0" w:color="auto"/>
            </w:tcBorders>
            <w:shd w:val="clear" w:color="auto" w:fill="auto"/>
            <w:vAlign w:val="center"/>
            <w:hideMark/>
          </w:tcPr>
          <w:p w14:paraId="603ECD6F" w14:textId="77777777" w:rsidR="00143F5D" w:rsidRPr="00F9707F" w:rsidRDefault="00143F5D" w:rsidP="0079757F">
            <w:pPr>
              <w:ind w:left="-67" w:right="216"/>
              <w:jc w:val="right"/>
              <w:rPr>
                <w:rFonts w:ascii="Arial" w:hAnsi="Arial" w:cs="Arial"/>
                <w:color w:val="000000"/>
                <w:sz w:val="18"/>
                <w:szCs w:val="18"/>
              </w:rPr>
            </w:pPr>
            <w:r>
              <w:rPr>
                <w:rFonts w:ascii="Arial" w:hAnsi="Arial" w:cs="Arial"/>
                <w:bCs/>
                <w:color w:val="000000"/>
                <w:sz w:val="18"/>
                <w:szCs w:val="18"/>
              </w:rPr>
              <w:t>23.3</w:t>
            </w:r>
          </w:p>
        </w:tc>
        <w:tc>
          <w:tcPr>
            <w:tcW w:w="1559" w:type="dxa"/>
            <w:shd w:val="clear" w:color="auto" w:fill="auto"/>
            <w:vAlign w:val="center"/>
            <w:hideMark/>
          </w:tcPr>
          <w:p w14:paraId="645BF862" w14:textId="77777777" w:rsidR="00143F5D" w:rsidRPr="00F9707F" w:rsidRDefault="00143F5D" w:rsidP="0079757F">
            <w:pPr>
              <w:ind w:right="211"/>
              <w:jc w:val="right"/>
              <w:rPr>
                <w:rFonts w:ascii="Arial" w:hAnsi="Arial" w:cs="Arial"/>
                <w:color w:val="000000"/>
                <w:sz w:val="18"/>
                <w:szCs w:val="18"/>
              </w:rPr>
            </w:pPr>
            <w:r>
              <w:rPr>
                <w:rFonts w:ascii="Arial" w:hAnsi="Arial" w:cs="Arial"/>
                <w:bCs/>
                <w:color w:val="000000"/>
                <w:sz w:val="18"/>
                <w:szCs w:val="18"/>
              </w:rPr>
              <w:t>32 539.2</w:t>
            </w:r>
          </w:p>
        </w:tc>
        <w:tc>
          <w:tcPr>
            <w:tcW w:w="1134" w:type="dxa"/>
            <w:tcBorders>
              <w:top w:val="nil"/>
              <w:left w:val="nil"/>
              <w:bottom w:val="nil"/>
              <w:right w:val="double" w:sz="6" w:space="0" w:color="auto"/>
            </w:tcBorders>
            <w:shd w:val="clear" w:color="auto" w:fill="auto"/>
            <w:vAlign w:val="center"/>
            <w:hideMark/>
          </w:tcPr>
          <w:p w14:paraId="3754B85F" w14:textId="77777777" w:rsidR="00143F5D" w:rsidRPr="00F9707F" w:rsidRDefault="00143F5D" w:rsidP="0079757F">
            <w:pPr>
              <w:ind w:left="-71" w:right="209"/>
              <w:jc w:val="right"/>
              <w:rPr>
                <w:rFonts w:ascii="Arial" w:hAnsi="Arial" w:cs="Arial"/>
                <w:color w:val="000000"/>
                <w:sz w:val="18"/>
                <w:szCs w:val="18"/>
              </w:rPr>
            </w:pPr>
            <w:r>
              <w:rPr>
                <w:rFonts w:ascii="Arial" w:hAnsi="Arial" w:cs="Arial"/>
                <w:bCs/>
                <w:color w:val="000000"/>
                <w:sz w:val="18"/>
                <w:szCs w:val="18"/>
              </w:rPr>
              <w:t>23.2</w:t>
            </w:r>
          </w:p>
        </w:tc>
      </w:tr>
      <w:tr w:rsidR="00143F5D" w14:paraId="0BEFFD26" w14:textId="77777777" w:rsidTr="0079757F">
        <w:trPr>
          <w:trHeight w:val="255"/>
          <w:jc w:val="center"/>
        </w:trPr>
        <w:tc>
          <w:tcPr>
            <w:tcW w:w="2716" w:type="dxa"/>
            <w:gridSpan w:val="4"/>
            <w:tcBorders>
              <w:top w:val="nil"/>
              <w:left w:val="double" w:sz="6" w:space="0" w:color="000000"/>
              <w:bottom w:val="double" w:sz="6" w:space="0" w:color="auto"/>
              <w:right w:val="double" w:sz="6" w:space="0" w:color="000000"/>
            </w:tcBorders>
            <w:shd w:val="clear" w:color="auto" w:fill="auto"/>
            <w:noWrap/>
            <w:vAlign w:val="center"/>
            <w:hideMark/>
          </w:tcPr>
          <w:p w14:paraId="3AF14E24" w14:textId="77777777" w:rsidR="00143F5D" w:rsidRPr="00C24D4B" w:rsidRDefault="00143F5D" w:rsidP="0079757F">
            <w:pPr>
              <w:rPr>
                <w:rFonts w:ascii="Arial" w:hAnsi="Arial" w:cs="Arial"/>
                <w:b/>
                <w:bCs/>
                <w:color w:val="000000"/>
                <w:sz w:val="18"/>
                <w:szCs w:val="18"/>
              </w:rPr>
            </w:pPr>
            <w:r w:rsidRPr="00C24D4B">
              <w:rPr>
                <w:rFonts w:ascii="Arial" w:hAnsi="Arial" w:cs="Arial"/>
                <w:b/>
                <w:bCs/>
                <w:color w:val="000000"/>
                <w:sz w:val="18"/>
                <w:szCs w:val="18"/>
              </w:rPr>
              <w:t>Saldo de la balanza comercial</w:t>
            </w:r>
          </w:p>
        </w:tc>
        <w:tc>
          <w:tcPr>
            <w:tcW w:w="1276" w:type="dxa"/>
            <w:tcBorders>
              <w:top w:val="nil"/>
              <w:left w:val="nil"/>
              <w:bottom w:val="double" w:sz="6" w:space="0" w:color="auto"/>
              <w:right w:val="nil"/>
            </w:tcBorders>
            <w:shd w:val="clear" w:color="auto" w:fill="auto"/>
            <w:vAlign w:val="center"/>
            <w:hideMark/>
          </w:tcPr>
          <w:p w14:paraId="564F88DA" w14:textId="77777777" w:rsidR="00143F5D" w:rsidRPr="00C24D4B" w:rsidRDefault="00143F5D" w:rsidP="0079757F">
            <w:pPr>
              <w:tabs>
                <w:tab w:val="left" w:pos="1069"/>
              </w:tabs>
              <w:ind w:right="73"/>
              <w:jc w:val="right"/>
              <w:rPr>
                <w:rFonts w:ascii="Arial" w:hAnsi="Arial" w:cs="Arial"/>
                <w:b/>
                <w:bCs/>
                <w:color w:val="000000"/>
                <w:sz w:val="18"/>
                <w:szCs w:val="18"/>
              </w:rPr>
            </w:pPr>
            <w:r>
              <w:rPr>
                <w:rFonts w:ascii="Arial" w:hAnsi="Arial" w:cs="Arial"/>
                <w:b/>
                <w:bCs/>
                <w:color w:val="000000"/>
                <w:sz w:val="18"/>
                <w:szCs w:val="18"/>
              </w:rPr>
              <w:t>-881.2</w:t>
            </w:r>
          </w:p>
        </w:tc>
        <w:tc>
          <w:tcPr>
            <w:tcW w:w="1134" w:type="dxa"/>
            <w:tcBorders>
              <w:top w:val="nil"/>
              <w:left w:val="nil"/>
              <w:bottom w:val="double" w:sz="6" w:space="0" w:color="auto"/>
              <w:right w:val="double" w:sz="6" w:space="0" w:color="000000"/>
            </w:tcBorders>
            <w:shd w:val="clear" w:color="auto" w:fill="auto"/>
            <w:vAlign w:val="center"/>
            <w:hideMark/>
          </w:tcPr>
          <w:p w14:paraId="444201DD" w14:textId="77777777" w:rsidR="00143F5D" w:rsidRPr="00C24D4B" w:rsidRDefault="00143F5D" w:rsidP="0079757F">
            <w:pPr>
              <w:ind w:left="-67" w:right="216"/>
              <w:jc w:val="right"/>
              <w:rPr>
                <w:rFonts w:ascii="Arial" w:hAnsi="Arial" w:cs="Arial"/>
                <w:b/>
                <w:bCs/>
                <w:color w:val="000000"/>
                <w:sz w:val="18"/>
                <w:szCs w:val="18"/>
              </w:rPr>
            </w:pPr>
            <w:r>
              <w:rPr>
                <w:rFonts w:ascii="Arial" w:hAnsi="Arial" w:cs="Arial"/>
                <w:b/>
                <w:bCs/>
                <w:color w:val="000000"/>
                <w:sz w:val="18"/>
                <w:szCs w:val="18"/>
              </w:rPr>
              <w:t>-85.9</w:t>
            </w:r>
          </w:p>
        </w:tc>
        <w:tc>
          <w:tcPr>
            <w:tcW w:w="1559" w:type="dxa"/>
            <w:tcBorders>
              <w:top w:val="nil"/>
              <w:left w:val="nil"/>
              <w:bottom w:val="double" w:sz="6" w:space="0" w:color="auto"/>
              <w:right w:val="nil"/>
            </w:tcBorders>
            <w:shd w:val="clear" w:color="auto" w:fill="auto"/>
            <w:vAlign w:val="center"/>
            <w:hideMark/>
          </w:tcPr>
          <w:p w14:paraId="334E5FFD" w14:textId="77777777" w:rsidR="00143F5D" w:rsidRPr="00C24D4B" w:rsidRDefault="00143F5D" w:rsidP="0079757F">
            <w:pPr>
              <w:ind w:right="211"/>
              <w:jc w:val="right"/>
              <w:rPr>
                <w:rFonts w:ascii="Arial" w:hAnsi="Arial" w:cs="Arial"/>
                <w:b/>
                <w:bCs/>
                <w:color w:val="000000"/>
                <w:sz w:val="18"/>
                <w:szCs w:val="18"/>
              </w:rPr>
            </w:pPr>
            <w:r w:rsidRPr="006D759D">
              <w:rPr>
                <w:rFonts w:ascii="Arial" w:hAnsi="Arial" w:cs="Arial"/>
                <w:b/>
                <w:bCs/>
                <w:color w:val="000000"/>
                <w:sz w:val="18"/>
                <w:szCs w:val="18"/>
              </w:rPr>
              <w:t>-</w:t>
            </w:r>
            <w:r>
              <w:rPr>
                <w:rFonts w:ascii="Arial" w:hAnsi="Arial" w:cs="Arial"/>
                <w:b/>
                <w:bCs/>
                <w:color w:val="000000"/>
                <w:sz w:val="18"/>
                <w:szCs w:val="18"/>
              </w:rPr>
              <w:t>7</w:t>
            </w:r>
            <w:r w:rsidRPr="00C24D4B">
              <w:rPr>
                <w:rFonts w:ascii="Arial" w:hAnsi="Arial" w:cs="Arial"/>
                <w:b/>
                <w:bCs/>
                <w:color w:val="000000"/>
                <w:sz w:val="18"/>
                <w:szCs w:val="18"/>
              </w:rPr>
              <w:t xml:space="preserve"> </w:t>
            </w:r>
            <w:r>
              <w:rPr>
                <w:rFonts w:ascii="Arial" w:hAnsi="Arial" w:cs="Arial"/>
                <w:b/>
                <w:bCs/>
                <w:color w:val="000000"/>
                <w:sz w:val="18"/>
                <w:szCs w:val="18"/>
              </w:rPr>
              <w:t>225.1</w:t>
            </w:r>
          </w:p>
        </w:tc>
        <w:tc>
          <w:tcPr>
            <w:tcW w:w="1134" w:type="dxa"/>
            <w:tcBorders>
              <w:top w:val="nil"/>
              <w:left w:val="nil"/>
              <w:bottom w:val="double" w:sz="6" w:space="0" w:color="auto"/>
              <w:right w:val="double" w:sz="6" w:space="0" w:color="000000"/>
            </w:tcBorders>
            <w:shd w:val="clear" w:color="auto" w:fill="auto"/>
            <w:vAlign w:val="center"/>
            <w:hideMark/>
          </w:tcPr>
          <w:p w14:paraId="60C54B8B" w14:textId="77777777" w:rsidR="00143F5D" w:rsidRPr="00C24D4B" w:rsidRDefault="00143F5D" w:rsidP="0079757F">
            <w:pPr>
              <w:ind w:left="-71" w:right="209"/>
              <w:jc w:val="right"/>
              <w:rPr>
                <w:rFonts w:ascii="Arial" w:hAnsi="Arial" w:cs="Arial"/>
                <w:b/>
                <w:bCs/>
                <w:color w:val="000000"/>
                <w:sz w:val="18"/>
                <w:szCs w:val="18"/>
              </w:rPr>
            </w:pPr>
            <w:r>
              <w:rPr>
                <w:rFonts w:ascii="Arial" w:hAnsi="Arial" w:cs="Arial"/>
                <w:b/>
                <w:bCs/>
                <w:color w:val="000000"/>
                <w:sz w:val="18"/>
                <w:szCs w:val="18"/>
              </w:rPr>
              <w:t>-62.1</w:t>
            </w:r>
          </w:p>
        </w:tc>
      </w:tr>
    </w:tbl>
    <w:p w14:paraId="10CF52A1" w14:textId="77777777" w:rsidR="00143F5D" w:rsidRPr="00143F5D" w:rsidRDefault="00143F5D" w:rsidP="00143F5D">
      <w:pPr>
        <w:pStyle w:val="p01"/>
        <w:keepNext/>
        <w:widowControl/>
        <w:spacing w:before="0"/>
        <w:ind w:left="1134" w:right="795"/>
        <w:jc w:val="left"/>
        <w:rPr>
          <w:rFonts w:ascii="Arial" w:hAnsi="Arial" w:cs="Arial"/>
          <w:color w:val="auto"/>
          <w:sz w:val="16"/>
          <w:szCs w:val="16"/>
        </w:rPr>
      </w:pPr>
      <w:r w:rsidRPr="00143F5D">
        <w:rPr>
          <w:rFonts w:ascii="Arial" w:hAnsi="Arial" w:cs="Arial"/>
          <w:color w:val="auto"/>
          <w:sz w:val="16"/>
          <w:szCs w:val="16"/>
        </w:rPr>
        <w:t>Nota: Debido al redondeo de las cifras, las sumas de los parciales</w:t>
      </w:r>
      <w:r w:rsidRPr="00143F5D">
        <w:rPr>
          <w:rFonts w:ascii="Arial" w:hAnsi="Arial" w:cs="Arial"/>
          <w:sz w:val="16"/>
          <w:szCs w:val="16"/>
        </w:rPr>
        <w:t xml:space="preserve"> </w:t>
      </w:r>
      <w:r w:rsidRPr="00143F5D">
        <w:rPr>
          <w:rFonts w:ascii="Arial" w:hAnsi="Arial" w:cs="Arial"/>
          <w:color w:val="auto"/>
          <w:sz w:val="16"/>
          <w:szCs w:val="16"/>
        </w:rPr>
        <w:t>pueden no coincidir con los totales.</w:t>
      </w:r>
    </w:p>
    <w:p w14:paraId="7CA1AA53" w14:textId="77777777" w:rsidR="00143F5D" w:rsidRPr="00143F5D" w:rsidRDefault="00143F5D" w:rsidP="00143F5D">
      <w:pPr>
        <w:pStyle w:val="p01"/>
        <w:keepNext/>
        <w:widowControl/>
        <w:spacing w:before="0"/>
        <w:ind w:left="1560" w:right="795" w:hanging="426"/>
        <w:jc w:val="left"/>
        <w:rPr>
          <w:rFonts w:ascii="Arial" w:hAnsi="Arial" w:cs="Arial"/>
          <w:color w:val="auto"/>
          <w:sz w:val="16"/>
          <w:szCs w:val="16"/>
        </w:rPr>
      </w:pPr>
      <w:r w:rsidRPr="00143F5D">
        <w:rPr>
          <w:rFonts w:ascii="Arial" w:hAnsi="Arial" w:cs="Arial"/>
          <w:color w:val="auto"/>
          <w:sz w:val="16"/>
          <w:szCs w:val="16"/>
        </w:rPr>
        <w:t xml:space="preserve">* </w:t>
      </w:r>
      <w:r w:rsidRPr="00143F5D">
        <w:rPr>
          <w:rFonts w:ascii="Arial" w:hAnsi="Arial" w:cs="Arial"/>
          <w:color w:val="auto"/>
          <w:sz w:val="16"/>
          <w:szCs w:val="16"/>
        </w:rPr>
        <w:tab/>
        <w:t>Cifras oportunas</w:t>
      </w:r>
    </w:p>
    <w:p w14:paraId="1545BBFD" w14:textId="77777777" w:rsidR="00143F5D" w:rsidRDefault="00143F5D" w:rsidP="00BC2858">
      <w:pPr>
        <w:pStyle w:val="bullet"/>
        <w:spacing w:before="150" w:after="360"/>
        <w:ind w:right="49"/>
        <w:rPr>
          <w:rFonts w:cs="Arial"/>
          <w:b w:val="0"/>
          <w:color w:val="auto"/>
          <w:sz w:val="24"/>
          <w:szCs w:val="22"/>
        </w:rPr>
      </w:pPr>
    </w:p>
    <w:p w14:paraId="6E6EB761" w14:textId="77777777" w:rsidR="00143F5D" w:rsidRDefault="00143F5D" w:rsidP="00BC2858">
      <w:pPr>
        <w:pStyle w:val="bullet"/>
        <w:spacing w:before="150" w:after="360"/>
        <w:ind w:right="49"/>
        <w:rPr>
          <w:rFonts w:cs="Arial"/>
          <w:b w:val="0"/>
          <w:color w:val="auto"/>
          <w:sz w:val="24"/>
          <w:szCs w:val="22"/>
        </w:rPr>
      </w:pPr>
    </w:p>
    <w:p w14:paraId="50AB48F8" w14:textId="77777777" w:rsidR="00143F5D" w:rsidRPr="00143F5D" w:rsidRDefault="00143F5D" w:rsidP="00143F5D">
      <w:pPr>
        <w:pStyle w:val="NormalWeb"/>
        <w:ind w:left="-426" w:right="-518"/>
        <w:contextualSpacing/>
        <w:jc w:val="center"/>
        <w:rPr>
          <w:rFonts w:ascii="Arial" w:hAnsi="Arial" w:cs="Arial"/>
          <w:lang w:val="es-ES_tradnl"/>
        </w:rPr>
      </w:pPr>
      <w:r w:rsidRPr="00143F5D">
        <w:rPr>
          <w:rFonts w:ascii="Arial" w:hAnsi="Arial" w:cs="Arial"/>
          <w:lang w:val="es-ES_tradnl"/>
        </w:rPr>
        <w:t xml:space="preserve">Para consultas de medios y periodistas, escribir a: </w:t>
      </w:r>
      <w:hyperlink r:id="rId11" w:history="1">
        <w:r w:rsidRPr="00143F5D">
          <w:rPr>
            <w:rStyle w:val="Hipervnculo"/>
            <w:rFonts w:ascii="Arial" w:eastAsiaTheme="majorEastAsia" w:hAnsi="Arial" w:cs="Arial"/>
          </w:rPr>
          <w:t>comunicacionsocial@inegi.org.mx</w:t>
        </w:r>
      </w:hyperlink>
      <w:r w:rsidRPr="00143F5D">
        <w:rPr>
          <w:rFonts w:ascii="Arial" w:hAnsi="Arial" w:cs="Arial"/>
          <w:lang w:val="es-ES_tradnl"/>
        </w:rPr>
        <w:t xml:space="preserve">    </w:t>
      </w:r>
    </w:p>
    <w:p w14:paraId="561B4196" w14:textId="77777777" w:rsidR="00143F5D" w:rsidRPr="00143F5D" w:rsidRDefault="00143F5D" w:rsidP="00143F5D">
      <w:pPr>
        <w:pStyle w:val="NormalWeb"/>
        <w:spacing w:before="0" w:beforeAutospacing="0" w:after="0" w:afterAutospacing="0"/>
        <w:ind w:left="-426" w:right="-518"/>
        <w:contextualSpacing/>
        <w:jc w:val="center"/>
        <w:rPr>
          <w:rFonts w:ascii="Arial" w:hAnsi="Arial" w:cs="Arial"/>
          <w:lang w:val="es-ES_tradnl"/>
        </w:rPr>
      </w:pPr>
      <w:r w:rsidRPr="00143F5D">
        <w:rPr>
          <w:rFonts w:ascii="Arial" w:hAnsi="Arial" w:cs="Arial"/>
          <w:lang w:val="es-ES_tradnl"/>
        </w:rPr>
        <w:t xml:space="preserve">o llamar al teléfono (55) 52-78-10-00, </w:t>
      </w:r>
      <w:proofErr w:type="spellStart"/>
      <w:r w:rsidRPr="00143F5D">
        <w:rPr>
          <w:rFonts w:ascii="Arial" w:hAnsi="Arial" w:cs="Arial"/>
          <w:lang w:val="es-ES_tradnl"/>
        </w:rPr>
        <w:t>exts</w:t>
      </w:r>
      <w:proofErr w:type="spellEnd"/>
      <w:r w:rsidRPr="00143F5D">
        <w:rPr>
          <w:rFonts w:ascii="Arial" w:hAnsi="Arial" w:cs="Arial"/>
          <w:lang w:val="es-ES_tradnl"/>
        </w:rPr>
        <w:t>. 321064, 321134 y 321241</w:t>
      </w:r>
    </w:p>
    <w:p w14:paraId="6EAFFC1E" w14:textId="77777777" w:rsidR="00143F5D" w:rsidRPr="00143F5D" w:rsidRDefault="00143F5D" w:rsidP="00143F5D">
      <w:pPr>
        <w:pStyle w:val="NormalWeb"/>
        <w:spacing w:before="0" w:beforeAutospacing="0" w:after="0" w:afterAutospacing="0"/>
        <w:ind w:left="-426" w:right="-518"/>
        <w:contextualSpacing/>
        <w:jc w:val="center"/>
        <w:rPr>
          <w:rFonts w:ascii="Arial" w:hAnsi="Arial" w:cs="Arial"/>
        </w:rPr>
      </w:pPr>
    </w:p>
    <w:p w14:paraId="706808ED" w14:textId="77777777" w:rsidR="00143F5D" w:rsidRPr="00143F5D" w:rsidRDefault="00143F5D" w:rsidP="00143F5D">
      <w:pPr>
        <w:pStyle w:val="NormalWeb"/>
        <w:spacing w:before="0" w:beforeAutospacing="0" w:after="0" w:afterAutospacing="0"/>
        <w:ind w:left="-426" w:right="-518"/>
        <w:contextualSpacing/>
        <w:jc w:val="center"/>
        <w:rPr>
          <w:rFonts w:ascii="Arial" w:hAnsi="Arial" w:cs="Arial"/>
        </w:rPr>
      </w:pPr>
      <w:r w:rsidRPr="00143F5D">
        <w:rPr>
          <w:rFonts w:ascii="Arial" w:hAnsi="Arial" w:cs="Arial"/>
        </w:rPr>
        <w:t>Dirección de Atención a Medios/ Dirección General Adjunta de Comunicación</w:t>
      </w:r>
    </w:p>
    <w:p w14:paraId="622B5A04" w14:textId="77777777" w:rsidR="00143F5D" w:rsidRPr="00143F5D" w:rsidRDefault="00143F5D" w:rsidP="00143F5D">
      <w:pPr>
        <w:pStyle w:val="NormalWeb"/>
        <w:spacing w:before="0" w:beforeAutospacing="0" w:after="0" w:afterAutospacing="0"/>
        <w:ind w:left="-426" w:right="-518"/>
        <w:contextualSpacing/>
        <w:jc w:val="center"/>
        <w:rPr>
          <w:rFonts w:ascii="Arial" w:hAnsi="Arial" w:cs="Arial"/>
        </w:rPr>
      </w:pPr>
    </w:p>
    <w:p w14:paraId="5D823DA7" w14:textId="77777777" w:rsidR="00143F5D" w:rsidRDefault="00143F5D" w:rsidP="00143F5D">
      <w:pPr>
        <w:spacing w:before="120"/>
        <w:ind w:left="-425" w:right="-516"/>
        <w:contextualSpacing/>
        <w:jc w:val="center"/>
        <w:rPr>
          <w:noProof/>
        </w:rPr>
        <w:sectPr w:rsidR="00143F5D" w:rsidSect="00BC2858">
          <w:headerReference w:type="default" r:id="rId12"/>
          <w:footerReference w:type="default" r:id="rId13"/>
          <w:pgSz w:w="12240" w:h="15840" w:code="1"/>
          <w:pgMar w:top="1134" w:right="1134" w:bottom="1134" w:left="1134" w:header="567" w:footer="567" w:gutter="0"/>
          <w:paperSrc w:first="15"/>
          <w:cols w:space="708"/>
          <w:docGrid w:linePitch="360"/>
        </w:sectPr>
      </w:pPr>
      <w:r w:rsidRPr="00FF1218">
        <w:rPr>
          <w:noProof/>
        </w:rPr>
        <w:drawing>
          <wp:inline distT="0" distB="0" distL="0" distR="0" wp14:anchorId="2C3A60E2" wp14:editId="56A37985">
            <wp:extent cx="369035" cy="356870"/>
            <wp:effectExtent l="0" t="0" r="0" b="5080"/>
            <wp:docPr id="9" name="Imagen 9" descr="C:\Users\saladeprensa\Desktop\NVOS LOGOS\F.jp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rotWithShape="1">
                    <a:blip r:embed="rId15">
                      <a:extLst>
                        <a:ext uri="{28A0092B-C50C-407E-A947-70E740481C1C}">
                          <a14:useLocalDpi xmlns:a14="http://schemas.microsoft.com/office/drawing/2010/main" val="0"/>
                        </a:ext>
                      </a:extLst>
                    </a:blip>
                    <a:srcRect l="20290" t="2174"/>
                    <a:stretch/>
                  </pic:blipFill>
                  <pic:spPr bwMode="auto">
                    <a:xfrm>
                      <a:off x="0" y="0"/>
                      <a:ext cx="372725" cy="360438"/>
                    </a:xfrm>
                    <a:prstGeom prst="rect">
                      <a:avLst/>
                    </a:prstGeom>
                    <a:noFill/>
                    <a:ln>
                      <a:noFill/>
                    </a:ln>
                    <a:extLst>
                      <a:ext uri="{53640926-AAD7-44D8-BBD7-CCE9431645EC}">
                        <a14:shadowObscured xmlns:a14="http://schemas.microsoft.com/office/drawing/2010/main"/>
                      </a:ext>
                    </a:extLst>
                  </pic:spPr>
                </pic:pic>
              </a:graphicData>
            </a:graphic>
          </wp:inline>
        </w:drawing>
      </w:r>
      <w:r>
        <w:rPr>
          <w:noProof/>
        </w:rPr>
        <w:t xml:space="preserve"> </w:t>
      </w:r>
      <w:r w:rsidRPr="00FF1218">
        <w:rPr>
          <w:noProof/>
        </w:rPr>
        <w:drawing>
          <wp:inline distT="0" distB="0" distL="0" distR="0" wp14:anchorId="5879BEBA" wp14:editId="5196D67D">
            <wp:extent cx="365760" cy="365760"/>
            <wp:effectExtent l="0" t="0" r="0" b="0"/>
            <wp:docPr id="2" name="Imagen 2" descr="C:\Users\saladeprensa\Desktop\NVOS LOGOS\I.jp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rPr>
        <w:t xml:space="preserve"> </w:t>
      </w:r>
      <w:r w:rsidRPr="00FF1218">
        <w:rPr>
          <w:noProof/>
        </w:rPr>
        <w:drawing>
          <wp:inline distT="0" distB="0" distL="0" distR="0" wp14:anchorId="22AF48FC" wp14:editId="398FC1A4">
            <wp:extent cx="365760" cy="365760"/>
            <wp:effectExtent l="0" t="0" r="0" b="0"/>
            <wp:docPr id="4" name="Imagen 4" descr="C:\Users\saladeprensa\Desktop\NVOS LOGOS\T.jpg">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rPr>
        <w:t xml:space="preserve"> </w:t>
      </w:r>
      <w:r w:rsidRPr="00FF1218">
        <w:rPr>
          <w:noProof/>
        </w:rPr>
        <w:drawing>
          <wp:inline distT="0" distB="0" distL="0" distR="0" wp14:anchorId="5B047F1A" wp14:editId="568CF012">
            <wp:extent cx="365760" cy="365760"/>
            <wp:effectExtent l="0" t="0" r="0" b="0"/>
            <wp:docPr id="5" name="Imagen 5" descr="C:\Users\saladeprensa\Desktop\NVOS LOGOS\Y.jpg">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rPr>
        <w:t xml:space="preserve">  </w:t>
      </w:r>
      <w:r w:rsidRPr="00FF1218">
        <w:rPr>
          <w:noProof/>
          <w:sz w:val="14"/>
          <w:szCs w:val="18"/>
        </w:rPr>
        <w:drawing>
          <wp:inline distT="0" distB="0" distL="0" distR="0" wp14:anchorId="77E2C464" wp14:editId="51953912">
            <wp:extent cx="2286000" cy="274320"/>
            <wp:effectExtent l="0" t="0" r="0" b="0"/>
            <wp:docPr id="33" name="Imagen 33">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20C56B1F" w14:textId="77777777" w:rsidR="00143F5D" w:rsidRDefault="00143F5D" w:rsidP="00BC2858">
      <w:pPr>
        <w:pStyle w:val="bullet"/>
        <w:spacing w:before="150" w:after="360"/>
        <w:ind w:right="49"/>
        <w:rPr>
          <w:rFonts w:cs="Arial"/>
          <w:b w:val="0"/>
          <w:color w:val="auto"/>
          <w:sz w:val="24"/>
          <w:szCs w:val="22"/>
        </w:rPr>
      </w:pPr>
    </w:p>
    <w:p w14:paraId="47895FF4" w14:textId="77777777" w:rsidR="00143F5D" w:rsidRDefault="00143F5D">
      <w:pPr>
        <w:rPr>
          <w:rFonts w:ascii="Arial" w:hAnsi="Arial" w:cs="Arial"/>
          <w:b/>
          <w:bCs/>
          <w:caps/>
          <w:lang w:eastAsia="es-ES"/>
        </w:rPr>
      </w:pPr>
      <w:r>
        <w:br w:type="page"/>
      </w:r>
    </w:p>
    <w:p w14:paraId="1F7611C9" w14:textId="51263A9D" w:rsidR="00143F5D" w:rsidRDefault="00143F5D" w:rsidP="00143F5D">
      <w:pPr>
        <w:pStyle w:val="Profesin"/>
        <w:spacing w:before="120"/>
        <w:outlineLvl w:val="0"/>
        <w:rPr>
          <w:sz w:val="24"/>
          <w:szCs w:val="24"/>
          <w:lang w:val="es-MX"/>
        </w:rPr>
      </w:pPr>
      <w:r w:rsidRPr="002A470D">
        <w:rPr>
          <w:sz w:val="24"/>
          <w:szCs w:val="24"/>
          <w:lang w:val="es-MX"/>
        </w:rPr>
        <w:lastRenderedPageBreak/>
        <w:t>Nota técnica</w:t>
      </w:r>
    </w:p>
    <w:p w14:paraId="46AC76B0" w14:textId="39BBC2D7" w:rsidR="00A02DDD" w:rsidRPr="00F00C8A" w:rsidRDefault="00A02DDD" w:rsidP="00143F5D">
      <w:pPr>
        <w:pStyle w:val="titulos"/>
        <w:keepNext/>
        <w:keepLines/>
        <w:spacing w:before="120"/>
        <w:rPr>
          <w:i w:val="0"/>
          <w:iCs/>
          <w:smallCaps/>
          <w:u w:val="none"/>
        </w:rPr>
      </w:pPr>
      <w:r w:rsidRPr="00F00C8A">
        <w:rPr>
          <w:i w:val="0"/>
          <w:iCs/>
          <w:smallCaps/>
          <w:u w:val="none"/>
        </w:rPr>
        <w:t>Cifras originales</w:t>
      </w:r>
    </w:p>
    <w:p w14:paraId="454339D7" w14:textId="08CF0AFA" w:rsidR="00FE0C1F" w:rsidRPr="007A64AF" w:rsidRDefault="00FE0C1F" w:rsidP="00143F5D">
      <w:pPr>
        <w:pStyle w:val="p01"/>
        <w:keepNext/>
        <w:widowControl/>
        <w:spacing w:before="120"/>
        <w:jc w:val="center"/>
        <w:rPr>
          <w:rFonts w:ascii="Arial" w:hAnsi="Arial" w:cs="Arial"/>
          <w:bCs/>
          <w:color w:val="auto"/>
          <w:sz w:val="20"/>
          <w:szCs w:val="18"/>
          <w:lang w:val="es-MX"/>
        </w:rPr>
      </w:pPr>
      <w:r w:rsidRPr="007A64AF">
        <w:rPr>
          <w:rFonts w:ascii="Arial" w:hAnsi="Arial" w:cs="Arial"/>
          <w:bCs/>
          <w:color w:val="auto"/>
          <w:sz w:val="20"/>
          <w:szCs w:val="18"/>
          <w:lang w:val="es-MX"/>
        </w:rPr>
        <w:t>Cuadro 1</w:t>
      </w:r>
    </w:p>
    <w:p w14:paraId="3F22AC5D" w14:textId="77777777" w:rsidR="00A86F56" w:rsidRDefault="00A86F56" w:rsidP="006D759D">
      <w:pPr>
        <w:pStyle w:val="p01"/>
        <w:keepNext/>
        <w:widowControl/>
        <w:spacing w:before="0"/>
        <w:jc w:val="center"/>
        <w:rPr>
          <w:rFonts w:ascii="Arial" w:hAnsi="Arial" w:cs="Arial"/>
          <w:b/>
          <w:smallCaps/>
          <w:color w:val="auto"/>
          <w:sz w:val="22"/>
          <w:lang w:val="es-MX"/>
        </w:rPr>
      </w:pPr>
      <w:r>
        <w:rPr>
          <w:rFonts w:ascii="Arial" w:hAnsi="Arial" w:cs="Arial"/>
          <w:b/>
          <w:smallCaps/>
          <w:color w:val="auto"/>
          <w:sz w:val="22"/>
          <w:lang w:val="es-MX"/>
        </w:rPr>
        <w:t>Balanza Comercial de Mercancías de México</w:t>
      </w:r>
    </w:p>
    <w:tbl>
      <w:tblPr>
        <w:tblW w:w="7819" w:type="dxa"/>
        <w:jc w:val="center"/>
        <w:tblCellMar>
          <w:left w:w="70" w:type="dxa"/>
          <w:right w:w="70" w:type="dxa"/>
        </w:tblCellMar>
        <w:tblLook w:val="04A0" w:firstRow="1" w:lastRow="0" w:firstColumn="1" w:lastColumn="0" w:noHBand="0" w:noVBand="1"/>
      </w:tblPr>
      <w:tblGrid>
        <w:gridCol w:w="191"/>
        <w:gridCol w:w="190"/>
        <w:gridCol w:w="190"/>
        <w:gridCol w:w="2145"/>
        <w:gridCol w:w="1276"/>
        <w:gridCol w:w="1134"/>
        <w:gridCol w:w="1559"/>
        <w:gridCol w:w="1134"/>
      </w:tblGrid>
      <w:tr w:rsidR="00A86F56" w14:paraId="6F55DF19" w14:textId="77777777">
        <w:trPr>
          <w:trHeight w:val="330"/>
          <w:jc w:val="center"/>
        </w:trPr>
        <w:tc>
          <w:tcPr>
            <w:tcW w:w="2716" w:type="dxa"/>
            <w:gridSpan w:val="4"/>
            <w:vMerge w:val="restart"/>
            <w:tcBorders>
              <w:top w:val="double" w:sz="6" w:space="0" w:color="auto"/>
              <w:left w:val="double" w:sz="6" w:space="0" w:color="auto"/>
              <w:bottom w:val="double" w:sz="6" w:space="0" w:color="000000"/>
              <w:right w:val="double" w:sz="6" w:space="0" w:color="000000"/>
            </w:tcBorders>
            <w:shd w:val="clear" w:color="auto" w:fill="C2D69B" w:themeFill="accent3" w:themeFillTint="99"/>
            <w:vAlign w:val="center"/>
          </w:tcPr>
          <w:p w14:paraId="303B4853" w14:textId="77777777" w:rsidR="00A86F56" w:rsidRDefault="00A86F56">
            <w:pPr>
              <w:jc w:val="center"/>
              <w:rPr>
                <w:rFonts w:ascii="Arial" w:hAnsi="Arial" w:cs="Arial"/>
                <w:color w:val="000000"/>
                <w:sz w:val="18"/>
                <w:szCs w:val="18"/>
              </w:rPr>
            </w:pPr>
            <w:r>
              <w:rPr>
                <w:rFonts w:ascii="Arial" w:hAnsi="Arial" w:cs="Arial"/>
                <w:color w:val="000000"/>
                <w:sz w:val="18"/>
                <w:szCs w:val="18"/>
              </w:rPr>
              <w:t>Concepto</w:t>
            </w:r>
          </w:p>
        </w:tc>
        <w:tc>
          <w:tcPr>
            <w:tcW w:w="2410" w:type="dxa"/>
            <w:gridSpan w:val="2"/>
            <w:tcBorders>
              <w:top w:val="double" w:sz="6" w:space="0" w:color="auto"/>
              <w:left w:val="nil"/>
              <w:bottom w:val="double" w:sz="6" w:space="0" w:color="auto"/>
              <w:right w:val="double" w:sz="6" w:space="0" w:color="000000"/>
            </w:tcBorders>
            <w:shd w:val="clear" w:color="auto" w:fill="C2D69B" w:themeFill="accent3" w:themeFillTint="99"/>
            <w:vAlign w:val="center"/>
            <w:hideMark/>
          </w:tcPr>
          <w:p w14:paraId="6D525823" w14:textId="2EF02893" w:rsidR="00A86F56" w:rsidRDefault="00634B52">
            <w:pPr>
              <w:jc w:val="center"/>
              <w:rPr>
                <w:rFonts w:ascii="Arial" w:hAnsi="Arial" w:cs="Arial"/>
                <w:color w:val="000000"/>
                <w:sz w:val="18"/>
                <w:szCs w:val="18"/>
              </w:rPr>
            </w:pPr>
            <w:r>
              <w:rPr>
                <w:rFonts w:ascii="Arial" w:hAnsi="Arial" w:cs="Arial"/>
                <w:color w:val="000000"/>
                <w:sz w:val="18"/>
                <w:szCs w:val="18"/>
              </w:rPr>
              <w:t>Ju</w:t>
            </w:r>
            <w:r w:rsidR="00543399">
              <w:rPr>
                <w:rFonts w:ascii="Arial" w:hAnsi="Arial" w:cs="Arial"/>
                <w:color w:val="000000"/>
                <w:sz w:val="18"/>
                <w:szCs w:val="18"/>
              </w:rPr>
              <w:t>l</w:t>
            </w:r>
            <w:r>
              <w:rPr>
                <w:rFonts w:ascii="Arial" w:hAnsi="Arial" w:cs="Arial"/>
                <w:color w:val="000000"/>
                <w:sz w:val="18"/>
                <w:szCs w:val="18"/>
              </w:rPr>
              <w:t>io</w:t>
            </w:r>
            <w:r w:rsidR="000B3F5B">
              <w:rPr>
                <w:rFonts w:ascii="Arial" w:hAnsi="Arial" w:cs="Arial"/>
                <w:color w:val="000000"/>
                <w:sz w:val="18"/>
                <w:szCs w:val="18"/>
              </w:rPr>
              <w:t>*</w:t>
            </w:r>
          </w:p>
        </w:tc>
        <w:tc>
          <w:tcPr>
            <w:tcW w:w="2693" w:type="dxa"/>
            <w:gridSpan w:val="2"/>
            <w:tcBorders>
              <w:top w:val="double" w:sz="6" w:space="0" w:color="auto"/>
              <w:left w:val="nil"/>
              <w:bottom w:val="double" w:sz="6" w:space="0" w:color="auto"/>
              <w:right w:val="double" w:sz="6" w:space="0" w:color="000000"/>
            </w:tcBorders>
            <w:shd w:val="clear" w:color="auto" w:fill="C2D69B" w:themeFill="accent3" w:themeFillTint="99"/>
            <w:vAlign w:val="center"/>
            <w:hideMark/>
          </w:tcPr>
          <w:p w14:paraId="0B0C3B91" w14:textId="6762B0AC" w:rsidR="00A86F56" w:rsidRDefault="00A86F56">
            <w:pPr>
              <w:jc w:val="center"/>
              <w:rPr>
                <w:rFonts w:ascii="Arial" w:hAnsi="Arial" w:cs="Arial"/>
                <w:color w:val="000000"/>
                <w:sz w:val="18"/>
                <w:szCs w:val="18"/>
              </w:rPr>
            </w:pPr>
            <w:r>
              <w:rPr>
                <w:rFonts w:ascii="Arial" w:hAnsi="Arial" w:cs="Arial"/>
                <w:color w:val="000000"/>
                <w:sz w:val="18"/>
                <w:szCs w:val="18"/>
              </w:rPr>
              <w:t xml:space="preserve">Enero - </w:t>
            </w:r>
            <w:r w:rsidR="00634B52">
              <w:rPr>
                <w:rFonts w:ascii="Arial" w:hAnsi="Arial" w:cs="Arial"/>
                <w:color w:val="000000"/>
                <w:sz w:val="18"/>
                <w:szCs w:val="18"/>
              </w:rPr>
              <w:t>Ju</w:t>
            </w:r>
            <w:r w:rsidR="00543399">
              <w:rPr>
                <w:rFonts w:ascii="Arial" w:hAnsi="Arial" w:cs="Arial"/>
                <w:color w:val="000000"/>
                <w:sz w:val="18"/>
                <w:szCs w:val="18"/>
              </w:rPr>
              <w:t>l</w:t>
            </w:r>
            <w:r w:rsidR="00634B52">
              <w:rPr>
                <w:rFonts w:ascii="Arial" w:hAnsi="Arial" w:cs="Arial"/>
                <w:color w:val="000000"/>
                <w:sz w:val="18"/>
                <w:szCs w:val="18"/>
              </w:rPr>
              <w:t>io</w:t>
            </w:r>
            <w:r>
              <w:rPr>
                <w:rFonts w:ascii="Arial" w:hAnsi="Arial" w:cs="Arial"/>
                <w:color w:val="000000"/>
                <w:sz w:val="18"/>
                <w:szCs w:val="18"/>
              </w:rPr>
              <w:t>*</w:t>
            </w:r>
          </w:p>
        </w:tc>
      </w:tr>
      <w:tr w:rsidR="00A86F56" w14:paraId="4843D512" w14:textId="77777777">
        <w:trPr>
          <w:trHeight w:val="510"/>
          <w:jc w:val="center"/>
        </w:trPr>
        <w:tc>
          <w:tcPr>
            <w:tcW w:w="2716" w:type="dxa"/>
            <w:gridSpan w:val="4"/>
            <w:vMerge/>
            <w:tcBorders>
              <w:top w:val="double" w:sz="6" w:space="0" w:color="auto"/>
              <w:left w:val="double" w:sz="6" w:space="0" w:color="auto"/>
              <w:bottom w:val="double" w:sz="6" w:space="0" w:color="000000"/>
              <w:right w:val="double" w:sz="6" w:space="0" w:color="000000"/>
            </w:tcBorders>
            <w:shd w:val="clear" w:color="auto" w:fill="C2D69B" w:themeFill="accent3" w:themeFillTint="99"/>
            <w:vAlign w:val="center"/>
          </w:tcPr>
          <w:p w14:paraId="4C5CAF7A" w14:textId="77777777" w:rsidR="00A86F56" w:rsidRDefault="00A86F56">
            <w:pPr>
              <w:rPr>
                <w:rFonts w:ascii="Arial" w:hAnsi="Arial" w:cs="Arial"/>
                <w:color w:val="000000"/>
                <w:sz w:val="18"/>
                <w:szCs w:val="18"/>
              </w:rPr>
            </w:pPr>
          </w:p>
        </w:tc>
        <w:tc>
          <w:tcPr>
            <w:tcW w:w="1276" w:type="dxa"/>
            <w:tcBorders>
              <w:top w:val="nil"/>
              <w:left w:val="nil"/>
              <w:bottom w:val="double" w:sz="6" w:space="0" w:color="000000"/>
              <w:right w:val="double" w:sz="6" w:space="0" w:color="000000"/>
            </w:tcBorders>
            <w:shd w:val="clear" w:color="auto" w:fill="C2D69B" w:themeFill="accent3" w:themeFillTint="99"/>
            <w:vAlign w:val="center"/>
            <w:hideMark/>
          </w:tcPr>
          <w:p w14:paraId="1AC4BCA8" w14:textId="77777777" w:rsidR="00A86F56" w:rsidRDefault="00A86F56">
            <w:pPr>
              <w:jc w:val="center"/>
              <w:rPr>
                <w:rFonts w:ascii="Arial" w:hAnsi="Arial" w:cs="Arial"/>
                <w:color w:val="000000"/>
                <w:sz w:val="18"/>
                <w:szCs w:val="18"/>
              </w:rPr>
            </w:pPr>
            <w:r>
              <w:rPr>
                <w:rFonts w:ascii="Arial" w:hAnsi="Arial" w:cs="Arial"/>
                <w:color w:val="000000"/>
                <w:sz w:val="18"/>
                <w:szCs w:val="18"/>
              </w:rPr>
              <w:t>Millones de dólares</w:t>
            </w:r>
          </w:p>
        </w:tc>
        <w:tc>
          <w:tcPr>
            <w:tcW w:w="1134" w:type="dxa"/>
            <w:tcBorders>
              <w:top w:val="nil"/>
              <w:left w:val="nil"/>
              <w:bottom w:val="double" w:sz="6" w:space="0" w:color="000000"/>
              <w:right w:val="double" w:sz="6" w:space="0" w:color="000000"/>
            </w:tcBorders>
            <w:shd w:val="clear" w:color="auto" w:fill="C2D69B" w:themeFill="accent3" w:themeFillTint="99"/>
            <w:vAlign w:val="center"/>
            <w:hideMark/>
          </w:tcPr>
          <w:p w14:paraId="08862AA3" w14:textId="77777777" w:rsidR="00A86F56" w:rsidRDefault="00A86F56">
            <w:pPr>
              <w:jc w:val="center"/>
              <w:rPr>
                <w:rFonts w:ascii="Arial" w:hAnsi="Arial" w:cs="Arial"/>
                <w:color w:val="000000"/>
                <w:sz w:val="18"/>
                <w:szCs w:val="18"/>
              </w:rPr>
            </w:pPr>
            <w:r>
              <w:rPr>
                <w:rFonts w:ascii="Arial" w:hAnsi="Arial" w:cs="Arial"/>
                <w:color w:val="000000"/>
                <w:sz w:val="18"/>
                <w:szCs w:val="18"/>
              </w:rPr>
              <w:t>Variación % anual</w:t>
            </w:r>
          </w:p>
        </w:tc>
        <w:tc>
          <w:tcPr>
            <w:tcW w:w="1559" w:type="dxa"/>
            <w:tcBorders>
              <w:top w:val="nil"/>
              <w:left w:val="nil"/>
              <w:bottom w:val="double" w:sz="6" w:space="0" w:color="000000"/>
              <w:right w:val="double" w:sz="6" w:space="0" w:color="000000"/>
            </w:tcBorders>
            <w:shd w:val="clear" w:color="auto" w:fill="C2D69B" w:themeFill="accent3" w:themeFillTint="99"/>
            <w:vAlign w:val="center"/>
            <w:hideMark/>
          </w:tcPr>
          <w:p w14:paraId="1E1E6C22" w14:textId="77777777" w:rsidR="00A86F56" w:rsidRDefault="00A86F56">
            <w:pPr>
              <w:jc w:val="center"/>
              <w:rPr>
                <w:rFonts w:ascii="Arial" w:hAnsi="Arial" w:cs="Arial"/>
                <w:color w:val="000000"/>
                <w:sz w:val="18"/>
                <w:szCs w:val="18"/>
              </w:rPr>
            </w:pPr>
            <w:r>
              <w:rPr>
                <w:rFonts w:ascii="Arial" w:hAnsi="Arial" w:cs="Arial"/>
                <w:color w:val="000000"/>
                <w:sz w:val="18"/>
                <w:szCs w:val="18"/>
              </w:rPr>
              <w:t>Millones de dólares</w:t>
            </w:r>
          </w:p>
        </w:tc>
        <w:tc>
          <w:tcPr>
            <w:tcW w:w="1134" w:type="dxa"/>
            <w:tcBorders>
              <w:top w:val="nil"/>
              <w:left w:val="nil"/>
              <w:bottom w:val="double" w:sz="6" w:space="0" w:color="000000"/>
              <w:right w:val="double" w:sz="6" w:space="0" w:color="auto"/>
            </w:tcBorders>
            <w:shd w:val="clear" w:color="auto" w:fill="C2D69B" w:themeFill="accent3" w:themeFillTint="99"/>
            <w:vAlign w:val="center"/>
            <w:hideMark/>
          </w:tcPr>
          <w:p w14:paraId="102721AE" w14:textId="77777777" w:rsidR="00A86F56" w:rsidRDefault="00A86F56">
            <w:pPr>
              <w:jc w:val="center"/>
              <w:rPr>
                <w:rFonts w:ascii="Arial" w:hAnsi="Arial" w:cs="Arial"/>
                <w:color w:val="000000"/>
                <w:sz w:val="18"/>
                <w:szCs w:val="18"/>
              </w:rPr>
            </w:pPr>
            <w:r>
              <w:rPr>
                <w:rFonts w:ascii="Arial" w:hAnsi="Arial" w:cs="Arial"/>
                <w:color w:val="000000"/>
                <w:sz w:val="18"/>
                <w:szCs w:val="18"/>
              </w:rPr>
              <w:t>Variación % anual</w:t>
            </w:r>
          </w:p>
        </w:tc>
      </w:tr>
      <w:tr w:rsidR="00A86F56" w14:paraId="3041025D" w14:textId="77777777">
        <w:trPr>
          <w:trHeight w:val="255"/>
          <w:jc w:val="center"/>
        </w:trPr>
        <w:tc>
          <w:tcPr>
            <w:tcW w:w="2716" w:type="dxa"/>
            <w:gridSpan w:val="4"/>
            <w:tcBorders>
              <w:top w:val="double" w:sz="6" w:space="0" w:color="000000"/>
              <w:left w:val="double" w:sz="6" w:space="0" w:color="000000"/>
              <w:bottom w:val="nil"/>
              <w:right w:val="double" w:sz="6" w:space="0" w:color="000000"/>
            </w:tcBorders>
            <w:shd w:val="clear" w:color="auto" w:fill="auto"/>
            <w:noWrap/>
            <w:vAlign w:val="center"/>
            <w:hideMark/>
          </w:tcPr>
          <w:p w14:paraId="6D51EA9A" w14:textId="77777777" w:rsidR="00A86F56" w:rsidRPr="00C24D4B" w:rsidRDefault="00A86F56">
            <w:pPr>
              <w:rPr>
                <w:rFonts w:ascii="Arial" w:hAnsi="Arial" w:cs="Arial"/>
                <w:b/>
                <w:bCs/>
                <w:color w:val="000000"/>
                <w:sz w:val="18"/>
                <w:szCs w:val="18"/>
              </w:rPr>
            </w:pPr>
            <w:r w:rsidRPr="00C24D4B">
              <w:rPr>
                <w:rFonts w:ascii="Arial" w:hAnsi="Arial" w:cs="Arial"/>
                <w:b/>
                <w:bCs/>
                <w:color w:val="000000"/>
                <w:sz w:val="18"/>
                <w:szCs w:val="18"/>
              </w:rPr>
              <w:t>Exportaciones totales</w:t>
            </w:r>
          </w:p>
        </w:tc>
        <w:tc>
          <w:tcPr>
            <w:tcW w:w="1276" w:type="dxa"/>
            <w:shd w:val="clear" w:color="auto" w:fill="auto"/>
            <w:vAlign w:val="center"/>
            <w:hideMark/>
          </w:tcPr>
          <w:p w14:paraId="7AA218B1" w14:textId="0A0C7696" w:rsidR="00A86F56" w:rsidRPr="00C24D4B" w:rsidRDefault="008D74F0">
            <w:pPr>
              <w:tabs>
                <w:tab w:val="left" w:pos="1069"/>
              </w:tabs>
              <w:ind w:right="73"/>
              <w:jc w:val="right"/>
              <w:rPr>
                <w:rFonts w:ascii="Arial" w:hAnsi="Arial" w:cs="Arial"/>
                <w:b/>
                <w:bCs/>
                <w:color w:val="000000"/>
                <w:sz w:val="18"/>
                <w:szCs w:val="18"/>
              </w:rPr>
            </w:pPr>
            <w:r>
              <w:rPr>
                <w:rFonts w:ascii="Arial" w:hAnsi="Arial" w:cs="Arial"/>
                <w:b/>
                <w:bCs/>
                <w:color w:val="000000"/>
                <w:sz w:val="18"/>
                <w:szCs w:val="18"/>
              </w:rPr>
              <w:t>47</w:t>
            </w:r>
            <w:r w:rsidR="00A86F56" w:rsidRPr="00C24D4B">
              <w:rPr>
                <w:rFonts w:ascii="Arial" w:hAnsi="Arial" w:cs="Arial"/>
                <w:b/>
                <w:bCs/>
                <w:color w:val="000000"/>
                <w:sz w:val="18"/>
                <w:szCs w:val="18"/>
              </w:rPr>
              <w:t xml:space="preserve"> </w:t>
            </w:r>
            <w:r>
              <w:rPr>
                <w:rFonts w:ascii="Arial" w:hAnsi="Arial" w:cs="Arial"/>
                <w:b/>
                <w:bCs/>
                <w:color w:val="000000"/>
                <w:sz w:val="18"/>
                <w:szCs w:val="18"/>
              </w:rPr>
              <w:t>550.4</w:t>
            </w:r>
          </w:p>
        </w:tc>
        <w:tc>
          <w:tcPr>
            <w:tcW w:w="1134" w:type="dxa"/>
            <w:tcBorders>
              <w:top w:val="nil"/>
              <w:left w:val="nil"/>
              <w:bottom w:val="nil"/>
              <w:right w:val="double" w:sz="6" w:space="0" w:color="000000"/>
            </w:tcBorders>
            <w:shd w:val="clear" w:color="auto" w:fill="auto"/>
            <w:vAlign w:val="center"/>
            <w:hideMark/>
          </w:tcPr>
          <w:p w14:paraId="379A3D28" w14:textId="7AA6561A" w:rsidR="00A86F56" w:rsidRPr="00C24D4B" w:rsidRDefault="008D74F0">
            <w:pPr>
              <w:ind w:left="-67" w:right="216"/>
              <w:jc w:val="right"/>
              <w:rPr>
                <w:rFonts w:ascii="Arial" w:hAnsi="Arial" w:cs="Arial"/>
                <w:b/>
                <w:bCs/>
                <w:color w:val="000000"/>
                <w:sz w:val="18"/>
                <w:szCs w:val="18"/>
              </w:rPr>
            </w:pPr>
            <w:r>
              <w:rPr>
                <w:rFonts w:ascii="Arial" w:hAnsi="Arial" w:cs="Arial"/>
                <w:b/>
                <w:bCs/>
                <w:color w:val="000000"/>
                <w:sz w:val="18"/>
                <w:szCs w:val="18"/>
              </w:rPr>
              <w:t>2.9</w:t>
            </w:r>
          </w:p>
        </w:tc>
        <w:tc>
          <w:tcPr>
            <w:tcW w:w="1559" w:type="dxa"/>
            <w:shd w:val="clear" w:color="auto" w:fill="auto"/>
            <w:vAlign w:val="center"/>
            <w:hideMark/>
          </w:tcPr>
          <w:p w14:paraId="3328EEF0" w14:textId="63B46D6B" w:rsidR="00A86F56" w:rsidRPr="00C24D4B" w:rsidRDefault="008D74F0">
            <w:pPr>
              <w:ind w:right="211"/>
              <w:jc w:val="right"/>
              <w:rPr>
                <w:rFonts w:ascii="Arial" w:hAnsi="Arial" w:cs="Arial"/>
                <w:b/>
                <w:bCs/>
                <w:color w:val="000000"/>
                <w:sz w:val="18"/>
                <w:szCs w:val="18"/>
              </w:rPr>
            </w:pPr>
            <w:r>
              <w:rPr>
                <w:rFonts w:ascii="Arial" w:hAnsi="Arial" w:cs="Arial"/>
                <w:b/>
                <w:bCs/>
                <w:color w:val="000000"/>
                <w:sz w:val="18"/>
                <w:szCs w:val="18"/>
              </w:rPr>
              <w:t>339</w:t>
            </w:r>
            <w:r w:rsidR="00A86F56" w:rsidRPr="00C24D4B">
              <w:rPr>
                <w:rFonts w:ascii="Arial" w:hAnsi="Arial" w:cs="Arial"/>
                <w:b/>
                <w:bCs/>
                <w:color w:val="000000"/>
                <w:sz w:val="18"/>
                <w:szCs w:val="18"/>
              </w:rPr>
              <w:t xml:space="preserve"> </w:t>
            </w:r>
            <w:r>
              <w:rPr>
                <w:rFonts w:ascii="Arial" w:hAnsi="Arial" w:cs="Arial"/>
                <w:b/>
                <w:bCs/>
                <w:color w:val="000000"/>
                <w:sz w:val="18"/>
                <w:szCs w:val="18"/>
              </w:rPr>
              <w:t>518.9</w:t>
            </w:r>
          </w:p>
        </w:tc>
        <w:tc>
          <w:tcPr>
            <w:tcW w:w="1134" w:type="dxa"/>
            <w:tcBorders>
              <w:top w:val="nil"/>
              <w:left w:val="nil"/>
              <w:bottom w:val="nil"/>
              <w:right w:val="double" w:sz="6" w:space="0" w:color="auto"/>
            </w:tcBorders>
            <w:shd w:val="clear" w:color="auto" w:fill="auto"/>
            <w:vAlign w:val="center"/>
            <w:hideMark/>
          </w:tcPr>
          <w:p w14:paraId="44634AFF" w14:textId="13316ECB" w:rsidR="00A86F56" w:rsidRPr="00C24D4B" w:rsidRDefault="00527D4B">
            <w:pPr>
              <w:ind w:left="-71" w:right="209"/>
              <w:jc w:val="right"/>
              <w:rPr>
                <w:rFonts w:ascii="Arial" w:hAnsi="Arial" w:cs="Arial"/>
                <w:b/>
                <w:bCs/>
                <w:color w:val="000000"/>
                <w:sz w:val="18"/>
                <w:szCs w:val="18"/>
              </w:rPr>
            </w:pPr>
            <w:r>
              <w:rPr>
                <w:rFonts w:ascii="Arial" w:hAnsi="Arial" w:cs="Arial"/>
                <w:b/>
                <w:bCs/>
                <w:color w:val="000000"/>
                <w:sz w:val="18"/>
                <w:szCs w:val="18"/>
              </w:rPr>
              <w:t>3.</w:t>
            </w:r>
            <w:r w:rsidR="008D74F0">
              <w:rPr>
                <w:rFonts w:ascii="Arial" w:hAnsi="Arial" w:cs="Arial"/>
                <w:b/>
                <w:bCs/>
                <w:color w:val="000000"/>
                <w:sz w:val="18"/>
                <w:szCs w:val="18"/>
              </w:rPr>
              <w:t>8</w:t>
            </w:r>
          </w:p>
        </w:tc>
      </w:tr>
      <w:tr w:rsidR="00A86F56" w14:paraId="4A12EB30" w14:textId="77777777">
        <w:trPr>
          <w:trHeight w:val="255"/>
          <w:jc w:val="center"/>
        </w:trPr>
        <w:tc>
          <w:tcPr>
            <w:tcW w:w="191" w:type="dxa"/>
            <w:tcBorders>
              <w:left w:val="double" w:sz="6" w:space="0" w:color="000000"/>
            </w:tcBorders>
            <w:shd w:val="clear" w:color="auto" w:fill="auto"/>
            <w:vAlign w:val="center"/>
            <w:hideMark/>
          </w:tcPr>
          <w:p w14:paraId="49046893"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 </w:t>
            </w:r>
          </w:p>
        </w:tc>
        <w:tc>
          <w:tcPr>
            <w:tcW w:w="2525" w:type="dxa"/>
            <w:gridSpan w:val="3"/>
            <w:tcBorders>
              <w:top w:val="nil"/>
              <w:left w:val="nil"/>
              <w:bottom w:val="nil"/>
              <w:right w:val="double" w:sz="6" w:space="0" w:color="000000"/>
            </w:tcBorders>
            <w:shd w:val="clear" w:color="auto" w:fill="auto"/>
            <w:noWrap/>
            <w:vAlign w:val="center"/>
            <w:hideMark/>
          </w:tcPr>
          <w:p w14:paraId="492CB17C"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Petroleras</w:t>
            </w:r>
          </w:p>
        </w:tc>
        <w:tc>
          <w:tcPr>
            <w:tcW w:w="1276" w:type="dxa"/>
            <w:shd w:val="clear" w:color="auto" w:fill="auto"/>
            <w:vAlign w:val="center"/>
            <w:hideMark/>
          </w:tcPr>
          <w:p w14:paraId="52A1B2F8" w14:textId="27F40723" w:rsidR="00A86F56" w:rsidRPr="00F9707F" w:rsidRDefault="00A86F56">
            <w:pPr>
              <w:tabs>
                <w:tab w:val="left" w:pos="1069"/>
              </w:tabs>
              <w:ind w:right="73"/>
              <w:jc w:val="right"/>
              <w:rPr>
                <w:rFonts w:ascii="Arial" w:hAnsi="Arial" w:cs="Arial"/>
                <w:color w:val="000000"/>
                <w:sz w:val="18"/>
                <w:szCs w:val="18"/>
              </w:rPr>
            </w:pPr>
            <w:r w:rsidRPr="00F9707F">
              <w:rPr>
                <w:rFonts w:ascii="Arial" w:hAnsi="Arial" w:cs="Arial"/>
                <w:bCs/>
                <w:color w:val="000000"/>
                <w:sz w:val="18"/>
                <w:szCs w:val="18"/>
              </w:rPr>
              <w:t xml:space="preserve">2 </w:t>
            </w:r>
            <w:r w:rsidR="008D74F0">
              <w:rPr>
                <w:rFonts w:ascii="Arial" w:hAnsi="Arial" w:cs="Arial"/>
                <w:bCs/>
                <w:color w:val="000000"/>
                <w:sz w:val="18"/>
                <w:szCs w:val="18"/>
              </w:rPr>
              <w:t>729.8</w:t>
            </w:r>
          </w:p>
        </w:tc>
        <w:tc>
          <w:tcPr>
            <w:tcW w:w="1134" w:type="dxa"/>
            <w:tcBorders>
              <w:top w:val="nil"/>
              <w:left w:val="nil"/>
              <w:bottom w:val="nil"/>
              <w:right w:val="double" w:sz="6" w:space="0" w:color="auto"/>
            </w:tcBorders>
            <w:shd w:val="clear" w:color="auto" w:fill="auto"/>
            <w:vAlign w:val="center"/>
            <w:hideMark/>
          </w:tcPr>
          <w:p w14:paraId="205BB487" w14:textId="5BFEAA53" w:rsidR="00A86F56" w:rsidRPr="00F9707F" w:rsidRDefault="00A86F56">
            <w:pPr>
              <w:ind w:left="-67" w:right="216"/>
              <w:jc w:val="right"/>
              <w:rPr>
                <w:rFonts w:ascii="Arial" w:hAnsi="Arial" w:cs="Arial"/>
                <w:color w:val="000000"/>
                <w:sz w:val="18"/>
                <w:szCs w:val="18"/>
              </w:rPr>
            </w:pPr>
            <w:r>
              <w:rPr>
                <w:rFonts w:ascii="Arial" w:hAnsi="Arial" w:cs="Arial"/>
                <w:bCs/>
                <w:color w:val="000000"/>
                <w:sz w:val="18"/>
                <w:szCs w:val="18"/>
              </w:rPr>
              <w:t>-</w:t>
            </w:r>
            <w:r w:rsidR="004D2C2E">
              <w:rPr>
                <w:rFonts w:ascii="Arial" w:hAnsi="Arial" w:cs="Arial"/>
                <w:bCs/>
                <w:color w:val="000000"/>
                <w:sz w:val="18"/>
                <w:szCs w:val="18"/>
              </w:rPr>
              <w:t>28.</w:t>
            </w:r>
            <w:r w:rsidR="008D74F0">
              <w:rPr>
                <w:rFonts w:ascii="Arial" w:hAnsi="Arial" w:cs="Arial"/>
                <w:bCs/>
                <w:color w:val="000000"/>
                <w:sz w:val="18"/>
                <w:szCs w:val="18"/>
              </w:rPr>
              <w:t>5</w:t>
            </w:r>
          </w:p>
        </w:tc>
        <w:tc>
          <w:tcPr>
            <w:tcW w:w="1559" w:type="dxa"/>
            <w:shd w:val="clear" w:color="auto" w:fill="auto"/>
            <w:vAlign w:val="center"/>
            <w:hideMark/>
          </w:tcPr>
          <w:p w14:paraId="7929701D" w14:textId="6563A665" w:rsidR="00A86F56" w:rsidRPr="00F9707F" w:rsidRDefault="00A86F56">
            <w:pPr>
              <w:ind w:right="211"/>
              <w:jc w:val="right"/>
              <w:rPr>
                <w:rFonts w:ascii="Arial" w:hAnsi="Arial" w:cs="Arial"/>
                <w:color w:val="000000"/>
                <w:sz w:val="18"/>
                <w:szCs w:val="18"/>
              </w:rPr>
            </w:pPr>
            <w:r>
              <w:rPr>
                <w:rFonts w:ascii="Arial" w:hAnsi="Arial" w:cs="Arial"/>
                <w:bCs/>
                <w:color w:val="000000"/>
                <w:sz w:val="18"/>
                <w:szCs w:val="18"/>
              </w:rPr>
              <w:t>1</w:t>
            </w:r>
            <w:r w:rsidR="008D74F0">
              <w:rPr>
                <w:rFonts w:ascii="Arial" w:hAnsi="Arial" w:cs="Arial"/>
                <w:bCs/>
                <w:color w:val="000000"/>
                <w:sz w:val="18"/>
                <w:szCs w:val="18"/>
              </w:rPr>
              <w:t>8</w:t>
            </w:r>
            <w:r>
              <w:rPr>
                <w:rFonts w:ascii="Arial" w:hAnsi="Arial" w:cs="Arial"/>
                <w:bCs/>
                <w:color w:val="000000"/>
                <w:sz w:val="18"/>
                <w:szCs w:val="18"/>
              </w:rPr>
              <w:t xml:space="preserve"> </w:t>
            </w:r>
            <w:r w:rsidR="008D74F0">
              <w:rPr>
                <w:rFonts w:ascii="Arial" w:hAnsi="Arial" w:cs="Arial"/>
                <w:bCs/>
                <w:color w:val="000000"/>
                <w:sz w:val="18"/>
                <w:szCs w:val="18"/>
              </w:rPr>
              <w:t>491.5</w:t>
            </w:r>
          </w:p>
        </w:tc>
        <w:tc>
          <w:tcPr>
            <w:tcW w:w="1134" w:type="dxa"/>
            <w:tcBorders>
              <w:top w:val="nil"/>
              <w:left w:val="nil"/>
              <w:bottom w:val="nil"/>
              <w:right w:val="double" w:sz="6" w:space="0" w:color="auto"/>
            </w:tcBorders>
            <w:shd w:val="clear" w:color="auto" w:fill="auto"/>
            <w:vAlign w:val="center"/>
            <w:hideMark/>
          </w:tcPr>
          <w:p w14:paraId="45BEF6E8" w14:textId="5C747FAF" w:rsidR="00A86F56" w:rsidRPr="00F9707F" w:rsidRDefault="00A86F56">
            <w:pPr>
              <w:ind w:left="-71" w:right="209"/>
              <w:jc w:val="right"/>
              <w:rPr>
                <w:rFonts w:ascii="Arial" w:hAnsi="Arial" w:cs="Arial"/>
                <w:color w:val="000000"/>
                <w:sz w:val="18"/>
                <w:szCs w:val="18"/>
              </w:rPr>
            </w:pPr>
            <w:r>
              <w:rPr>
                <w:rFonts w:ascii="Arial" w:hAnsi="Arial" w:cs="Arial"/>
                <w:bCs/>
                <w:color w:val="000000"/>
                <w:sz w:val="18"/>
                <w:szCs w:val="18"/>
              </w:rPr>
              <w:t>-2</w:t>
            </w:r>
            <w:r w:rsidR="008D74F0">
              <w:rPr>
                <w:rFonts w:ascii="Arial" w:hAnsi="Arial" w:cs="Arial"/>
                <w:bCs/>
                <w:color w:val="000000"/>
                <w:sz w:val="18"/>
                <w:szCs w:val="18"/>
              </w:rPr>
              <w:t>4.2</w:t>
            </w:r>
          </w:p>
        </w:tc>
      </w:tr>
      <w:tr w:rsidR="00A86F56" w14:paraId="7A3C2E37" w14:textId="77777777">
        <w:trPr>
          <w:trHeight w:val="255"/>
          <w:jc w:val="center"/>
        </w:trPr>
        <w:tc>
          <w:tcPr>
            <w:tcW w:w="191" w:type="dxa"/>
            <w:tcBorders>
              <w:left w:val="double" w:sz="6" w:space="0" w:color="000000"/>
            </w:tcBorders>
            <w:shd w:val="clear" w:color="auto" w:fill="auto"/>
            <w:vAlign w:val="center"/>
            <w:hideMark/>
          </w:tcPr>
          <w:p w14:paraId="52D56029"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 </w:t>
            </w:r>
          </w:p>
        </w:tc>
        <w:tc>
          <w:tcPr>
            <w:tcW w:w="2525" w:type="dxa"/>
            <w:gridSpan w:val="3"/>
            <w:tcBorders>
              <w:top w:val="nil"/>
              <w:left w:val="nil"/>
              <w:bottom w:val="nil"/>
              <w:right w:val="double" w:sz="6" w:space="0" w:color="000000"/>
            </w:tcBorders>
            <w:shd w:val="clear" w:color="auto" w:fill="auto"/>
            <w:noWrap/>
            <w:vAlign w:val="center"/>
            <w:hideMark/>
          </w:tcPr>
          <w:p w14:paraId="5ED6E8EC"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No petroleras</w:t>
            </w:r>
          </w:p>
        </w:tc>
        <w:tc>
          <w:tcPr>
            <w:tcW w:w="1276" w:type="dxa"/>
            <w:shd w:val="clear" w:color="auto" w:fill="auto"/>
            <w:vAlign w:val="center"/>
            <w:hideMark/>
          </w:tcPr>
          <w:p w14:paraId="75B29261" w14:textId="07A92FD5" w:rsidR="00A86F56" w:rsidRPr="00F9707F" w:rsidRDefault="004D2C2E">
            <w:pPr>
              <w:tabs>
                <w:tab w:val="left" w:pos="1069"/>
              </w:tabs>
              <w:ind w:right="73"/>
              <w:jc w:val="right"/>
              <w:rPr>
                <w:rFonts w:ascii="Arial" w:hAnsi="Arial" w:cs="Arial"/>
                <w:color w:val="000000"/>
                <w:sz w:val="18"/>
                <w:szCs w:val="18"/>
              </w:rPr>
            </w:pPr>
            <w:r>
              <w:rPr>
                <w:rFonts w:ascii="Arial" w:hAnsi="Arial" w:cs="Arial"/>
                <w:bCs/>
                <w:color w:val="000000"/>
                <w:sz w:val="18"/>
                <w:szCs w:val="18"/>
              </w:rPr>
              <w:t>4</w:t>
            </w:r>
            <w:r w:rsidR="008D74F0">
              <w:rPr>
                <w:rFonts w:ascii="Arial" w:hAnsi="Arial" w:cs="Arial"/>
                <w:bCs/>
                <w:color w:val="000000"/>
                <w:sz w:val="18"/>
                <w:szCs w:val="18"/>
              </w:rPr>
              <w:t>4</w:t>
            </w:r>
            <w:r w:rsidR="00A86F56" w:rsidRPr="00F9707F">
              <w:rPr>
                <w:rFonts w:ascii="Arial" w:hAnsi="Arial" w:cs="Arial"/>
                <w:bCs/>
                <w:color w:val="000000"/>
                <w:sz w:val="18"/>
                <w:szCs w:val="18"/>
              </w:rPr>
              <w:t xml:space="preserve"> </w:t>
            </w:r>
            <w:r w:rsidR="008D74F0">
              <w:rPr>
                <w:rFonts w:ascii="Arial" w:hAnsi="Arial" w:cs="Arial"/>
                <w:bCs/>
                <w:color w:val="000000"/>
                <w:sz w:val="18"/>
                <w:szCs w:val="18"/>
              </w:rPr>
              <w:t>820.7</w:t>
            </w:r>
          </w:p>
        </w:tc>
        <w:tc>
          <w:tcPr>
            <w:tcW w:w="1134" w:type="dxa"/>
            <w:tcBorders>
              <w:top w:val="nil"/>
              <w:left w:val="nil"/>
              <w:bottom w:val="nil"/>
              <w:right w:val="double" w:sz="6" w:space="0" w:color="auto"/>
            </w:tcBorders>
            <w:shd w:val="clear" w:color="auto" w:fill="auto"/>
            <w:vAlign w:val="center"/>
            <w:hideMark/>
          </w:tcPr>
          <w:p w14:paraId="5EA67B9D" w14:textId="1953EE38" w:rsidR="00A86F56" w:rsidRPr="00F9707F" w:rsidRDefault="008D74F0">
            <w:pPr>
              <w:ind w:left="-67" w:right="216"/>
              <w:jc w:val="right"/>
              <w:rPr>
                <w:rFonts w:ascii="Arial" w:hAnsi="Arial" w:cs="Arial"/>
                <w:color w:val="000000"/>
                <w:sz w:val="18"/>
                <w:szCs w:val="18"/>
              </w:rPr>
            </w:pPr>
            <w:r>
              <w:rPr>
                <w:rFonts w:ascii="Arial" w:hAnsi="Arial" w:cs="Arial"/>
                <w:bCs/>
                <w:color w:val="000000"/>
                <w:sz w:val="18"/>
                <w:szCs w:val="18"/>
              </w:rPr>
              <w:t>5</w:t>
            </w:r>
            <w:r w:rsidR="004D2C2E">
              <w:rPr>
                <w:rFonts w:ascii="Arial" w:hAnsi="Arial" w:cs="Arial"/>
                <w:bCs/>
                <w:color w:val="000000"/>
                <w:sz w:val="18"/>
                <w:szCs w:val="18"/>
              </w:rPr>
              <w:t>.7</w:t>
            </w:r>
          </w:p>
        </w:tc>
        <w:tc>
          <w:tcPr>
            <w:tcW w:w="1559" w:type="dxa"/>
            <w:shd w:val="clear" w:color="auto" w:fill="auto"/>
            <w:vAlign w:val="center"/>
            <w:hideMark/>
          </w:tcPr>
          <w:p w14:paraId="33E110ED" w14:textId="54E6D9C4" w:rsidR="00A86F56" w:rsidRPr="00F9707F" w:rsidRDefault="008D74F0">
            <w:pPr>
              <w:ind w:right="211"/>
              <w:jc w:val="right"/>
              <w:rPr>
                <w:rFonts w:ascii="Arial" w:hAnsi="Arial" w:cs="Arial"/>
                <w:color w:val="000000"/>
                <w:sz w:val="18"/>
                <w:szCs w:val="18"/>
              </w:rPr>
            </w:pPr>
            <w:r>
              <w:rPr>
                <w:rFonts w:ascii="Arial" w:hAnsi="Arial" w:cs="Arial"/>
                <w:bCs/>
                <w:color w:val="000000"/>
                <w:sz w:val="18"/>
                <w:szCs w:val="18"/>
              </w:rPr>
              <w:t>321</w:t>
            </w:r>
            <w:r w:rsidR="00A86F56">
              <w:rPr>
                <w:rFonts w:ascii="Arial" w:hAnsi="Arial" w:cs="Arial"/>
                <w:bCs/>
                <w:color w:val="000000"/>
                <w:sz w:val="18"/>
                <w:szCs w:val="18"/>
              </w:rPr>
              <w:t xml:space="preserve"> </w:t>
            </w:r>
            <w:r>
              <w:rPr>
                <w:rFonts w:ascii="Arial" w:hAnsi="Arial" w:cs="Arial"/>
                <w:bCs/>
                <w:color w:val="000000"/>
                <w:sz w:val="18"/>
                <w:szCs w:val="18"/>
              </w:rPr>
              <w:t>027.4</w:t>
            </w:r>
          </w:p>
        </w:tc>
        <w:tc>
          <w:tcPr>
            <w:tcW w:w="1134" w:type="dxa"/>
            <w:tcBorders>
              <w:top w:val="nil"/>
              <w:left w:val="nil"/>
              <w:bottom w:val="nil"/>
              <w:right w:val="double" w:sz="6" w:space="0" w:color="auto"/>
            </w:tcBorders>
            <w:shd w:val="clear" w:color="auto" w:fill="auto"/>
            <w:vAlign w:val="center"/>
            <w:hideMark/>
          </w:tcPr>
          <w:p w14:paraId="5C53143C" w14:textId="3DDD3BD2" w:rsidR="00A86F56" w:rsidRPr="00F9707F" w:rsidRDefault="00A86F56">
            <w:pPr>
              <w:ind w:left="-71" w:right="209"/>
              <w:jc w:val="right"/>
              <w:rPr>
                <w:rFonts w:ascii="Arial" w:hAnsi="Arial" w:cs="Arial"/>
                <w:color w:val="000000"/>
                <w:sz w:val="18"/>
                <w:szCs w:val="18"/>
              </w:rPr>
            </w:pPr>
            <w:r>
              <w:rPr>
                <w:rFonts w:ascii="Arial" w:hAnsi="Arial" w:cs="Arial"/>
                <w:color w:val="000000"/>
                <w:sz w:val="18"/>
                <w:szCs w:val="18"/>
              </w:rPr>
              <w:t>6.</w:t>
            </w:r>
            <w:r w:rsidR="008D74F0">
              <w:rPr>
                <w:rFonts w:ascii="Arial" w:hAnsi="Arial" w:cs="Arial"/>
                <w:color w:val="000000"/>
                <w:sz w:val="18"/>
                <w:szCs w:val="18"/>
              </w:rPr>
              <w:t>0</w:t>
            </w:r>
          </w:p>
        </w:tc>
      </w:tr>
      <w:tr w:rsidR="00A86F56" w14:paraId="24AC58DA" w14:textId="77777777">
        <w:trPr>
          <w:trHeight w:val="255"/>
          <w:jc w:val="center"/>
        </w:trPr>
        <w:tc>
          <w:tcPr>
            <w:tcW w:w="191" w:type="dxa"/>
            <w:tcBorders>
              <w:left w:val="double" w:sz="6" w:space="0" w:color="000000"/>
            </w:tcBorders>
            <w:shd w:val="clear" w:color="auto" w:fill="auto"/>
            <w:vAlign w:val="center"/>
            <w:hideMark/>
          </w:tcPr>
          <w:p w14:paraId="71C5EDD0" w14:textId="77777777" w:rsidR="00A86F56" w:rsidRPr="00F9707F" w:rsidRDefault="00A86F56">
            <w:pPr>
              <w:rPr>
                <w:rFonts w:ascii="Arial" w:hAnsi="Arial" w:cs="Arial"/>
                <w:color w:val="000000"/>
                <w:sz w:val="18"/>
                <w:szCs w:val="18"/>
              </w:rPr>
            </w:pPr>
            <w:r w:rsidRPr="00F9707F">
              <w:rPr>
                <w:rFonts w:ascii="Arial" w:hAnsi="Arial" w:cs="Arial"/>
                <w:color w:val="000000"/>
                <w:sz w:val="18"/>
                <w:szCs w:val="18"/>
              </w:rPr>
              <w:t> </w:t>
            </w:r>
          </w:p>
        </w:tc>
        <w:tc>
          <w:tcPr>
            <w:tcW w:w="190" w:type="dxa"/>
            <w:shd w:val="clear" w:color="auto" w:fill="auto"/>
            <w:noWrap/>
            <w:vAlign w:val="bottom"/>
            <w:hideMark/>
          </w:tcPr>
          <w:p w14:paraId="51412BE3" w14:textId="77777777" w:rsidR="00A86F56" w:rsidRPr="00F9707F" w:rsidRDefault="00A86F56">
            <w:pPr>
              <w:rPr>
                <w:rFonts w:ascii="Calibri" w:hAnsi="Calibri" w:cs="Calibri"/>
                <w:color w:val="000000"/>
                <w:sz w:val="22"/>
                <w:szCs w:val="22"/>
              </w:rPr>
            </w:pPr>
            <w:r w:rsidRPr="00F9707F">
              <w:rPr>
                <w:rFonts w:ascii="Calibri" w:hAnsi="Calibri" w:cs="Calibri"/>
                <w:color w:val="000000"/>
                <w:sz w:val="22"/>
                <w:szCs w:val="22"/>
              </w:rPr>
              <w:t> </w:t>
            </w:r>
          </w:p>
        </w:tc>
        <w:tc>
          <w:tcPr>
            <w:tcW w:w="2335" w:type="dxa"/>
            <w:gridSpan w:val="2"/>
            <w:tcBorders>
              <w:top w:val="nil"/>
              <w:left w:val="nil"/>
              <w:bottom w:val="nil"/>
              <w:right w:val="double" w:sz="6" w:space="0" w:color="000000"/>
            </w:tcBorders>
            <w:shd w:val="clear" w:color="auto" w:fill="auto"/>
            <w:vAlign w:val="center"/>
            <w:hideMark/>
          </w:tcPr>
          <w:p w14:paraId="4C3D8FE3" w14:textId="77777777" w:rsidR="00A86F56" w:rsidRPr="00F9707F" w:rsidRDefault="00A86F56">
            <w:pPr>
              <w:rPr>
                <w:rFonts w:ascii="Arial" w:hAnsi="Arial" w:cs="Arial"/>
                <w:color w:val="000000"/>
                <w:sz w:val="18"/>
                <w:szCs w:val="18"/>
              </w:rPr>
            </w:pPr>
            <w:r w:rsidRPr="00F9707F">
              <w:rPr>
                <w:rFonts w:ascii="Arial" w:hAnsi="Arial" w:cs="Arial"/>
                <w:color w:val="000000"/>
                <w:sz w:val="18"/>
                <w:szCs w:val="18"/>
              </w:rPr>
              <w:t>Agropecuarias</w:t>
            </w:r>
          </w:p>
        </w:tc>
        <w:tc>
          <w:tcPr>
            <w:tcW w:w="1276" w:type="dxa"/>
            <w:shd w:val="clear" w:color="auto" w:fill="auto"/>
            <w:vAlign w:val="center"/>
            <w:hideMark/>
          </w:tcPr>
          <w:p w14:paraId="70C5CAEF" w14:textId="7AA236F1" w:rsidR="00A86F56" w:rsidRPr="00F9707F" w:rsidRDefault="004D2C2E">
            <w:pPr>
              <w:tabs>
                <w:tab w:val="left" w:pos="1069"/>
              </w:tabs>
              <w:ind w:right="73"/>
              <w:jc w:val="right"/>
              <w:rPr>
                <w:rFonts w:ascii="Arial" w:hAnsi="Arial" w:cs="Arial"/>
                <w:color w:val="000000"/>
                <w:sz w:val="18"/>
                <w:szCs w:val="18"/>
              </w:rPr>
            </w:pPr>
            <w:r>
              <w:rPr>
                <w:rFonts w:ascii="Arial" w:hAnsi="Arial" w:cs="Arial"/>
                <w:bCs/>
                <w:color w:val="000000"/>
                <w:sz w:val="18"/>
                <w:szCs w:val="18"/>
              </w:rPr>
              <w:t>1</w:t>
            </w:r>
            <w:r w:rsidR="00A86F56" w:rsidRPr="00F9707F">
              <w:rPr>
                <w:rFonts w:ascii="Arial" w:hAnsi="Arial" w:cs="Arial"/>
                <w:bCs/>
                <w:color w:val="000000"/>
                <w:sz w:val="18"/>
                <w:szCs w:val="18"/>
              </w:rPr>
              <w:t xml:space="preserve"> </w:t>
            </w:r>
            <w:r w:rsidR="008D74F0">
              <w:rPr>
                <w:rFonts w:ascii="Arial" w:hAnsi="Arial" w:cs="Arial"/>
                <w:bCs/>
                <w:color w:val="000000"/>
                <w:sz w:val="18"/>
                <w:szCs w:val="18"/>
              </w:rPr>
              <w:t>326.3</w:t>
            </w:r>
          </w:p>
        </w:tc>
        <w:tc>
          <w:tcPr>
            <w:tcW w:w="1134" w:type="dxa"/>
            <w:tcBorders>
              <w:top w:val="nil"/>
              <w:left w:val="nil"/>
              <w:bottom w:val="nil"/>
              <w:right w:val="double" w:sz="6" w:space="0" w:color="auto"/>
            </w:tcBorders>
            <w:shd w:val="clear" w:color="auto" w:fill="auto"/>
            <w:vAlign w:val="center"/>
            <w:hideMark/>
          </w:tcPr>
          <w:p w14:paraId="6F0719FF" w14:textId="7CB46AA2" w:rsidR="00A86F56" w:rsidRPr="00F9707F" w:rsidRDefault="008D74F0">
            <w:pPr>
              <w:ind w:left="-67" w:right="216"/>
              <w:jc w:val="right"/>
              <w:rPr>
                <w:rFonts w:ascii="Arial" w:hAnsi="Arial" w:cs="Arial"/>
                <w:color w:val="000000"/>
                <w:sz w:val="18"/>
                <w:szCs w:val="18"/>
              </w:rPr>
            </w:pPr>
            <w:r>
              <w:rPr>
                <w:rFonts w:ascii="Arial" w:hAnsi="Arial" w:cs="Arial"/>
                <w:bCs/>
                <w:color w:val="000000"/>
                <w:sz w:val="18"/>
                <w:szCs w:val="18"/>
              </w:rPr>
              <w:t>-6.0</w:t>
            </w:r>
          </w:p>
        </w:tc>
        <w:tc>
          <w:tcPr>
            <w:tcW w:w="1559" w:type="dxa"/>
            <w:shd w:val="clear" w:color="auto" w:fill="auto"/>
            <w:vAlign w:val="center"/>
            <w:hideMark/>
          </w:tcPr>
          <w:p w14:paraId="7E7D507B" w14:textId="68EA2EC7" w:rsidR="00A86F56" w:rsidRPr="00F9707F" w:rsidRDefault="007A7890">
            <w:pPr>
              <w:ind w:right="211"/>
              <w:jc w:val="right"/>
              <w:rPr>
                <w:rFonts w:ascii="Arial" w:hAnsi="Arial" w:cs="Arial"/>
                <w:color w:val="000000"/>
                <w:sz w:val="18"/>
                <w:szCs w:val="18"/>
              </w:rPr>
            </w:pPr>
            <w:r>
              <w:rPr>
                <w:rFonts w:ascii="Arial" w:hAnsi="Arial" w:cs="Arial"/>
                <w:bCs/>
                <w:color w:val="000000"/>
                <w:sz w:val="18"/>
                <w:szCs w:val="18"/>
              </w:rPr>
              <w:t>1</w:t>
            </w:r>
            <w:r w:rsidR="008D74F0">
              <w:rPr>
                <w:rFonts w:ascii="Arial" w:hAnsi="Arial" w:cs="Arial"/>
                <w:bCs/>
                <w:color w:val="000000"/>
                <w:sz w:val="18"/>
                <w:szCs w:val="18"/>
              </w:rPr>
              <w:t>3</w:t>
            </w:r>
            <w:r w:rsidR="00A86F56">
              <w:rPr>
                <w:rFonts w:ascii="Arial" w:hAnsi="Arial" w:cs="Arial"/>
                <w:bCs/>
                <w:color w:val="000000"/>
                <w:sz w:val="18"/>
                <w:szCs w:val="18"/>
              </w:rPr>
              <w:t xml:space="preserve"> </w:t>
            </w:r>
            <w:r w:rsidR="008D74F0">
              <w:rPr>
                <w:rFonts w:ascii="Arial" w:hAnsi="Arial" w:cs="Arial"/>
                <w:bCs/>
                <w:color w:val="000000"/>
                <w:sz w:val="18"/>
                <w:szCs w:val="18"/>
              </w:rPr>
              <w:t>651.0</w:t>
            </w:r>
          </w:p>
        </w:tc>
        <w:tc>
          <w:tcPr>
            <w:tcW w:w="1134" w:type="dxa"/>
            <w:tcBorders>
              <w:top w:val="nil"/>
              <w:left w:val="nil"/>
              <w:bottom w:val="nil"/>
              <w:right w:val="double" w:sz="6" w:space="0" w:color="auto"/>
            </w:tcBorders>
            <w:shd w:val="clear" w:color="auto" w:fill="auto"/>
            <w:vAlign w:val="center"/>
            <w:hideMark/>
          </w:tcPr>
          <w:p w14:paraId="288580D6" w14:textId="7E9A47A9" w:rsidR="00A86F56" w:rsidRPr="00F9707F" w:rsidRDefault="008D74F0">
            <w:pPr>
              <w:ind w:left="-71" w:right="209"/>
              <w:jc w:val="right"/>
              <w:rPr>
                <w:rFonts w:ascii="Arial" w:hAnsi="Arial" w:cs="Arial"/>
                <w:color w:val="000000"/>
                <w:sz w:val="18"/>
                <w:szCs w:val="18"/>
              </w:rPr>
            </w:pPr>
            <w:r>
              <w:rPr>
                <w:rFonts w:ascii="Arial" w:hAnsi="Arial" w:cs="Arial"/>
                <w:color w:val="000000"/>
                <w:sz w:val="18"/>
                <w:szCs w:val="18"/>
              </w:rPr>
              <w:t>3.2</w:t>
            </w:r>
          </w:p>
        </w:tc>
      </w:tr>
      <w:tr w:rsidR="00A86F56" w14:paraId="133701F5" w14:textId="77777777">
        <w:trPr>
          <w:trHeight w:val="255"/>
          <w:jc w:val="center"/>
        </w:trPr>
        <w:tc>
          <w:tcPr>
            <w:tcW w:w="191" w:type="dxa"/>
            <w:tcBorders>
              <w:left w:val="double" w:sz="6" w:space="0" w:color="000000"/>
            </w:tcBorders>
            <w:shd w:val="clear" w:color="auto" w:fill="auto"/>
            <w:vAlign w:val="center"/>
            <w:hideMark/>
          </w:tcPr>
          <w:p w14:paraId="02D96523"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 </w:t>
            </w:r>
          </w:p>
        </w:tc>
        <w:tc>
          <w:tcPr>
            <w:tcW w:w="190" w:type="dxa"/>
            <w:shd w:val="clear" w:color="auto" w:fill="auto"/>
            <w:noWrap/>
            <w:vAlign w:val="bottom"/>
            <w:hideMark/>
          </w:tcPr>
          <w:p w14:paraId="69099D32" w14:textId="77777777" w:rsidR="00A86F56" w:rsidRPr="00F9707F" w:rsidRDefault="00A86F56">
            <w:pPr>
              <w:rPr>
                <w:rFonts w:ascii="Calibri" w:hAnsi="Calibri" w:cs="Calibri"/>
                <w:color w:val="000000"/>
                <w:sz w:val="22"/>
                <w:szCs w:val="22"/>
              </w:rPr>
            </w:pPr>
            <w:r w:rsidRPr="00F9707F">
              <w:rPr>
                <w:rFonts w:ascii="Calibri" w:hAnsi="Calibri" w:cs="Calibri"/>
                <w:color w:val="000000"/>
                <w:sz w:val="22"/>
                <w:szCs w:val="22"/>
              </w:rPr>
              <w:t> </w:t>
            </w:r>
          </w:p>
        </w:tc>
        <w:tc>
          <w:tcPr>
            <w:tcW w:w="2335" w:type="dxa"/>
            <w:gridSpan w:val="2"/>
            <w:tcBorders>
              <w:top w:val="nil"/>
              <w:left w:val="nil"/>
              <w:bottom w:val="nil"/>
              <w:right w:val="double" w:sz="6" w:space="0" w:color="000000"/>
            </w:tcBorders>
            <w:shd w:val="clear" w:color="auto" w:fill="auto"/>
            <w:vAlign w:val="center"/>
            <w:hideMark/>
          </w:tcPr>
          <w:p w14:paraId="30E06AD3" w14:textId="77777777" w:rsidR="00A86F56" w:rsidRPr="00F9707F" w:rsidRDefault="00A86F56">
            <w:pPr>
              <w:rPr>
                <w:rFonts w:ascii="Arial" w:hAnsi="Arial" w:cs="Arial"/>
                <w:color w:val="000000"/>
                <w:sz w:val="18"/>
                <w:szCs w:val="18"/>
              </w:rPr>
            </w:pPr>
            <w:r w:rsidRPr="00F9707F">
              <w:rPr>
                <w:rFonts w:ascii="Arial" w:hAnsi="Arial" w:cs="Arial"/>
                <w:color w:val="000000"/>
                <w:sz w:val="18"/>
                <w:szCs w:val="18"/>
              </w:rPr>
              <w:t>Extractivas</w:t>
            </w:r>
          </w:p>
        </w:tc>
        <w:tc>
          <w:tcPr>
            <w:tcW w:w="1276" w:type="dxa"/>
            <w:shd w:val="clear" w:color="auto" w:fill="auto"/>
            <w:vAlign w:val="center"/>
            <w:hideMark/>
          </w:tcPr>
          <w:p w14:paraId="2C6EDB19" w14:textId="25BBC8B6" w:rsidR="00A86F56" w:rsidRPr="00F9707F" w:rsidRDefault="004D2C2E">
            <w:pPr>
              <w:tabs>
                <w:tab w:val="left" w:pos="1069"/>
              </w:tabs>
              <w:ind w:right="73"/>
              <w:jc w:val="right"/>
              <w:rPr>
                <w:rFonts w:ascii="Arial" w:hAnsi="Arial" w:cs="Arial"/>
                <w:color w:val="000000"/>
                <w:sz w:val="18"/>
                <w:szCs w:val="18"/>
              </w:rPr>
            </w:pPr>
            <w:r>
              <w:rPr>
                <w:rFonts w:ascii="Arial" w:hAnsi="Arial" w:cs="Arial"/>
                <w:bCs/>
                <w:color w:val="000000"/>
                <w:sz w:val="18"/>
                <w:szCs w:val="18"/>
              </w:rPr>
              <w:t xml:space="preserve"> </w:t>
            </w:r>
            <w:r w:rsidR="008D74F0">
              <w:rPr>
                <w:rFonts w:ascii="Arial" w:hAnsi="Arial" w:cs="Arial"/>
                <w:bCs/>
                <w:color w:val="000000"/>
                <w:sz w:val="18"/>
                <w:szCs w:val="18"/>
              </w:rPr>
              <w:t>591.0</w:t>
            </w:r>
          </w:p>
        </w:tc>
        <w:tc>
          <w:tcPr>
            <w:tcW w:w="1134" w:type="dxa"/>
            <w:tcBorders>
              <w:top w:val="nil"/>
              <w:left w:val="nil"/>
              <w:bottom w:val="nil"/>
              <w:right w:val="double" w:sz="6" w:space="0" w:color="auto"/>
            </w:tcBorders>
            <w:shd w:val="clear" w:color="auto" w:fill="auto"/>
            <w:vAlign w:val="center"/>
            <w:hideMark/>
          </w:tcPr>
          <w:p w14:paraId="33D81BA2" w14:textId="24E1CAFD" w:rsidR="00A86F56" w:rsidRPr="00F9707F" w:rsidRDefault="008D74F0">
            <w:pPr>
              <w:ind w:left="-67" w:right="216"/>
              <w:jc w:val="right"/>
              <w:rPr>
                <w:rFonts w:ascii="Arial" w:hAnsi="Arial" w:cs="Arial"/>
                <w:color w:val="000000"/>
                <w:sz w:val="18"/>
                <w:szCs w:val="18"/>
              </w:rPr>
            </w:pPr>
            <w:r>
              <w:rPr>
                <w:rFonts w:ascii="Arial" w:hAnsi="Arial" w:cs="Arial"/>
                <w:bCs/>
                <w:color w:val="000000"/>
                <w:sz w:val="18"/>
                <w:szCs w:val="18"/>
              </w:rPr>
              <w:t>-25.9</w:t>
            </w:r>
          </w:p>
        </w:tc>
        <w:tc>
          <w:tcPr>
            <w:tcW w:w="1559" w:type="dxa"/>
            <w:shd w:val="clear" w:color="auto" w:fill="auto"/>
            <w:vAlign w:val="center"/>
            <w:hideMark/>
          </w:tcPr>
          <w:p w14:paraId="04A8EF9F" w14:textId="2F10F8A6" w:rsidR="00A86F56" w:rsidRPr="00F9707F" w:rsidRDefault="008D74F0">
            <w:pPr>
              <w:ind w:right="211"/>
              <w:jc w:val="right"/>
              <w:rPr>
                <w:rFonts w:ascii="Arial" w:hAnsi="Arial" w:cs="Arial"/>
                <w:color w:val="000000"/>
                <w:sz w:val="18"/>
                <w:szCs w:val="18"/>
              </w:rPr>
            </w:pPr>
            <w:r>
              <w:rPr>
                <w:rFonts w:ascii="Arial" w:hAnsi="Arial" w:cs="Arial"/>
                <w:bCs/>
                <w:color w:val="000000"/>
                <w:sz w:val="18"/>
                <w:szCs w:val="18"/>
              </w:rPr>
              <w:t>5</w:t>
            </w:r>
            <w:r w:rsidR="00A86F56">
              <w:rPr>
                <w:rFonts w:ascii="Arial" w:hAnsi="Arial" w:cs="Arial"/>
                <w:bCs/>
                <w:color w:val="000000"/>
                <w:sz w:val="18"/>
                <w:szCs w:val="18"/>
              </w:rPr>
              <w:t xml:space="preserve"> </w:t>
            </w:r>
            <w:r>
              <w:rPr>
                <w:rFonts w:ascii="Arial" w:hAnsi="Arial" w:cs="Arial"/>
                <w:bCs/>
                <w:color w:val="000000"/>
                <w:sz w:val="18"/>
                <w:szCs w:val="18"/>
              </w:rPr>
              <w:t>580.5</w:t>
            </w:r>
          </w:p>
        </w:tc>
        <w:tc>
          <w:tcPr>
            <w:tcW w:w="1134" w:type="dxa"/>
            <w:tcBorders>
              <w:top w:val="nil"/>
              <w:left w:val="nil"/>
              <w:bottom w:val="nil"/>
              <w:right w:val="double" w:sz="6" w:space="0" w:color="auto"/>
            </w:tcBorders>
            <w:shd w:val="clear" w:color="auto" w:fill="auto"/>
            <w:vAlign w:val="center"/>
            <w:hideMark/>
          </w:tcPr>
          <w:p w14:paraId="5FFD4B1A" w14:textId="0545D357" w:rsidR="00A86F56" w:rsidRPr="00F9707F" w:rsidRDefault="008D74F0">
            <w:pPr>
              <w:ind w:left="-71" w:right="209"/>
              <w:jc w:val="right"/>
              <w:rPr>
                <w:rFonts w:ascii="Arial" w:hAnsi="Arial" w:cs="Arial"/>
                <w:color w:val="000000"/>
                <w:sz w:val="18"/>
                <w:szCs w:val="18"/>
              </w:rPr>
            </w:pPr>
            <w:r>
              <w:rPr>
                <w:rFonts w:ascii="Arial" w:hAnsi="Arial" w:cs="Arial"/>
                <w:bCs/>
                <w:color w:val="000000"/>
                <w:sz w:val="18"/>
                <w:szCs w:val="18"/>
              </w:rPr>
              <w:t>3.9</w:t>
            </w:r>
          </w:p>
        </w:tc>
      </w:tr>
      <w:tr w:rsidR="00A86F56" w14:paraId="409DAE52" w14:textId="77777777">
        <w:trPr>
          <w:trHeight w:val="255"/>
          <w:jc w:val="center"/>
        </w:trPr>
        <w:tc>
          <w:tcPr>
            <w:tcW w:w="191" w:type="dxa"/>
            <w:tcBorders>
              <w:left w:val="double" w:sz="6" w:space="0" w:color="000000"/>
            </w:tcBorders>
            <w:shd w:val="clear" w:color="auto" w:fill="auto"/>
            <w:vAlign w:val="center"/>
            <w:hideMark/>
          </w:tcPr>
          <w:p w14:paraId="4052E1DB"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 </w:t>
            </w:r>
          </w:p>
        </w:tc>
        <w:tc>
          <w:tcPr>
            <w:tcW w:w="190" w:type="dxa"/>
            <w:shd w:val="clear" w:color="auto" w:fill="auto"/>
            <w:noWrap/>
            <w:vAlign w:val="bottom"/>
            <w:hideMark/>
          </w:tcPr>
          <w:p w14:paraId="46AF5DD5" w14:textId="77777777" w:rsidR="00A86F56" w:rsidRPr="00F9707F" w:rsidRDefault="00A86F56">
            <w:pPr>
              <w:rPr>
                <w:rFonts w:ascii="Calibri" w:hAnsi="Calibri" w:cs="Calibri"/>
                <w:color w:val="000000"/>
                <w:sz w:val="22"/>
                <w:szCs w:val="22"/>
              </w:rPr>
            </w:pPr>
            <w:r w:rsidRPr="00F9707F">
              <w:rPr>
                <w:rFonts w:ascii="Calibri" w:hAnsi="Calibri" w:cs="Calibri"/>
                <w:color w:val="000000"/>
                <w:sz w:val="22"/>
                <w:szCs w:val="22"/>
              </w:rPr>
              <w:t> </w:t>
            </w:r>
          </w:p>
        </w:tc>
        <w:tc>
          <w:tcPr>
            <w:tcW w:w="2335" w:type="dxa"/>
            <w:gridSpan w:val="2"/>
            <w:tcBorders>
              <w:top w:val="nil"/>
              <w:left w:val="nil"/>
              <w:bottom w:val="nil"/>
              <w:right w:val="double" w:sz="6" w:space="0" w:color="000000"/>
            </w:tcBorders>
            <w:shd w:val="clear" w:color="auto" w:fill="auto"/>
            <w:vAlign w:val="center"/>
            <w:hideMark/>
          </w:tcPr>
          <w:p w14:paraId="50AF94F6"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Manufactureras</w:t>
            </w:r>
          </w:p>
        </w:tc>
        <w:tc>
          <w:tcPr>
            <w:tcW w:w="1276" w:type="dxa"/>
            <w:shd w:val="clear" w:color="auto" w:fill="auto"/>
            <w:vAlign w:val="center"/>
            <w:hideMark/>
          </w:tcPr>
          <w:p w14:paraId="7AF2805F" w14:textId="03F8C7CC" w:rsidR="00A86F56" w:rsidRPr="00F9707F" w:rsidRDefault="00A86F56">
            <w:pPr>
              <w:tabs>
                <w:tab w:val="left" w:pos="1069"/>
              </w:tabs>
              <w:ind w:right="73"/>
              <w:jc w:val="right"/>
              <w:rPr>
                <w:rFonts w:ascii="Arial" w:hAnsi="Arial" w:cs="Arial"/>
                <w:color w:val="000000"/>
                <w:sz w:val="18"/>
                <w:szCs w:val="18"/>
              </w:rPr>
            </w:pPr>
            <w:r>
              <w:rPr>
                <w:rFonts w:ascii="Arial" w:hAnsi="Arial" w:cs="Arial"/>
                <w:bCs/>
                <w:color w:val="000000"/>
                <w:sz w:val="18"/>
                <w:szCs w:val="18"/>
              </w:rPr>
              <w:t>4</w:t>
            </w:r>
            <w:r w:rsidR="008D74F0">
              <w:rPr>
                <w:rFonts w:ascii="Arial" w:hAnsi="Arial" w:cs="Arial"/>
                <w:bCs/>
                <w:color w:val="000000"/>
                <w:sz w:val="18"/>
                <w:szCs w:val="18"/>
              </w:rPr>
              <w:t>2</w:t>
            </w:r>
            <w:r w:rsidRPr="00F9707F">
              <w:rPr>
                <w:rFonts w:ascii="Arial" w:hAnsi="Arial" w:cs="Arial"/>
                <w:bCs/>
                <w:color w:val="000000"/>
                <w:sz w:val="18"/>
                <w:szCs w:val="18"/>
              </w:rPr>
              <w:t xml:space="preserve"> </w:t>
            </w:r>
            <w:r w:rsidR="008D74F0">
              <w:rPr>
                <w:rFonts w:ascii="Arial" w:hAnsi="Arial" w:cs="Arial"/>
                <w:bCs/>
                <w:color w:val="000000"/>
                <w:sz w:val="18"/>
                <w:szCs w:val="18"/>
              </w:rPr>
              <w:t>903.4</w:t>
            </w:r>
          </w:p>
        </w:tc>
        <w:tc>
          <w:tcPr>
            <w:tcW w:w="1134" w:type="dxa"/>
            <w:tcBorders>
              <w:top w:val="nil"/>
              <w:left w:val="nil"/>
              <w:bottom w:val="nil"/>
              <w:right w:val="double" w:sz="6" w:space="0" w:color="auto"/>
            </w:tcBorders>
            <w:shd w:val="clear" w:color="auto" w:fill="auto"/>
            <w:vAlign w:val="center"/>
            <w:hideMark/>
          </w:tcPr>
          <w:p w14:paraId="4433C901" w14:textId="78E5CA5C" w:rsidR="00A86F56" w:rsidRPr="00F9707F" w:rsidRDefault="008D74F0">
            <w:pPr>
              <w:ind w:left="-67" w:right="216"/>
              <w:jc w:val="right"/>
              <w:rPr>
                <w:rFonts w:ascii="Arial" w:hAnsi="Arial" w:cs="Arial"/>
                <w:color w:val="000000"/>
                <w:sz w:val="18"/>
                <w:szCs w:val="18"/>
              </w:rPr>
            </w:pPr>
            <w:r>
              <w:rPr>
                <w:rFonts w:ascii="Arial" w:hAnsi="Arial" w:cs="Arial"/>
                <w:bCs/>
                <w:color w:val="000000"/>
                <w:sz w:val="18"/>
                <w:szCs w:val="18"/>
              </w:rPr>
              <w:t>6.8</w:t>
            </w:r>
          </w:p>
        </w:tc>
        <w:tc>
          <w:tcPr>
            <w:tcW w:w="1559" w:type="dxa"/>
            <w:shd w:val="clear" w:color="auto" w:fill="auto"/>
            <w:vAlign w:val="center"/>
            <w:hideMark/>
          </w:tcPr>
          <w:p w14:paraId="11B2F505" w14:textId="40BE01C0" w:rsidR="00A86F56" w:rsidRPr="00F9707F" w:rsidRDefault="008D74F0">
            <w:pPr>
              <w:ind w:right="211"/>
              <w:jc w:val="right"/>
              <w:rPr>
                <w:rFonts w:ascii="Arial" w:hAnsi="Arial" w:cs="Arial"/>
                <w:color w:val="000000"/>
                <w:sz w:val="18"/>
                <w:szCs w:val="18"/>
              </w:rPr>
            </w:pPr>
            <w:r>
              <w:rPr>
                <w:rFonts w:ascii="Arial" w:hAnsi="Arial" w:cs="Arial"/>
                <w:bCs/>
                <w:color w:val="000000"/>
                <w:sz w:val="18"/>
                <w:szCs w:val="18"/>
              </w:rPr>
              <w:t>301</w:t>
            </w:r>
            <w:r w:rsidR="00A86F56">
              <w:rPr>
                <w:rFonts w:ascii="Arial" w:hAnsi="Arial" w:cs="Arial"/>
                <w:bCs/>
                <w:color w:val="000000"/>
                <w:sz w:val="18"/>
                <w:szCs w:val="18"/>
              </w:rPr>
              <w:t xml:space="preserve"> </w:t>
            </w:r>
            <w:r>
              <w:rPr>
                <w:rFonts w:ascii="Arial" w:hAnsi="Arial" w:cs="Arial"/>
                <w:bCs/>
                <w:color w:val="000000"/>
                <w:sz w:val="18"/>
                <w:szCs w:val="18"/>
              </w:rPr>
              <w:t>795.9</w:t>
            </w:r>
          </w:p>
        </w:tc>
        <w:tc>
          <w:tcPr>
            <w:tcW w:w="1134" w:type="dxa"/>
            <w:tcBorders>
              <w:top w:val="nil"/>
              <w:left w:val="nil"/>
              <w:bottom w:val="nil"/>
              <w:right w:val="double" w:sz="6" w:space="0" w:color="auto"/>
            </w:tcBorders>
            <w:shd w:val="clear" w:color="auto" w:fill="auto"/>
            <w:vAlign w:val="center"/>
            <w:hideMark/>
          </w:tcPr>
          <w:p w14:paraId="196E8980" w14:textId="6C65B2BB" w:rsidR="00A86F56" w:rsidRPr="00F9707F" w:rsidRDefault="008D74F0">
            <w:pPr>
              <w:ind w:left="-71" w:right="209"/>
              <w:jc w:val="right"/>
              <w:rPr>
                <w:rFonts w:ascii="Arial" w:hAnsi="Arial" w:cs="Arial"/>
                <w:color w:val="000000"/>
                <w:sz w:val="18"/>
                <w:szCs w:val="18"/>
              </w:rPr>
            </w:pPr>
            <w:r>
              <w:rPr>
                <w:rFonts w:ascii="Arial" w:hAnsi="Arial" w:cs="Arial"/>
                <w:bCs/>
                <w:color w:val="000000"/>
                <w:sz w:val="18"/>
                <w:szCs w:val="18"/>
              </w:rPr>
              <w:t>6.2</w:t>
            </w:r>
          </w:p>
        </w:tc>
      </w:tr>
      <w:tr w:rsidR="00A86F56" w14:paraId="1DB4537E" w14:textId="77777777">
        <w:trPr>
          <w:trHeight w:val="255"/>
          <w:jc w:val="center"/>
        </w:trPr>
        <w:tc>
          <w:tcPr>
            <w:tcW w:w="191" w:type="dxa"/>
            <w:tcBorders>
              <w:left w:val="double" w:sz="6" w:space="0" w:color="000000"/>
            </w:tcBorders>
            <w:shd w:val="clear" w:color="auto" w:fill="auto"/>
            <w:vAlign w:val="center"/>
            <w:hideMark/>
          </w:tcPr>
          <w:p w14:paraId="7C3549D1"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 </w:t>
            </w:r>
          </w:p>
        </w:tc>
        <w:tc>
          <w:tcPr>
            <w:tcW w:w="190" w:type="dxa"/>
            <w:shd w:val="clear" w:color="auto" w:fill="auto"/>
            <w:noWrap/>
            <w:vAlign w:val="bottom"/>
            <w:hideMark/>
          </w:tcPr>
          <w:p w14:paraId="235DC273" w14:textId="77777777" w:rsidR="00A86F56" w:rsidRPr="00F9707F" w:rsidRDefault="00A86F56">
            <w:pPr>
              <w:rPr>
                <w:rFonts w:ascii="Calibri" w:hAnsi="Calibri" w:cs="Calibri"/>
                <w:color w:val="000000"/>
                <w:sz w:val="22"/>
                <w:szCs w:val="22"/>
              </w:rPr>
            </w:pPr>
            <w:r w:rsidRPr="00F9707F">
              <w:rPr>
                <w:rFonts w:ascii="Calibri" w:hAnsi="Calibri" w:cs="Calibri"/>
                <w:color w:val="000000"/>
                <w:sz w:val="22"/>
                <w:szCs w:val="22"/>
              </w:rPr>
              <w:t> </w:t>
            </w:r>
          </w:p>
        </w:tc>
        <w:tc>
          <w:tcPr>
            <w:tcW w:w="190" w:type="dxa"/>
            <w:shd w:val="clear" w:color="auto" w:fill="auto"/>
            <w:noWrap/>
            <w:vAlign w:val="bottom"/>
            <w:hideMark/>
          </w:tcPr>
          <w:p w14:paraId="5EF9826D" w14:textId="77777777" w:rsidR="00A86F56" w:rsidRPr="00F9707F" w:rsidRDefault="00A86F56">
            <w:pPr>
              <w:rPr>
                <w:rFonts w:ascii="Calibri" w:hAnsi="Calibri" w:cs="Calibri"/>
                <w:color w:val="000000"/>
                <w:sz w:val="22"/>
                <w:szCs w:val="22"/>
              </w:rPr>
            </w:pPr>
            <w:r w:rsidRPr="00F9707F">
              <w:rPr>
                <w:rFonts w:ascii="Calibri" w:hAnsi="Calibri" w:cs="Calibri"/>
                <w:color w:val="000000"/>
                <w:sz w:val="22"/>
                <w:szCs w:val="22"/>
              </w:rPr>
              <w:t> </w:t>
            </w:r>
          </w:p>
        </w:tc>
        <w:tc>
          <w:tcPr>
            <w:tcW w:w="2145" w:type="dxa"/>
            <w:tcBorders>
              <w:top w:val="nil"/>
              <w:left w:val="nil"/>
              <w:bottom w:val="nil"/>
              <w:right w:val="double" w:sz="6" w:space="0" w:color="auto"/>
            </w:tcBorders>
            <w:shd w:val="clear" w:color="auto" w:fill="auto"/>
            <w:vAlign w:val="center"/>
            <w:hideMark/>
          </w:tcPr>
          <w:p w14:paraId="250D88D5"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Automotrices</w:t>
            </w:r>
          </w:p>
        </w:tc>
        <w:tc>
          <w:tcPr>
            <w:tcW w:w="1276" w:type="dxa"/>
            <w:shd w:val="clear" w:color="auto" w:fill="auto"/>
            <w:vAlign w:val="center"/>
            <w:hideMark/>
          </w:tcPr>
          <w:p w14:paraId="1347292D" w14:textId="6664B56D" w:rsidR="00A86F56" w:rsidRPr="00F9707F" w:rsidRDefault="00A86F56">
            <w:pPr>
              <w:tabs>
                <w:tab w:val="left" w:pos="1069"/>
              </w:tabs>
              <w:ind w:right="73"/>
              <w:jc w:val="right"/>
              <w:rPr>
                <w:rFonts w:ascii="Arial" w:hAnsi="Arial" w:cs="Arial"/>
                <w:bCs/>
                <w:color w:val="000000"/>
                <w:sz w:val="18"/>
                <w:szCs w:val="18"/>
              </w:rPr>
            </w:pPr>
            <w:r>
              <w:rPr>
                <w:rFonts w:ascii="Arial" w:hAnsi="Arial" w:cs="Arial"/>
                <w:bCs/>
                <w:color w:val="000000"/>
                <w:sz w:val="18"/>
                <w:szCs w:val="18"/>
              </w:rPr>
              <w:t>1</w:t>
            </w:r>
            <w:r w:rsidR="004D2C2E">
              <w:rPr>
                <w:rFonts w:ascii="Arial" w:hAnsi="Arial" w:cs="Arial"/>
                <w:bCs/>
                <w:color w:val="000000"/>
                <w:sz w:val="18"/>
                <w:szCs w:val="18"/>
              </w:rPr>
              <w:t>5</w:t>
            </w:r>
            <w:r w:rsidRPr="00F9707F">
              <w:rPr>
                <w:rFonts w:ascii="Arial" w:hAnsi="Arial" w:cs="Arial"/>
                <w:bCs/>
                <w:color w:val="000000"/>
                <w:sz w:val="18"/>
                <w:szCs w:val="18"/>
              </w:rPr>
              <w:t xml:space="preserve"> </w:t>
            </w:r>
            <w:r w:rsidR="008D74F0">
              <w:rPr>
                <w:rFonts w:ascii="Arial" w:hAnsi="Arial" w:cs="Arial"/>
                <w:bCs/>
                <w:color w:val="000000"/>
                <w:sz w:val="18"/>
                <w:szCs w:val="18"/>
              </w:rPr>
              <w:t>951.4</w:t>
            </w:r>
          </w:p>
        </w:tc>
        <w:tc>
          <w:tcPr>
            <w:tcW w:w="1134" w:type="dxa"/>
            <w:tcBorders>
              <w:top w:val="nil"/>
              <w:left w:val="nil"/>
              <w:bottom w:val="nil"/>
              <w:right w:val="double" w:sz="6" w:space="0" w:color="auto"/>
            </w:tcBorders>
            <w:shd w:val="clear" w:color="auto" w:fill="auto"/>
            <w:vAlign w:val="center"/>
            <w:hideMark/>
          </w:tcPr>
          <w:p w14:paraId="2C035600" w14:textId="59A71932" w:rsidR="00A86F56" w:rsidRPr="00F9707F" w:rsidRDefault="008D74F0">
            <w:pPr>
              <w:ind w:left="-67" w:right="216"/>
              <w:jc w:val="right"/>
              <w:rPr>
                <w:rFonts w:ascii="Arial" w:hAnsi="Arial" w:cs="Arial"/>
                <w:bCs/>
                <w:color w:val="000000"/>
                <w:sz w:val="18"/>
                <w:szCs w:val="18"/>
              </w:rPr>
            </w:pPr>
            <w:r>
              <w:rPr>
                <w:rFonts w:ascii="Arial" w:hAnsi="Arial" w:cs="Arial"/>
                <w:bCs/>
                <w:color w:val="000000"/>
                <w:sz w:val="18"/>
                <w:szCs w:val="18"/>
              </w:rPr>
              <w:t>35.7</w:t>
            </w:r>
          </w:p>
        </w:tc>
        <w:tc>
          <w:tcPr>
            <w:tcW w:w="1559" w:type="dxa"/>
            <w:shd w:val="clear" w:color="auto" w:fill="auto"/>
            <w:vAlign w:val="center"/>
            <w:hideMark/>
          </w:tcPr>
          <w:p w14:paraId="17070FC0" w14:textId="694C73B4" w:rsidR="00A86F56" w:rsidRPr="00F9707F" w:rsidRDefault="008D74F0">
            <w:pPr>
              <w:ind w:right="211"/>
              <w:jc w:val="right"/>
              <w:rPr>
                <w:rFonts w:ascii="Arial" w:hAnsi="Arial" w:cs="Arial"/>
                <w:bCs/>
                <w:color w:val="000000"/>
                <w:sz w:val="18"/>
                <w:szCs w:val="18"/>
              </w:rPr>
            </w:pPr>
            <w:r>
              <w:rPr>
                <w:rFonts w:ascii="Arial" w:hAnsi="Arial" w:cs="Arial"/>
                <w:bCs/>
                <w:color w:val="000000"/>
                <w:sz w:val="18"/>
                <w:szCs w:val="18"/>
              </w:rPr>
              <w:t>105</w:t>
            </w:r>
            <w:r w:rsidR="00A86F56">
              <w:rPr>
                <w:rFonts w:ascii="Arial" w:hAnsi="Arial" w:cs="Arial"/>
                <w:bCs/>
                <w:color w:val="000000"/>
                <w:sz w:val="18"/>
                <w:szCs w:val="18"/>
              </w:rPr>
              <w:t xml:space="preserve"> </w:t>
            </w:r>
            <w:r>
              <w:rPr>
                <w:rFonts w:ascii="Arial" w:hAnsi="Arial" w:cs="Arial"/>
                <w:bCs/>
                <w:color w:val="000000"/>
                <w:sz w:val="18"/>
                <w:szCs w:val="18"/>
              </w:rPr>
              <w:t>354.6</w:t>
            </w:r>
          </w:p>
        </w:tc>
        <w:tc>
          <w:tcPr>
            <w:tcW w:w="1134" w:type="dxa"/>
            <w:tcBorders>
              <w:top w:val="nil"/>
              <w:left w:val="nil"/>
              <w:bottom w:val="nil"/>
              <w:right w:val="double" w:sz="6" w:space="0" w:color="auto"/>
            </w:tcBorders>
            <w:shd w:val="clear" w:color="auto" w:fill="auto"/>
            <w:vAlign w:val="center"/>
            <w:hideMark/>
          </w:tcPr>
          <w:p w14:paraId="04F3F2C0" w14:textId="05DEB20F" w:rsidR="00A86F56" w:rsidRPr="00F9707F" w:rsidRDefault="008D74F0">
            <w:pPr>
              <w:ind w:left="-71" w:right="209"/>
              <w:jc w:val="right"/>
              <w:rPr>
                <w:rFonts w:ascii="Arial" w:hAnsi="Arial" w:cs="Arial"/>
                <w:color w:val="000000"/>
                <w:sz w:val="18"/>
                <w:szCs w:val="18"/>
              </w:rPr>
            </w:pPr>
            <w:r>
              <w:rPr>
                <w:rFonts w:ascii="Arial" w:hAnsi="Arial" w:cs="Arial"/>
                <w:bCs/>
                <w:color w:val="000000"/>
                <w:sz w:val="18"/>
                <w:szCs w:val="18"/>
              </w:rPr>
              <w:t>17.0</w:t>
            </w:r>
          </w:p>
        </w:tc>
      </w:tr>
      <w:tr w:rsidR="00A86F56" w14:paraId="78D33BE6" w14:textId="77777777">
        <w:trPr>
          <w:trHeight w:val="255"/>
          <w:jc w:val="center"/>
        </w:trPr>
        <w:tc>
          <w:tcPr>
            <w:tcW w:w="191" w:type="dxa"/>
            <w:tcBorders>
              <w:left w:val="double" w:sz="6" w:space="0" w:color="000000"/>
            </w:tcBorders>
            <w:shd w:val="clear" w:color="auto" w:fill="auto"/>
            <w:vAlign w:val="center"/>
            <w:hideMark/>
          </w:tcPr>
          <w:p w14:paraId="29F3D4E7"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 </w:t>
            </w:r>
          </w:p>
        </w:tc>
        <w:tc>
          <w:tcPr>
            <w:tcW w:w="190" w:type="dxa"/>
            <w:shd w:val="clear" w:color="auto" w:fill="auto"/>
            <w:noWrap/>
            <w:vAlign w:val="bottom"/>
            <w:hideMark/>
          </w:tcPr>
          <w:p w14:paraId="0A3B6A61" w14:textId="77777777" w:rsidR="00A86F56" w:rsidRPr="00F9707F" w:rsidRDefault="00A86F56">
            <w:pPr>
              <w:rPr>
                <w:rFonts w:ascii="Calibri" w:hAnsi="Calibri" w:cs="Calibri"/>
                <w:color w:val="000000"/>
                <w:sz w:val="22"/>
                <w:szCs w:val="22"/>
              </w:rPr>
            </w:pPr>
            <w:r w:rsidRPr="00F9707F">
              <w:rPr>
                <w:rFonts w:ascii="Calibri" w:hAnsi="Calibri" w:cs="Calibri"/>
                <w:color w:val="000000"/>
                <w:sz w:val="22"/>
                <w:szCs w:val="22"/>
              </w:rPr>
              <w:t> </w:t>
            </w:r>
          </w:p>
        </w:tc>
        <w:tc>
          <w:tcPr>
            <w:tcW w:w="190" w:type="dxa"/>
            <w:shd w:val="clear" w:color="auto" w:fill="auto"/>
            <w:noWrap/>
            <w:vAlign w:val="bottom"/>
            <w:hideMark/>
          </w:tcPr>
          <w:p w14:paraId="246CB127" w14:textId="77777777" w:rsidR="00A86F56" w:rsidRPr="00F9707F" w:rsidRDefault="00A86F56">
            <w:pPr>
              <w:rPr>
                <w:rFonts w:ascii="Calibri" w:hAnsi="Calibri" w:cs="Calibri"/>
                <w:color w:val="000000"/>
                <w:sz w:val="22"/>
                <w:szCs w:val="22"/>
              </w:rPr>
            </w:pPr>
            <w:r w:rsidRPr="00F9707F">
              <w:rPr>
                <w:rFonts w:ascii="Calibri" w:hAnsi="Calibri" w:cs="Calibri"/>
                <w:color w:val="000000"/>
                <w:sz w:val="22"/>
                <w:szCs w:val="22"/>
              </w:rPr>
              <w:t> </w:t>
            </w:r>
          </w:p>
        </w:tc>
        <w:tc>
          <w:tcPr>
            <w:tcW w:w="2145" w:type="dxa"/>
            <w:tcBorders>
              <w:top w:val="nil"/>
              <w:left w:val="nil"/>
              <w:bottom w:val="nil"/>
              <w:right w:val="double" w:sz="6" w:space="0" w:color="auto"/>
            </w:tcBorders>
            <w:shd w:val="clear" w:color="auto" w:fill="auto"/>
            <w:vAlign w:val="center"/>
            <w:hideMark/>
          </w:tcPr>
          <w:p w14:paraId="78D4FB8F"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No automotrices</w:t>
            </w:r>
          </w:p>
        </w:tc>
        <w:tc>
          <w:tcPr>
            <w:tcW w:w="1276" w:type="dxa"/>
            <w:shd w:val="clear" w:color="auto" w:fill="auto"/>
            <w:vAlign w:val="center"/>
            <w:hideMark/>
          </w:tcPr>
          <w:p w14:paraId="1DC3875A" w14:textId="2311094B" w:rsidR="00A86F56" w:rsidRPr="00F9707F" w:rsidRDefault="008D74F0">
            <w:pPr>
              <w:tabs>
                <w:tab w:val="left" w:pos="1069"/>
              </w:tabs>
              <w:ind w:right="73"/>
              <w:jc w:val="right"/>
              <w:rPr>
                <w:rFonts w:ascii="Arial" w:hAnsi="Arial" w:cs="Arial"/>
                <w:bCs/>
                <w:color w:val="000000"/>
                <w:sz w:val="18"/>
                <w:szCs w:val="18"/>
              </w:rPr>
            </w:pPr>
            <w:r>
              <w:rPr>
                <w:rFonts w:ascii="Arial" w:hAnsi="Arial" w:cs="Arial"/>
                <w:bCs/>
                <w:color w:val="000000"/>
                <w:sz w:val="18"/>
                <w:szCs w:val="18"/>
              </w:rPr>
              <w:t>26</w:t>
            </w:r>
            <w:r w:rsidR="00A86F56" w:rsidRPr="00F9707F">
              <w:rPr>
                <w:rFonts w:ascii="Arial" w:hAnsi="Arial" w:cs="Arial"/>
                <w:bCs/>
                <w:color w:val="000000"/>
                <w:sz w:val="18"/>
                <w:szCs w:val="18"/>
              </w:rPr>
              <w:t xml:space="preserve"> </w:t>
            </w:r>
            <w:r>
              <w:rPr>
                <w:rFonts w:ascii="Arial" w:hAnsi="Arial" w:cs="Arial"/>
                <w:bCs/>
                <w:color w:val="000000"/>
                <w:sz w:val="18"/>
                <w:szCs w:val="18"/>
              </w:rPr>
              <w:t>951.9</w:t>
            </w:r>
          </w:p>
        </w:tc>
        <w:tc>
          <w:tcPr>
            <w:tcW w:w="1134" w:type="dxa"/>
            <w:tcBorders>
              <w:top w:val="nil"/>
              <w:left w:val="nil"/>
              <w:bottom w:val="nil"/>
              <w:right w:val="double" w:sz="6" w:space="0" w:color="auto"/>
            </w:tcBorders>
            <w:shd w:val="clear" w:color="auto" w:fill="auto"/>
            <w:vAlign w:val="center"/>
            <w:hideMark/>
          </w:tcPr>
          <w:p w14:paraId="712C3879" w14:textId="09A67CC5" w:rsidR="00A86F56" w:rsidRPr="00F9707F" w:rsidRDefault="004D2C2E">
            <w:pPr>
              <w:ind w:left="-67" w:right="216"/>
              <w:jc w:val="right"/>
              <w:rPr>
                <w:rFonts w:ascii="Arial" w:hAnsi="Arial" w:cs="Arial"/>
                <w:bCs/>
                <w:color w:val="000000"/>
                <w:sz w:val="18"/>
                <w:szCs w:val="18"/>
              </w:rPr>
            </w:pPr>
            <w:r>
              <w:rPr>
                <w:rFonts w:ascii="Arial" w:hAnsi="Arial" w:cs="Arial"/>
                <w:bCs/>
                <w:color w:val="000000"/>
                <w:sz w:val="18"/>
                <w:szCs w:val="18"/>
              </w:rPr>
              <w:t>-</w:t>
            </w:r>
            <w:r w:rsidR="008D74F0">
              <w:rPr>
                <w:rFonts w:ascii="Arial" w:hAnsi="Arial" w:cs="Arial"/>
                <w:bCs/>
                <w:color w:val="000000"/>
                <w:sz w:val="18"/>
                <w:szCs w:val="18"/>
              </w:rPr>
              <w:t>5.2</w:t>
            </w:r>
          </w:p>
        </w:tc>
        <w:tc>
          <w:tcPr>
            <w:tcW w:w="1559" w:type="dxa"/>
            <w:shd w:val="clear" w:color="auto" w:fill="auto"/>
            <w:vAlign w:val="center"/>
            <w:hideMark/>
          </w:tcPr>
          <w:p w14:paraId="487F5D50" w14:textId="252E80E0" w:rsidR="00A86F56" w:rsidRPr="00F9707F" w:rsidRDefault="00A86F56">
            <w:pPr>
              <w:ind w:right="211"/>
              <w:jc w:val="right"/>
              <w:rPr>
                <w:rFonts w:ascii="Arial" w:hAnsi="Arial" w:cs="Arial"/>
                <w:bCs/>
                <w:color w:val="000000"/>
                <w:sz w:val="18"/>
                <w:szCs w:val="18"/>
              </w:rPr>
            </w:pPr>
            <w:r>
              <w:rPr>
                <w:rFonts w:ascii="Arial" w:hAnsi="Arial" w:cs="Arial"/>
                <w:bCs/>
                <w:color w:val="000000"/>
                <w:sz w:val="18"/>
                <w:szCs w:val="18"/>
              </w:rPr>
              <w:t>1</w:t>
            </w:r>
            <w:r w:rsidR="008D74F0">
              <w:rPr>
                <w:rFonts w:ascii="Arial" w:hAnsi="Arial" w:cs="Arial"/>
                <w:bCs/>
                <w:color w:val="000000"/>
                <w:sz w:val="18"/>
                <w:szCs w:val="18"/>
              </w:rPr>
              <w:t>96</w:t>
            </w:r>
            <w:r>
              <w:rPr>
                <w:rFonts w:ascii="Arial" w:hAnsi="Arial" w:cs="Arial"/>
                <w:bCs/>
                <w:color w:val="000000"/>
                <w:sz w:val="18"/>
                <w:szCs w:val="18"/>
              </w:rPr>
              <w:t xml:space="preserve"> </w:t>
            </w:r>
            <w:r w:rsidR="008D74F0">
              <w:rPr>
                <w:rFonts w:ascii="Arial" w:hAnsi="Arial" w:cs="Arial"/>
                <w:bCs/>
                <w:color w:val="000000"/>
                <w:sz w:val="18"/>
                <w:szCs w:val="18"/>
              </w:rPr>
              <w:t>441.3</w:t>
            </w:r>
          </w:p>
        </w:tc>
        <w:tc>
          <w:tcPr>
            <w:tcW w:w="1134" w:type="dxa"/>
            <w:tcBorders>
              <w:top w:val="nil"/>
              <w:left w:val="nil"/>
              <w:bottom w:val="nil"/>
              <w:right w:val="double" w:sz="6" w:space="0" w:color="auto"/>
            </w:tcBorders>
            <w:shd w:val="clear" w:color="auto" w:fill="auto"/>
            <w:vAlign w:val="center"/>
            <w:hideMark/>
          </w:tcPr>
          <w:p w14:paraId="592B9A81" w14:textId="79EEF1B3" w:rsidR="00A86F56" w:rsidRPr="00F9707F" w:rsidRDefault="008D74F0">
            <w:pPr>
              <w:ind w:left="-71" w:right="209"/>
              <w:jc w:val="right"/>
              <w:rPr>
                <w:rFonts w:ascii="Arial" w:hAnsi="Arial" w:cs="Arial"/>
                <w:color w:val="000000"/>
                <w:sz w:val="18"/>
                <w:szCs w:val="18"/>
              </w:rPr>
            </w:pPr>
            <w:r>
              <w:rPr>
                <w:rFonts w:ascii="Arial" w:hAnsi="Arial" w:cs="Arial"/>
                <w:bCs/>
                <w:color w:val="000000"/>
                <w:sz w:val="18"/>
                <w:szCs w:val="18"/>
              </w:rPr>
              <w:t>1.2</w:t>
            </w:r>
          </w:p>
        </w:tc>
      </w:tr>
      <w:tr w:rsidR="00A86F56" w14:paraId="7D94C942" w14:textId="77777777">
        <w:trPr>
          <w:trHeight w:val="255"/>
          <w:jc w:val="center"/>
        </w:trPr>
        <w:tc>
          <w:tcPr>
            <w:tcW w:w="2716" w:type="dxa"/>
            <w:gridSpan w:val="4"/>
            <w:tcBorders>
              <w:top w:val="nil"/>
              <w:left w:val="double" w:sz="6" w:space="0" w:color="000000"/>
              <w:bottom w:val="nil"/>
              <w:right w:val="double" w:sz="6" w:space="0" w:color="000000"/>
            </w:tcBorders>
            <w:shd w:val="clear" w:color="auto" w:fill="auto"/>
            <w:noWrap/>
            <w:vAlign w:val="center"/>
            <w:hideMark/>
          </w:tcPr>
          <w:p w14:paraId="5AADDC1E" w14:textId="77777777" w:rsidR="00A86F56" w:rsidRPr="00C24D4B" w:rsidRDefault="00A86F56">
            <w:pPr>
              <w:rPr>
                <w:rFonts w:ascii="Arial" w:hAnsi="Arial" w:cs="Arial"/>
                <w:b/>
                <w:bCs/>
                <w:color w:val="000000"/>
                <w:sz w:val="18"/>
                <w:szCs w:val="18"/>
              </w:rPr>
            </w:pPr>
            <w:r w:rsidRPr="00C24D4B">
              <w:rPr>
                <w:rFonts w:ascii="Arial" w:hAnsi="Arial" w:cs="Arial"/>
                <w:b/>
                <w:bCs/>
                <w:color w:val="000000"/>
                <w:sz w:val="18"/>
                <w:szCs w:val="18"/>
              </w:rPr>
              <w:t xml:space="preserve">Importaciones totales </w:t>
            </w:r>
          </w:p>
        </w:tc>
        <w:tc>
          <w:tcPr>
            <w:tcW w:w="1276" w:type="dxa"/>
            <w:shd w:val="clear" w:color="auto" w:fill="auto"/>
            <w:vAlign w:val="center"/>
            <w:hideMark/>
          </w:tcPr>
          <w:p w14:paraId="5AE24496" w14:textId="1D645654" w:rsidR="00A86F56" w:rsidRPr="00C24D4B" w:rsidRDefault="008D74F0">
            <w:pPr>
              <w:tabs>
                <w:tab w:val="left" w:pos="1069"/>
              </w:tabs>
              <w:ind w:right="73"/>
              <w:jc w:val="right"/>
              <w:rPr>
                <w:rFonts w:ascii="Arial" w:hAnsi="Arial" w:cs="Arial"/>
                <w:b/>
                <w:color w:val="000000"/>
                <w:sz w:val="18"/>
                <w:szCs w:val="18"/>
              </w:rPr>
            </w:pPr>
            <w:r>
              <w:rPr>
                <w:rFonts w:ascii="Arial" w:hAnsi="Arial" w:cs="Arial"/>
                <w:b/>
                <w:color w:val="000000"/>
                <w:sz w:val="18"/>
                <w:szCs w:val="18"/>
              </w:rPr>
              <w:t>48</w:t>
            </w:r>
            <w:r w:rsidR="00A86F56" w:rsidRPr="00C24D4B">
              <w:rPr>
                <w:rFonts w:ascii="Arial" w:hAnsi="Arial" w:cs="Arial"/>
                <w:b/>
                <w:color w:val="000000"/>
                <w:sz w:val="18"/>
                <w:szCs w:val="18"/>
              </w:rPr>
              <w:t xml:space="preserve"> </w:t>
            </w:r>
            <w:r>
              <w:rPr>
                <w:rFonts w:ascii="Arial" w:hAnsi="Arial" w:cs="Arial"/>
                <w:b/>
                <w:color w:val="000000"/>
                <w:sz w:val="18"/>
                <w:szCs w:val="18"/>
              </w:rPr>
              <w:t>431.6</w:t>
            </w:r>
          </w:p>
        </w:tc>
        <w:tc>
          <w:tcPr>
            <w:tcW w:w="1134" w:type="dxa"/>
            <w:tcBorders>
              <w:top w:val="nil"/>
              <w:left w:val="nil"/>
              <w:bottom w:val="nil"/>
              <w:right w:val="double" w:sz="6" w:space="0" w:color="000000"/>
            </w:tcBorders>
            <w:shd w:val="clear" w:color="auto" w:fill="auto"/>
            <w:vAlign w:val="center"/>
            <w:hideMark/>
          </w:tcPr>
          <w:p w14:paraId="356E1897" w14:textId="4F2E4513" w:rsidR="00A86F56" w:rsidRPr="00C24D4B" w:rsidRDefault="004D2C2E">
            <w:pPr>
              <w:ind w:left="-67" w:right="216"/>
              <w:jc w:val="right"/>
              <w:rPr>
                <w:rFonts w:ascii="Arial" w:hAnsi="Arial" w:cs="Arial"/>
                <w:b/>
                <w:color w:val="000000"/>
                <w:sz w:val="18"/>
                <w:szCs w:val="18"/>
              </w:rPr>
            </w:pPr>
            <w:r>
              <w:rPr>
                <w:rFonts w:ascii="Arial" w:hAnsi="Arial" w:cs="Arial"/>
                <w:b/>
                <w:color w:val="000000"/>
                <w:sz w:val="18"/>
                <w:szCs w:val="18"/>
              </w:rPr>
              <w:t>-</w:t>
            </w:r>
            <w:r w:rsidR="008D74F0">
              <w:rPr>
                <w:rFonts w:ascii="Arial" w:hAnsi="Arial" w:cs="Arial"/>
                <w:b/>
                <w:color w:val="000000"/>
                <w:sz w:val="18"/>
                <w:szCs w:val="18"/>
              </w:rPr>
              <w:t>7.7</w:t>
            </w:r>
          </w:p>
        </w:tc>
        <w:tc>
          <w:tcPr>
            <w:tcW w:w="1559" w:type="dxa"/>
            <w:shd w:val="clear" w:color="auto" w:fill="auto"/>
            <w:vAlign w:val="center"/>
            <w:hideMark/>
          </w:tcPr>
          <w:p w14:paraId="5BB23A7C" w14:textId="39603F7D" w:rsidR="00A86F56" w:rsidRPr="00C24D4B" w:rsidRDefault="008D74F0">
            <w:pPr>
              <w:ind w:right="211"/>
              <w:jc w:val="right"/>
              <w:rPr>
                <w:rFonts w:ascii="Arial" w:hAnsi="Arial" w:cs="Arial"/>
                <w:b/>
                <w:color w:val="000000"/>
                <w:sz w:val="18"/>
                <w:szCs w:val="18"/>
              </w:rPr>
            </w:pPr>
            <w:r>
              <w:rPr>
                <w:rFonts w:ascii="Arial" w:hAnsi="Arial" w:cs="Arial"/>
                <w:b/>
                <w:color w:val="000000"/>
                <w:sz w:val="18"/>
                <w:szCs w:val="18"/>
              </w:rPr>
              <w:t>346</w:t>
            </w:r>
            <w:r w:rsidR="00A86F56" w:rsidRPr="00C24D4B">
              <w:rPr>
                <w:rFonts w:ascii="Arial" w:hAnsi="Arial" w:cs="Arial"/>
                <w:b/>
                <w:color w:val="000000"/>
                <w:sz w:val="18"/>
                <w:szCs w:val="18"/>
              </w:rPr>
              <w:t xml:space="preserve"> </w:t>
            </w:r>
            <w:r>
              <w:rPr>
                <w:rFonts w:ascii="Arial" w:hAnsi="Arial" w:cs="Arial"/>
                <w:b/>
                <w:color w:val="000000"/>
                <w:sz w:val="18"/>
                <w:szCs w:val="18"/>
              </w:rPr>
              <w:t>744.0</w:t>
            </w:r>
          </w:p>
        </w:tc>
        <w:tc>
          <w:tcPr>
            <w:tcW w:w="1134" w:type="dxa"/>
            <w:tcBorders>
              <w:top w:val="nil"/>
              <w:left w:val="nil"/>
              <w:bottom w:val="nil"/>
              <w:right w:val="double" w:sz="6" w:space="0" w:color="000000"/>
            </w:tcBorders>
            <w:shd w:val="clear" w:color="auto" w:fill="auto"/>
            <w:vAlign w:val="center"/>
            <w:hideMark/>
          </w:tcPr>
          <w:p w14:paraId="5F7A9AE2" w14:textId="561229F0" w:rsidR="00A86F56" w:rsidRPr="00C24D4B" w:rsidRDefault="008D74F0">
            <w:pPr>
              <w:ind w:left="-71" w:right="209"/>
              <w:jc w:val="right"/>
              <w:rPr>
                <w:rFonts w:ascii="Arial" w:hAnsi="Arial" w:cs="Arial"/>
                <w:b/>
                <w:bCs/>
                <w:color w:val="000000"/>
                <w:sz w:val="18"/>
                <w:szCs w:val="18"/>
              </w:rPr>
            </w:pPr>
            <w:r>
              <w:rPr>
                <w:rFonts w:ascii="Arial" w:hAnsi="Arial" w:cs="Arial"/>
                <w:b/>
                <w:bCs/>
                <w:color w:val="000000"/>
                <w:sz w:val="18"/>
                <w:szCs w:val="18"/>
              </w:rPr>
              <w:t>0.2</w:t>
            </w:r>
          </w:p>
        </w:tc>
      </w:tr>
      <w:tr w:rsidR="00A86F56" w14:paraId="28ABD709" w14:textId="77777777">
        <w:trPr>
          <w:trHeight w:val="255"/>
          <w:jc w:val="center"/>
        </w:trPr>
        <w:tc>
          <w:tcPr>
            <w:tcW w:w="191" w:type="dxa"/>
            <w:tcBorders>
              <w:left w:val="double" w:sz="6" w:space="0" w:color="000000"/>
            </w:tcBorders>
            <w:shd w:val="clear" w:color="auto" w:fill="auto"/>
            <w:vAlign w:val="center"/>
            <w:hideMark/>
          </w:tcPr>
          <w:p w14:paraId="4FF9DE2A"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 </w:t>
            </w:r>
          </w:p>
        </w:tc>
        <w:tc>
          <w:tcPr>
            <w:tcW w:w="2525" w:type="dxa"/>
            <w:gridSpan w:val="3"/>
            <w:tcBorders>
              <w:top w:val="nil"/>
              <w:left w:val="nil"/>
              <w:bottom w:val="nil"/>
              <w:right w:val="double" w:sz="6" w:space="0" w:color="000000"/>
            </w:tcBorders>
            <w:shd w:val="clear" w:color="auto" w:fill="auto"/>
            <w:noWrap/>
            <w:vAlign w:val="center"/>
            <w:hideMark/>
          </w:tcPr>
          <w:p w14:paraId="3FCCCE65"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Petroleras</w:t>
            </w:r>
          </w:p>
        </w:tc>
        <w:tc>
          <w:tcPr>
            <w:tcW w:w="1276" w:type="dxa"/>
            <w:shd w:val="clear" w:color="auto" w:fill="auto"/>
            <w:vAlign w:val="center"/>
            <w:hideMark/>
          </w:tcPr>
          <w:p w14:paraId="2F16CA11" w14:textId="1E69E4D2" w:rsidR="00A86F56" w:rsidRPr="00F9707F" w:rsidRDefault="008D74F0">
            <w:pPr>
              <w:tabs>
                <w:tab w:val="left" w:pos="1069"/>
              </w:tabs>
              <w:ind w:right="73"/>
              <w:jc w:val="right"/>
              <w:rPr>
                <w:rFonts w:ascii="Arial" w:hAnsi="Arial" w:cs="Arial"/>
                <w:bCs/>
                <w:color w:val="000000"/>
                <w:sz w:val="18"/>
                <w:szCs w:val="18"/>
              </w:rPr>
            </w:pPr>
            <w:r>
              <w:rPr>
                <w:rFonts w:ascii="Arial" w:hAnsi="Arial" w:cs="Arial"/>
                <w:bCs/>
                <w:color w:val="000000"/>
                <w:sz w:val="18"/>
                <w:szCs w:val="18"/>
              </w:rPr>
              <w:t>4</w:t>
            </w:r>
            <w:r w:rsidR="00A86F56">
              <w:rPr>
                <w:rFonts w:ascii="Arial" w:hAnsi="Arial" w:cs="Arial"/>
                <w:bCs/>
                <w:color w:val="000000"/>
                <w:sz w:val="18"/>
                <w:szCs w:val="18"/>
              </w:rPr>
              <w:t xml:space="preserve"> </w:t>
            </w:r>
            <w:r>
              <w:rPr>
                <w:rFonts w:ascii="Arial" w:hAnsi="Arial" w:cs="Arial"/>
                <w:bCs/>
                <w:color w:val="000000"/>
                <w:sz w:val="18"/>
                <w:szCs w:val="18"/>
              </w:rPr>
              <w:t>027.9</w:t>
            </w:r>
          </w:p>
        </w:tc>
        <w:tc>
          <w:tcPr>
            <w:tcW w:w="1134" w:type="dxa"/>
            <w:tcBorders>
              <w:top w:val="nil"/>
              <w:left w:val="nil"/>
              <w:bottom w:val="nil"/>
              <w:right w:val="double" w:sz="6" w:space="0" w:color="auto"/>
            </w:tcBorders>
            <w:shd w:val="clear" w:color="auto" w:fill="auto"/>
            <w:vAlign w:val="center"/>
            <w:hideMark/>
          </w:tcPr>
          <w:p w14:paraId="1852ABB2" w14:textId="0A924975" w:rsidR="00A86F56" w:rsidRPr="00F9707F" w:rsidRDefault="007A7890">
            <w:pPr>
              <w:ind w:left="-67" w:right="216"/>
              <w:jc w:val="right"/>
              <w:rPr>
                <w:rFonts w:ascii="Arial" w:hAnsi="Arial" w:cs="Arial"/>
                <w:bCs/>
                <w:color w:val="000000"/>
                <w:sz w:val="18"/>
                <w:szCs w:val="18"/>
              </w:rPr>
            </w:pPr>
            <w:r>
              <w:rPr>
                <w:rFonts w:ascii="Arial" w:hAnsi="Arial" w:cs="Arial"/>
                <w:bCs/>
                <w:color w:val="000000"/>
                <w:sz w:val="18"/>
                <w:szCs w:val="18"/>
              </w:rPr>
              <w:t>-</w:t>
            </w:r>
            <w:r w:rsidR="004D2C2E">
              <w:rPr>
                <w:rFonts w:ascii="Arial" w:hAnsi="Arial" w:cs="Arial"/>
                <w:bCs/>
                <w:color w:val="000000"/>
                <w:sz w:val="18"/>
                <w:szCs w:val="18"/>
              </w:rPr>
              <w:t>5</w:t>
            </w:r>
            <w:r w:rsidR="008D74F0">
              <w:rPr>
                <w:rFonts w:ascii="Arial" w:hAnsi="Arial" w:cs="Arial"/>
                <w:bCs/>
                <w:color w:val="000000"/>
                <w:sz w:val="18"/>
                <w:szCs w:val="18"/>
              </w:rPr>
              <w:t>0.8</w:t>
            </w:r>
          </w:p>
        </w:tc>
        <w:tc>
          <w:tcPr>
            <w:tcW w:w="1559" w:type="dxa"/>
            <w:shd w:val="clear" w:color="auto" w:fill="auto"/>
            <w:vAlign w:val="center"/>
            <w:hideMark/>
          </w:tcPr>
          <w:p w14:paraId="36918403" w14:textId="3EB8A5EE" w:rsidR="00A86F56" w:rsidRPr="00F9707F" w:rsidRDefault="008D74F0">
            <w:pPr>
              <w:ind w:right="211"/>
              <w:jc w:val="right"/>
              <w:rPr>
                <w:rFonts w:ascii="Arial" w:hAnsi="Arial" w:cs="Arial"/>
                <w:bCs/>
                <w:color w:val="000000"/>
                <w:sz w:val="18"/>
                <w:szCs w:val="18"/>
              </w:rPr>
            </w:pPr>
            <w:r>
              <w:rPr>
                <w:rFonts w:ascii="Arial" w:hAnsi="Arial" w:cs="Arial"/>
                <w:bCs/>
                <w:color w:val="000000"/>
                <w:sz w:val="18"/>
                <w:szCs w:val="18"/>
              </w:rPr>
              <w:t>32</w:t>
            </w:r>
            <w:r w:rsidR="00A86F56">
              <w:rPr>
                <w:rFonts w:ascii="Arial" w:hAnsi="Arial" w:cs="Arial"/>
                <w:bCs/>
                <w:color w:val="000000"/>
                <w:sz w:val="18"/>
                <w:szCs w:val="18"/>
              </w:rPr>
              <w:t xml:space="preserve"> </w:t>
            </w:r>
            <w:r>
              <w:rPr>
                <w:rFonts w:ascii="Arial" w:hAnsi="Arial" w:cs="Arial"/>
                <w:bCs/>
                <w:color w:val="000000"/>
                <w:sz w:val="18"/>
                <w:szCs w:val="18"/>
              </w:rPr>
              <w:t>144.0</w:t>
            </w:r>
          </w:p>
        </w:tc>
        <w:tc>
          <w:tcPr>
            <w:tcW w:w="1134" w:type="dxa"/>
            <w:tcBorders>
              <w:top w:val="nil"/>
              <w:left w:val="nil"/>
              <w:bottom w:val="nil"/>
              <w:right w:val="double" w:sz="6" w:space="0" w:color="auto"/>
            </w:tcBorders>
            <w:shd w:val="clear" w:color="auto" w:fill="auto"/>
            <w:vAlign w:val="center"/>
            <w:hideMark/>
          </w:tcPr>
          <w:p w14:paraId="07823159" w14:textId="67A20335" w:rsidR="00A86F56" w:rsidRPr="00F9707F" w:rsidRDefault="00A86F56">
            <w:pPr>
              <w:ind w:left="-71" w:right="209"/>
              <w:jc w:val="right"/>
              <w:rPr>
                <w:rFonts w:ascii="Arial" w:hAnsi="Arial" w:cs="Arial"/>
                <w:color w:val="000000"/>
                <w:sz w:val="18"/>
                <w:szCs w:val="18"/>
              </w:rPr>
            </w:pPr>
            <w:r>
              <w:rPr>
                <w:rFonts w:ascii="Arial" w:hAnsi="Arial" w:cs="Arial"/>
                <w:bCs/>
                <w:color w:val="000000"/>
                <w:sz w:val="18"/>
                <w:szCs w:val="18"/>
              </w:rPr>
              <w:t>-</w:t>
            </w:r>
            <w:r w:rsidR="00527D4B">
              <w:rPr>
                <w:rFonts w:ascii="Arial" w:hAnsi="Arial" w:cs="Arial"/>
                <w:bCs/>
                <w:color w:val="000000"/>
                <w:sz w:val="18"/>
                <w:szCs w:val="18"/>
              </w:rPr>
              <w:t>2</w:t>
            </w:r>
            <w:r w:rsidR="008D74F0">
              <w:rPr>
                <w:rFonts w:ascii="Arial" w:hAnsi="Arial" w:cs="Arial"/>
                <w:bCs/>
                <w:color w:val="000000"/>
                <w:sz w:val="18"/>
                <w:szCs w:val="18"/>
              </w:rPr>
              <w:t>8.1</w:t>
            </w:r>
          </w:p>
        </w:tc>
      </w:tr>
      <w:tr w:rsidR="00A86F56" w14:paraId="2701B428" w14:textId="77777777">
        <w:trPr>
          <w:trHeight w:val="255"/>
          <w:jc w:val="center"/>
        </w:trPr>
        <w:tc>
          <w:tcPr>
            <w:tcW w:w="191" w:type="dxa"/>
            <w:tcBorders>
              <w:left w:val="double" w:sz="6" w:space="0" w:color="000000"/>
            </w:tcBorders>
            <w:shd w:val="clear" w:color="auto" w:fill="auto"/>
            <w:vAlign w:val="center"/>
            <w:hideMark/>
          </w:tcPr>
          <w:p w14:paraId="6365347B"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 </w:t>
            </w:r>
          </w:p>
        </w:tc>
        <w:tc>
          <w:tcPr>
            <w:tcW w:w="2525" w:type="dxa"/>
            <w:gridSpan w:val="3"/>
            <w:tcBorders>
              <w:top w:val="nil"/>
              <w:left w:val="nil"/>
              <w:bottom w:val="nil"/>
              <w:right w:val="double" w:sz="6" w:space="0" w:color="000000"/>
            </w:tcBorders>
            <w:shd w:val="clear" w:color="auto" w:fill="auto"/>
            <w:noWrap/>
            <w:vAlign w:val="center"/>
            <w:hideMark/>
          </w:tcPr>
          <w:p w14:paraId="3C9B4613"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No petroleras</w:t>
            </w:r>
          </w:p>
        </w:tc>
        <w:tc>
          <w:tcPr>
            <w:tcW w:w="1276" w:type="dxa"/>
            <w:shd w:val="clear" w:color="auto" w:fill="auto"/>
            <w:vAlign w:val="center"/>
            <w:hideMark/>
          </w:tcPr>
          <w:p w14:paraId="2BDC1641" w14:textId="2F19F039" w:rsidR="00A86F56" w:rsidRPr="00F9707F" w:rsidRDefault="00A86F56">
            <w:pPr>
              <w:tabs>
                <w:tab w:val="left" w:pos="1069"/>
              </w:tabs>
              <w:ind w:right="73"/>
              <w:jc w:val="right"/>
              <w:rPr>
                <w:rFonts w:ascii="Arial" w:hAnsi="Arial" w:cs="Arial"/>
                <w:bCs/>
                <w:color w:val="000000"/>
                <w:sz w:val="18"/>
                <w:szCs w:val="18"/>
              </w:rPr>
            </w:pPr>
            <w:r>
              <w:rPr>
                <w:rFonts w:ascii="Arial" w:hAnsi="Arial" w:cs="Arial"/>
                <w:bCs/>
                <w:color w:val="000000"/>
                <w:sz w:val="18"/>
                <w:szCs w:val="18"/>
              </w:rPr>
              <w:t>4</w:t>
            </w:r>
            <w:r w:rsidR="008D74F0">
              <w:rPr>
                <w:rFonts w:ascii="Arial" w:hAnsi="Arial" w:cs="Arial"/>
                <w:bCs/>
                <w:color w:val="000000"/>
                <w:sz w:val="18"/>
                <w:szCs w:val="18"/>
              </w:rPr>
              <w:t>4</w:t>
            </w:r>
            <w:r>
              <w:rPr>
                <w:rFonts w:ascii="Arial" w:hAnsi="Arial" w:cs="Arial"/>
                <w:bCs/>
                <w:color w:val="000000"/>
                <w:sz w:val="18"/>
                <w:szCs w:val="18"/>
              </w:rPr>
              <w:t xml:space="preserve"> </w:t>
            </w:r>
            <w:r w:rsidR="008D74F0">
              <w:rPr>
                <w:rFonts w:ascii="Arial" w:hAnsi="Arial" w:cs="Arial"/>
                <w:bCs/>
                <w:color w:val="000000"/>
                <w:sz w:val="18"/>
                <w:szCs w:val="18"/>
              </w:rPr>
              <w:t>403.7</w:t>
            </w:r>
          </w:p>
        </w:tc>
        <w:tc>
          <w:tcPr>
            <w:tcW w:w="1134" w:type="dxa"/>
            <w:tcBorders>
              <w:top w:val="nil"/>
              <w:left w:val="nil"/>
              <w:bottom w:val="nil"/>
              <w:right w:val="double" w:sz="6" w:space="0" w:color="auto"/>
            </w:tcBorders>
            <w:shd w:val="clear" w:color="auto" w:fill="auto"/>
            <w:vAlign w:val="center"/>
            <w:hideMark/>
          </w:tcPr>
          <w:p w14:paraId="354E7CCD" w14:textId="4DA90EEC" w:rsidR="00A86F56" w:rsidRPr="00F9707F" w:rsidRDefault="008D74F0">
            <w:pPr>
              <w:ind w:left="-67" w:right="216"/>
              <w:jc w:val="right"/>
              <w:rPr>
                <w:rFonts w:ascii="Arial" w:hAnsi="Arial" w:cs="Arial"/>
                <w:bCs/>
                <w:color w:val="000000"/>
                <w:sz w:val="18"/>
                <w:szCs w:val="18"/>
              </w:rPr>
            </w:pPr>
            <w:r>
              <w:rPr>
                <w:rFonts w:ascii="Arial" w:hAnsi="Arial" w:cs="Arial"/>
                <w:bCs/>
                <w:color w:val="000000"/>
                <w:sz w:val="18"/>
                <w:szCs w:val="18"/>
              </w:rPr>
              <w:t>0</w:t>
            </w:r>
            <w:r w:rsidR="004D2C2E">
              <w:rPr>
                <w:rFonts w:ascii="Arial" w:hAnsi="Arial" w:cs="Arial"/>
                <w:bCs/>
                <w:color w:val="000000"/>
                <w:sz w:val="18"/>
                <w:szCs w:val="18"/>
              </w:rPr>
              <w:t>.</w:t>
            </w:r>
            <w:r w:rsidR="00CD61C2">
              <w:rPr>
                <w:rFonts w:ascii="Arial" w:hAnsi="Arial" w:cs="Arial"/>
                <w:bCs/>
                <w:color w:val="000000"/>
                <w:sz w:val="18"/>
                <w:szCs w:val="18"/>
              </w:rPr>
              <w:t>3</w:t>
            </w:r>
          </w:p>
        </w:tc>
        <w:tc>
          <w:tcPr>
            <w:tcW w:w="1559" w:type="dxa"/>
            <w:shd w:val="clear" w:color="auto" w:fill="auto"/>
            <w:vAlign w:val="center"/>
            <w:hideMark/>
          </w:tcPr>
          <w:p w14:paraId="1F169F5D" w14:textId="4E344C4E" w:rsidR="00A86F56" w:rsidRPr="00F9707F" w:rsidRDefault="008D74F0">
            <w:pPr>
              <w:ind w:right="211"/>
              <w:jc w:val="right"/>
              <w:rPr>
                <w:rFonts w:ascii="Arial" w:hAnsi="Arial" w:cs="Arial"/>
                <w:bCs/>
                <w:color w:val="000000"/>
                <w:sz w:val="18"/>
                <w:szCs w:val="18"/>
              </w:rPr>
            </w:pPr>
            <w:r>
              <w:rPr>
                <w:rFonts w:ascii="Arial" w:hAnsi="Arial" w:cs="Arial"/>
                <w:bCs/>
                <w:color w:val="000000"/>
                <w:sz w:val="18"/>
                <w:szCs w:val="18"/>
              </w:rPr>
              <w:t>314</w:t>
            </w:r>
            <w:r w:rsidR="00A86F56">
              <w:rPr>
                <w:rFonts w:ascii="Arial" w:hAnsi="Arial" w:cs="Arial"/>
                <w:bCs/>
                <w:color w:val="000000"/>
                <w:sz w:val="18"/>
                <w:szCs w:val="18"/>
              </w:rPr>
              <w:t xml:space="preserve"> </w:t>
            </w:r>
            <w:r>
              <w:rPr>
                <w:rFonts w:ascii="Arial" w:hAnsi="Arial" w:cs="Arial"/>
                <w:bCs/>
                <w:color w:val="000000"/>
                <w:sz w:val="18"/>
                <w:szCs w:val="18"/>
              </w:rPr>
              <w:t>600</w:t>
            </w:r>
            <w:r w:rsidR="00E0501B">
              <w:rPr>
                <w:rFonts w:ascii="Arial" w:hAnsi="Arial" w:cs="Arial"/>
                <w:bCs/>
                <w:color w:val="000000"/>
                <w:sz w:val="18"/>
                <w:szCs w:val="18"/>
              </w:rPr>
              <w:t>.</w:t>
            </w:r>
            <w:r>
              <w:rPr>
                <w:rFonts w:ascii="Arial" w:hAnsi="Arial" w:cs="Arial"/>
                <w:bCs/>
                <w:color w:val="000000"/>
                <w:sz w:val="18"/>
                <w:szCs w:val="18"/>
              </w:rPr>
              <w:t>0</w:t>
            </w:r>
          </w:p>
        </w:tc>
        <w:tc>
          <w:tcPr>
            <w:tcW w:w="1134" w:type="dxa"/>
            <w:tcBorders>
              <w:top w:val="nil"/>
              <w:left w:val="nil"/>
              <w:bottom w:val="nil"/>
              <w:right w:val="double" w:sz="6" w:space="0" w:color="auto"/>
            </w:tcBorders>
            <w:shd w:val="clear" w:color="auto" w:fill="auto"/>
            <w:vAlign w:val="center"/>
            <w:hideMark/>
          </w:tcPr>
          <w:p w14:paraId="41EC72ED" w14:textId="3EDBEFCA" w:rsidR="00A86F56" w:rsidRPr="00F9707F" w:rsidRDefault="008D74F0">
            <w:pPr>
              <w:ind w:left="-71" w:right="209"/>
              <w:jc w:val="right"/>
              <w:rPr>
                <w:rFonts w:ascii="Arial" w:hAnsi="Arial" w:cs="Arial"/>
                <w:color w:val="000000"/>
                <w:sz w:val="18"/>
                <w:szCs w:val="18"/>
              </w:rPr>
            </w:pPr>
            <w:r>
              <w:rPr>
                <w:rFonts w:ascii="Arial" w:hAnsi="Arial" w:cs="Arial"/>
                <w:bCs/>
                <w:color w:val="000000"/>
                <w:sz w:val="18"/>
                <w:szCs w:val="18"/>
              </w:rPr>
              <w:t>4.</w:t>
            </w:r>
            <w:r w:rsidR="0035153F">
              <w:rPr>
                <w:rFonts w:ascii="Arial" w:hAnsi="Arial" w:cs="Arial"/>
                <w:bCs/>
                <w:color w:val="000000"/>
                <w:sz w:val="18"/>
                <w:szCs w:val="18"/>
              </w:rPr>
              <w:t>4</w:t>
            </w:r>
          </w:p>
        </w:tc>
      </w:tr>
      <w:tr w:rsidR="00A86F56" w14:paraId="199E5079" w14:textId="77777777">
        <w:trPr>
          <w:trHeight w:val="255"/>
          <w:jc w:val="center"/>
        </w:trPr>
        <w:tc>
          <w:tcPr>
            <w:tcW w:w="191" w:type="dxa"/>
            <w:tcBorders>
              <w:left w:val="double" w:sz="6" w:space="0" w:color="000000"/>
            </w:tcBorders>
            <w:shd w:val="clear" w:color="auto" w:fill="auto"/>
            <w:vAlign w:val="center"/>
            <w:hideMark/>
          </w:tcPr>
          <w:p w14:paraId="07693601"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 </w:t>
            </w:r>
          </w:p>
        </w:tc>
        <w:tc>
          <w:tcPr>
            <w:tcW w:w="2525" w:type="dxa"/>
            <w:gridSpan w:val="3"/>
            <w:tcBorders>
              <w:top w:val="nil"/>
              <w:left w:val="nil"/>
              <w:bottom w:val="nil"/>
              <w:right w:val="double" w:sz="6" w:space="0" w:color="000000"/>
            </w:tcBorders>
            <w:shd w:val="clear" w:color="auto" w:fill="auto"/>
            <w:noWrap/>
            <w:vAlign w:val="center"/>
            <w:hideMark/>
          </w:tcPr>
          <w:p w14:paraId="6A49852D"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Bienes de consumo</w:t>
            </w:r>
          </w:p>
        </w:tc>
        <w:tc>
          <w:tcPr>
            <w:tcW w:w="1276" w:type="dxa"/>
            <w:shd w:val="clear" w:color="auto" w:fill="auto"/>
            <w:vAlign w:val="center"/>
            <w:hideMark/>
          </w:tcPr>
          <w:p w14:paraId="2186EDC2" w14:textId="5E51FC79" w:rsidR="00A86F56" w:rsidRPr="00F9707F" w:rsidRDefault="008D74F0">
            <w:pPr>
              <w:tabs>
                <w:tab w:val="left" w:pos="1069"/>
              </w:tabs>
              <w:ind w:right="73"/>
              <w:jc w:val="right"/>
              <w:rPr>
                <w:rFonts w:ascii="Arial" w:hAnsi="Arial" w:cs="Arial"/>
                <w:bCs/>
                <w:color w:val="000000"/>
                <w:sz w:val="18"/>
                <w:szCs w:val="18"/>
              </w:rPr>
            </w:pPr>
            <w:r>
              <w:rPr>
                <w:rFonts w:ascii="Arial" w:hAnsi="Arial" w:cs="Arial"/>
                <w:bCs/>
                <w:color w:val="000000"/>
                <w:sz w:val="18"/>
                <w:szCs w:val="18"/>
              </w:rPr>
              <w:t>6</w:t>
            </w:r>
            <w:r w:rsidR="00A86F56" w:rsidRPr="00F9707F">
              <w:rPr>
                <w:rFonts w:ascii="Arial" w:hAnsi="Arial" w:cs="Arial"/>
                <w:bCs/>
                <w:color w:val="000000"/>
                <w:sz w:val="18"/>
                <w:szCs w:val="18"/>
              </w:rPr>
              <w:t xml:space="preserve"> </w:t>
            </w:r>
            <w:r>
              <w:rPr>
                <w:rFonts w:ascii="Arial" w:hAnsi="Arial" w:cs="Arial"/>
                <w:bCs/>
                <w:color w:val="000000"/>
                <w:sz w:val="18"/>
                <w:szCs w:val="18"/>
              </w:rPr>
              <w:t>857.6</w:t>
            </w:r>
          </w:p>
        </w:tc>
        <w:tc>
          <w:tcPr>
            <w:tcW w:w="1134" w:type="dxa"/>
            <w:tcBorders>
              <w:top w:val="nil"/>
              <w:left w:val="nil"/>
              <w:bottom w:val="nil"/>
              <w:right w:val="double" w:sz="6" w:space="0" w:color="auto"/>
            </w:tcBorders>
            <w:shd w:val="clear" w:color="auto" w:fill="auto"/>
            <w:vAlign w:val="center"/>
            <w:hideMark/>
          </w:tcPr>
          <w:p w14:paraId="505C0038" w14:textId="0844E724" w:rsidR="00A86F56" w:rsidRPr="00F9707F" w:rsidRDefault="004D2C2E">
            <w:pPr>
              <w:ind w:left="-67" w:right="216"/>
              <w:jc w:val="right"/>
              <w:rPr>
                <w:rFonts w:ascii="Arial" w:hAnsi="Arial" w:cs="Arial"/>
                <w:bCs/>
                <w:color w:val="000000"/>
                <w:sz w:val="18"/>
                <w:szCs w:val="18"/>
              </w:rPr>
            </w:pPr>
            <w:r>
              <w:rPr>
                <w:rFonts w:ascii="Arial" w:hAnsi="Arial" w:cs="Arial"/>
                <w:bCs/>
                <w:color w:val="000000"/>
                <w:sz w:val="18"/>
                <w:szCs w:val="18"/>
              </w:rPr>
              <w:t>-</w:t>
            </w:r>
            <w:r w:rsidR="008D74F0">
              <w:rPr>
                <w:rFonts w:ascii="Arial" w:hAnsi="Arial" w:cs="Arial"/>
                <w:bCs/>
                <w:color w:val="000000"/>
                <w:sz w:val="18"/>
                <w:szCs w:val="18"/>
              </w:rPr>
              <w:t>9.1</w:t>
            </w:r>
          </w:p>
        </w:tc>
        <w:tc>
          <w:tcPr>
            <w:tcW w:w="1559" w:type="dxa"/>
            <w:shd w:val="clear" w:color="auto" w:fill="auto"/>
            <w:vAlign w:val="center"/>
            <w:hideMark/>
          </w:tcPr>
          <w:p w14:paraId="74814EE4" w14:textId="5962ACA1" w:rsidR="00A86F56" w:rsidRPr="00F9707F" w:rsidRDefault="00527D4B">
            <w:pPr>
              <w:ind w:right="211"/>
              <w:jc w:val="right"/>
              <w:rPr>
                <w:rFonts w:ascii="Arial" w:hAnsi="Arial" w:cs="Arial"/>
                <w:bCs/>
                <w:color w:val="000000"/>
                <w:sz w:val="18"/>
                <w:szCs w:val="18"/>
              </w:rPr>
            </w:pPr>
            <w:r>
              <w:rPr>
                <w:rFonts w:ascii="Arial" w:hAnsi="Arial" w:cs="Arial"/>
                <w:bCs/>
                <w:color w:val="000000"/>
                <w:sz w:val="18"/>
                <w:szCs w:val="18"/>
              </w:rPr>
              <w:t>4</w:t>
            </w:r>
            <w:r w:rsidR="008D74F0">
              <w:rPr>
                <w:rFonts w:ascii="Arial" w:hAnsi="Arial" w:cs="Arial"/>
                <w:bCs/>
                <w:color w:val="000000"/>
                <w:sz w:val="18"/>
                <w:szCs w:val="18"/>
              </w:rPr>
              <w:t>8</w:t>
            </w:r>
            <w:r w:rsidR="00A86F56">
              <w:rPr>
                <w:rFonts w:ascii="Arial" w:hAnsi="Arial" w:cs="Arial"/>
                <w:bCs/>
                <w:color w:val="000000"/>
                <w:sz w:val="18"/>
                <w:szCs w:val="18"/>
              </w:rPr>
              <w:t xml:space="preserve"> </w:t>
            </w:r>
            <w:r w:rsidR="008D74F0">
              <w:rPr>
                <w:rFonts w:ascii="Arial" w:hAnsi="Arial" w:cs="Arial"/>
                <w:bCs/>
                <w:color w:val="000000"/>
                <w:sz w:val="18"/>
                <w:szCs w:val="18"/>
              </w:rPr>
              <w:t>850.7</w:t>
            </w:r>
          </w:p>
        </w:tc>
        <w:tc>
          <w:tcPr>
            <w:tcW w:w="1134" w:type="dxa"/>
            <w:tcBorders>
              <w:top w:val="nil"/>
              <w:left w:val="nil"/>
              <w:bottom w:val="nil"/>
              <w:right w:val="double" w:sz="6" w:space="0" w:color="auto"/>
            </w:tcBorders>
            <w:shd w:val="clear" w:color="auto" w:fill="auto"/>
            <w:vAlign w:val="center"/>
            <w:hideMark/>
          </w:tcPr>
          <w:p w14:paraId="1FBC65E9" w14:textId="43A92B51" w:rsidR="00A86F56" w:rsidRPr="00F9707F" w:rsidRDefault="008D74F0">
            <w:pPr>
              <w:ind w:left="-71" w:right="209"/>
              <w:jc w:val="right"/>
              <w:rPr>
                <w:rFonts w:ascii="Arial" w:hAnsi="Arial" w:cs="Arial"/>
                <w:color w:val="000000"/>
                <w:sz w:val="18"/>
                <w:szCs w:val="18"/>
              </w:rPr>
            </w:pPr>
            <w:r>
              <w:rPr>
                <w:rFonts w:ascii="Arial" w:hAnsi="Arial" w:cs="Arial"/>
                <w:bCs/>
                <w:color w:val="000000"/>
                <w:sz w:val="18"/>
                <w:szCs w:val="18"/>
              </w:rPr>
              <w:t>5.7</w:t>
            </w:r>
          </w:p>
        </w:tc>
      </w:tr>
      <w:tr w:rsidR="00A86F56" w14:paraId="16ABD749" w14:textId="77777777">
        <w:trPr>
          <w:trHeight w:val="255"/>
          <w:jc w:val="center"/>
        </w:trPr>
        <w:tc>
          <w:tcPr>
            <w:tcW w:w="191" w:type="dxa"/>
            <w:tcBorders>
              <w:left w:val="double" w:sz="6" w:space="0" w:color="000000"/>
            </w:tcBorders>
            <w:shd w:val="clear" w:color="auto" w:fill="auto"/>
            <w:vAlign w:val="center"/>
            <w:hideMark/>
          </w:tcPr>
          <w:p w14:paraId="6981E79A"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 </w:t>
            </w:r>
          </w:p>
        </w:tc>
        <w:tc>
          <w:tcPr>
            <w:tcW w:w="190" w:type="dxa"/>
            <w:shd w:val="clear" w:color="auto" w:fill="auto"/>
            <w:noWrap/>
            <w:vAlign w:val="bottom"/>
            <w:hideMark/>
          </w:tcPr>
          <w:p w14:paraId="379F013F" w14:textId="77777777" w:rsidR="00A86F56" w:rsidRPr="00F9707F" w:rsidRDefault="00A86F56">
            <w:pPr>
              <w:rPr>
                <w:rFonts w:ascii="Calibri" w:hAnsi="Calibri" w:cs="Calibri"/>
                <w:color w:val="000000"/>
                <w:sz w:val="22"/>
                <w:szCs w:val="22"/>
              </w:rPr>
            </w:pPr>
            <w:r w:rsidRPr="00F9707F">
              <w:rPr>
                <w:rFonts w:ascii="Calibri" w:hAnsi="Calibri" w:cs="Calibri"/>
                <w:color w:val="000000"/>
                <w:sz w:val="22"/>
                <w:szCs w:val="22"/>
              </w:rPr>
              <w:t> </w:t>
            </w:r>
          </w:p>
        </w:tc>
        <w:tc>
          <w:tcPr>
            <w:tcW w:w="2335" w:type="dxa"/>
            <w:gridSpan w:val="2"/>
            <w:tcBorders>
              <w:top w:val="nil"/>
              <w:left w:val="nil"/>
              <w:bottom w:val="nil"/>
              <w:right w:val="double" w:sz="6" w:space="0" w:color="000000"/>
            </w:tcBorders>
            <w:shd w:val="clear" w:color="auto" w:fill="auto"/>
            <w:vAlign w:val="center"/>
            <w:hideMark/>
          </w:tcPr>
          <w:p w14:paraId="69FFA2DA"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Petroleras</w:t>
            </w:r>
          </w:p>
        </w:tc>
        <w:tc>
          <w:tcPr>
            <w:tcW w:w="1276" w:type="dxa"/>
            <w:shd w:val="clear" w:color="auto" w:fill="auto"/>
            <w:vAlign w:val="center"/>
            <w:hideMark/>
          </w:tcPr>
          <w:p w14:paraId="0F1784A7" w14:textId="7360D587" w:rsidR="00A86F56" w:rsidRPr="00F9707F" w:rsidRDefault="00A86F56">
            <w:pPr>
              <w:tabs>
                <w:tab w:val="left" w:pos="1069"/>
              </w:tabs>
              <w:ind w:right="73"/>
              <w:jc w:val="right"/>
              <w:rPr>
                <w:rFonts w:ascii="Arial" w:hAnsi="Arial" w:cs="Arial"/>
                <w:bCs/>
                <w:color w:val="000000"/>
                <w:sz w:val="18"/>
                <w:szCs w:val="18"/>
              </w:rPr>
            </w:pPr>
            <w:r w:rsidRPr="00F9707F">
              <w:rPr>
                <w:rFonts w:ascii="Arial" w:hAnsi="Arial" w:cs="Arial"/>
                <w:bCs/>
                <w:color w:val="000000"/>
                <w:sz w:val="18"/>
                <w:szCs w:val="18"/>
              </w:rPr>
              <w:t xml:space="preserve">1 </w:t>
            </w:r>
            <w:r w:rsidR="008D74F0">
              <w:rPr>
                <w:rFonts w:ascii="Arial" w:hAnsi="Arial" w:cs="Arial"/>
                <w:bCs/>
                <w:color w:val="000000"/>
                <w:sz w:val="18"/>
                <w:szCs w:val="18"/>
              </w:rPr>
              <w:t>391.0</w:t>
            </w:r>
          </w:p>
        </w:tc>
        <w:tc>
          <w:tcPr>
            <w:tcW w:w="1134" w:type="dxa"/>
            <w:tcBorders>
              <w:top w:val="nil"/>
              <w:left w:val="nil"/>
              <w:bottom w:val="nil"/>
              <w:right w:val="double" w:sz="6" w:space="0" w:color="auto"/>
            </w:tcBorders>
            <w:shd w:val="clear" w:color="auto" w:fill="auto"/>
            <w:vAlign w:val="center"/>
            <w:hideMark/>
          </w:tcPr>
          <w:p w14:paraId="1448AD06" w14:textId="173F1899" w:rsidR="00A86F56" w:rsidRPr="00F9707F" w:rsidRDefault="00A86F56">
            <w:pPr>
              <w:ind w:left="-67" w:right="216"/>
              <w:jc w:val="right"/>
              <w:rPr>
                <w:rFonts w:ascii="Arial" w:hAnsi="Arial" w:cs="Arial"/>
                <w:bCs/>
                <w:color w:val="000000"/>
                <w:sz w:val="18"/>
                <w:szCs w:val="18"/>
              </w:rPr>
            </w:pPr>
            <w:r>
              <w:rPr>
                <w:rFonts w:ascii="Arial" w:hAnsi="Arial" w:cs="Arial"/>
                <w:bCs/>
                <w:color w:val="000000"/>
                <w:sz w:val="18"/>
                <w:szCs w:val="18"/>
              </w:rPr>
              <w:t>-</w:t>
            </w:r>
            <w:r w:rsidR="008D74F0">
              <w:rPr>
                <w:rFonts w:ascii="Arial" w:hAnsi="Arial" w:cs="Arial"/>
                <w:bCs/>
                <w:color w:val="000000"/>
                <w:sz w:val="18"/>
                <w:szCs w:val="18"/>
              </w:rPr>
              <w:t>52.4</w:t>
            </w:r>
          </w:p>
        </w:tc>
        <w:tc>
          <w:tcPr>
            <w:tcW w:w="1559" w:type="dxa"/>
            <w:shd w:val="clear" w:color="auto" w:fill="auto"/>
            <w:vAlign w:val="center"/>
            <w:hideMark/>
          </w:tcPr>
          <w:p w14:paraId="4322750E" w14:textId="258D1202" w:rsidR="00A86F56" w:rsidRPr="00F9707F" w:rsidRDefault="008D74F0">
            <w:pPr>
              <w:ind w:right="211"/>
              <w:jc w:val="right"/>
              <w:rPr>
                <w:rFonts w:ascii="Arial" w:hAnsi="Arial" w:cs="Arial"/>
                <w:bCs/>
                <w:color w:val="000000"/>
                <w:sz w:val="18"/>
                <w:szCs w:val="18"/>
              </w:rPr>
            </w:pPr>
            <w:r>
              <w:rPr>
                <w:rFonts w:ascii="Arial" w:hAnsi="Arial" w:cs="Arial"/>
                <w:bCs/>
                <w:color w:val="000000"/>
                <w:sz w:val="18"/>
                <w:szCs w:val="18"/>
              </w:rPr>
              <w:t>11</w:t>
            </w:r>
            <w:r w:rsidR="00A86F56">
              <w:rPr>
                <w:rFonts w:ascii="Arial" w:hAnsi="Arial" w:cs="Arial"/>
                <w:bCs/>
                <w:color w:val="000000"/>
                <w:sz w:val="18"/>
                <w:szCs w:val="18"/>
              </w:rPr>
              <w:t xml:space="preserve"> </w:t>
            </w:r>
            <w:r>
              <w:rPr>
                <w:rFonts w:ascii="Arial" w:hAnsi="Arial" w:cs="Arial"/>
                <w:bCs/>
                <w:color w:val="000000"/>
                <w:sz w:val="18"/>
                <w:szCs w:val="18"/>
              </w:rPr>
              <w:t>190.5</w:t>
            </w:r>
          </w:p>
        </w:tc>
        <w:tc>
          <w:tcPr>
            <w:tcW w:w="1134" w:type="dxa"/>
            <w:tcBorders>
              <w:top w:val="nil"/>
              <w:left w:val="nil"/>
              <w:bottom w:val="nil"/>
              <w:right w:val="double" w:sz="6" w:space="0" w:color="auto"/>
            </w:tcBorders>
            <w:shd w:val="clear" w:color="auto" w:fill="auto"/>
            <w:vAlign w:val="center"/>
            <w:hideMark/>
          </w:tcPr>
          <w:p w14:paraId="1BF16491" w14:textId="5A76E800" w:rsidR="00A86F56" w:rsidRPr="00F9707F" w:rsidRDefault="000F6140">
            <w:pPr>
              <w:ind w:left="-71" w:right="209"/>
              <w:jc w:val="right"/>
              <w:rPr>
                <w:rFonts w:ascii="Arial" w:hAnsi="Arial" w:cs="Arial"/>
                <w:color w:val="000000"/>
                <w:sz w:val="18"/>
                <w:szCs w:val="18"/>
              </w:rPr>
            </w:pPr>
            <w:r>
              <w:rPr>
                <w:rFonts w:ascii="Arial" w:hAnsi="Arial" w:cs="Arial"/>
                <w:bCs/>
                <w:color w:val="000000"/>
                <w:sz w:val="18"/>
                <w:szCs w:val="18"/>
              </w:rPr>
              <w:t>-</w:t>
            </w:r>
            <w:r w:rsidR="008D74F0">
              <w:rPr>
                <w:rFonts w:ascii="Arial" w:hAnsi="Arial" w:cs="Arial"/>
                <w:bCs/>
                <w:color w:val="000000"/>
                <w:sz w:val="18"/>
                <w:szCs w:val="18"/>
              </w:rPr>
              <w:t>26.2</w:t>
            </w:r>
          </w:p>
        </w:tc>
      </w:tr>
      <w:tr w:rsidR="00A86F56" w14:paraId="2E113A38" w14:textId="77777777">
        <w:trPr>
          <w:trHeight w:val="255"/>
          <w:jc w:val="center"/>
        </w:trPr>
        <w:tc>
          <w:tcPr>
            <w:tcW w:w="191" w:type="dxa"/>
            <w:tcBorders>
              <w:left w:val="double" w:sz="6" w:space="0" w:color="000000"/>
            </w:tcBorders>
            <w:shd w:val="clear" w:color="auto" w:fill="auto"/>
            <w:vAlign w:val="center"/>
            <w:hideMark/>
          </w:tcPr>
          <w:p w14:paraId="596EBF5E"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 </w:t>
            </w:r>
          </w:p>
        </w:tc>
        <w:tc>
          <w:tcPr>
            <w:tcW w:w="190" w:type="dxa"/>
            <w:shd w:val="clear" w:color="auto" w:fill="auto"/>
            <w:noWrap/>
            <w:vAlign w:val="bottom"/>
            <w:hideMark/>
          </w:tcPr>
          <w:p w14:paraId="08B06DAA" w14:textId="77777777" w:rsidR="00A86F56" w:rsidRPr="00F9707F" w:rsidRDefault="00A86F56">
            <w:pPr>
              <w:rPr>
                <w:rFonts w:ascii="Calibri" w:hAnsi="Calibri" w:cs="Calibri"/>
                <w:color w:val="000000"/>
                <w:sz w:val="22"/>
                <w:szCs w:val="22"/>
              </w:rPr>
            </w:pPr>
            <w:r w:rsidRPr="00F9707F">
              <w:rPr>
                <w:rFonts w:ascii="Calibri" w:hAnsi="Calibri" w:cs="Calibri"/>
                <w:color w:val="000000"/>
                <w:sz w:val="22"/>
                <w:szCs w:val="22"/>
              </w:rPr>
              <w:t> </w:t>
            </w:r>
          </w:p>
        </w:tc>
        <w:tc>
          <w:tcPr>
            <w:tcW w:w="2335" w:type="dxa"/>
            <w:gridSpan w:val="2"/>
            <w:tcBorders>
              <w:top w:val="nil"/>
              <w:left w:val="nil"/>
              <w:bottom w:val="nil"/>
              <w:right w:val="double" w:sz="6" w:space="0" w:color="000000"/>
            </w:tcBorders>
            <w:shd w:val="clear" w:color="auto" w:fill="auto"/>
            <w:vAlign w:val="center"/>
            <w:hideMark/>
          </w:tcPr>
          <w:p w14:paraId="736BD78A"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No petroleras</w:t>
            </w:r>
          </w:p>
        </w:tc>
        <w:tc>
          <w:tcPr>
            <w:tcW w:w="1276" w:type="dxa"/>
            <w:shd w:val="clear" w:color="auto" w:fill="auto"/>
            <w:vAlign w:val="center"/>
            <w:hideMark/>
          </w:tcPr>
          <w:p w14:paraId="0B38BF99" w14:textId="210CD5D8" w:rsidR="00A86F56" w:rsidRPr="00F9707F" w:rsidRDefault="007A7890">
            <w:pPr>
              <w:tabs>
                <w:tab w:val="left" w:pos="1069"/>
              </w:tabs>
              <w:ind w:right="73"/>
              <w:jc w:val="right"/>
              <w:rPr>
                <w:rFonts w:ascii="Arial" w:hAnsi="Arial" w:cs="Arial"/>
                <w:bCs/>
                <w:color w:val="000000"/>
                <w:sz w:val="18"/>
                <w:szCs w:val="18"/>
              </w:rPr>
            </w:pPr>
            <w:r>
              <w:rPr>
                <w:rFonts w:ascii="Arial" w:hAnsi="Arial" w:cs="Arial"/>
                <w:bCs/>
                <w:color w:val="000000"/>
                <w:sz w:val="18"/>
                <w:szCs w:val="18"/>
              </w:rPr>
              <w:t>5</w:t>
            </w:r>
            <w:r w:rsidR="00A86F56" w:rsidRPr="00F9707F">
              <w:rPr>
                <w:rFonts w:ascii="Arial" w:hAnsi="Arial" w:cs="Arial"/>
                <w:bCs/>
                <w:color w:val="000000"/>
                <w:sz w:val="18"/>
                <w:szCs w:val="18"/>
              </w:rPr>
              <w:t xml:space="preserve"> </w:t>
            </w:r>
            <w:r w:rsidR="008D74F0">
              <w:rPr>
                <w:rFonts w:ascii="Arial" w:hAnsi="Arial" w:cs="Arial"/>
                <w:bCs/>
                <w:color w:val="000000"/>
                <w:sz w:val="18"/>
                <w:szCs w:val="18"/>
              </w:rPr>
              <w:t>466.5</w:t>
            </w:r>
          </w:p>
        </w:tc>
        <w:tc>
          <w:tcPr>
            <w:tcW w:w="1134" w:type="dxa"/>
            <w:tcBorders>
              <w:top w:val="nil"/>
              <w:left w:val="nil"/>
              <w:bottom w:val="nil"/>
              <w:right w:val="double" w:sz="6" w:space="0" w:color="auto"/>
            </w:tcBorders>
            <w:shd w:val="clear" w:color="auto" w:fill="auto"/>
            <w:vAlign w:val="center"/>
            <w:hideMark/>
          </w:tcPr>
          <w:p w14:paraId="1B1B0ACE" w14:textId="208AA062" w:rsidR="00A86F56" w:rsidRPr="00F9707F" w:rsidRDefault="008D74F0">
            <w:pPr>
              <w:ind w:left="-67" w:right="216"/>
              <w:jc w:val="right"/>
              <w:rPr>
                <w:rFonts w:ascii="Arial" w:hAnsi="Arial" w:cs="Arial"/>
                <w:bCs/>
                <w:color w:val="000000"/>
                <w:sz w:val="18"/>
                <w:szCs w:val="18"/>
              </w:rPr>
            </w:pPr>
            <w:r>
              <w:rPr>
                <w:rFonts w:ascii="Arial" w:hAnsi="Arial" w:cs="Arial"/>
                <w:bCs/>
                <w:color w:val="000000"/>
                <w:sz w:val="18"/>
                <w:szCs w:val="18"/>
              </w:rPr>
              <w:t>18.4</w:t>
            </w:r>
          </w:p>
        </w:tc>
        <w:tc>
          <w:tcPr>
            <w:tcW w:w="1559" w:type="dxa"/>
            <w:shd w:val="clear" w:color="auto" w:fill="auto"/>
            <w:vAlign w:val="center"/>
            <w:hideMark/>
          </w:tcPr>
          <w:p w14:paraId="777A397B" w14:textId="2B76C546" w:rsidR="00A86F56" w:rsidRPr="00F9707F" w:rsidRDefault="00527D4B">
            <w:pPr>
              <w:ind w:right="211"/>
              <w:jc w:val="right"/>
              <w:rPr>
                <w:rFonts w:ascii="Arial" w:hAnsi="Arial" w:cs="Arial"/>
                <w:bCs/>
                <w:color w:val="000000"/>
                <w:sz w:val="18"/>
                <w:szCs w:val="18"/>
              </w:rPr>
            </w:pPr>
            <w:r>
              <w:rPr>
                <w:rFonts w:ascii="Arial" w:hAnsi="Arial" w:cs="Arial"/>
                <w:bCs/>
                <w:color w:val="000000"/>
                <w:sz w:val="18"/>
                <w:szCs w:val="18"/>
              </w:rPr>
              <w:t>3</w:t>
            </w:r>
            <w:r w:rsidR="008D74F0">
              <w:rPr>
                <w:rFonts w:ascii="Arial" w:hAnsi="Arial" w:cs="Arial"/>
                <w:bCs/>
                <w:color w:val="000000"/>
                <w:sz w:val="18"/>
                <w:szCs w:val="18"/>
              </w:rPr>
              <w:t>7</w:t>
            </w:r>
            <w:r w:rsidR="00A86F56">
              <w:rPr>
                <w:rFonts w:ascii="Arial" w:hAnsi="Arial" w:cs="Arial"/>
                <w:bCs/>
                <w:color w:val="000000"/>
                <w:sz w:val="18"/>
                <w:szCs w:val="18"/>
              </w:rPr>
              <w:t xml:space="preserve"> </w:t>
            </w:r>
            <w:r w:rsidR="00CE3F8E">
              <w:rPr>
                <w:rFonts w:ascii="Arial" w:hAnsi="Arial" w:cs="Arial"/>
                <w:bCs/>
                <w:color w:val="000000"/>
                <w:sz w:val="18"/>
                <w:szCs w:val="18"/>
              </w:rPr>
              <w:t>660.2</w:t>
            </w:r>
          </w:p>
        </w:tc>
        <w:tc>
          <w:tcPr>
            <w:tcW w:w="1134" w:type="dxa"/>
            <w:tcBorders>
              <w:top w:val="nil"/>
              <w:left w:val="nil"/>
              <w:bottom w:val="nil"/>
              <w:right w:val="double" w:sz="6" w:space="0" w:color="auto"/>
            </w:tcBorders>
            <w:shd w:val="clear" w:color="auto" w:fill="auto"/>
            <w:vAlign w:val="center"/>
            <w:hideMark/>
          </w:tcPr>
          <w:p w14:paraId="26FC09D0" w14:textId="31AF4D73" w:rsidR="00A86F56" w:rsidRPr="00F9707F" w:rsidRDefault="000F6140">
            <w:pPr>
              <w:ind w:left="-71" w:right="209"/>
              <w:jc w:val="right"/>
              <w:rPr>
                <w:rFonts w:ascii="Arial" w:hAnsi="Arial" w:cs="Arial"/>
                <w:color w:val="000000"/>
                <w:sz w:val="18"/>
                <w:szCs w:val="18"/>
              </w:rPr>
            </w:pPr>
            <w:r>
              <w:rPr>
                <w:rFonts w:ascii="Arial" w:hAnsi="Arial" w:cs="Arial"/>
                <w:bCs/>
                <w:color w:val="000000"/>
                <w:sz w:val="18"/>
                <w:szCs w:val="18"/>
              </w:rPr>
              <w:t>21.</w:t>
            </w:r>
            <w:r w:rsidR="00CE3F8E">
              <w:rPr>
                <w:rFonts w:ascii="Arial" w:hAnsi="Arial" w:cs="Arial"/>
                <w:bCs/>
                <w:color w:val="000000"/>
                <w:sz w:val="18"/>
                <w:szCs w:val="18"/>
              </w:rPr>
              <w:t>2</w:t>
            </w:r>
          </w:p>
        </w:tc>
      </w:tr>
      <w:tr w:rsidR="00A86F56" w14:paraId="54972977" w14:textId="77777777">
        <w:trPr>
          <w:trHeight w:val="255"/>
          <w:jc w:val="center"/>
        </w:trPr>
        <w:tc>
          <w:tcPr>
            <w:tcW w:w="191" w:type="dxa"/>
            <w:tcBorders>
              <w:left w:val="double" w:sz="6" w:space="0" w:color="000000"/>
            </w:tcBorders>
            <w:shd w:val="clear" w:color="auto" w:fill="auto"/>
            <w:vAlign w:val="center"/>
            <w:hideMark/>
          </w:tcPr>
          <w:p w14:paraId="65F33F06"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 </w:t>
            </w:r>
          </w:p>
        </w:tc>
        <w:tc>
          <w:tcPr>
            <w:tcW w:w="2525" w:type="dxa"/>
            <w:gridSpan w:val="3"/>
            <w:tcBorders>
              <w:top w:val="nil"/>
              <w:left w:val="nil"/>
              <w:bottom w:val="nil"/>
              <w:right w:val="double" w:sz="6" w:space="0" w:color="000000"/>
            </w:tcBorders>
            <w:shd w:val="clear" w:color="auto" w:fill="auto"/>
            <w:noWrap/>
            <w:vAlign w:val="center"/>
            <w:hideMark/>
          </w:tcPr>
          <w:p w14:paraId="3FC5AA5D"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Bienes intermedios</w:t>
            </w:r>
          </w:p>
        </w:tc>
        <w:tc>
          <w:tcPr>
            <w:tcW w:w="1276" w:type="dxa"/>
            <w:shd w:val="clear" w:color="auto" w:fill="auto"/>
            <w:vAlign w:val="center"/>
            <w:hideMark/>
          </w:tcPr>
          <w:p w14:paraId="1D257BD1" w14:textId="63D8B3F8" w:rsidR="00A86F56" w:rsidRPr="00F9707F" w:rsidRDefault="004D2C2E">
            <w:pPr>
              <w:tabs>
                <w:tab w:val="left" w:pos="1069"/>
              </w:tabs>
              <w:ind w:right="73"/>
              <w:jc w:val="right"/>
              <w:rPr>
                <w:rFonts w:ascii="Arial" w:hAnsi="Arial" w:cs="Arial"/>
                <w:bCs/>
                <w:color w:val="000000"/>
                <w:sz w:val="18"/>
                <w:szCs w:val="18"/>
              </w:rPr>
            </w:pPr>
            <w:r>
              <w:rPr>
                <w:rFonts w:ascii="Arial" w:hAnsi="Arial" w:cs="Arial"/>
                <w:bCs/>
                <w:color w:val="000000"/>
                <w:sz w:val="18"/>
                <w:szCs w:val="18"/>
              </w:rPr>
              <w:t>3</w:t>
            </w:r>
            <w:r w:rsidR="008D74F0">
              <w:rPr>
                <w:rFonts w:ascii="Arial" w:hAnsi="Arial" w:cs="Arial"/>
                <w:bCs/>
                <w:color w:val="000000"/>
                <w:sz w:val="18"/>
                <w:szCs w:val="18"/>
              </w:rPr>
              <w:t>6</w:t>
            </w:r>
            <w:r w:rsidR="00A86F56">
              <w:rPr>
                <w:rFonts w:ascii="Arial" w:hAnsi="Arial" w:cs="Arial"/>
                <w:bCs/>
                <w:color w:val="000000"/>
                <w:sz w:val="18"/>
                <w:szCs w:val="18"/>
              </w:rPr>
              <w:t xml:space="preserve"> </w:t>
            </w:r>
            <w:r w:rsidR="008D74F0">
              <w:rPr>
                <w:rFonts w:ascii="Arial" w:hAnsi="Arial" w:cs="Arial"/>
                <w:bCs/>
                <w:color w:val="000000"/>
                <w:sz w:val="18"/>
                <w:szCs w:val="18"/>
              </w:rPr>
              <w:t>779.1</w:t>
            </w:r>
          </w:p>
        </w:tc>
        <w:tc>
          <w:tcPr>
            <w:tcW w:w="1134" w:type="dxa"/>
            <w:tcBorders>
              <w:top w:val="nil"/>
              <w:left w:val="nil"/>
              <w:bottom w:val="nil"/>
              <w:right w:val="double" w:sz="6" w:space="0" w:color="auto"/>
            </w:tcBorders>
            <w:shd w:val="clear" w:color="auto" w:fill="auto"/>
            <w:vAlign w:val="center"/>
            <w:hideMark/>
          </w:tcPr>
          <w:p w14:paraId="420BC616" w14:textId="4E68CA98" w:rsidR="00A86F56" w:rsidRPr="00F9707F" w:rsidRDefault="007A7890">
            <w:pPr>
              <w:ind w:left="-67" w:right="216"/>
              <w:jc w:val="right"/>
              <w:rPr>
                <w:rFonts w:ascii="Arial" w:hAnsi="Arial" w:cs="Arial"/>
                <w:bCs/>
                <w:color w:val="000000"/>
                <w:sz w:val="18"/>
                <w:szCs w:val="18"/>
              </w:rPr>
            </w:pPr>
            <w:r>
              <w:rPr>
                <w:rFonts w:ascii="Arial" w:hAnsi="Arial" w:cs="Arial"/>
                <w:bCs/>
                <w:color w:val="000000"/>
                <w:sz w:val="18"/>
                <w:szCs w:val="18"/>
              </w:rPr>
              <w:t>-</w:t>
            </w:r>
            <w:r w:rsidR="008D74F0">
              <w:rPr>
                <w:rFonts w:ascii="Arial" w:hAnsi="Arial" w:cs="Arial"/>
                <w:bCs/>
                <w:color w:val="000000"/>
                <w:sz w:val="18"/>
                <w:szCs w:val="18"/>
              </w:rPr>
              <w:t>10.4</w:t>
            </w:r>
          </w:p>
        </w:tc>
        <w:tc>
          <w:tcPr>
            <w:tcW w:w="1559" w:type="dxa"/>
            <w:shd w:val="clear" w:color="auto" w:fill="auto"/>
            <w:vAlign w:val="center"/>
            <w:hideMark/>
          </w:tcPr>
          <w:p w14:paraId="58BB0691" w14:textId="6CF6DEC5" w:rsidR="00A86F56" w:rsidRPr="00F9707F" w:rsidRDefault="00527D4B">
            <w:pPr>
              <w:ind w:right="211"/>
              <w:jc w:val="right"/>
              <w:rPr>
                <w:rFonts w:ascii="Arial" w:hAnsi="Arial" w:cs="Arial"/>
                <w:bCs/>
                <w:color w:val="000000"/>
                <w:sz w:val="18"/>
                <w:szCs w:val="18"/>
              </w:rPr>
            </w:pPr>
            <w:r>
              <w:rPr>
                <w:rFonts w:ascii="Arial" w:hAnsi="Arial" w:cs="Arial"/>
                <w:bCs/>
                <w:color w:val="000000"/>
                <w:sz w:val="18"/>
                <w:szCs w:val="18"/>
              </w:rPr>
              <w:t>2</w:t>
            </w:r>
            <w:r w:rsidR="00CE3F8E">
              <w:rPr>
                <w:rFonts w:ascii="Arial" w:hAnsi="Arial" w:cs="Arial"/>
                <w:bCs/>
                <w:color w:val="000000"/>
                <w:sz w:val="18"/>
                <w:szCs w:val="18"/>
              </w:rPr>
              <w:t>65</w:t>
            </w:r>
            <w:r w:rsidR="00A86F56">
              <w:rPr>
                <w:rFonts w:ascii="Arial" w:hAnsi="Arial" w:cs="Arial"/>
                <w:bCs/>
                <w:color w:val="000000"/>
                <w:sz w:val="18"/>
                <w:szCs w:val="18"/>
              </w:rPr>
              <w:t xml:space="preserve"> </w:t>
            </w:r>
            <w:r w:rsidR="00CE3F8E">
              <w:rPr>
                <w:rFonts w:ascii="Arial" w:hAnsi="Arial" w:cs="Arial"/>
                <w:bCs/>
                <w:color w:val="000000"/>
                <w:sz w:val="18"/>
                <w:szCs w:val="18"/>
              </w:rPr>
              <w:t>354.1</w:t>
            </w:r>
          </w:p>
        </w:tc>
        <w:tc>
          <w:tcPr>
            <w:tcW w:w="1134" w:type="dxa"/>
            <w:tcBorders>
              <w:top w:val="nil"/>
              <w:left w:val="nil"/>
              <w:bottom w:val="nil"/>
              <w:right w:val="double" w:sz="6" w:space="0" w:color="auto"/>
            </w:tcBorders>
            <w:shd w:val="clear" w:color="auto" w:fill="auto"/>
            <w:vAlign w:val="center"/>
            <w:hideMark/>
          </w:tcPr>
          <w:p w14:paraId="19F7DAF2" w14:textId="2EB20D62" w:rsidR="00A86F56" w:rsidRPr="00F9707F" w:rsidRDefault="000F6140">
            <w:pPr>
              <w:ind w:left="-71" w:right="209"/>
              <w:jc w:val="right"/>
              <w:rPr>
                <w:rFonts w:ascii="Arial" w:hAnsi="Arial" w:cs="Arial"/>
                <w:color w:val="000000"/>
                <w:sz w:val="18"/>
                <w:szCs w:val="18"/>
              </w:rPr>
            </w:pPr>
            <w:r>
              <w:rPr>
                <w:rFonts w:ascii="Arial" w:hAnsi="Arial" w:cs="Arial"/>
                <w:bCs/>
                <w:color w:val="000000"/>
                <w:sz w:val="18"/>
                <w:szCs w:val="18"/>
              </w:rPr>
              <w:t>-</w:t>
            </w:r>
            <w:r w:rsidR="00CE3F8E">
              <w:rPr>
                <w:rFonts w:ascii="Arial" w:hAnsi="Arial" w:cs="Arial"/>
                <w:bCs/>
                <w:color w:val="000000"/>
                <w:sz w:val="18"/>
                <w:szCs w:val="18"/>
              </w:rPr>
              <w:t>3.0</w:t>
            </w:r>
          </w:p>
        </w:tc>
      </w:tr>
      <w:tr w:rsidR="00A86F56" w14:paraId="442ED1EE" w14:textId="77777777">
        <w:trPr>
          <w:trHeight w:val="255"/>
          <w:jc w:val="center"/>
        </w:trPr>
        <w:tc>
          <w:tcPr>
            <w:tcW w:w="191" w:type="dxa"/>
            <w:tcBorders>
              <w:left w:val="double" w:sz="6" w:space="0" w:color="000000"/>
            </w:tcBorders>
            <w:shd w:val="clear" w:color="auto" w:fill="auto"/>
            <w:vAlign w:val="center"/>
            <w:hideMark/>
          </w:tcPr>
          <w:p w14:paraId="461E92DF"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 </w:t>
            </w:r>
          </w:p>
        </w:tc>
        <w:tc>
          <w:tcPr>
            <w:tcW w:w="190" w:type="dxa"/>
            <w:shd w:val="clear" w:color="auto" w:fill="auto"/>
            <w:noWrap/>
            <w:vAlign w:val="bottom"/>
            <w:hideMark/>
          </w:tcPr>
          <w:p w14:paraId="1DF54A48" w14:textId="77777777" w:rsidR="00A86F56" w:rsidRPr="00F9707F" w:rsidRDefault="00A86F56">
            <w:pPr>
              <w:rPr>
                <w:rFonts w:ascii="Calibri" w:hAnsi="Calibri" w:cs="Calibri"/>
                <w:color w:val="000000"/>
                <w:sz w:val="22"/>
                <w:szCs w:val="22"/>
              </w:rPr>
            </w:pPr>
            <w:r w:rsidRPr="00F9707F">
              <w:rPr>
                <w:rFonts w:ascii="Calibri" w:hAnsi="Calibri" w:cs="Calibri"/>
                <w:color w:val="000000"/>
                <w:sz w:val="22"/>
                <w:szCs w:val="22"/>
              </w:rPr>
              <w:t> </w:t>
            </w:r>
          </w:p>
        </w:tc>
        <w:tc>
          <w:tcPr>
            <w:tcW w:w="2335" w:type="dxa"/>
            <w:gridSpan w:val="2"/>
            <w:tcBorders>
              <w:top w:val="nil"/>
              <w:left w:val="nil"/>
              <w:bottom w:val="nil"/>
              <w:right w:val="double" w:sz="6" w:space="0" w:color="000000"/>
            </w:tcBorders>
            <w:shd w:val="clear" w:color="auto" w:fill="auto"/>
            <w:vAlign w:val="center"/>
            <w:hideMark/>
          </w:tcPr>
          <w:p w14:paraId="662F7AC1"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Petroleras</w:t>
            </w:r>
          </w:p>
        </w:tc>
        <w:tc>
          <w:tcPr>
            <w:tcW w:w="1276" w:type="dxa"/>
            <w:shd w:val="clear" w:color="auto" w:fill="auto"/>
            <w:vAlign w:val="center"/>
            <w:hideMark/>
          </w:tcPr>
          <w:p w14:paraId="46852CB5" w14:textId="071B7933" w:rsidR="00A86F56" w:rsidRPr="00F9707F" w:rsidRDefault="00A86F56">
            <w:pPr>
              <w:tabs>
                <w:tab w:val="left" w:pos="1069"/>
              </w:tabs>
              <w:ind w:right="73"/>
              <w:jc w:val="right"/>
              <w:rPr>
                <w:rFonts w:ascii="Arial" w:hAnsi="Arial" w:cs="Arial"/>
                <w:bCs/>
                <w:color w:val="000000"/>
                <w:sz w:val="18"/>
                <w:szCs w:val="18"/>
              </w:rPr>
            </w:pPr>
            <w:r>
              <w:rPr>
                <w:rFonts w:ascii="Arial" w:hAnsi="Arial" w:cs="Arial"/>
                <w:bCs/>
                <w:color w:val="000000"/>
                <w:sz w:val="18"/>
                <w:szCs w:val="18"/>
              </w:rPr>
              <w:t>2</w:t>
            </w:r>
            <w:r w:rsidRPr="00F9707F">
              <w:rPr>
                <w:rFonts w:ascii="Arial" w:hAnsi="Arial" w:cs="Arial"/>
                <w:bCs/>
                <w:color w:val="000000"/>
                <w:sz w:val="18"/>
                <w:szCs w:val="18"/>
              </w:rPr>
              <w:t xml:space="preserve"> </w:t>
            </w:r>
            <w:r w:rsidR="008D74F0">
              <w:rPr>
                <w:rFonts w:ascii="Arial" w:hAnsi="Arial" w:cs="Arial"/>
                <w:bCs/>
                <w:color w:val="000000"/>
                <w:sz w:val="18"/>
                <w:szCs w:val="18"/>
              </w:rPr>
              <w:t>636.9</w:t>
            </w:r>
          </w:p>
        </w:tc>
        <w:tc>
          <w:tcPr>
            <w:tcW w:w="1134" w:type="dxa"/>
            <w:tcBorders>
              <w:top w:val="nil"/>
              <w:left w:val="nil"/>
              <w:bottom w:val="nil"/>
              <w:right w:val="double" w:sz="6" w:space="0" w:color="auto"/>
            </w:tcBorders>
            <w:shd w:val="clear" w:color="auto" w:fill="auto"/>
            <w:vAlign w:val="center"/>
            <w:hideMark/>
          </w:tcPr>
          <w:p w14:paraId="7E10F97C" w14:textId="519F3ED5" w:rsidR="00A86F56" w:rsidRPr="00F9707F" w:rsidRDefault="00A86F56">
            <w:pPr>
              <w:ind w:left="-67" w:right="216"/>
              <w:jc w:val="right"/>
              <w:rPr>
                <w:rFonts w:ascii="Arial" w:hAnsi="Arial" w:cs="Arial"/>
                <w:bCs/>
                <w:color w:val="000000"/>
                <w:sz w:val="18"/>
                <w:szCs w:val="18"/>
              </w:rPr>
            </w:pPr>
            <w:r>
              <w:rPr>
                <w:rFonts w:ascii="Arial" w:hAnsi="Arial" w:cs="Arial"/>
                <w:bCs/>
                <w:color w:val="000000"/>
                <w:sz w:val="18"/>
                <w:szCs w:val="18"/>
              </w:rPr>
              <w:t>-</w:t>
            </w:r>
            <w:r w:rsidR="008D74F0">
              <w:rPr>
                <w:rFonts w:ascii="Arial" w:hAnsi="Arial" w:cs="Arial"/>
                <w:bCs/>
                <w:color w:val="000000"/>
                <w:sz w:val="18"/>
                <w:szCs w:val="18"/>
              </w:rPr>
              <w:t>49.8</w:t>
            </w:r>
          </w:p>
        </w:tc>
        <w:tc>
          <w:tcPr>
            <w:tcW w:w="1559" w:type="dxa"/>
            <w:shd w:val="clear" w:color="auto" w:fill="auto"/>
            <w:vAlign w:val="center"/>
            <w:hideMark/>
          </w:tcPr>
          <w:p w14:paraId="6C40132A" w14:textId="37F11B6D" w:rsidR="00A86F56" w:rsidRPr="00F9707F" w:rsidRDefault="00CE3F8E">
            <w:pPr>
              <w:ind w:right="211"/>
              <w:jc w:val="right"/>
              <w:rPr>
                <w:rFonts w:ascii="Arial" w:hAnsi="Arial" w:cs="Arial"/>
                <w:bCs/>
                <w:color w:val="000000"/>
                <w:sz w:val="18"/>
                <w:szCs w:val="18"/>
              </w:rPr>
            </w:pPr>
            <w:r>
              <w:rPr>
                <w:rFonts w:ascii="Arial" w:hAnsi="Arial" w:cs="Arial"/>
                <w:bCs/>
                <w:color w:val="000000"/>
                <w:sz w:val="18"/>
                <w:szCs w:val="18"/>
              </w:rPr>
              <w:t>20</w:t>
            </w:r>
            <w:r w:rsidR="00A86F56" w:rsidRPr="00F9707F">
              <w:rPr>
                <w:rFonts w:ascii="Arial" w:hAnsi="Arial" w:cs="Arial"/>
                <w:bCs/>
                <w:color w:val="000000"/>
                <w:sz w:val="18"/>
                <w:szCs w:val="18"/>
              </w:rPr>
              <w:t xml:space="preserve"> </w:t>
            </w:r>
            <w:r>
              <w:rPr>
                <w:rFonts w:ascii="Arial" w:hAnsi="Arial" w:cs="Arial"/>
                <w:bCs/>
                <w:color w:val="000000"/>
                <w:sz w:val="18"/>
                <w:szCs w:val="18"/>
              </w:rPr>
              <w:t>953.5</w:t>
            </w:r>
          </w:p>
        </w:tc>
        <w:tc>
          <w:tcPr>
            <w:tcW w:w="1134" w:type="dxa"/>
            <w:tcBorders>
              <w:top w:val="nil"/>
              <w:left w:val="nil"/>
              <w:bottom w:val="nil"/>
              <w:right w:val="double" w:sz="6" w:space="0" w:color="auto"/>
            </w:tcBorders>
            <w:shd w:val="clear" w:color="auto" w:fill="auto"/>
            <w:vAlign w:val="center"/>
            <w:hideMark/>
          </w:tcPr>
          <w:p w14:paraId="712C1BAE" w14:textId="69C9F21C" w:rsidR="00A86F56" w:rsidRPr="00F9707F" w:rsidRDefault="00A86F56">
            <w:pPr>
              <w:ind w:left="-71" w:right="209"/>
              <w:jc w:val="right"/>
              <w:rPr>
                <w:rFonts w:ascii="Arial" w:hAnsi="Arial" w:cs="Arial"/>
                <w:color w:val="000000"/>
                <w:sz w:val="18"/>
                <w:szCs w:val="18"/>
              </w:rPr>
            </w:pPr>
            <w:r>
              <w:rPr>
                <w:rFonts w:ascii="Arial" w:hAnsi="Arial" w:cs="Arial"/>
                <w:bCs/>
                <w:color w:val="000000"/>
                <w:sz w:val="18"/>
                <w:szCs w:val="18"/>
              </w:rPr>
              <w:t>-</w:t>
            </w:r>
            <w:r w:rsidR="00527D4B">
              <w:rPr>
                <w:rFonts w:ascii="Arial" w:hAnsi="Arial" w:cs="Arial"/>
                <w:bCs/>
                <w:color w:val="000000"/>
                <w:sz w:val="18"/>
                <w:szCs w:val="18"/>
              </w:rPr>
              <w:t>2</w:t>
            </w:r>
            <w:r w:rsidR="00CE3F8E">
              <w:rPr>
                <w:rFonts w:ascii="Arial" w:hAnsi="Arial" w:cs="Arial"/>
                <w:bCs/>
                <w:color w:val="000000"/>
                <w:sz w:val="18"/>
                <w:szCs w:val="18"/>
              </w:rPr>
              <w:t>9.1</w:t>
            </w:r>
          </w:p>
        </w:tc>
      </w:tr>
      <w:tr w:rsidR="00A86F56" w14:paraId="34EB3461" w14:textId="77777777">
        <w:trPr>
          <w:trHeight w:val="255"/>
          <w:jc w:val="center"/>
        </w:trPr>
        <w:tc>
          <w:tcPr>
            <w:tcW w:w="191" w:type="dxa"/>
            <w:tcBorders>
              <w:left w:val="double" w:sz="6" w:space="0" w:color="000000"/>
            </w:tcBorders>
            <w:shd w:val="clear" w:color="auto" w:fill="auto"/>
            <w:vAlign w:val="center"/>
            <w:hideMark/>
          </w:tcPr>
          <w:p w14:paraId="53386AB5"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 </w:t>
            </w:r>
          </w:p>
        </w:tc>
        <w:tc>
          <w:tcPr>
            <w:tcW w:w="190" w:type="dxa"/>
            <w:shd w:val="clear" w:color="auto" w:fill="auto"/>
            <w:noWrap/>
            <w:vAlign w:val="bottom"/>
            <w:hideMark/>
          </w:tcPr>
          <w:p w14:paraId="36627407" w14:textId="77777777" w:rsidR="00A86F56" w:rsidRPr="00F9707F" w:rsidRDefault="00A86F56">
            <w:pPr>
              <w:rPr>
                <w:rFonts w:ascii="Calibri" w:hAnsi="Calibri" w:cs="Calibri"/>
                <w:color w:val="000000"/>
                <w:sz w:val="22"/>
                <w:szCs w:val="22"/>
              </w:rPr>
            </w:pPr>
            <w:r w:rsidRPr="00F9707F">
              <w:rPr>
                <w:rFonts w:ascii="Calibri" w:hAnsi="Calibri" w:cs="Calibri"/>
                <w:color w:val="000000"/>
                <w:sz w:val="22"/>
                <w:szCs w:val="22"/>
              </w:rPr>
              <w:t> </w:t>
            </w:r>
          </w:p>
        </w:tc>
        <w:tc>
          <w:tcPr>
            <w:tcW w:w="2335" w:type="dxa"/>
            <w:gridSpan w:val="2"/>
            <w:tcBorders>
              <w:top w:val="nil"/>
              <w:left w:val="nil"/>
              <w:bottom w:val="nil"/>
              <w:right w:val="double" w:sz="6" w:space="0" w:color="000000"/>
            </w:tcBorders>
            <w:shd w:val="clear" w:color="auto" w:fill="auto"/>
            <w:vAlign w:val="center"/>
            <w:hideMark/>
          </w:tcPr>
          <w:p w14:paraId="7A09F4F3"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No petroleras</w:t>
            </w:r>
          </w:p>
        </w:tc>
        <w:tc>
          <w:tcPr>
            <w:tcW w:w="1276" w:type="dxa"/>
            <w:shd w:val="clear" w:color="auto" w:fill="auto"/>
            <w:vAlign w:val="center"/>
            <w:hideMark/>
          </w:tcPr>
          <w:p w14:paraId="6B070842" w14:textId="2B6B122A" w:rsidR="00A86F56" w:rsidRPr="00F9707F" w:rsidRDefault="00A86F56">
            <w:pPr>
              <w:tabs>
                <w:tab w:val="left" w:pos="1069"/>
              </w:tabs>
              <w:ind w:right="73"/>
              <w:jc w:val="right"/>
              <w:rPr>
                <w:rFonts w:ascii="Arial" w:hAnsi="Arial" w:cs="Arial"/>
                <w:color w:val="000000"/>
                <w:sz w:val="18"/>
                <w:szCs w:val="18"/>
              </w:rPr>
            </w:pPr>
            <w:r>
              <w:rPr>
                <w:rFonts w:ascii="Arial" w:hAnsi="Arial" w:cs="Arial"/>
                <w:bCs/>
                <w:color w:val="000000"/>
                <w:sz w:val="18"/>
                <w:szCs w:val="18"/>
              </w:rPr>
              <w:t>3</w:t>
            </w:r>
            <w:r w:rsidR="008D74F0">
              <w:rPr>
                <w:rFonts w:ascii="Arial" w:hAnsi="Arial" w:cs="Arial"/>
                <w:bCs/>
                <w:color w:val="000000"/>
                <w:sz w:val="18"/>
                <w:szCs w:val="18"/>
              </w:rPr>
              <w:t>4</w:t>
            </w:r>
            <w:r>
              <w:rPr>
                <w:rFonts w:ascii="Arial" w:hAnsi="Arial" w:cs="Arial"/>
                <w:bCs/>
                <w:color w:val="000000"/>
                <w:sz w:val="18"/>
                <w:szCs w:val="18"/>
              </w:rPr>
              <w:t xml:space="preserve"> </w:t>
            </w:r>
            <w:r w:rsidR="008D74F0">
              <w:rPr>
                <w:rFonts w:ascii="Arial" w:hAnsi="Arial" w:cs="Arial"/>
                <w:bCs/>
                <w:color w:val="000000"/>
                <w:sz w:val="18"/>
                <w:szCs w:val="18"/>
              </w:rPr>
              <w:t>142.2</w:t>
            </w:r>
          </w:p>
        </w:tc>
        <w:tc>
          <w:tcPr>
            <w:tcW w:w="1134" w:type="dxa"/>
            <w:tcBorders>
              <w:top w:val="nil"/>
              <w:left w:val="nil"/>
              <w:bottom w:val="nil"/>
              <w:right w:val="double" w:sz="6" w:space="0" w:color="auto"/>
            </w:tcBorders>
            <w:shd w:val="clear" w:color="auto" w:fill="auto"/>
            <w:vAlign w:val="center"/>
            <w:hideMark/>
          </w:tcPr>
          <w:p w14:paraId="07D4C118" w14:textId="127363AE" w:rsidR="00A86F56" w:rsidRPr="00F9707F" w:rsidRDefault="00A15E20">
            <w:pPr>
              <w:ind w:left="-67" w:right="216"/>
              <w:jc w:val="right"/>
              <w:rPr>
                <w:rFonts w:ascii="Arial" w:hAnsi="Arial" w:cs="Arial"/>
                <w:color w:val="000000"/>
                <w:sz w:val="18"/>
                <w:szCs w:val="18"/>
              </w:rPr>
            </w:pPr>
            <w:r>
              <w:rPr>
                <w:rFonts w:ascii="Arial" w:hAnsi="Arial" w:cs="Arial"/>
                <w:bCs/>
                <w:color w:val="000000"/>
                <w:sz w:val="18"/>
                <w:szCs w:val="18"/>
              </w:rPr>
              <w:t>-</w:t>
            </w:r>
            <w:r w:rsidR="008D74F0">
              <w:rPr>
                <w:rFonts w:ascii="Arial" w:hAnsi="Arial" w:cs="Arial"/>
                <w:bCs/>
                <w:color w:val="000000"/>
                <w:sz w:val="18"/>
                <w:szCs w:val="18"/>
              </w:rPr>
              <w:t>4.6</w:t>
            </w:r>
          </w:p>
        </w:tc>
        <w:tc>
          <w:tcPr>
            <w:tcW w:w="1559" w:type="dxa"/>
            <w:shd w:val="clear" w:color="auto" w:fill="auto"/>
            <w:vAlign w:val="center"/>
            <w:hideMark/>
          </w:tcPr>
          <w:p w14:paraId="0800659A" w14:textId="37E9A213" w:rsidR="00A86F56" w:rsidRPr="00F9707F" w:rsidRDefault="00527D4B">
            <w:pPr>
              <w:ind w:right="211"/>
              <w:jc w:val="right"/>
              <w:rPr>
                <w:rFonts w:ascii="Arial" w:hAnsi="Arial" w:cs="Arial"/>
                <w:color w:val="000000"/>
                <w:sz w:val="18"/>
                <w:szCs w:val="18"/>
              </w:rPr>
            </w:pPr>
            <w:r>
              <w:rPr>
                <w:rFonts w:ascii="Arial" w:hAnsi="Arial" w:cs="Arial"/>
                <w:bCs/>
                <w:color w:val="000000"/>
                <w:sz w:val="18"/>
                <w:szCs w:val="18"/>
              </w:rPr>
              <w:t>2</w:t>
            </w:r>
            <w:r w:rsidR="00CE1A15">
              <w:rPr>
                <w:rFonts w:ascii="Arial" w:hAnsi="Arial" w:cs="Arial"/>
                <w:bCs/>
                <w:color w:val="000000"/>
                <w:sz w:val="18"/>
                <w:szCs w:val="18"/>
              </w:rPr>
              <w:t>4</w:t>
            </w:r>
            <w:r w:rsidR="00CE3F8E">
              <w:rPr>
                <w:rFonts w:ascii="Arial" w:hAnsi="Arial" w:cs="Arial"/>
                <w:bCs/>
                <w:color w:val="000000"/>
                <w:sz w:val="18"/>
                <w:szCs w:val="18"/>
              </w:rPr>
              <w:t>4</w:t>
            </w:r>
            <w:r w:rsidR="00A86F56">
              <w:rPr>
                <w:rFonts w:ascii="Arial" w:hAnsi="Arial" w:cs="Arial"/>
                <w:bCs/>
                <w:color w:val="000000"/>
                <w:sz w:val="18"/>
                <w:szCs w:val="18"/>
              </w:rPr>
              <w:t xml:space="preserve"> </w:t>
            </w:r>
            <w:r w:rsidR="00CE3F8E">
              <w:rPr>
                <w:rFonts w:ascii="Arial" w:hAnsi="Arial" w:cs="Arial"/>
                <w:bCs/>
                <w:color w:val="000000"/>
                <w:sz w:val="18"/>
                <w:szCs w:val="18"/>
              </w:rPr>
              <w:t>400.6</w:t>
            </w:r>
          </w:p>
        </w:tc>
        <w:tc>
          <w:tcPr>
            <w:tcW w:w="1134" w:type="dxa"/>
            <w:tcBorders>
              <w:top w:val="nil"/>
              <w:left w:val="nil"/>
              <w:bottom w:val="nil"/>
              <w:right w:val="double" w:sz="6" w:space="0" w:color="auto"/>
            </w:tcBorders>
            <w:shd w:val="clear" w:color="auto" w:fill="auto"/>
            <w:vAlign w:val="center"/>
            <w:hideMark/>
          </w:tcPr>
          <w:p w14:paraId="12467B0C" w14:textId="4C5A5EF3" w:rsidR="00A86F56" w:rsidRPr="00F9707F" w:rsidRDefault="00CE3F8E">
            <w:pPr>
              <w:ind w:left="-71" w:right="209"/>
              <w:jc w:val="right"/>
              <w:rPr>
                <w:rFonts w:ascii="Arial" w:hAnsi="Arial" w:cs="Arial"/>
                <w:color w:val="000000"/>
                <w:sz w:val="18"/>
                <w:szCs w:val="18"/>
              </w:rPr>
            </w:pPr>
            <w:r>
              <w:rPr>
                <w:rFonts w:ascii="Arial" w:hAnsi="Arial" w:cs="Arial"/>
                <w:bCs/>
                <w:color w:val="000000"/>
                <w:sz w:val="18"/>
                <w:szCs w:val="18"/>
              </w:rPr>
              <w:t>0.2</w:t>
            </w:r>
          </w:p>
        </w:tc>
      </w:tr>
      <w:tr w:rsidR="00A86F56" w14:paraId="28370B46" w14:textId="77777777">
        <w:trPr>
          <w:trHeight w:val="255"/>
          <w:jc w:val="center"/>
        </w:trPr>
        <w:tc>
          <w:tcPr>
            <w:tcW w:w="191" w:type="dxa"/>
            <w:tcBorders>
              <w:left w:val="double" w:sz="6" w:space="0" w:color="000000"/>
            </w:tcBorders>
            <w:shd w:val="clear" w:color="auto" w:fill="auto"/>
            <w:vAlign w:val="center"/>
            <w:hideMark/>
          </w:tcPr>
          <w:p w14:paraId="3E454FD8"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 </w:t>
            </w:r>
          </w:p>
        </w:tc>
        <w:tc>
          <w:tcPr>
            <w:tcW w:w="2525" w:type="dxa"/>
            <w:gridSpan w:val="3"/>
            <w:tcBorders>
              <w:top w:val="nil"/>
              <w:left w:val="nil"/>
              <w:bottom w:val="nil"/>
              <w:right w:val="double" w:sz="6" w:space="0" w:color="000000"/>
            </w:tcBorders>
            <w:shd w:val="clear" w:color="auto" w:fill="auto"/>
            <w:noWrap/>
            <w:vAlign w:val="center"/>
            <w:hideMark/>
          </w:tcPr>
          <w:p w14:paraId="0414ECCF" w14:textId="77777777" w:rsidR="00A86F56" w:rsidRPr="00F9707F" w:rsidRDefault="00A86F56">
            <w:pPr>
              <w:jc w:val="both"/>
              <w:rPr>
                <w:rFonts w:ascii="Arial" w:hAnsi="Arial" w:cs="Arial"/>
                <w:color w:val="000000"/>
                <w:sz w:val="18"/>
                <w:szCs w:val="18"/>
              </w:rPr>
            </w:pPr>
            <w:r w:rsidRPr="00F9707F">
              <w:rPr>
                <w:rFonts w:ascii="Arial" w:hAnsi="Arial" w:cs="Arial"/>
                <w:color w:val="000000"/>
                <w:sz w:val="18"/>
                <w:szCs w:val="18"/>
              </w:rPr>
              <w:t>Bienes de capital</w:t>
            </w:r>
          </w:p>
        </w:tc>
        <w:tc>
          <w:tcPr>
            <w:tcW w:w="1276" w:type="dxa"/>
            <w:shd w:val="clear" w:color="auto" w:fill="auto"/>
            <w:vAlign w:val="center"/>
            <w:hideMark/>
          </w:tcPr>
          <w:p w14:paraId="31CD84C9" w14:textId="32865DE9" w:rsidR="00A86F56" w:rsidRPr="00F9707F" w:rsidRDefault="008D74F0">
            <w:pPr>
              <w:tabs>
                <w:tab w:val="left" w:pos="1069"/>
              </w:tabs>
              <w:ind w:right="73"/>
              <w:jc w:val="right"/>
              <w:rPr>
                <w:rFonts w:ascii="Arial" w:hAnsi="Arial" w:cs="Arial"/>
                <w:color w:val="000000"/>
                <w:sz w:val="18"/>
                <w:szCs w:val="18"/>
              </w:rPr>
            </w:pPr>
            <w:r>
              <w:rPr>
                <w:rFonts w:ascii="Arial" w:hAnsi="Arial" w:cs="Arial"/>
                <w:bCs/>
                <w:color w:val="000000"/>
                <w:sz w:val="18"/>
                <w:szCs w:val="18"/>
              </w:rPr>
              <w:t>4</w:t>
            </w:r>
            <w:r w:rsidR="00A86F56" w:rsidRPr="00F9707F">
              <w:rPr>
                <w:rFonts w:ascii="Arial" w:hAnsi="Arial" w:cs="Arial"/>
                <w:bCs/>
                <w:color w:val="000000"/>
                <w:sz w:val="18"/>
                <w:szCs w:val="18"/>
              </w:rPr>
              <w:t xml:space="preserve"> </w:t>
            </w:r>
            <w:r>
              <w:rPr>
                <w:rFonts w:ascii="Arial" w:hAnsi="Arial" w:cs="Arial"/>
                <w:bCs/>
                <w:color w:val="000000"/>
                <w:sz w:val="18"/>
                <w:szCs w:val="18"/>
              </w:rPr>
              <w:t>795.0</w:t>
            </w:r>
          </w:p>
        </w:tc>
        <w:tc>
          <w:tcPr>
            <w:tcW w:w="1134" w:type="dxa"/>
            <w:tcBorders>
              <w:top w:val="nil"/>
              <w:left w:val="nil"/>
              <w:bottom w:val="nil"/>
              <w:right w:val="double" w:sz="6" w:space="0" w:color="auto"/>
            </w:tcBorders>
            <w:shd w:val="clear" w:color="auto" w:fill="auto"/>
            <w:vAlign w:val="center"/>
            <w:hideMark/>
          </w:tcPr>
          <w:p w14:paraId="346BE6B7" w14:textId="68C6EF3E" w:rsidR="00A86F56" w:rsidRPr="00F9707F" w:rsidRDefault="007A7890">
            <w:pPr>
              <w:ind w:left="-67" w:right="216"/>
              <w:jc w:val="right"/>
              <w:rPr>
                <w:rFonts w:ascii="Arial" w:hAnsi="Arial" w:cs="Arial"/>
                <w:color w:val="000000"/>
                <w:sz w:val="18"/>
                <w:szCs w:val="18"/>
              </w:rPr>
            </w:pPr>
            <w:r>
              <w:rPr>
                <w:rFonts w:ascii="Arial" w:hAnsi="Arial" w:cs="Arial"/>
                <w:bCs/>
                <w:color w:val="000000"/>
                <w:sz w:val="18"/>
                <w:szCs w:val="18"/>
              </w:rPr>
              <w:t>2</w:t>
            </w:r>
            <w:r w:rsidR="008D74F0">
              <w:rPr>
                <w:rFonts w:ascii="Arial" w:hAnsi="Arial" w:cs="Arial"/>
                <w:bCs/>
                <w:color w:val="000000"/>
                <w:sz w:val="18"/>
                <w:szCs w:val="18"/>
              </w:rPr>
              <w:t>3.3</w:t>
            </w:r>
          </w:p>
        </w:tc>
        <w:tc>
          <w:tcPr>
            <w:tcW w:w="1559" w:type="dxa"/>
            <w:shd w:val="clear" w:color="auto" w:fill="auto"/>
            <w:vAlign w:val="center"/>
            <w:hideMark/>
          </w:tcPr>
          <w:p w14:paraId="2A7ED033" w14:textId="26017CA7" w:rsidR="00A86F56" w:rsidRPr="00F9707F" w:rsidRDefault="00CE3F8E">
            <w:pPr>
              <w:ind w:right="211"/>
              <w:jc w:val="right"/>
              <w:rPr>
                <w:rFonts w:ascii="Arial" w:hAnsi="Arial" w:cs="Arial"/>
                <w:color w:val="000000"/>
                <w:sz w:val="18"/>
                <w:szCs w:val="18"/>
              </w:rPr>
            </w:pPr>
            <w:r>
              <w:rPr>
                <w:rFonts w:ascii="Arial" w:hAnsi="Arial" w:cs="Arial"/>
                <w:bCs/>
                <w:color w:val="000000"/>
                <w:sz w:val="18"/>
                <w:szCs w:val="18"/>
              </w:rPr>
              <w:t>32</w:t>
            </w:r>
            <w:r w:rsidR="00A86F56">
              <w:rPr>
                <w:rFonts w:ascii="Arial" w:hAnsi="Arial" w:cs="Arial"/>
                <w:bCs/>
                <w:color w:val="000000"/>
                <w:sz w:val="18"/>
                <w:szCs w:val="18"/>
              </w:rPr>
              <w:t xml:space="preserve"> </w:t>
            </w:r>
            <w:r>
              <w:rPr>
                <w:rFonts w:ascii="Arial" w:hAnsi="Arial" w:cs="Arial"/>
                <w:bCs/>
                <w:color w:val="000000"/>
                <w:sz w:val="18"/>
                <w:szCs w:val="18"/>
              </w:rPr>
              <w:t>539.2</w:t>
            </w:r>
          </w:p>
        </w:tc>
        <w:tc>
          <w:tcPr>
            <w:tcW w:w="1134" w:type="dxa"/>
            <w:tcBorders>
              <w:top w:val="nil"/>
              <w:left w:val="nil"/>
              <w:bottom w:val="nil"/>
              <w:right w:val="double" w:sz="6" w:space="0" w:color="auto"/>
            </w:tcBorders>
            <w:shd w:val="clear" w:color="auto" w:fill="auto"/>
            <w:vAlign w:val="center"/>
            <w:hideMark/>
          </w:tcPr>
          <w:p w14:paraId="5E060693" w14:textId="560C9806" w:rsidR="00A86F56" w:rsidRPr="00F9707F" w:rsidRDefault="00A86F56">
            <w:pPr>
              <w:ind w:left="-71" w:right="209"/>
              <w:jc w:val="right"/>
              <w:rPr>
                <w:rFonts w:ascii="Arial" w:hAnsi="Arial" w:cs="Arial"/>
                <w:color w:val="000000"/>
                <w:sz w:val="18"/>
                <w:szCs w:val="18"/>
              </w:rPr>
            </w:pPr>
            <w:r>
              <w:rPr>
                <w:rFonts w:ascii="Arial" w:hAnsi="Arial" w:cs="Arial"/>
                <w:bCs/>
                <w:color w:val="000000"/>
                <w:sz w:val="18"/>
                <w:szCs w:val="18"/>
              </w:rPr>
              <w:t>2</w:t>
            </w:r>
            <w:r w:rsidR="00527D4B">
              <w:rPr>
                <w:rFonts w:ascii="Arial" w:hAnsi="Arial" w:cs="Arial"/>
                <w:bCs/>
                <w:color w:val="000000"/>
                <w:sz w:val="18"/>
                <w:szCs w:val="18"/>
              </w:rPr>
              <w:t>3</w:t>
            </w:r>
            <w:r w:rsidR="000F6140">
              <w:rPr>
                <w:rFonts w:ascii="Arial" w:hAnsi="Arial" w:cs="Arial"/>
                <w:bCs/>
                <w:color w:val="000000"/>
                <w:sz w:val="18"/>
                <w:szCs w:val="18"/>
              </w:rPr>
              <w:t>.2</w:t>
            </w:r>
          </w:p>
        </w:tc>
      </w:tr>
      <w:tr w:rsidR="00A86F56" w14:paraId="2D85DCDB" w14:textId="77777777">
        <w:trPr>
          <w:trHeight w:val="255"/>
          <w:jc w:val="center"/>
        </w:trPr>
        <w:tc>
          <w:tcPr>
            <w:tcW w:w="2716" w:type="dxa"/>
            <w:gridSpan w:val="4"/>
            <w:tcBorders>
              <w:top w:val="nil"/>
              <w:left w:val="double" w:sz="6" w:space="0" w:color="000000"/>
              <w:bottom w:val="double" w:sz="6" w:space="0" w:color="auto"/>
              <w:right w:val="double" w:sz="6" w:space="0" w:color="000000"/>
            </w:tcBorders>
            <w:shd w:val="clear" w:color="auto" w:fill="auto"/>
            <w:noWrap/>
            <w:vAlign w:val="center"/>
            <w:hideMark/>
          </w:tcPr>
          <w:p w14:paraId="62B8360C" w14:textId="77777777" w:rsidR="00A86F56" w:rsidRPr="00C24D4B" w:rsidRDefault="00A86F56">
            <w:pPr>
              <w:rPr>
                <w:rFonts w:ascii="Arial" w:hAnsi="Arial" w:cs="Arial"/>
                <w:b/>
                <w:bCs/>
                <w:color w:val="000000"/>
                <w:sz w:val="18"/>
                <w:szCs w:val="18"/>
              </w:rPr>
            </w:pPr>
            <w:r w:rsidRPr="00C24D4B">
              <w:rPr>
                <w:rFonts w:ascii="Arial" w:hAnsi="Arial" w:cs="Arial"/>
                <w:b/>
                <w:bCs/>
                <w:color w:val="000000"/>
                <w:sz w:val="18"/>
                <w:szCs w:val="18"/>
              </w:rPr>
              <w:t>Saldo de la balanza comercial</w:t>
            </w:r>
          </w:p>
        </w:tc>
        <w:tc>
          <w:tcPr>
            <w:tcW w:w="1276" w:type="dxa"/>
            <w:tcBorders>
              <w:top w:val="nil"/>
              <w:left w:val="nil"/>
              <w:bottom w:val="double" w:sz="6" w:space="0" w:color="auto"/>
              <w:right w:val="nil"/>
            </w:tcBorders>
            <w:shd w:val="clear" w:color="auto" w:fill="auto"/>
            <w:vAlign w:val="center"/>
            <w:hideMark/>
          </w:tcPr>
          <w:p w14:paraId="4FFE5E59" w14:textId="72EAD756" w:rsidR="00A86F56" w:rsidRPr="00C24D4B" w:rsidRDefault="008D74F0">
            <w:pPr>
              <w:tabs>
                <w:tab w:val="left" w:pos="1069"/>
              </w:tabs>
              <w:ind w:right="73"/>
              <w:jc w:val="right"/>
              <w:rPr>
                <w:rFonts w:ascii="Arial" w:hAnsi="Arial" w:cs="Arial"/>
                <w:b/>
                <w:bCs/>
                <w:color w:val="000000"/>
                <w:sz w:val="18"/>
                <w:szCs w:val="18"/>
              </w:rPr>
            </w:pPr>
            <w:r>
              <w:rPr>
                <w:rFonts w:ascii="Arial" w:hAnsi="Arial" w:cs="Arial"/>
                <w:b/>
                <w:bCs/>
                <w:color w:val="000000"/>
                <w:sz w:val="18"/>
                <w:szCs w:val="18"/>
              </w:rPr>
              <w:t>-881.2</w:t>
            </w:r>
          </w:p>
        </w:tc>
        <w:tc>
          <w:tcPr>
            <w:tcW w:w="1134" w:type="dxa"/>
            <w:tcBorders>
              <w:top w:val="nil"/>
              <w:left w:val="nil"/>
              <w:bottom w:val="double" w:sz="6" w:space="0" w:color="auto"/>
              <w:right w:val="double" w:sz="6" w:space="0" w:color="000000"/>
            </w:tcBorders>
            <w:shd w:val="clear" w:color="auto" w:fill="auto"/>
            <w:vAlign w:val="center"/>
            <w:hideMark/>
          </w:tcPr>
          <w:p w14:paraId="6C765D10" w14:textId="724BDD76" w:rsidR="00A86F56" w:rsidRPr="00C24D4B" w:rsidRDefault="008D74F0">
            <w:pPr>
              <w:ind w:left="-67" w:right="216"/>
              <w:jc w:val="right"/>
              <w:rPr>
                <w:rFonts w:ascii="Arial" w:hAnsi="Arial" w:cs="Arial"/>
                <w:b/>
                <w:bCs/>
                <w:color w:val="000000"/>
                <w:sz w:val="18"/>
                <w:szCs w:val="18"/>
              </w:rPr>
            </w:pPr>
            <w:r>
              <w:rPr>
                <w:rFonts w:ascii="Arial" w:hAnsi="Arial" w:cs="Arial"/>
                <w:b/>
                <w:bCs/>
                <w:color w:val="000000"/>
                <w:sz w:val="18"/>
                <w:szCs w:val="18"/>
              </w:rPr>
              <w:t>-85.9</w:t>
            </w:r>
          </w:p>
        </w:tc>
        <w:tc>
          <w:tcPr>
            <w:tcW w:w="1559" w:type="dxa"/>
            <w:tcBorders>
              <w:top w:val="nil"/>
              <w:left w:val="nil"/>
              <w:bottom w:val="double" w:sz="6" w:space="0" w:color="auto"/>
              <w:right w:val="nil"/>
            </w:tcBorders>
            <w:shd w:val="clear" w:color="auto" w:fill="auto"/>
            <w:vAlign w:val="center"/>
            <w:hideMark/>
          </w:tcPr>
          <w:p w14:paraId="13DD1BC3" w14:textId="22A08843" w:rsidR="00A86F56" w:rsidRPr="00C24D4B" w:rsidRDefault="00A86F56">
            <w:pPr>
              <w:ind w:right="211"/>
              <w:jc w:val="right"/>
              <w:rPr>
                <w:rFonts w:ascii="Arial" w:hAnsi="Arial" w:cs="Arial"/>
                <w:b/>
                <w:bCs/>
                <w:color w:val="000000"/>
                <w:sz w:val="18"/>
                <w:szCs w:val="18"/>
              </w:rPr>
            </w:pPr>
            <w:r w:rsidRPr="006D759D">
              <w:rPr>
                <w:rFonts w:ascii="Arial" w:hAnsi="Arial" w:cs="Arial"/>
                <w:b/>
                <w:bCs/>
                <w:color w:val="000000"/>
                <w:sz w:val="18"/>
                <w:szCs w:val="18"/>
              </w:rPr>
              <w:t>-</w:t>
            </w:r>
            <w:r w:rsidR="00CE3F8E">
              <w:rPr>
                <w:rFonts w:ascii="Arial" w:hAnsi="Arial" w:cs="Arial"/>
                <w:b/>
                <w:bCs/>
                <w:color w:val="000000"/>
                <w:sz w:val="18"/>
                <w:szCs w:val="18"/>
              </w:rPr>
              <w:t>7</w:t>
            </w:r>
            <w:r w:rsidRPr="00C24D4B">
              <w:rPr>
                <w:rFonts w:ascii="Arial" w:hAnsi="Arial" w:cs="Arial"/>
                <w:b/>
                <w:bCs/>
                <w:color w:val="000000"/>
                <w:sz w:val="18"/>
                <w:szCs w:val="18"/>
              </w:rPr>
              <w:t xml:space="preserve"> </w:t>
            </w:r>
            <w:r w:rsidR="00CE3F8E">
              <w:rPr>
                <w:rFonts w:ascii="Arial" w:hAnsi="Arial" w:cs="Arial"/>
                <w:b/>
                <w:bCs/>
                <w:color w:val="000000"/>
                <w:sz w:val="18"/>
                <w:szCs w:val="18"/>
              </w:rPr>
              <w:t>225.1</w:t>
            </w:r>
          </w:p>
        </w:tc>
        <w:tc>
          <w:tcPr>
            <w:tcW w:w="1134" w:type="dxa"/>
            <w:tcBorders>
              <w:top w:val="nil"/>
              <w:left w:val="nil"/>
              <w:bottom w:val="double" w:sz="6" w:space="0" w:color="auto"/>
              <w:right w:val="double" w:sz="6" w:space="0" w:color="000000"/>
            </w:tcBorders>
            <w:shd w:val="clear" w:color="auto" w:fill="auto"/>
            <w:vAlign w:val="center"/>
            <w:hideMark/>
          </w:tcPr>
          <w:p w14:paraId="247EBF83" w14:textId="42A15D67" w:rsidR="00A86F56" w:rsidRPr="00C24D4B" w:rsidRDefault="00CE3F8E">
            <w:pPr>
              <w:ind w:left="-71" w:right="209"/>
              <w:jc w:val="right"/>
              <w:rPr>
                <w:rFonts w:ascii="Arial" w:hAnsi="Arial" w:cs="Arial"/>
                <w:b/>
                <w:bCs/>
                <w:color w:val="000000"/>
                <w:sz w:val="18"/>
                <w:szCs w:val="18"/>
              </w:rPr>
            </w:pPr>
            <w:r>
              <w:rPr>
                <w:rFonts w:ascii="Arial" w:hAnsi="Arial" w:cs="Arial"/>
                <w:b/>
                <w:bCs/>
                <w:color w:val="000000"/>
                <w:sz w:val="18"/>
                <w:szCs w:val="18"/>
              </w:rPr>
              <w:t>-62.</w:t>
            </w:r>
            <w:r w:rsidR="0035153F">
              <w:rPr>
                <w:rFonts w:ascii="Arial" w:hAnsi="Arial" w:cs="Arial"/>
                <w:b/>
                <w:bCs/>
                <w:color w:val="000000"/>
                <w:sz w:val="18"/>
                <w:szCs w:val="18"/>
              </w:rPr>
              <w:t>1</w:t>
            </w:r>
          </w:p>
        </w:tc>
      </w:tr>
    </w:tbl>
    <w:p w14:paraId="0376965A" w14:textId="77777777" w:rsidR="00A86F56" w:rsidRPr="00143F5D" w:rsidRDefault="00A86F56" w:rsidP="00516119">
      <w:pPr>
        <w:pStyle w:val="p01"/>
        <w:keepNext/>
        <w:widowControl/>
        <w:spacing w:before="0"/>
        <w:ind w:left="1134" w:right="795"/>
        <w:jc w:val="left"/>
        <w:rPr>
          <w:rFonts w:ascii="Arial" w:hAnsi="Arial" w:cs="Arial"/>
          <w:color w:val="auto"/>
          <w:sz w:val="16"/>
          <w:szCs w:val="16"/>
        </w:rPr>
      </w:pPr>
      <w:r w:rsidRPr="00143F5D">
        <w:rPr>
          <w:rFonts w:ascii="Arial" w:hAnsi="Arial" w:cs="Arial"/>
          <w:color w:val="auto"/>
          <w:sz w:val="16"/>
          <w:szCs w:val="16"/>
        </w:rPr>
        <w:t>Nota: Debido al redondeo de las cifras, las sumas de los parciales</w:t>
      </w:r>
      <w:r w:rsidRPr="00143F5D">
        <w:rPr>
          <w:rFonts w:ascii="Arial" w:hAnsi="Arial" w:cs="Arial"/>
          <w:sz w:val="16"/>
          <w:szCs w:val="16"/>
        </w:rPr>
        <w:t xml:space="preserve"> </w:t>
      </w:r>
      <w:r w:rsidRPr="00143F5D">
        <w:rPr>
          <w:rFonts w:ascii="Arial" w:hAnsi="Arial" w:cs="Arial"/>
          <w:color w:val="auto"/>
          <w:sz w:val="16"/>
          <w:szCs w:val="16"/>
        </w:rPr>
        <w:t>pueden no coincidir con los totales.</w:t>
      </w:r>
    </w:p>
    <w:p w14:paraId="7F26129C" w14:textId="0F8252C4" w:rsidR="000005F5" w:rsidRPr="00143F5D" w:rsidRDefault="00CD61C2" w:rsidP="00143F5D">
      <w:pPr>
        <w:pStyle w:val="p01"/>
        <w:keepNext/>
        <w:widowControl/>
        <w:spacing w:before="0"/>
        <w:ind w:left="1560" w:right="795" w:hanging="426"/>
        <w:jc w:val="left"/>
        <w:rPr>
          <w:rFonts w:ascii="Arial" w:hAnsi="Arial" w:cs="Arial"/>
          <w:color w:val="auto"/>
          <w:sz w:val="16"/>
          <w:szCs w:val="16"/>
        </w:rPr>
      </w:pPr>
      <w:r w:rsidRPr="00143F5D">
        <w:rPr>
          <w:rFonts w:ascii="Arial" w:hAnsi="Arial" w:cs="Arial"/>
          <w:color w:val="auto"/>
          <w:sz w:val="16"/>
          <w:szCs w:val="16"/>
        </w:rPr>
        <w:t xml:space="preserve">* </w:t>
      </w:r>
      <w:r w:rsidR="00143F5D" w:rsidRPr="00143F5D">
        <w:rPr>
          <w:rFonts w:ascii="Arial" w:hAnsi="Arial" w:cs="Arial"/>
          <w:color w:val="auto"/>
          <w:sz w:val="16"/>
          <w:szCs w:val="16"/>
        </w:rPr>
        <w:tab/>
      </w:r>
      <w:r w:rsidRPr="00143F5D">
        <w:rPr>
          <w:rFonts w:ascii="Arial" w:hAnsi="Arial" w:cs="Arial"/>
          <w:color w:val="auto"/>
          <w:sz w:val="16"/>
          <w:szCs w:val="16"/>
        </w:rPr>
        <w:t>Cifras oportunas</w:t>
      </w:r>
    </w:p>
    <w:p w14:paraId="0CB9ADE4" w14:textId="6D470484" w:rsidR="00757DAD" w:rsidRPr="00C24D4B" w:rsidRDefault="00757DAD" w:rsidP="006A2855">
      <w:pPr>
        <w:pStyle w:val="titulos"/>
        <w:ind w:left="284"/>
        <w:rPr>
          <w:rFonts w:ascii="Arial Negrita" w:hAnsi="Arial Negrita"/>
          <w:i w:val="0"/>
          <w:iCs/>
          <w:u w:val="none"/>
        </w:rPr>
      </w:pPr>
      <w:r w:rsidRPr="00C24D4B">
        <w:rPr>
          <w:rFonts w:ascii="Arial Negrita" w:hAnsi="Arial Negrita"/>
          <w:i w:val="0"/>
          <w:iCs/>
          <w:u w:val="none"/>
        </w:rPr>
        <w:t xml:space="preserve">Saldo de la </w:t>
      </w:r>
      <w:r w:rsidR="005D2A24" w:rsidRPr="00C24D4B">
        <w:rPr>
          <w:rFonts w:ascii="Arial Negrita" w:hAnsi="Arial Negrita"/>
          <w:i w:val="0"/>
          <w:iCs/>
          <w:u w:val="none"/>
        </w:rPr>
        <w:t>b</w:t>
      </w:r>
      <w:r w:rsidRPr="00C24D4B">
        <w:rPr>
          <w:rFonts w:ascii="Arial Negrita" w:hAnsi="Arial Negrita"/>
          <w:i w:val="0"/>
          <w:iCs/>
          <w:u w:val="none"/>
        </w:rPr>
        <w:t xml:space="preserve">alanza </w:t>
      </w:r>
      <w:r w:rsidR="005D2A24" w:rsidRPr="00C24D4B">
        <w:rPr>
          <w:rFonts w:ascii="Arial Negrita" w:hAnsi="Arial Negrita"/>
          <w:i w:val="0"/>
          <w:iCs/>
          <w:u w:val="none"/>
        </w:rPr>
        <w:t>c</w:t>
      </w:r>
      <w:r w:rsidRPr="00C24D4B">
        <w:rPr>
          <w:rFonts w:ascii="Arial Negrita" w:hAnsi="Arial Negrita"/>
          <w:i w:val="0"/>
          <w:iCs/>
          <w:u w:val="none"/>
        </w:rPr>
        <w:t>omercial</w:t>
      </w:r>
      <w:r w:rsidR="008E6995" w:rsidRPr="00C24D4B">
        <w:rPr>
          <w:rFonts w:ascii="Arial Negrita" w:hAnsi="Arial Negrita"/>
          <w:i w:val="0"/>
          <w:iCs/>
          <w:u w:val="none"/>
        </w:rPr>
        <w:t xml:space="preserve"> de </w:t>
      </w:r>
      <w:r w:rsidR="005D2A24" w:rsidRPr="00C24D4B">
        <w:rPr>
          <w:rFonts w:ascii="Arial Negrita" w:hAnsi="Arial Negrita"/>
          <w:i w:val="0"/>
          <w:iCs/>
          <w:u w:val="none"/>
        </w:rPr>
        <w:t>m</w:t>
      </w:r>
      <w:r w:rsidR="008759D4" w:rsidRPr="00C24D4B">
        <w:rPr>
          <w:rFonts w:ascii="Arial Negrita" w:hAnsi="Arial Negrita"/>
          <w:i w:val="0"/>
          <w:iCs/>
          <w:u w:val="none"/>
        </w:rPr>
        <w:t xml:space="preserve">ercancías </w:t>
      </w:r>
    </w:p>
    <w:p w14:paraId="5B553F14" w14:textId="4CC56014" w:rsidR="00AA1746" w:rsidRPr="00784F7F" w:rsidRDefault="00AA1746" w:rsidP="00795DD4">
      <w:pPr>
        <w:pStyle w:val="Textoindependiente21"/>
        <w:numPr>
          <w:ilvl w:val="12"/>
          <w:numId w:val="0"/>
        </w:numPr>
        <w:spacing w:before="240" w:after="0"/>
        <w:rPr>
          <w:sz w:val="24"/>
        </w:rPr>
      </w:pPr>
      <w:r w:rsidRPr="00AA1746">
        <w:rPr>
          <w:sz w:val="24"/>
        </w:rPr>
        <w:t>La información oportuna de comercio exterior</w:t>
      </w:r>
      <w:r>
        <w:rPr>
          <w:sz w:val="24"/>
        </w:rPr>
        <w:t>,</w:t>
      </w:r>
      <w:r w:rsidRPr="00AA1746">
        <w:rPr>
          <w:sz w:val="24"/>
        </w:rPr>
        <w:t xml:space="preserve"> de julio de 2023</w:t>
      </w:r>
      <w:r>
        <w:rPr>
          <w:sz w:val="24"/>
        </w:rPr>
        <w:t>,</w:t>
      </w:r>
      <w:r w:rsidRPr="00AA1746">
        <w:rPr>
          <w:sz w:val="24"/>
        </w:rPr>
        <w:t xml:space="preserve"> indica un déficit comercial de 881 millones de dólares</w:t>
      </w:r>
      <w:r w:rsidR="004B07C8">
        <w:rPr>
          <w:sz w:val="24"/>
        </w:rPr>
        <w:t>; en junio del mismo año</w:t>
      </w:r>
      <w:r w:rsidR="00D045AB">
        <w:rPr>
          <w:sz w:val="24"/>
        </w:rPr>
        <w:t xml:space="preserve">, se </w:t>
      </w:r>
      <w:r w:rsidR="000277F2">
        <w:rPr>
          <w:sz w:val="24"/>
        </w:rPr>
        <w:t>reportó</w:t>
      </w:r>
      <w:r w:rsidR="00F20228">
        <w:rPr>
          <w:sz w:val="24"/>
        </w:rPr>
        <w:t xml:space="preserve"> un</w:t>
      </w:r>
      <w:r w:rsidR="004B07C8">
        <w:rPr>
          <w:sz w:val="24"/>
        </w:rPr>
        <w:t xml:space="preserve"> </w:t>
      </w:r>
      <w:r w:rsidRPr="00AA1746">
        <w:rPr>
          <w:sz w:val="24"/>
        </w:rPr>
        <w:t>superávit de 38 millones de dólares. La disminución del saldo comercial</w:t>
      </w:r>
      <w:r w:rsidR="009A0D2B">
        <w:rPr>
          <w:sz w:val="24"/>
        </w:rPr>
        <w:t>,</w:t>
      </w:r>
      <w:r w:rsidRPr="00AA1746">
        <w:rPr>
          <w:sz w:val="24"/>
        </w:rPr>
        <w:t xml:space="preserve"> entre junio y julio</w:t>
      </w:r>
      <w:r w:rsidR="009A0D2B">
        <w:rPr>
          <w:sz w:val="24"/>
        </w:rPr>
        <w:t>,</w:t>
      </w:r>
      <w:r w:rsidRPr="00AA1746">
        <w:rPr>
          <w:sz w:val="24"/>
        </w:rPr>
        <w:t xml:space="preserve"> se originó de una reducción en el superávit de la balanza de productos no petroleros </w:t>
      </w:r>
      <w:r w:rsidRPr="00D04642">
        <w:rPr>
          <w:sz w:val="24"/>
        </w:rPr>
        <w:t>—</w:t>
      </w:r>
      <w:r w:rsidRPr="00AA1746">
        <w:rPr>
          <w:sz w:val="24"/>
        </w:rPr>
        <w:t>que pasó de 1</w:t>
      </w:r>
      <w:r w:rsidRPr="00784F7F">
        <w:rPr>
          <w:sz w:val="24"/>
        </w:rPr>
        <w:t> </w:t>
      </w:r>
      <w:r w:rsidRPr="00AA1746">
        <w:rPr>
          <w:sz w:val="24"/>
        </w:rPr>
        <w:t>017 millones de dólares</w:t>
      </w:r>
      <w:r w:rsidR="009A0D2B">
        <w:rPr>
          <w:sz w:val="24"/>
        </w:rPr>
        <w:t>,</w:t>
      </w:r>
      <w:r w:rsidRPr="00AA1746">
        <w:rPr>
          <w:sz w:val="24"/>
        </w:rPr>
        <w:t xml:space="preserve"> en junio</w:t>
      </w:r>
      <w:r w:rsidR="009A0D2B">
        <w:rPr>
          <w:sz w:val="24"/>
        </w:rPr>
        <w:t>,</w:t>
      </w:r>
      <w:r w:rsidRPr="00AA1746">
        <w:rPr>
          <w:sz w:val="24"/>
        </w:rPr>
        <w:t xml:space="preserve"> a 417 millones de dólares</w:t>
      </w:r>
      <w:r w:rsidR="009A0D2B">
        <w:rPr>
          <w:sz w:val="24"/>
        </w:rPr>
        <w:t>,</w:t>
      </w:r>
      <w:r w:rsidRPr="00AA1746">
        <w:rPr>
          <w:sz w:val="24"/>
        </w:rPr>
        <w:t xml:space="preserve"> en julio</w:t>
      </w:r>
      <w:r w:rsidRPr="00D04642">
        <w:rPr>
          <w:sz w:val="24"/>
        </w:rPr>
        <w:t>—</w:t>
      </w:r>
      <w:r w:rsidRPr="00AA1746">
        <w:rPr>
          <w:sz w:val="24"/>
        </w:rPr>
        <w:t xml:space="preserve"> y de una ampliación del déficit de la balanza de productos petroleros</w:t>
      </w:r>
      <w:r>
        <w:rPr>
          <w:sz w:val="24"/>
        </w:rPr>
        <w:t xml:space="preserve"> </w:t>
      </w:r>
      <w:r w:rsidRPr="00D04642">
        <w:rPr>
          <w:sz w:val="24"/>
        </w:rPr>
        <w:t>—</w:t>
      </w:r>
      <w:r w:rsidRPr="00AA1746">
        <w:rPr>
          <w:sz w:val="24"/>
        </w:rPr>
        <w:t>que pasó de 979 millones de dólares a 1</w:t>
      </w:r>
      <w:r w:rsidRPr="00784F7F">
        <w:rPr>
          <w:sz w:val="24"/>
        </w:rPr>
        <w:t> </w:t>
      </w:r>
      <w:r w:rsidRPr="00AA1746">
        <w:rPr>
          <w:sz w:val="24"/>
        </w:rPr>
        <w:t>298 millones de dólares en esa misma comparación</w:t>
      </w:r>
      <w:r w:rsidRPr="00D04642">
        <w:rPr>
          <w:sz w:val="24"/>
        </w:rPr>
        <w:t>—</w:t>
      </w:r>
      <w:r w:rsidRPr="00AA1746">
        <w:rPr>
          <w:sz w:val="24"/>
        </w:rPr>
        <w:t>.</w:t>
      </w:r>
    </w:p>
    <w:p w14:paraId="3823D5CE" w14:textId="64AAAD71" w:rsidR="008906FC" w:rsidRPr="00784F7F" w:rsidRDefault="004072AF" w:rsidP="00795DD4">
      <w:pPr>
        <w:pStyle w:val="Textoindependiente21"/>
        <w:numPr>
          <w:ilvl w:val="12"/>
          <w:numId w:val="0"/>
        </w:numPr>
        <w:spacing w:before="240" w:after="0"/>
        <w:rPr>
          <w:sz w:val="24"/>
          <w:szCs w:val="24"/>
        </w:rPr>
      </w:pPr>
      <w:r w:rsidRPr="00784F7F">
        <w:rPr>
          <w:sz w:val="24"/>
        </w:rPr>
        <w:t xml:space="preserve">En los primeros </w:t>
      </w:r>
      <w:r w:rsidR="00DE3436">
        <w:rPr>
          <w:sz w:val="24"/>
        </w:rPr>
        <w:t>siete</w:t>
      </w:r>
      <w:r w:rsidRPr="00784F7F">
        <w:rPr>
          <w:sz w:val="24"/>
        </w:rPr>
        <w:t xml:space="preserve"> meses de 2023, la balanza comercial presentó un déficit de </w:t>
      </w:r>
      <w:r w:rsidR="00DE3436">
        <w:rPr>
          <w:sz w:val="24"/>
        </w:rPr>
        <w:t>7</w:t>
      </w:r>
      <w:r w:rsidRPr="00784F7F">
        <w:rPr>
          <w:sz w:val="24"/>
        </w:rPr>
        <w:t> </w:t>
      </w:r>
      <w:r w:rsidR="00DE3436">
        <w:rPr>
          <w:sz w:val="24"/>
        </w:rPr>
        <w:t>225</w:t>
      </w:r>
      <w:r w:rsidR="00143F5D">
        <w:rPr>
          <w:sz w:val="24"/>
        </w:rPr>
        <w:t> </w:t>
      </w:r>
      <w:r w:rsidRPr="00784F7F">
        <w:rPr>
          <w:sz w:val="24"/>
        </w:rPr>
        <w:t>millones de dólares</w:t>
      </w:r>
      <w:r w:rsidR="00961D7D">
        <w:rPr>
          <w:sz w:val="24"/>
        </w:rPr>
        <w:t xml:space="preserve">, </w:t>
      </w:r>
      <w:r w:rsidR="00961D7D" w:rsidRPr="00961D7D">
        <w:rPr>
          <w:sz w:val="24"/>
        </w:rPr>
        <w:t>en el mismo periodo de 2022 el déficit fue de 19</w:t>
      </w:r>
      <w:r w:rsidR="00961D7D" w:rsidRPr="00784F7F">
        <w:rPr>
          <w:sz w:val="24"/>
        </w:rPr>
        <w:t> </w:t>
      </w:r>
      <w:r w:rsidR="00961D7D" w:rsidRPr="00961D7D">
        <w:rPr>
          <w:sz w:val="24"/>
        </w:rPr>
        <w:t>037 millones de dólares</w:t>
      </w:r>
      <w:r w:rsidR="00543399">
        <w:rPr>
          <w:sz w:val="24"/>
        </w:rPr>
        <w:t>.</w:t>
      </w:r>
      <w:r w:rsidR="00543399" w:rsidRPr="00F130EA">
        <w:rPr>
          <w:rFonts w:cs="Arial"/>
          <w:sz w:val="24"/>
          <w:szCs w:val="24"/>
          <w:vertAlign w:val="superscript"/>
        </w:rPr>
        <w:footnoteReference w:id="2"/>
      </w:r>
    </w:p>
    <w:p w14:paraId="686BE8BA" w14:textId="0B47AFF2" w:rsidR="00F148DF" w:rsidRDefault="00F148DF">
      <w:pPr>
        <w:rPr>
          <w:rFonts w:ascii="Arial" w:hAnsi="Arial" w:cs="Arial"/>
          <w:bCs/>
          <w:sz w:val="20"/>
          <w:szCs w:val="18"/>
          <w:lang w:eastAsia="es-ES"/>
        </w:rPr>
      </w:pPr>
      <w:r>
        <w:rPr>
          <w:rFonts w:ascii="Arial" w:hAnsi="Arial" w:cs="Arial"/>
          <w:bCs/>
          <w:sz w:val="20"/>
          <w:szCs w:val="18"/>
        </w:rPr>
        <w:br w:type="page"/>
      </w:r>
    </w:p>
    <w:p w14:paraId="0A4409F8" w14:textId="29AA3013" w:rsidR="00A24EBC" w:rsidRPr="00F148DF" w:rsidRDefault="00A24EBC" w:rsidP="00F148DF">
      <w:pPr>
        <w:pStyle w:val="Textoindependiente21"/>
        <w:numPr>
          <w:ilvl w:val="12"/>
          <w:numId w:val="0"/>
        </w:numPr>
        <w:spacing w:before="240" w:after="0"/>
        <w:jc w:val="center"/>
        <w:rPr>
          <w:rFonts w:cs="Arial"/>
          <w:bCs/>
          <w:sz w:val="20"/>
          <w:szCs w:val="18"/>
          <w:lang w:val="es-MX"/>
        </w:rPr>
      </w:pPr>
      <w:r w:rsidRPr="007A64AF">
        <w:rPr>
          <w:rFonts w:cs="Arial"/>
          <w:bCs/>
          <w:sz w:val="20"/>
          <w:szCs w:val="18"/>
          <w:lang w:val="es-MX"/>
        </w:rPr>
        <w:lastRenderedPageBreak/>
        <w:t xml:space="preserve">Cuadro </w:t>
      </w:r>
      <w:r>
        <w:rPr>
          <w:rFonts w:cs="Arial"/>
          <w:bCs/>
          <w:sz w:val="20"/>
          <w:szCs w:val="18"/>
          <w:lang w:val="es-MX"/>
        </w:rPr>
        <w:t>2</w:t>
      </w:r>
    </w:p>
    <w:p w14:paraId="19F678AF" w14:textId="2B0A3C25" w:rsidR="00C5486F" w:rsidRPr="00581D9B" w:rsidRDefault="00C5486F" w:rsidP="00A24EBC">
      <w:pPr>
        <w:pStyle w:val="p01"/>
        <w:keepNext/>
        <w:widowControl/>
        <w:spacing w:before="0"/>
        <w:ind w:right="-23"/>
        <w:jc w:val="center"/>
        <w:outlineLvl w:val="0"/>
        <w:rPr>
          <w:rFonts w:ascii="Arial" w:hAnsi="Arial" w:cs="Arial"/>
          <w:b/>
          <w:smallCaps/>
          <w:color w:val="auto"/>
          <w:sz w:val="22"/>
          <w:lang w:val="es-MX"/>
        </w:rPr>
      </w:pPr>
      <w:r w:rsidRPr="00581D9B">
        <w:rPr>
          <w:rFonts w:ascii="Arial" w:hAnsi="Arial" w:cs="Arial"/>
          <w:b/>
          <w:smallCaps/>
          <w:color w:val="auto"/>
          <w:sz w:val="22"/>
          <w:lang w:val="es-MX"/>
        </w:rPr>
        <w:t>Bal</w:t>
      </w:r>
      <w:r>
        <w:rPr>
          <w:rFonts w:ascii="Arial" w:hAnsi="Arial" w:cs="Arial"/>
          <w:b/>
          <w:smallCaps/>
          <w:color w:val="auto"/>
          <w:sz w:val="22"/>
          <w:lang w:val="es-MX"/>
        </w:rPr>
        <w:t xml:space="preserve">anza </w:t>
      </w:r>
      <w:r w:rsidR="00E72BC9">
        <w:rPr>
          <w:rFonts w:ascii="Arial" w:hAnsi="Arial" w:cs="Arial"/>
          <w:b/>
          <w:smallCaps/>
          <w:color w:val="auto"/>
          <w:sz w:val="22"/>
          <w:lang w:val="es-MX"/>
        </w:rPr>
        <w:t>C</w:t>
      </w:r>
      <w:r w:rsidRPr="00581D9B">
        <w:rPr>
          <w:rFonts w:ascii="Arial" w:hAnsi="Arial" w:cs="Arial"/>
          <w:b/>
          <w:smallCaps/>
          <w:color w:val="auto"/>
          <w:sz w:val="22"/>
          <w:lang w:val="es-MX"/>
        </w:rPr>
        <w:t>omercial</w:t>
      </w:r>
      <w:r>
        <w:rPr>
          <w:rFonts w:ascii="Arial" w:hAnsi="Arial" w:cs="Arial"/>
          <w:b/>
          <w:smallCaps/>
          <w:color w:val="auto"/>
          <w:sz w:val="22"/>
          <w:lang w:val="es-MX"/>
        </w:rPr>
        <w:t xml:space="preserve"> de </w:t>
      </w:r>
      <w:r w:rsidR="00E72BC9">
        <w:rPr>
          <w:rFonts w:ascii="Arial" w:hAnsi="Arial" w:cs="Arial"/>
          <w:b/>
          <w:smallCaps/>
          <w:color w:val="auto"/>
          <w:sz w:val="22"/>
          <w:lang w:val="es-MX"/>
        </w:rPr>
        <w:t>M</w:t>
      </w:r>
      <w:r>
        <w:rPr>
          <w:rFonts w:ascii="Arial" w:hAnsi="Arial" w:cs="Arial"/>
          <w:b/>
          <w:smallCaps/>
          <w:color w:val="auto"/>
          <w:sz w:val="22"/>
          <w:lang w:val="es-MX"/>
        </w:rPr>
        <w:t>ercancías de México</w:t>
      </w:r>
    </w:p>
    <w:p w14:paraId="1F80867A" w14:textId="266C7460" w:rsidR="00C5486F" w:rsidRPr="007A64AF" w:rsidRDefault="00FE5C20" w:rsidP="00C5486F">
      <w:pPr>
        <w:pStyle w:val="p0"/>
        <w:keepNext/>
        <w:widowControl/>
        <w:spacing w:before="0"/>
        <w:ind w:right="-23"/>
        <w:jc w:val="center"/>
        <w:rPr>
          <w:color w:val="000000" w:themeColor="text1"/>
          <w:spacing w:val="3"/>
          <w:sz w:val="16"/>
          <w:szCs w:val="16"/>
        </w:rPr>
      </w:pPr>
      <w:r>
        <w:rPr>
          <w:rFonts w:ascii="Arial" w:hAnsi="Arial" w:cs="Arial"/>
          <w:color w:val="auto"/>
          <w:sz w:val="18"/>
          <w:szCs w:val="18"/>
          <w:lang w:val="es-MX"/>
        </w:rPr>
        <w:t>(</w:t>
      </w:r>
      <w:r w:rsidR="00C5486F" w:rsidRPr="007A64AF">
        <w:rPr>
          <w:rFonts w:ascii="Arial" w:hAnsi="Arial" w:cs="Arial"/>
          <w:color w:val="auto"/>
          <w:sz w:val="18"/>
          <w:szCs w:val="18"/>
          <w:lang w:val="es-MX"/>
        </w:rPr>
        <w:t>Millones de dólares</w:t>
      </w:r>
      <w:r>
        <w:rPr>
          <w:rFonts w:ascii="Arial" w:hAnsi="Arial" w:cs="Arial"/>
          <w:color w:val="auto"/>
          <w:sz w:val="18"/>
          <w:szCs w:val="18"/>
          <w:lang w:val="es-MX"/>
        </w:rPr>
        <w:t>)</w:t>
      </w:r>
    </w:p>
    <w:tbl>
      <w:tblPr>
        <w:tblW w:w="5000" w:type="pct"/>
        <w:jc w:val="center"/>
        <w:tblBorders>
          <w:top w:val="double" w:sz="4" w:space="0" w:color="auto"/>
          <w:left w:val="double" w:sz="4" w:space="0" w:color="auto"/>
          <w:bottom w:val="double" w:sz="4" w:space="0" w:color="auto"/>
          <w:right w:val="double" w:sz="4" w:space="0" w:color="auto"/>
        </w:tblBorders>
        <w:tblLayout w:type="fixed"/>
        <w:tblCellMar>
          <w:left w:w="0" w:type="dxa"/>
          <w:right w:w="0" w:type="dxa"/>
        </w:tblCellMar>
        <w:tblLook w:val="01E0" w:firstRow="1" w:lastRow="1" w:firstColumn="1" w:lastColumn="1" w:noHBand="0" w:noVBand="0"/>
      </w:tblPr>
      <w:tblGrid>
        <w:gridCol w:w="2737"/>
        <w:gridCol w:w="1200"/>
        <w:gridCol w:w="1201"/>
        <w:gridCol w:w="1201"/>
        <w:gridCol w:w="1201"/>
        <w:gridCol w:w="1201"/>
        <w:gridCol w:w="1201"/>
      </w:tblGrid>
      <w:tr w:rsidR="008D79FC" w:rsidRPr="00843651" w14:paraId="0479A544" w14:textId="7AEFC536" w:rsidTr="00F148DF">
        <w:trPr>
          <w:trHeight w:val="283"/>
          <w:jc w:val="center"/>
        </w:trPr>
        <w:tc>
          <w:tcPr>
            <w:tcW w:w="2737" w:type="dxa"/>
            <w:vMerge w:val="restart"/>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C2D69B" w:themeFill="accent3" w:themeFillTint="99"/>
            <w:vAlign w:val="center"/>
          </w:tcPr>
          <w:p w14:paraId="20B3B2F1" w14:textId="77777777" w:rsidR="008D79FC" w:rsidRPr="00B97765" w:rsidRDefault="008D79FC" w:rsidP="00B63418">
            <w:pPr>
              <w:keepNext/>
              <w:keepLines/>
              <w:ind w:left="211"/>
              <w:rPr>
                <w:rFonts w:ascii="Arial" w:hAnsi="Arial" w:cs="Arial"/>
                <w:sz w:val="18"/>
                <w:szCs w:val="18"/>
              </w:rPr>
            </w:pPr>
            <w:r w:rsidRPr="00B97765">
              <w:rPr>
                <w:rFonts w:ascii="Arial" w:hAnsi="Arial" w:cs="Arial"/>
                <w:sz w:val="18"/>
                <w:szCs w:val="18"/>
              </w:rPr>
              <w:t>Concepto</w:t>
            </w:r>
            <w:r w:rsidRPr="00B97765">
              <w:rPr>
                <w:rFonts w:ascii="Arial" w:hAnsi="Arial" w:cs="Arial"/>
                <w:sz w:val="18"/>
                <w:szCs w:val="18"/>
              </w:rPr>
              <w:br w:type="page"/>
            </w:r>
            <w:r w:rsidRPr="00B97765">
              <w:rPr>
                <w:rFonts w:ascii="Arial" w:hAnsi="Arial" w:cs="Arial"/>
                <w:sz w:val="18"/>
                <w:szCs w:val="18"/>
              </w:rPr>
              <w:br w:type="page"/>
            </w:r>
          </w:p>
        </w:tc>
        <w:tc>
          <w:tcPr>
            <w:tcW w:w="1200" w:type="dxa"/>
            <w:vMerge w:val="restart"/>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C2D69B" w:themeFill="accent3" w:themeFillTint="99"/>
            <w:vAlign w:val="center"/>
          </w:tcPr>
          <w:p w14:paraId="32B34E0B" w14:textId="6F3E3363" w:rsidR="008D79FC" w:rsidRDefault="008D79FC" w:rsidP="00533175">
            <w:pPr>
              <w:keepNext/>
              <w:keepLines/>
              <w:jc w:val="center"/>
              <w:rPr>
                <w:rFonts w:ascii="Arial" w:hAnsi="Arial" w:cs="Arial"/>
                <w:sz w:val="18"/>
                <w:szCs w:val="18"/>
              </w:rPr>
            </w:pPr>
            <w:r>
              <w:rPr>
                <w:rFonts w:ascii="Arial" w:hAnsi="Arial" w:cs="Arial"/>
                <w:sz w:val="18"/>
                <w:szCs w:val="18"/>
              </w:rPr>
              <w:t>2021</w:t>
            </w:r>
          </w:p>
        </w:tc>
        <w:tc>
          <w:tcPr>
            <w:tcW w:w="1201" w:type="dxa"/>
            <w:vMerge w:val="restart"/>
            <w:tcBorders>
              <w:top w:val="double" w:sz="4" w:space="0" w:color="000000" w:themeColor="text1"/>
              <w:left w:val="double" w:sz="4" w:space="0" w:color="000000" w:themeColor="text1"/>
              <w:right w:val="double" w:sz="4" w:space="0" w:color="000000" w:themeColor="text1"/>
            </w:tcBorders>
            <w:shd w:val="clear" w:color="auto" w:fill="C2D69B" w:themeFill="accent3" w:themeFillTint="99"/>
            <w:vAlign w:val="center"/>
          </w:tcPr>
          <w:p w14:paraId="656161C4" w14:textId="10FE377A" w:rsidR="008D79FC" w:rsidRDefault="008D79FC" w:rsidP="008D79FC">
            <w:pPr>
              <w:keepNext/>
              <w:keepLines/>
              <w:jc w:val="center"/>
              <w:rPr>
                <w:rFonts w:ascii="Arial" w:hAnsi="Arial" w:cs="Arial"/>
                <w:sz w:val="18"/>
                <w:szCs w:val="18"/>
              </w:rPr>
            </w:pPr>
            <w:r>
              <w:rPr>
                <w:rFonts w:ascii="Arial" w:hAnsi="Arial" w:cs="Arial"/>
                <w:sz w:val="18"/>
                <w:szCs w:val="18"/>
              </w:rPr>
              <w:t>2022</w:t>
            </w:r>
          </w:p>
        </w:tc>
        <w:tc>
          <w:tcPr>
            <w:tcW w:w="4804" w:type="dxa"/>
            <w:gridSpan w:val="4"/>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C2D69B" w:themeFill="accent3" w:themeFillTint="99"/>
            <w:vAlign w:val="center"/>
          </w:tcPr>
          <w:p w14:paraId="5B6DA539" w14:textId="2BF30BBA" w:rsidR="008D79FC" w:rsidRDefault="008D79FC" w:rsidP="008D79FC">
            <w:pPr>
              <w:keepNext/>
              <w:keepLines/>
              <w:jc w:val="center"/>
              <w:rPr>
                <w:rFonts w:ascii="Arial" w:hAnsi="Arial" w:cs="Arial"/>
                <w:sz w:val="18"/>
                <w:szCs w:val="18"/>
              </w:rPr>
            </w:pPr>
            <w:r>
              <w:rPr>
                <w:rFonts w:ascii="Arial" w:hAnsi="Arial" w:cs="Arial"/>
                <w:sz w:val="18"/>
                <w:szCs w:val="18"/>
              </w:rPr>
              <w:t>2023</w:t>
            </w:r>
          </w:p>
        </w:tc>
      </w:tr>
      <w:tr w:rsidR="00464ECB" w:rsidRPr="00843651" w14:paraId="58C77F26" w14:textId="1868583F" w:rsidTr="00F148DF">
        <w:trPr>
          <w:trHeight w:val="283"/>
          <w:jc w:val="center"/>
        </w:trPr>
        <w:tc>
          <w:tcPr>
            <w:tcW w:w="2737" w:type="dxa"/>
            <w:vMerge/>
            <w:tcBorders>
              <w:top w:val="nil"/>
              <w:left w:val="double" w:sz="4" w:space="0" w:color="000000" w:themeColor="text1"/>
              <w:bottom w:val="double" w:sz="4" w:space="0" w:color="000000" w:themeColor="text1"/>
              <w:right w:val="double" w:sz="4" w:space="0" w:color="000000" w:themeColor="text1"/>
            </w:tcBorders>
            <w:shd w:val="clear" w:color="auto" w:fill="C2D69B" w:themeFill="accent3" w:themeFillTint="99"/>
          </w:tcPr>
          <w:p w14:paraId="49C5D986" w14:textId="77777777" w:rsidR="00464ECB" w:rsidRPr="00843651" w:rsidRDefault="00464ECB" w:rsidP="00464ECB">
            <w:pPr>
              <w:keepNext/>
              <w:keepLines/>
              <w:spacing w:before="60" w:after="60"/>
              <w:jc w:val="both"/>
              <w:rPr>
                <w:rFonts w:ascii="Arial" w:hAnsi="Arial" w:cs="Arial"/>
                <w:sz w:val="16"/>
                <w:szCs w:val="16"/>
              </w:rPr>
            </w:pPr>
          </w:p>
        </w:tc>
        <w:tc>
          <w:tcPr>
            <w:tcW w:w="1200" w:type="dxa"/>
            <w:vMerge/>
            <w:tcBorders>
              <w:top w:val="nil"/>
              <w:left w:val="double" w:sz="4" w:space="0" w:color="000000" w:themeColor="text1"/>
              <w:bottom w:val="double" w:sz="4" w:space="0" w:color="000000" w:themeColor="text1"/>
            </w:tcBorders>
            <w:shd w:val="clear" w:color="auto" w:fill="C2D69B" w:themeFill="accent3" w:themeFillTint="99"/>
          </w:tcPr>
          <w:p w14:paraId="6C7F413D" w14:textId="22D919E5" w:rsidR="00464ECB" w:rsidRDefault="00464ECB" w:rsidP="00464ECB">
            <w:pPr>
              <w:keepNext/>
              <w:keepLines/>
              <w:spacing w:before="40" w:after="40"/>
              <w:ind w:left="-100" w:right="-51"/>
              <w:jc w:val="center"/>
              <w:rPr>
                <w:rFonts w:ascii="Arial" w:hAnsi="Arial" w:cs="Arial"/>
                <w:sz w:val="18"/>
                <w:szCs w:val="18"/>
              </w:rPr>
            </w:pPr>
          </w:p>
        </w:tc>
        <w:tc>
          <w:tcPr>
            <w:tcW w:w="1201" w:type="dxa"/>
            <w:vMerge/>
            <w:tcBorders>
              <w:left w:val="double" w:sz="4" w:space="0" w:color="000000" w:themeColor="text1"/>
              <w:bottom w:val="double" w:sz="4" w:space="0" w:color="000000" w:themeColor="text1"/>
              <w:right w:val="double" w:sz="4" w:space="0" w:color="000000" w:themeColor="text1"/>
            </w:tcBorders>
            <w:shd w:val="clear" w:color="auto" w:fill="C2D69B" w:themeFill="accent3" w:themeFillTint="99"/>
          </w:tcPr>
          <w:p w14:paraId="1D79D850" w14:textId="30070524" w:rsidR="00464ECB" w:rsidRDefault="00464ECB" w:rsidP="00464ECB">
            <w:pPr>
              <w:keepNext/>
              <w:keepLines/>
              <w:spacing w:before="40" w:after="40"/>
              <w:ind w:left="-100" w:right="-51"/>
              <w:jc w:val="center"/>
              <w:rPr>
                <w:rFonts w:ascii="Arial" w:hAnsi="Arial" w:cs="Arial"/>
                <w:sz w:val="18"/>
                <w:szCs w:val="18"/>
              </w:rPr>
            </w:pPr>
          </w:p>
        </w:tc>
        <w:tc>
          <w:tcPr>
            <w:tcW w:w="1201"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C2D69B" w:themeFill="accent3" w:themeFillTint="99"/>
          </w:tcPr>
          <w:p w14:paraId="6BF947B7" w14:textId="1A8AE304" w:rsidR="00464ECB" w:rsidRDefault="00543399" w:rsidP="00464ECB">
            <w:pPr>
              <w:keepNext/>
              <w:keepLines/>
              <w:spacing w:before="40" w:after="40"/>
              <w:ind w:left="-100" w:right="-51"/>
              <w:jc w:val="center"/>
              <w:rPr>
                <w:rFonts w:ascii="Arial" w:hAnsi="Arial" w:cs="Arial"/>
                <w:sz w:val="18"/>
                <w:szCs w:val="18"/>
              </w:rPr>
            </w:pPr>
            <w:r>
              <w:rPr>
                <w:rFonts w:ascii="Arial" w:hAnsi="Arial" w:cs="Arial"/>
                <w:sz w:val="18"/>
                <w:szCs w:val="18"/>
              </w:rPr>
              <w:t>May</w:t>
            </w:r>
            <w:r w:rsidR="00464ECB">
              <w:rPr>
                <w:rFonts w:ascii="Arial" w:hAnsi="Arial" w:cs="Arial"/>
                <w:sz w:val="18"/>
                <w:szCs w:val="18"/>
              </w:rPr>
              <w:t>.</w:t>
            </w:r>
          </w:p>
        </w:tc>
        <w:tc>
          <w:tcPr>
            <w:tcW w:w="1201"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C2D69B" w:themeFill="accent3" w:themeFillTint="99"/>
          </w:tcPr>
          <w:p w14:paraId="12ECC892" w14:textId="2F2EDE0D" w:rsidR="00464ECB" w:rsidRDefault="00543399" w:rsidP="00464ECB">
            <w:pPr>
              <w:keepNext/>
              <w:keepLines/>
              <w:spacing w:before="40" w:after="40"/>
              <w:ind w:left="-100" w:right="-51"/>
              <w:jc w:val="center"/>
              <w:rPr>
                <w:rFonts w:ascii="Arial" w:hAnsi="Arial" w:cs="Arial"/>
                <w:sz w:val="18"/>
                <w:szCs w:val="18"/>
              </w:rPr>
            </w:pPr>
            <w:r>
              <w:rPr>
                <w:rFonts w:ascii="Arial" w:hAnsi="Arial" w:cs="Arial"/>
                <w:sz w:val="18"/>
                <w:szCs w:val="18"/>
              </w:rPr>
              <w:t>Jun</w:t>
            </w:r>
            <w:r w:rsidR="00464ECB">
              <w:rPr>
                <w:rFonts w:ascii="Arial" w:hAnsi="Arial" w:cs="Arial"/>
                <w:sz w:val="18"/>
                <w:szCs w:val="18"/>
              </w:rPr>
              <w:t>.</w:t>
            </w:r>
          </w:p>
        </w:tc>
        <w:tc>
          <w:tcPr>
            <w:tcW w:w="1201"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C2D69B" w:themeFill="accent3" w:themeFillTint="99"/>
          </w:tcPr>
          <w:p w14:paraId="36573844" w14:textId="69184B83" w:rsidR="00464ECB" w:rsidRDefault="00464ECB" w:rsidP="00464ECB">
            <w:pPr>
              <w:keepNext/>
              <w:keepLines/>
              <w:spacing w:before="40" w:after="40"/>
              <w:ind w:left="-100" w:right="-51"/>
              <w:jc w:val="center"/>
              <w:rPr>
                <w:rFonts w:ascii="Arial" w:hAnsi="Arial" w:cs="Arial"/>
                <w:sz w:val="18"/>
                <w:szCs w:val="18"/>
              </w:rPr>
            </w:pPr>
            <w:r>
              <w:rPr>
                <w:rFonts w:ascii="Arial" w:hAnsi="Arial" w:cs="Arial"/>
                <w:sz w:val="18"/>
                <w:szCs w:val="18"/>
              </w:rPr>
              <w:t>Ju</w:t>
            </w:r>
            <w:r w:rsidR="00543399">
              <w:rPr>
                <w:rFonts w:ascii="Arial" w:hAnsi="Arial" w:cs="Arial"/>
                <w:sz w:val="18"/>
                <w:szCs w:val="18"/>
              </w:rPr>
              <w:t>l</w:t>
            </w:r>
            <w:r>
              <w:rPr>
                <w:rFonts w:ascii="Arial" w:hAnsi="Arial" w:cs="Arial"/>
                <w:sz w:val="18"/>
                <w:szCs w:val="18"/>
              </w:rPr>
              <w:t>.*</w:t>
            </w:r>
          </w:p>
        </w:tc>
        <w:tc>
          <w:tcPr>
            <w:tcW w:w="1201"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C2D69B" w:themeFill="accent3" w:themeFillTint="99"/>
          </w:tcPr>
          <w:p w14:paraId="760E28DF" w14:textId="338EFDC0" w:rsidR="00464ECB" w:rsidRDefault="00464ECB" w:rsidP="00464ECB">
            <w:pPr>
              <w:keepNext/>
              <w:keepLines/>
              <w:spacing w:before="40" w:after="40"/>
              <w:ind w:left="-100" w:right="-51"/>
              <w:jc w:val="center"/>
              <w:rPr>
                <w:rFonts w:ascii="Arial" w:hAnsi="Arial" w:cs="Arial"/>
                <w:sz w:val="18"/>
                <w:szCs w:val="18"/>
              </w:rPr>
            </w:pPr>
            <w:r>
              <w:rPr>
                <w:rFonts w:ascii="Arial" w:hAnsi="Arial" w:cs="Arial"/>
                <w:sz w:val="18"/>
                <w:szCs w:val="18"/>
              </w:rPr>
              <w:t>Ene. – Ju</w:t>
            </w:r>
            <w:r w:rsidR="00543399">
              <w:rPr>
                <w:rFonts w:ascii="Arial" w:hAnsi="Arial" w:cs="Arial"/>
                <w:sz w:val="18"/>
                <w:szCs w:val="18"/>
              </w:rPr>
              <w:t>l</w:t>
            </w:r>
            <w:r>
              <w:rPr>
                <w:rFonts w:ascii="Arial" w:hAnsi="Arial" w:cs="Arial"/>
                <w:sz w:val="18"/>
                <w:szCs w:val="18"/>
              </w:rPr>
              <w:t>.*</w:t>
            </w:r>
          </w:p>
        </w:tc>
      </w:tr>
      <w:tr w:rsidR="00543399" w:rsidRPr="00843651" w14:paraId="603106D5" w14:textId="1842F7DD" w:rsidTr="00F148DF">
        <w:trPr>
          <w:trHeight w:val="255"/>
          <w:jc w:val="center"/>
        </w:trPr>
        <w:tc>
          <w:tcPr>
            <w:tcW w:w="2737" w:type="dxa"/>
            <w:tcBorders>
              <w:top w:val="double" w:sz="4" w:space="0" w:color="000000" w:themeColor="text1"/>
              <w:left w:val="double" w:sz="4" w:space="0" w:color="000000" w:themeColor="text1"/>
              <w:bottom w:val="nil"/>
              <w:right w:val="double" w:sz="4" w:space="0" w:color="000000" w:themeColor="text1"/>
            </w:tcBorders>
            <w:vAlign w:val="center"/>
          </w:tcPr>
          <w:p w14:paraId="7865B2E9" w14:textId="4B585D49" w:rsidR="00543399" w:rsidRPr="00843651" w:rsidRDefault="00543399" w:rsidP="00543399">
            <w:pPr>
              <w:keepNext/>
              <w:keepLines/>
              <w:ind w:left="183"/>
              <w:jc w:val="both"/>
              <w:rPr>
                <w:rFonts w:ascii="Arial" w:hAnsi="Arial" w:cs="Arial"/>
                <w:b/>
                <w:spacing w:val="-6"/>
                <w:sz w:val="18"/>
                <w:szCs w:val="18"/>
              </w:rPr>
            </w:pPr>
            <w:r w:rsidRPr="00843651">
              <w:rPr>
                <w:rFonts w:ascii="Arial" w:hAnsi="Arial" w:cs="Arial"/>
                <w:b/>
                <w:spacing w:val="-6"/>
                <w:sz w:val="18"/>
                <w:szCs w:val="18"/>
              </w:rPr>
              <w:t xml:space="preserve">Exportaciones </w:t>
            </w:r>
            <w:r>
              <w:rPr>
                <w:rFonts w:ascii="Arial" w:hAnsi="Arial" w:cs="Arial"/>
                <w:b/>
                <w:spacing w:val="-6"/>
                <w:sz w:val="18"/>
                <w:szCs w:val="18"/>
              </w:rPr>
              <w:t>t</w:t>
            </w:r>
            <w:r w:rsidRPr="00843651">
              <w:rPr>
                <w:rFonts w:ascii="Arial" w:hAnsi="Arial" w:cs="Arial"/>
                <w:b/>
                <w:spacing w:val="-6"/>
                <w:sz w:val="18"/>
                <w:szCs w:val="18"/>
              </w:rPr>
              <w:t>otales</w:t>
            </w:r>
          </w:p>
        </w:tc>
        <w:tc>
          <w:tcPr>
            <w:tcW w:w="1200" w:type="dxa"/>
            <w:tcBorders>
              <w:top w:val="double" w:sz="4" w:space="0" w:color="000000" w:themeColor="text1"/>
              <w:left w:val="nil"/>
              <w:bottom w:val="nil"/>
              <w:right w:val="double" w:sz="4" w:space="0" w:color="000000" w:themeColor="text1"/>
            </w:tcBorders>
            <w:vAlign w:val="center"/>
          </w:tcPr>
          <w:p w14:paraId="293D6F85" w14:textId="039FD56B" w:rsidR="00543399" w:rsidRPr="00F02BA8" w:rsidRDefault="00543399" w:rsidP="00543399">
            <w:pPr>
              <w:keepNext/>
              <w:keepLines/>
              <w:tabs>
                <w:tab w:val="decimal" w:pos="637"/>
              </w:tabs>
              <w:rPr>
                <w:rFonts w:ascii="Arial" w:hAnsi="Arial" w:cs="Arial"/>
                <w:b/>
                <w:bCs/>
                <w:sz w:val="18"/>
                <w:szCs w:val="18"/>
              </w:rPr>
            </w:pPr>
            <w:r w:rsidRPr="00F02BA8">
              <w:rPr>
                <w:rFonts w:ascii="Arial" w:hAnsi="Arial" w:cs="Arial"/>
                <w:b/>
                <w:bCs/>
                <w:sz w:val="18"/>
                <w:szCs w:val="18"/>
              </w:rPr>
              <w:t>494</w:t>
            </w:r>
            <w:r>
              <w:rPr>
                <w:rFonts w:ascii="Arial" w:hAnsi="Arial" w:cs="Arial"/>
                <w:b/>
                <w:bCs/>
                <w:sz w:val="18"/>
                <w:szCs w:val="18"/>
              </w:rPr>
              <w:t xml:space="preserve"> 949</w:t>
            </w:r>
          </w:p>
        </w:tc>
        <w:tc>
          <w:tcPr>
            <w:tcW w:w="1201" w:type="dxa"/>
            <w:tcBorders>
              <w:top w:val="double" w:sz="4" w:space="0" w:color="000000" w:themeColor="text1"/>
              <w:left w:val="nil"/>
              <w:bottom w:val="nil"/>
              <w:right w:val="double" w:sz="4" w:space="0" w:color="000000" w:themeColor="text1"/>
            </w:tcBorders>
            <w:vAlign w:val="center"/>
          </w:tcPr>
          <w:p w14:paraId="61D43FD7" w14:textId="4BBAC14C" w:rsidR="00543399" w:rsidRPr="00AE5270" w:rsidRDefault="00543399" w:rsidP="00543399">
            <w:pPr>
              <w:keepNext/>
              <w:keepLines/>
              <w:ind w:right="170"/>
              <w:jc w:val="right"/>
              <w:rPr>
                <w:rFonts w:ascii="Arial" w:hAnsi="Arial" w:cs="Arial"/>
                <w:b/>
                <w:bCs/>
                <w:sz w:val="18"/>
                <w:szCs w:val="18"/>
              </w:rPr>
            </w:pPr>
            <w:r>
              <w:rPr>
                <w:rFonts w:ascii="Arial" w:hAnsi="Arial" w:cs="Arial"/>
                <w:b/>
                <w:bCs/>
                <w:sz w:val="18"/>
                <w:szCs w:val="18"/>
              </w:rPr>
              <w:t>577 735</w:t>
            </w:r>
          </w:p>
        </w:tc>
        <w:tc>
          <w:tcPr>
            <w:tcW w:w="1201" w:type="dxa"/>
            <w:tcBorders>
              <w:top w:val="double" w:sz="4" w:space="0" w:color="000000" w:themeColor="text1"/>
              <w:left w:val="nil"/>
              <w:bottom w:val="nil"/>
              <w:right w:val="nil"/>
            </w:tcBorders>
            <w:vAlign w:val="center"/>
          </w:tcPr>
          <w:p w14:paraId="426981AA" w14:textId="0F554594" w:rsidR="00543399" w:rsidRDefault="00543399" w:rsidP="00543399">
            <w:pPr>
              <w:keepNext/>
              <w:keepLines/>
              <w:ind w:right="277"/>
              <w:jc w:val="right"/>
              <w:rPr>
                <w:rFonts w:ascii="Arial" w:hAnsi="Arial" w:cs="Arial"/>
                <w:b/>
                <w:bCs/>
                <w:sz w:val="18"/>
                <w:szCs w:val="18"/>
              </w:rPr>
            </w:pPr>
            <w:r>
              <w:rPr>
                <w:rFonts w:ascii="Arial" w:hAnsi="Arial" w:cs="Arial"/>
                <w:b/>
                <w:bCs/>
                <w:sz w:val="18"/>
                <w:szCs w:val="18"/>
              </w:rPr>
              <w:t>52 860</w:t>
            </w:r>
          </w:p>
        </w:tc>
        <w:tc>
          <w:tcPr>
            <w:tcW w:w="1201" w:type="dxa"/>
            <w:tcBorders>
              <w:top w:val="double" w:sz="4" w:space="0" w:color="000000" w:themeColor="text1"/>
              <w:left w:val="nil"/>
              <w:bottom w:val="nil"/>
              <w:right w:val="nil"/>
            </w:tcBorders>
            <w:vAlign w:val="center"/>
          </w:tcPr>
          <w:p w14:paraId="7F726081" w14:textId="1C17B131" w:rsidR="00543399" w:rsidRDefault="00543399" w:rsidP="00543399">
            <w:pPr>
              <w:keepNext/>
              <w:keepLines/>
              <w:ind w:right="277"/>
              <w:jc w:val="right"/>
              <w:rPr>
                <w:rFonts w:ascii="Arial" w:hAnsi="Arial" w:cs="Arial"/>
                <w:b/>
                <w:bCs/>
                <w:sz w:val="18"/>
                <w:szCs w:val="18"/>
              </w:rPr>
            </w:pPr>
            <w:r>
              <w:rPr>
                <w:rFonts w:ascii="Arial" w:hAnsi="Arial" w:cs="Arial"/>
                <w:b/>
                <w:bCs/>
                <w:sz w:val="18"/>
                <w:szCs w:val="18"/>
              </w:rPr>
              <w:t>51 800</w:t>
            </w:r>
          </w:p>
        </w:tc>
        <w:tc>
          <w:tcPr>
            <w:tcW w:w="1201" w:type="dxa"/>
            <w:tcBorders>
              <w:top w:val="double" w:sz="4" w:space="0" w:color="000000" w:themeColor="text1"/>
              <w:left w:val="nil"/>
              <w:bottom w:val="nil"/>
              <w:right w:val="nil"/>
            </w:tcBorders>
            <w:vAlign w:val="center"/>
          </w:tcPr>
          <w:p w14:paraId="33B58CD8" w14:textId="2F00E928" w:rsidR="00543399" w:rsidRDefault="00812420" w:rsidP="00543399">
            <w:pPr>
              <w:keepNext/>
              <w:keepLines/>
              <w:ind w:right="277"/>
              <w:jc w:val="right"/>
              <w:rPr>
                <w:rFonts w:ascii="Arial" w:hAnsi="Arial" w:cs="Arial"/>
                <w:b/>
                <w:bCs/>
                <w:sz w:val="18"/>
                <w:szCs w:val="18"/>
              </w:rPr>
            </w:pPr>
            <w:r>
              <w:rPr>
                <w:rFonts w:ascii="Arial" w:hAnsi="Arial" w:cs="Arial"/>
                <w:b/>
                <w:bCs/>
                <w:sz w:val="18"/>
                <w:szCs w:val="18"/>
              </w:rPr>
              <w:t>47 550</w:t>
            </w:r>
          </w:p>
        </w:tc>
        <w:tc>
          <w:tcPr>
            <w:tcW w:w="1201" w:type="dxa"/>
            <w:tcBorders>
              <w:top w:val="double" w:sz="4" w:space="0" w:color="000000" w:themeColor="text1"/>
              <w:left w:val="nil"/>
              <w:bottom w:val="nil"/>
              <w:right w:val="double" w:sz="4" w:space="0" w:color="000000" w:themeColor="text1"/>
            </w:tcBorders>
            <w:vAlign w:val="center"/>
          </w:tcPr>
          <w:p w14:paraId="5C2B8EB5" w14:textId="35D60669" w:rsidR="00543399" w:rsidRDefault="00812420" w:rsidP="00543399">
            <w:pPr>
              <w:keepNext/>
              <w:keepLines/>
              <w:ind w:right="277"/>
              <w:jc w:val="right"/>
              <w:rPr>
                <w:rFonts w:ascii="Arial" w:hAnsi="Arial" w:cs="Arial"/>
                <w:b/>
                <w:bCs/>
                <w:sz w:val="18"/>
                <w:szCs w:val="18"/>
              </w:rPr>
            </w:pPr>
            <w:r>
              <w:rPr>
                <w:rFonts w:ascii="Arial" w:hAnsi="Arial" w:cs="Arial"/>
                <w:b/>
                <w:bCs/>
                <w:sz w:val="18"/>
                <w:szCs w:val="18"/>
              </w:rPr>
              <w:t>339 519</w:t>
            </w:r>
          </w:p>
        </w:tc>
      </w:tr>
      <w:tr w:rsidR="00543399" w:rsidRPr="00843651" w14:paraId="62973728" w14:textId="0E0EA327" w:rsidTr="00F148DF">
        <w:trPr>
          <w:trHeight w:val="255"/>
          <w:jc w:val="center"/>
        </w:trPr>
        <w:tc>
          <w:tcPr>
            <w:tcW w:w="2737" w:type="dxa"/>
            <w:tcBorders>
              <w:top w:val="nil"/>
              <w:left w:val="double" w:sz="4" w:space="0" w:color="000000" w:themeColor="text1"/>
              <w:bottom w:val="nil"/>
              <w:right w:val="double" w:sz="4" w:space="0" w:color="000000" w:themeColor="text1"/>
            </w:tcBorders>
            <w:vAlign w:val="center"/>
          </w:tcPr>
          <w:p w14:paraId="53DFFFBB" w14:textId="77777777" w:rsidR="00543399" w:rsidRPr="00843651" w:rsidRDefault="00543399" w:rsidP="00543399">
            <w:pPr>
              <w:keepNext/>
              <w:keepLines/>
              <w:ind w:left="393"/>
              <w:jc w:val="both"/>
              <w:rPr>
                <w:rFonts w:ascii="Arial" w:hAnsi="Arial" w:cs="Arial"/>
                <w:sz w:val="18"/>
                <w:szCs w:val="18"/>
              </w:rPr>
            </w:pPr>
            <w:r w:rsidRPr="00843651">
              <w:rPr>
                <w:rFonts w:ascii="Arial" w:hAnsi="Arial" w:cs="Arial"/>
                <w:sz w:val="18"/>
                <w:szCs w:val="18"/>
              </w:rPr>
              <w:t>Petroleras</w:t>
            </w:r>
          </w:p>
        </w:tc>
        <w:tc>
          <w:tcPr>
            <w:tcW w:w="1200" w:type="dxa"/>
            <w:tcBorders>
              <w:top w:val="nil"/>
              <w:left w:val="nil"/>
              <w:bottom w:val="nil"/>
              <w:right w:val="double" w:sz="4" w:space="0" w:color="000000" w:themeColor="text1"/>
            </w:tcBorders>
            <w:vAlign w:val="center"/>
          </w:tcPr>
          <w:p w14:paraId="3D12E539" w14:textId="79B0E4EF" w:rsidR="00543399" w:rsidRPr="00F02BA8" w:rsidRDefault="00543399" w:rsidP="00543399">
            <w:pPr>
              <w:keepNext/>
              <w:keepLines/>
              <w:tabs>
                <w:tab w:val="decimal" w:pos="637"/>
              </w:tabs>
              <w:rPr>
                <w:rFonts w:ascii="Arial" w:hAnsi="Arial" w:cs="Arial"/>
                <w:bCs/>
                <w:sz w:val="18"/>
                <w:szCs w:val="18"/>
              </w:rPr>
            </w:pPr>
            <w:r w:rsidRPr="00F02BA8">
              <w:rPr>
                <w:rFonts w:ascii="Arial" w:hAnsi="Arial" w:cs="Arial"/>
                <w:sz w:val="18"/>
                <w:szCs w:val="18"/>
              </w:rPr>
              <w:t>29</w:t>
            </w:r>
            <w:r>
              <w:rPr>
                <w:rFonts w:ascii="Arial" w:hAnsi="Arial" w:cs="Arial"/>
                <w:sz w:val="18"/>
                <w:szCs w:val="18"/>
              </w:rPr>
              <w:t xml:space="preserve"> 390</w:t>
            </w:r>
          </w:p>
        </w:tc>
        <w:tc>
          <w:tcPr>
            <w:tcW w:w="1201" w:type="dxa"/>
            <w:tcBorders>
              <w:top w:val="nil"/>
              <w:left w:val="nil"/>
              <w:bottom w:val="nil"/>
              <w:right w:val="double" w:sz="4" w:space="0" w:color="000000" w:themeColor="text1"/>
            </w:tcBorders>
            <w:vAlign w:val="center"/>
          </w:tcPr>
          <w:p w14:paraId="32D0A4F4" w14:textId="5E0FB62C" w:rsidR="00543399" w:rsidRPr="00AE5270" w:rsidRDefault="00543399" w:rsidP="00543399">
            <w:pPr>
              <w:keepNext/>
              <w:keepLines/>
              <w:ind w:right="170"/>
              <w:jc w:val="right"/>
              <w:rPr>
                <w:rFonts w:ascii="Arial" w:hAnsi="Arial" w:cs="Arial"/>
                <w:sz w:val="18"/>
                <w:szCs w:val="18"/>
              </w:rPr>
            </w:pPr>
            <w:r>
              <w:rPr>
                <w:rFonts w:ascii="Arial" w:hAnsi="Arial" w:cs="Arial"/>
                <w:sz w:val="18"/>
                <w:szCs w:val="18"/>
              </w:rPr>
              <w:t>38 972</w:t>
            </w:r>
          </w:p>
        </w:tc>
        <w:tc>
          <w:tcPr>
            <w:tcW w:w="1201" w:type="dxa"/>
            <w:tcBorders>
              <w:top w:val="nil"/>
              <w:left w:val="nil"/>
              <w:bottom w:val="nil"/>
              <w:right w:val="nil"/>
            </w:tcBorders>
            <w:vAlign w:val="center"/>
          </w:tcPr>
          <w:p w14:paraId="7232BB35" w14:textId="06F7C594" w:rsidR="00543399" w:rsidRDefault="00543399" w:rsidP="00543399">
            <w:pPr>
              <w:keepNext/>
              <w:keepLines/>
              <w:ind w:right="277"/>
              <w:jc w:val="right"/>
              <w:rPr>
                <w:rFonts w:ascii="Arial" w:hAnsi="Arial" w:cs="Arial"/>
                <w:sz w:val="18"/>
                <w:szCs w:val="18"/>
              </w:rPr>
            </w:pPr>
            <w:r>
              <w:rPr>
                <w:rFonts w:ascii="Arial" w:hAnsi="Arial" w:cs="Arial"/>
                <w:sz w:val="18"/>
                <w:szCs w:val="18"/>
              </w:rPr>
              <w:t>2 729</w:t>
            </w:r>
          </w:p>
        </w:tc>
        <w:tc>
          <w:tcPr>
            <w:tcW w:w="1201" w:type="dxa"/>
            <w:tcBorders>
              <w:top w:val="nil"/>
              <w:left w:val="nil"/>
              <w:bottom w:val="nil"/>
              <w:right w:val="nil"/>
            </w:tcBorders>
            <w:vAlign w:val="center"/>
          </w:tcPr>
          <w:p w14:paraId="6502745F" w14:textId="06A3895C" w:rsidR="00543399" w:rsidRDefault="00543399" w:rsidP="00543399">
            <w:pPr>
              <w:keepNext/>
              <w:keepLines/>
              <w:ind w:right="277"/>
              <w:jc w:val="right"/>
              <w:rPr>
                <w:rFonts w:ascii="Arial" w:hAnsi="Arial" w:cs="Arial"/>
                <w:sz w:val="18"/>
                <w:szCs w:val="18"/>
              </w:rPr>
            </w:pPr>
            <w:r>
              <w:rPr>
                <w:rFonts w:ascii="Arial" w:hAnsi="Arial" w:cs="Arial"/>
                <w:sz w:val="18"/>
                <w:szCs w:val="18"/>
              </w:rPr>
              <w:t>2 851</w:t>
            </w:r>
          </w:p>
        </w:tc>
        <w:tc>
          <w:tcPr>
            <w:tcW w:w="1201" w:type="dxa"/>
            <w:tcBorders>
              <w:top w:val="nil"/>
              <w:left w:val="nil"/>
              <w:bottom w:val="nil"/>
              <w:right w:val="nil"/>
            </w:tcBorders>
            <w:vAlign w:val="center"/>
          </w:tcPr>
          <w:p w14:paraId="43F40C72" w14:textId="112A2CDB" w:rsidR="00543399" w:rsidRDefault="00543399" w:rsidP="00543399">
            <w:pPr>
              <w:keepNext/>
              <w:keepLines/>
              <w:ind w:right="277"/>
              <w:jc w:val="right"/>
              <w:rPr>
                <w:rFonts w:ascii="Arial" w:hAnsi="Arial" w:cs="Arial"/>
                <w:sz w:val="18"/>
                <w:szCs w:val="18"/>
              </w:rPr>
            </w:pPr>
            <w:r>
              <w:rPr>
                <w:rFonts w:ascii="Arial" w:hAnsi="Arial" w:cs="Arial"/>
                <w:sz w:val="18"/>
                <w:szCs w:val="18"/>
              </w:rPr>
              <w:t xml:space="preserve">2 </w:t>
            </w:r>
            <w:r w:rsidR="00812420">
              <w:rPr>
                <w:rFonts w:ascii="Arial" w:hAnsi="Arial" w:cs="Arial"/>
                <w:sz w:val="18"/>
                <w:szCs w:val="18"/>
              </w:rPr>
              <w:t>730</w:t>
            </w:r>
          </w:p>
        </w:tc>
        <w:tc>
          <w:tcPr>
            <w:tcW w:w="1201" w:type="dxa"/>
            <w:tcBorders>
              <w:top w:val="nil"/>
              <w:left w:val="nil"/>
              <w:bottom w:val="nil"/>
              <w:right w:val="double" w:sz="4" w:space="0" w:color="000000" w:themeColor="text1"/>
            </w:tcBorders>
            <w:vAlign w:val="center"/>
          </w:tcPr>
          <w:p w14:paraId="6295CA22" w14:textId="23E7A04E" w:rsidR="00543399" w:rsidRDefault="00812420" w:rsidP="00543399">
            <w:pPr>
              <w:keepNext/>
              <w:keepLines/>
              <w:ind w:right="277"/>
              <w:jc w:val="right"/>
              <w:rPr>
                <w:rFonts w:ascii="Arial" w:hAnsi="Arial" w:cs="Arial"/>
                <w:sz w:val="18"/>
                <w:szCs w:val="18"/>
              </w:rPr>
            </w:pPr>
            <w:r>
              <w:rPr>
                <w:rFonts w:ascii="Arial" w:hAnsi="Arial" w:cs="Arial"/>
                <w:sz w:val="18"/>
                <w:szCs w:val="18"/>
              </w:rPr>
              <w:t>18 491</w:t>
            </w:r>
          </w:p>
        </w:tc>
      </w:tr>
      <w:tr w:rsidR="00543399" w:rsidRPr="00843651" w14:paraId="31EFA848" w14:textId="277878AF" w:rsidTr="00F148DF">
        <w:trPr>
          <w:trHeight w:val="255"/>
          <w:jc w:val="center"/>
        </w:trPr>
        <w:tc>
          <w:tcPr>
            <w:tcW w:w="2737" w:type="dxa"/>
            <w:tcBorders>
              <w:top w:val="nil"/>
              <w:left w:val="double" w:sz="4" w:space="0" w:color="000000" w:themeColor="text1"/>
              <w:bottom w:val="nil"/>
              <w:right w:val="double" w:sz="4" w:space="0" w:color="000000" w:themeColor="text1"/>
            </w:tcBorders>
            <w:vAlign w:val="center"/>
          </w:tcPr>
          <w:p w14:paraId="5E2BE2E1" w14:textId="1AA2FABE" w:rsidR="00543399" w:rsidRPr="00843651" w:rsidRDefault="00543399" w:rsidP="00543399">
            <w:pPr>
              <w:keepNext/>
              <w:keepLines/>
              <w:ind w:left="393"/>
              <w:jc w:val="both"/>
              <w:rPr>
                <w:rFonts w:ascii="Arial" w:hAnsi="Arial" w:cs="Arial"/>
                <w:sz w:val="18"/>
                <w:szCs w:val="18"/>
              </w:rPr>
            </w:pPr>
            <w:r w:rsidRPr="00843651">
              <w:rPr>
                <w:rFonts w:ascii="Arial" w:hAnsi="Arial" w:cs="Arial"/>
                <w:sz w:val="18"/>
                <w:szCs w:val="18"/>
              </w:rPr>
              <w:t xml:space="preserve">No </w:t>
            </w:r>
            <w:r>
              <w:rPr>
                <w:rFonts w:ascii="Arial" w:hAnsi="Arial" w:cs="Arial"/>
                <w:sz w:val="18"/>
                <w:szCs w:val="18"/>
              </w:rPr>
              <w:t>p</w:t>
            </w:r>
            <w:r w:rsidRPr="00843651">
              <w:rPr>
                <w:rFonts w:ascii="Arial" w:hAnsi="Arial" w:cs="Arial"/>
                <w:sz w:val="18"/>
                <w:szCs w:val="18"/>
              </w:rPr>
              <w:t>etroleras</w:t>
            </w:r>
          </w:p>
        </w:tc>
        <w:tc>
          <w:tcPr>
            <w:tcW w:w="1200" w:type="dxa"/>
            <w:tcBorders>
              <w:top w:val="nil"/>
              <w:left w:val="nil"/>
              <w:bottom w:val="nil"/>
              <w:right w:val="double" w:sz="4" w:space="0" w:color="000000" w:themeColor="text1"/>
            </w:tcBorders>
            <w:vAlign w:val="center"/>
          </w:tcPr>
          <w:p w14:paraId="0F6A8197" w14:textId="7C6ACCEE" w:rsidR="00543399" w:rsidRPr="00F02BA8" w:rsidRDefault="00543399" w:rsidP="00543399">
            <w:pPr>
              <w:keepNext/>
              <w:keepLines/>
              <w:tabs>
                <w:tab w:val="decimal" w:pos="637"/>
              </w:tabs>
              <w:rPr>
                <w:rFonts w:ascii="Arial" w:hAnsi="Arial" w:cs="Arial"/>
                <w:bCs/>
                <w:sz w:val="18"/>
                <w:szCs w:val="18"/>
              </w:rPr>
            </w:pPr>
            <w:r w:rsidRPr="00F02BA8">
              <w:rPr>
                <w:rFonts w:ascii="Arial" w:hAnsi="Arial" w:cs="Arial"/>
                <w:sz w:val="18"/>
                <w:szCs w:val="18"/>
              </w:rPr>
              <w:t>465</w:t>
            </w:r>
            <w:r>
              <w:rPr>
                <w:rFonts w:ascii="Arial" w:hAnsi="Arial" w:cs="Arial"/>
                <w:sz w:val="18"/>
                <w:szCs w:val="18"/>
              </w:rPr>
              <w:t xml:space="preserve"> 559</w:t>
            </w:r>
          </w:p>
        </w:tc>
        <w:tc>
          <w:tcPr>
            <w:tcW w:w="1201" w:type="dxa"/>
            <w:tcBorders>
              <w:top w:val="nil"/>
              <w:left w:val="nil"/>
              <w:bottom w:val="nil"/>
              <w:right w:val="double" w:sz="4" w:space="0" w:color="000000" w:themeColor="text1"/>
            </w:tcBorders>
            <w:vAlign w:val="center"/>
          </w:tcPr>
          <w:p w14:paraId="187D96DB" w14:textId="511F2531" w:rsidR="00543399" w:rsidRPr="00AE5270" w:rsidRDefault="00543399" w:rsidP="00543399">
            <w:pPr>
              <w:keepNext/>
              <w:keepLines/>
              <w:ind w:right="170"/>
              <w:jc w:val="right"/>
              <w:rPr>
                <w:rFonts w:ascii="Arial" w:hAnsi="Arial" w:cs="Arial"/>
                <w:sz w:val="18"/>
                <w:szCs w:val="18"/>
              </w:rPr>
            </w:pPr>
            <w:r>
              <w:rPr>
                <w:rFonts w:ascii="Arial" w:hAnsi="Arial" w:cs="Arial"/>
                <w:sz w:val="18"/>
                <w:szCs w:val="18"/>
              </w:rPr>
              <w:t>538 763</w:t>
            </w:r>
          </w:p>
        </w:tc>
        <w:tc>
          <w:tcPr>
            <w:tcW w:w="1201" w:type="dxa"/>
            <w:tcBorders>
              <w:top w:val="nil"/>
              <w:left w:val="nil"/>
              <w:bottom w:val="nil"/>
              <w:right w:val="nil"/>
            </w:tcBorders>
            <w:vAlign w:val="center"/>
          </w:tcPr>
          <w:p w14:paraId="2C954605" w14:textId="0BF2C408" w:rsidR="00543399" w:rsidRDefault="00543399" w:rsidP="00543399">
            <w:pPr>
              <w:keepNext/>
              <w:keepLines/>
              <w:ind w:right="277"/>
              <w:jc w:val="right"/>
              <w:rPr>
                <w:rFonts w:ascii="Arial" w:hAnsi="Arial" w:cs="Arial"/>
                <w:sz w:val="18"/>
                <w:szCs w:val="18"/>
              </w:rPr>
            </w:pPr>
            <w:r>
              <w:rPr>
                <w:rFonts w:ascii="Arial" w:hAnsi="Arial" w:cs="Arial"/>
                <w:sz w:val="18"/>
                <w:szCs w:val="18"/>
              </w:rPr>
              <w:t>50 132</w:t>
            </w:r>
          </w:p>
        </w:tc>
        <w:tc>
          <w:tcPr>
            <w:tcW w:w="1201" w:type="dxa"/>
            <w:tcBorders>
              <w:top w:val="nil"/>
              <w:left w:val="nil"/>
              <w:bottom w:val="nil"/>
              <w:right w:val="nil"/>
            </w:tcBorders>
            <w:vAlign w:val="center"/>
          </w:tcPr>
          <w:p w14:paraId="256CED5C" w14:textId="588A888A" w:rsidR="00543399" w:rsidRDefault="00543399" w:rsidP="00543399">
            <w:pPr>
              <w:keepNext/>
              <w:keepLines/>
              <w:ind w:right="277"/>
              <w:jc w:val="right"/>
              <w:rPr>
                <w:rFonts w:ascii="Arial" w:hAnsi="Arial" w:cs="Arial"/>
                <w:sz w:val="18"/>
                <w:szCs w:val="18"/>
              </w:rPr>
            </w:pPr>
            <w:r>
              <w:rPr>
                <w:rFonts w:ascii="Arial" w:hAnsi="Arial" w:cs="Arial"/>
                <w:sz w:val="18"/>
                <w:szCs w:val="18"/>
              </w:rPr>
              <w:t>48 950</w:t>
            </w:r>
          </w:p>
        </w:tc>
        <w:tc>
          <w:tcPr>
            <w:tcW w:w="1201" w:type="dxa"/>
            <w:tcBorders>
              <w:top w:val="nil"/>
              <w:left w:val="nil"/>
              <w:bottom w:val="nil"/>
              <w:right w:val="nil"/>
            </w:tcBorders>
            <w:vAlign w:val="center"/>
          </w:tcPr>
          <w:p w14:paraId="5FC7A6DB" w14:textId="7635AE92" w:rsidR="00543399" w:rsidRDefault="00812420" w:rsidP="00543399">
            <w:pPr>
              <w:keepNext/>
              <w:keepLines/>
              <w:ind w:right="277"/>
              <w:jc w:val="right"/>
              <w:rPr>
                <w:rFonts w:ascii="Arial" w:hAnsi="Arial" w:cs="Arial"/>
                <w:sz w:val="18"/>
                <w:szCs w:val="18"/>
              </w:rPr>
            </w:pPr>
            <w:r>
              <w:rPr>
                <w:rFonts w:ascii="Arial" w:hAnsi="Arial" w:cs="Arial"/>
                <w:sz w:val="18"/>
                <w:szCs w:val="18"/>
              </w:rPr>
              <w:t>44 821</w:t>
            </w:r>
          </w:p>
        </w:tc>
        <w:tc>
          <w:tcPr>
            <w:tcW w:w="1201" w:type="dxa"/>
            <w:tcBorders>
              <w:top w:val="nil"/>
              <w:left w:val="nil"/>
              <w:bottom w:val="nil"/>
              <w:right w:val="double" w:sz="4" w:space="0" w:color="000000" w:themeColor="text1"/>
            </w:tcBorders>
            <w:vAlign w:val="center"/>
          </w:tcPr>
          <w:p w14:paraId="53BA8E7D" w14:textId="5895A15B" w:rsidR="00543399" w:rsidRDefault="00812420" w:rsidP="00543399">
            <w:pPr>
              <w:keepNext/>
              <w:keepLines/>
              <w:ind w:right="277"/>
              <w:jc w:val="right"/>
              <w:rPr>
                <w:rFonts w:ascii="Arial" w:hAnsi="Arial" w:cs="Arial"/>
                <w:sz w:val="18"/>
                <w:szCs w:val="18"/>
              </w:rPr>
            </w:pPr>
            <w:r>
              <w:rPr>
                <w:rFonts w:ascii="Arial" w:hAnsi="Arial" w:cs="Arial"/>
                <w:sz w:val="18"/>
                <w:szCs w:val="18"/>
              </w:rPr>
              <w:t>321 027</w:t>
            </w:r>
          </w:p>
        </w:tc>
      </w:tr>
      <w:tr w:rsidR="00543399" w:rsidRPr="00843651" w14:paraId="16E7E605" w14:textId="36F9451A" w:rsidTr="00F148DF">
        <w:trPr>
          <w:trHeight w:val="255"/>
          <w:jc w:val="center"/>
        </w:trPr>
        <w:tc>
          <w:tcPr>
            <w:tcW w:w="2737" w:type="dxa"/>
            <w:tcBorders>
              <w:top w:val="nil"/>
              <w:left w:val="double" w:sz="4" w:space="0" w:color="000000" w:themeColor="text1"/>
              <w:bottom w:val="nil"/>
              <w:right w:val="double" w:sz="4" w:space="0" w:color="000000" w:themeColor="text1"/>
            </w:tcBorders>
            <w:vAlign w:val="center"/>
          </w:tcPr>
          <w:p w14:paraId="5217AB52" w14:textId="40E7D790" w:rsidR="00543399" w:rsidRPr="00843651" w:rsidRDefault="00543399" w:rsidP="00543399">
            <w:pPr>
              <w:keepNext/>
              <w:keepLines/>
              <w:ind w:left="183"/>
              <w:jc w:val="both"/>
              <w:rPr>
                <w:rFonts w:ascii="Arial" w:hAnsi="Arial" w:cs="Arial"/>
                <w:b/>
                <w:sz w:val="18"/>
                <w:szCs w:val="18"/>
              </w:rPr>
            </w:pPr>
            <w:r w:rsidRPr="00843651">
              <w:rPr>
                <w:rFonts w:ascii="Arial" w:hAnsi="Arial" w:cs="Arial"/>
                <w:b/>
                <w:spacing w:val="-6"/>
                <w:sz w:val="18"/>
                <w:szCs w:val="18"/>
              </w:rPr>
              <w:t xml:space="preserve">Importaciones </w:t>
            </w:r>
            <w:r>
              <w:rPr>
                <w:rFonts w:ascii="Arial" w:hAnsi="Arial" w:cs="Arial"/>
                <w:b/>
                <w:spacing w:val="-6"/>
                <w:sz w:val="18"/>
                <w:szCs w:val="18"/>
              </w:rPr>
              <w:t>t</w:t>
            </w:r>
            <w:r w:rsidRPr="00843651">
              <w:rPr>
                <w:rFonts w:ascii="Arial" w:hAnsi="Arial" w:cs="Arial"/>
                <w:b/>
                <w:spacing w:val="-6"/>
                <w:sz w:val="18"/>
                <w:szCs w:val="18"/>
              </w:rPr>
              <w:t>otales</w:t>
            </w:r>
          </w:p>
        </w:tc>
        <w:tc>
          <w:tcPr>
            <w:tcW w:w="1200" w:type="dxa"/>
            <w:tcBorders>
              <w:top w:val="nil"/>
              <w:left w:val="nil"/>
              <w:bottom w:val="nil"/>
              <w:right w:val="double" w:sz="4" w:space="0" w:color="000000" w:themeColor="text1"/>
            </w:tcBorders>
            <w:vAlign w:val="center"/>
          </w:tcPr>
          <w:p w14:paraId="5A4F19EB" w14:textId="2530C8BA" w:rsidR="00543399" w:rsidRPr="00F02BA8" w:rsidRDefault="00543399" w:rsidP="00543399">
            <w:pPr>
              <w:keepNext/>
              <w:keepLines/>
              <w:tabs>
                <w:tab w:val="decimal" w:pos="637"/>
              </w:tabs>
              <w:rPr>
                <w:rFonts w:ascii="Arial" w:hAnsi="Arial" w:cs="Arial"/>
                <w:b/>
                <w:bCs/>
                <w:sz w:val="18"/>
                <w:szCs w:val="18"/>
              </w:rPr>
            </w:pPr>
            <w:r w:rsidRPr="00F02BA8">
              <w:rPr>
                <w:rFonts w:ascii="Arial" w:hAnsi="Arial" w:cs="Arial"/>
                <w:b/>
                <w:bCs/>
                <w:sz w:val="18"/>
                <w:szCs w:val="18"/>
              </w:rPr>
              <w:t>505</w:t>
            </w:r>
            <w:r>
              <w:rPr>
                <w:rFonts w:ascii="Arial" w:hAnsi="Arial" w:cs="Arial"/>
                <w:b/>
                <w:bCs/>
                <w:sz w:val="18"/>
                <w:szCs w:val="18"/>
              </w:rPr>
              <w:t xml:space="preserve"> </w:t>
            </w:r>
            <w:r w:rsidRPr="00F02BA8">
              <w:rPr>
                <w:rFonts w:ascii="Arial" w:hAnsi="Arial" w:cs="Arial"/>
                <w:b/>
                <w:bCs/>
                <w:sz w:val="18"/>
                <w:szCs w:val="18"/>
              </w:rPr>
              <w:t>703</w:t>
            </w:r>
          </w:p>
        </w:tc>
        <w:tc>
          <w:tcPr>
            <w:tcW w:w="1201" w:type="dxa"/>
            <w:tcBorders>
              <w:top w:val="nil"/>
              <w:left w:val="nil"/>
              <w:bottom w:val="nil"/>
              <w:right w:val="double" w:sz="4" w:space="0" w:color="000000" w:themeColor="text1"/>
            </w:tcBorders>
            <w:vAlign w:val="center"/>
          </w:tcPr>
          <w:p w14:paraId="1A3DCFF8" w14:textId="78D62D8B" w:rsidR="00543399" w:rsidRPr="00AE5270" w:rsidRDefault="00543399" w:rsidP="00543399">
            <w:pPr>
              <w:keepNext/>
              <w:keepLines/>
              <w:ind w:right="170"/>
              <w:jc w:val="right"/>
              <w:rPr>
                <w:rFonts w:ascii="Arial" w:hAnsi="Arial" w:cs="Arial"/>
                <w:b/>
                <w:bCs/>
                <w:sz w:val="18"/>
                <w:szCs w:val="18"/>
              </w:rPr>
            </w:pPr>
            <w:r>
              <w:rPr>
                <w:rFonts w:ascii="Arial" w:hAnsi="Arial" w:cs="Arial"/>
                <w:b/>
                <w:bCs/>
                <w:sz w:val="18"/>
                <w:szCs w:val="18"/>
              </w:rPr>
              <w:t>604 615</w:t>
            </w:r>
          </w:p>
        </w:tc>
        <w:tc>
          <w:tcPr>
            <w:tcW w:w="1201" w:type="dxa"/>
            <w:tcBorders>
              <w:top w:val="nil"/>
              <w:left w:val="nil"/>
              <w:bottom w:val="nil"/>
              <w:right w:val="nil"/>
            </w:tcBorders>
            <w:vAlign w:val="center"/>
          </w:tcPr>
          <w:p w14:paraId="6041D125" w14:textId="34043037" w:rsidR="00543399" w:rsidRDefault="00543399" w:rsidP="00543399">
            <w:pPr>
              <w:keepNext/>
              <w:keepLines/>
              <w:ind w:right="277"/>
              <w:jc w:val="right"/>
              <w:rPr>
                <w:rFonts w:ascii="Arial" w:hAnsi="Arial" w:cs="Arial"/>
                <w:b/>
                <w:bCs/>
                <w:sz w:val="18"/>
                <w:szCs w:val="18"/>
              </w:rPr>
            </w:pPr>
            <w:r>
              <w:rPr>
                <w:rFonts w:ascii="Arial" w:hAnsi="Arial" w:cs="Arial"/>
                <w:b/>
                <w:bCs/>
                <w:sz w:val="18"/>
                <w:szCs w:val="18"/>
              </w:rPr>
              <w:t>52 935</w:t>
            </w:r>
          </w:p>
        </w:tc>
        <w:tc>
          <w:tcPr>
            <w:tcW w:w="1201" w:type="dxa"/>
            <w:tcBorders>
              <w:top w:val="nil"/>
              <w:left w:val="nil"/>
              <w:bottom w:val="nil"/>
              <w:right w:val="nil"/>
            </w:tcBorders>
            <w:vAlign w:val="center"/>
          </w:tcPr>
          <w:p w14:paraId="03D7BD2B" w14:textId="516F5B2B" w:rsidR="00543399" w:rsidRDefault="00543399" w:rsidP="00543399">
            <w:pPr>
              <w:keepNext/>
              <w:keepLines/>
              <w:ind w:right="277"/>
              <w:jc w:val="right"/>
              <w:rPr>
                <w:rFonts w:ascii="Arial" w:hAnsi="Arial" w:cs="Arial"/>
                <w:b/>
                <w:bCs/>
                <w:sz w:val="18"/>
                <w:szCs w:val="18"/>
              </w:rPr>
            </w:pPr>
            <w:r>
              <w:rPr>
                <w:rFonts w:ascii="Arial" w:hAnsi="Arial" w:cs="Arial"/>
                <w:b/>
                <w:bCs/>
                <w:sz w:val="18"/>
                <w:szCs w:val="18"/>
              </w:rPr>
              <w:t>51 762</w:t>
            </w:r>
          </w:p>
        </w:tc>
        <w:tc>
          <w:tcPr>
            <w:tcW w:w="1201" w:type="dxa"/>
            <w:tcBorders>
              <w:top w:val="nil"/>
              <w:left w:val="nil"/>
              <w:bottom w:val="nil"/>
              <w:right w:val="nil"/>
            </w:tcBorders>
            <w:vAlign w:val="center"/>
          </w:tcPr>
          <w:p w14:paraId="37AEF558" w14:textId="66FA496E" w:rsidR="00543399" w:rsidRDefault="0079325E" w:rsidP="00543399">
            <w:pPr>
              <w:keepNext/>
              <w:keepLines/>
              <w:ind w:right="277"/>
              <w:jc w:val="right"/>
              <w:rPr>
                <w:rFonts w:ascii="Arial" w:hAnsi="Arial" w:cs="Arial"/>
                <w:b/>
                <w:bCs/>
                <w:sz w:val="18"/>
                <w:szCs w:val="18"/>
              </w:rPr>
            </w:pPr>
            <w:r>
              <w:rPr>
                <w:rFonts w:ascii="Arial" w:hAnsi="Arial" w:cs="Arial"/>
                <w:b/>
                <w:bCs/>
                <w:sz w:val="18"/>
                <w:szCs w:val="18"/>
              </w:rPr>
              <w:t>48 432</w:t>
            </w:r>
          </w:p>
        </w:tc>
        <w:tc>
          <w:tcPr>
            <w:tcW w:w="1201" w:type="dxa"/>
            <w:tcBorders>
              <w:top w:val="nil"/>
              <w:left w:val="nil"/>
              <w:bottom w:val="nil"/>
              <w:right w:val="double" w:sz="4" w:space="0" w:color="000000" w:themeColor="text1"/>
            </w:tcBorders>
            <w:vAlign w:val="center"/>
          </w:tcPr>
          <w:p w14:paraId="13DCBB4F" w14:textId="5C82A2FF" w:rsidR="00543399" w:rsidRDefault="0079325E" w:rsidP="00543399">
            <w:pPr>
              <w:keepNext/>
              <w:keepLines/>
              <w:ind w:right="277"/>
              <w:jc w:val="right"/>
              <w:rPr>
                <w:rFonts w:ascii="Arial" w:hAnsi="Arial" w:cs="Arial"/>
                <w:b/>
                <w:bCs/>
                <w:sz w:val="18"/>
                <w:szCs w:val="18"/>
              </w:rPr>
            </w:pPr>
            <w:r>
              <w:rPr>
                <w:rFonts w:ascii="Arial" w:hAnsi="Arial" w:cs="Arial"/>
                <w:b/>
                <w:bCs/>
                <w:sz w:val="18"/>
                <w:szCs w:val="18"/>
              </w:rPr>
              <w:t>346 744</w:t>
            </w:r>
          </w:p>
        </w:tc>
      </w:tr>
      <w:tr w:rsidR="00543399" w:rsidRPr="00843651" w14:paraId="7FEC5E2C" w14:textId="160A7668" w:rsidTr="00F148DF">
        <w:trPr>
          <w:trHeight w:val="255"/>
          <w:jc w:val="center"/>
        </w:trPr>
        <w:tc>
          <w:tcPr>
            <w:tcW w:w="2737" w:type="dxa"/>
            <w:tcBorders>
              <w:top w:val="nil"/>
              <w:left w:val="double" w:sz="4" w:space="0" w:color="000000" w:themeColor="text1"/>
              <w:bottom w:val="nil"/>
              <w:right w:val="double" w:sz="4" w:space="0" w:color="000000" w:themeColor="text1"/>
            </w:tcBorders>
            <w:vAlign w:val="center"/>
          </w:tcPr>
          <w:p w14:paraId="5970039D" w14:textId="77777777" w:rsidR="00543399" w:rsidRPr="00843651" w:rsidRDefault="00543399" w:rsidP="00543399">
            <w:pPr>
              <w:keepNext/>
              <w:keepLines/>
              <w:ind w:left="393"/>
              <w:jc w:val="both"/>
              <w:rPr>
                <w:rFonts w:ascii="Arial" w:hAnsi="Arial" w:cs="Arial"/>
                <w:sz w:val="18"/>
                <w:szCs w:val="18"/>
              </w:rPr>
            </w:pPr>
            <w:r w:rsidRPr="00843651">
              <w:rPr>
                <w:rFonts w:ascii="Arial" w:hAnsi="Arial" w:cs="Arial"/>
                <w:sz w:val="18"/>
                <w:szCs w:val="18"/>
              </w:rPr>
              <w:t>Petroleras</w:t>
            </w:r>
          </w:p>
        </w:tc>
        <w:tc>
          <w:tcPr>
            <w:tcW w:w="1200" w:type="dxa"/>
            <w:tcBorders>
              <w:top w:val="nil"/>
              <w:left w:val="nil"/>
              <w:bottom w:val="nil"/>
              <w:right w:val="double" w:sz="4" w:space="0" w:color="000000" w:themeColor="text1"/>
            </w:tcBorders>
            <w:vAlign w:val="center"/>
          </w:tcPr>
          <w:p w14:paraId="1B5C558A" w14:textId="5B915784" w:rsidR="00543399" w:rsidRPr="00F02BA8" w:rsidRDefault="00543399" w:rsidP="00543399">
            <w:pPr>
              <w:keepNext/>
              <w:keepLines/>
              <w:tabs>
                <w:tab w:val="decimal" w:pos="637"/>
              </w:tabs>
              <w:rPr>
                <w:rFonts w:ascii="Arial" w:hAnsi="Arial" w:cs="Arial"/>
                <w:bCs/>
                <w:sz w:val="18"/>
                <w:szCs w:val="18"/>
              </w:rPr>
            </w:pPr>
            <w:r w:rsidRPr="00F02BA8">
              <w:rPr>
                <w:rFonts w:ascii="Arial" w:hAnsi="Arial" w:cs="Arial"/>
                <w:sz w:val="18"/>
                <w:szCs w:val="18"/>
              </w:rPr>
              <w:t>53</w:t>
            </w:r>
            <w:r>
              <w:rPr>
                <w:rFonts w:ascii="Arial" w:hAnsi="Arial" w:cs="Arial"/>
                <w:sz w:val="18"/>
                <w:szCs w:val="18"/>
              </w:rPr>
              <w:t xml:space="preserve"> </w:t>
            </w:r>
            <w:r w:rsidRPr="00F02BA8">
              <w:rPr>
                <w:rFonts w:ascii="Arial" w:hAnsi="Arial" w:cs="Arial"/>
                <w:sz w:val="18"/>
                <w:szCs w:val="18"/>
              </w:rPr>
              <w:t>851</w:t>
            </w:r>
          </w:p>
        </w:tc>
        <w:tc>
          <w:tcPr>
            <w:tcW w:w="1201" w:type="dxa"/>
            <w:tcBorders>
              <w:top w:val="nil"/>
              <w:left w:val="nil"/>
              <w:bottom w:val="nil"/>
              <w:right w:val="double" w:sz="4" w:space="0" w:color="000000" w:themeColor="text1"/>
            </w:tcBorders>
            <w:vAlign w:val="center"/>
          </w:tcPr>
          <w:p w14:paraId="10BBDEF7" w14:textId="5174E9A8" w:rsidR="00543399" w:rsidRPr="00AE5270" w:rsidRDefault="00543399" w:rsidP="00543399">
            <w:pPr>
              <w:keepNext/>
              <w:keepLines/>
              <w:ind w:right="170"/>
              <w:jc w:val="right"/>
              <w:rPr>
                <w:rFonts w:ascii="Arial" w:hAnsi="Arial" w:cs="Arial"/>
                <w:sz w:val="18"/>
                <w:szCs w:val="18"/>
              </w:rPr>
            </w:pPr>
            <w:r>
              <w:rPr>
                <w:rFonts w:ascii="Arial" w:hAnsi="Arial" w:cs="Arial"/>
                <w:sz w:val="18"/>
                <w:szCs w:val="18"/>
              </w:rPr>
              <w:t>74 114</w:t>
            </w:r>
          </w:p>
        </w:tc>
        <w:tc>
          <w:tcPr>
            <w:tcW w:w="1201" w:type="dxa"/>
            <w:tcBorders>
              <w:top w:val="nil"/>
              <w:left w:val="nil"/>
              <w:bottom w:val="nil"/>
              <w:right w:val="nil"/>
            </w:tcBorders>
            <w:vAlign w:val="center"/>
          </w:tcPr>
          <w:p w14:paraId="4A13F3E8" w14:textId="5AB4E8F8" w:rsidR="00543399" w:rsidRDefault="00543399" w:rsidP="00543399">
            <w:pPr>
              <w:keepNext/>
              <w:keepLines/>
              <w:ind w:right="277"/>
              <w:jc w:val="right"/>
              <w:rPr>
                <w:rFonts w:ascii="Arial" w:hAnsi="Arial" w:cs="Arial"/>
                <w:sz w:val="18"/>
                <w:szCs w:val="18"/>
              </w:rPr>
            </w:pPr>
            <w:r>
              <w:rPr>
                <w:rFonts w:ascii="Arial" w:hAnsi="Arial" w:cs="Arial"/>
                <w:sz w:val="18"/>
                <w:szCs w:val="18"/>
              </w:rPr>
              <w:t>4 190</w:t>
            </w:r>
          </w:p>
        </w:tc>
        <w:tc>
          <w:tcPr>
            <w:tcW w:w="1201" w:type="dxa"/>
            <w:tcBorders>
              <w:top w:val="nil"/>
              <w:left w:val="nil"/>
              <w:bottom w:val="nil"/>
              <w:right w:val="nil"/>
            </w:tcBorders>
            <w:vAlign w:val="center"/>
          </w:tcPr>
          <w:p w14:paraId="173B7D93" w14:textId="48595EE9" w:rsidR="00543399" w:rsidRDefault="00543399" w:rsidP="00543399">
            <w:pPr>
              <w:keepNext/>
              <w:keepLines/>
              <w:ind w:right="277"/>
              <w:jc w:val="right"/>
              <w:rPr>
                <w:rFonts w:ascii="Arial" w:hAnsi="Arial" w:cs="Arial"/>
                <w:sz w:val="18"/>
                <w:szCs w:val="18"/>
              </w:rPr>
            </w:pPr>
            <w:r>
              <w:rPr>
                <w:rFonts w:ascii="Arial" w:hAnsi="Arial" w:cs="Arial"/>
                <w:sz w:val="18"/>
                <w:szCs w:val="18"/>
              </w:rPr>
              <w:t>3 829</w:t>
            </w:r>
          </w:p>
        </w:tc>
        <w:tc>
          <w:tcPr>
            <w:tcW w:w="1201" w:type="dxa"/>
            <w:tcBorders>
              <w:top w:val="nil"/>
              <w:left w:val="nil"/>
              <w:bottom w:val="nil"/>
              <w:right w:val="nil"/>
            </w:tcBorders>
            <w:vAlign w:val="center"/>
          </w:tcPr>
          <w:p w14:paraId="7FA3B3F4" w14:textId="2900DFD6" w:rsidR="00543399" w:rsidRDefault="0079325E" w:rsidP="00543399">
            <w:pPr>
              <w:keepNext/>
              <w:keepLines/>
              <w:ind w:right="277"/>
              <w:jc w:val="right"/>
              <w:rPr>
                <w:rFonts w:ascii="Arial" w:hAnsi="Arial" w:cs="Arial"/>
                <w:sz w:val="18"/>
                <w:szCs w:val="18"/>
              </w:rPr>
            </w:pPr>
            <w:r>
              <w:rPr>
                <w:rFonts w:ascii="Arial" w:hAnsi="Arial" w:cs="Arial"/>
                <w:sz w:val="18"/>
                <w:szCs w:val="18"/>
              </w:rPr>
              <w:t>4 028</w:t>
            </w:r>
          </w:p>
        </w:tc>
        <w:tc>
          <w:tcPr>
            <w:tcW w:w="1201" w:type="dxa"/>
            <w:tcBorders>
              <w:top w:val="nil"/>
              <w:left w:val="nil"/>
              <w:bottom w:val="nil"/>
              <w:right w:val="double" w:sz="4" w:space="0" w:color="000000" w:themeColor="text1"/>
            </w:tcBorders>
            <w:vAlign w:val="center"/>
          </w:tcPr>
          <w:p w14:paraId="2A6D29CE" w14:textId="373E9FB3" w:rsidR="00543399" w:rsidRDefault="0079325E" w:rsidP="00543399">
            <w:pPr>
              <w:keepNext/>
              <w:keepLines/>
              <w:ind w:right="277"/>
              <w:jc w:val="right"/>
              <w:rPr>
                <w:rFonts w:ascii="Arial" w:hAnsi="Arial" w:cs="Arial"/>
                <w:sz w:val="18"/>
                <w:szCs w:val="18"/>
              </w:rPr>
            </w:pPr>
            <w:r>
              <w:rPr>
                <w:rFonts w:ascii="Arial" w:hAnsi="Arial" w:cs="Arial"/>
                <w:sz w:val="18"/>
                <w:szCs w:val="18"/>
              </w:rPr>
              <w:t>32 144</w:t>
            </w:r>
          </w:p>
        </w:tc>
      </w:tr>
      <w:tr w:rsidR="00543399" w:rsidRPr="00843651" w14:paraId="3FDD1FE5" w14:textId="38E99C41" w:rsidTr="00F148DF">
        <w:trPr>
          <w:trHeight w:val="255"/>
          <w:jc w:val="center"/>
        </w:trPr>
        <w:tc>
          <w:tcPr>
            <w:tcW w:w="2737" w:type="dxa"/>
            <w:tcBorders>
              <w:top w:val="nil"/>
              <w:left w:val="double" w:sz="4" w:space="0" w:color="000000" w:themeColor="text1"/>
              <w:bottom w:val="nil"/>
              <w:right w:val="double" w:sz="4" w:space="0" w:color="000000" w:themeColor="text1"/>
            </w:tcBorders>
            <w:vAlign w:val="center"/>
          </w:tcPr>
          <w:p w14:paraId="29E5B054" w14:textId="57678EB5" w:rsidR="00543399" w:rsidRPr="00843651" w:rsidRDefault="00543399" w:rsidP="00543399">
            <w:pPr>
              <w:keepNext/>
              <w:keepLines/>
              <w:ind w:left="393"/>
              <w:jc w:val="both"/>
              <w:rPr>
                <w:rFonts w:ascii="Arial" w:hAnsi="Arial" w:cs="Arial"/>
                <w:sz w:val="18"/>
                <w:szCs w:val="18"/>
              </w:rPr>
            </w:pPr>
            <w:r w:rsidRPr="00843651">
              <w:rPr>
                <w:rFonts w:ascii="Arial" w:hAnsi="Arial" w:cs="Arial"/>
                <w:sz w:val="18"/>
                <w:szCs w:val="18"/>
              </w:rPr>
              <w:t xml:space="preserve">No </w:t>
            </w:r>
            <w:r>
              <w:rPr>
                <w:rFonts w:ascii="Arial" w:hAnsi="Arial" w:cs="Arial"/>
                <w:sz w:val="18"/>
                <w:szCs w:val="18"/>
              </w:rPr>
              <w:t>p</w:t>
            </w:r>
            <w:r w:rsidRPr="00843651">
              <w:rPr>
                <w:rFonts w:ascii="Arial" w:hAnsi="Arial" w:cs="Arial"/>
                <w:sz w:val="18"/>
                <w:szCs w:val="18"/>
              </w:rPr>
              <w:t>etroleras</w:t>
            </w:r>
          </w:p>
        </w:tc>
        <w:tc>
          <w:tcPr>
            <w:tcW w:w="1200" w:type="dxa"/>
            <w:tcBorders>
              <w:top w:val="nil"/>
              <w:left w:val="nil"/>
              <w:bottom w:val="nil"/>
              <w:right w:val="double" w:sz="4" w:space="0" w:color="000000" w:themeColor="text1"/>
            </w:tcBorders>
            <w:vAlign w:val="center"/>
          </w:tcPr>
          <w:p w14:paraId="6B435023" w14:textId="71D75BE2" w:rsidR="00543399" w:rsidRPr="00F02BA8" w:rsidRDefault="00543399" w:rsidP="00543399">
            <w:pPr>
              <w:keepNext/>
              <w:keepLines/>
              <w:tabs>
                <w:tab w:val="decimal" w:pos="637"/>
              </w:tabs>
              <w:rPr>
                <w:rFonts w:ascii="Arial" w:hAnsi="Arial" w:cs="Arial"/>
                <w:bCs/>
                <w:sz w:val="18"/>
                <w:szCs w:val="18"/>
              </w:rPr>
            </w:pPr>
            <w:r w:rsidRPr="00F02BA8">
              <w:rPr>
                <w:rFonts w:ascii="Arial" w:hAnsi="Arial" w:cs="Arial"/>
                <w:sz w:val="18"/>
                <w:szCs w:val="18"/>
              </w:rPr>
              <w:t>451</w:t>
            </w:r>
            <w:r>
              <w:rPr>
                <w:rFonts w:ascii="Arial" w:hAnsi="Arial" w:cs="Arial"/>
                <w:sz w:val="18"/>
                <w:szCs w:val="18"/>
              </w:rPr>
              <w:t xml:space="preserve"> </w:t>
            </w:r>
            <w:r w:rsidRPr="00F02BA8">
              <w:rPr>
                <w:rFonts w:ascii="Arial" w:hAnsi="Arial" w:cs="Arial"/>
                <w:sz w:val="18"/>
                <w:szCs w:val="18"/>
              </w:rPr>
              <w:t>852</w:t>
            </w:r>
          </w:p>
        </w:tc>
        <w:tc>
          <w:tcPr>
            <w:tcW w:w="1201" w:type="dxa"/>
            <w:tcBorders>
              <w:top w:val="nil"/>
              <w:left w:val="nil"/>
              <w:bottom w:val="nil"/>
              <w:right w:val="double" w:sz="4" w:space="0" w:color="000000" w:themeColor="text1"/>
            </w:tcBorders>
            <w:vAlign w:val="center"/>
          </w:tcPr>
          <w:p w14:paraId="54FAB455" w14:textId="78F5B2AA" w:rsidR="00543399" w:rsidRPr="00AE5270" w:rsidRDefault="00543399" w:rsidP="00543399">
            <w:pPr>
              <w:keepNext/>
              <w:keepLines/>
              <w:ind w:right="170"/>
              <w:jc w:val="right"/>
              <w:rPr>
                <w:rFonts w:ascii="Arial" w:hAnsi="Arial" w:cs="Arial"/>
                <w:sz w:val="18"/>
                <w:szCs w:val="18"/>
              </w:rPr>
            </w:pPr>
            <w:r>
              <w:rPr>
                <w:rFonts w:ascii="Arial" w:hAnsi="Arial" w:cs="Arial"/>
                <w:sz w:val="18"/>
                <w:szCs w:val="18"/>
              </w:rPr>
              <w:t>530 500</w:t>
            </w:r>
          </w:p>
        </w:tc>
        <w:tc>
          <w:tcPr>
            <w:tcW w:w="1201" w:type="dxa"/>
            <w:tcBorders>
              <w:top w:val="nil"/>
              <w:left w:val="nil"/>
              <w:bottom w:val="nil"/>
              <w:right w:val="nil"/>
            </w:tcBorders>
            <w:vAlign w:val="center"/>
          </w:tcPr>
          <w:p w14:paraId="40E50546" w14:textId="7C36B352" w:rsidR="00543399" w:rsidRDefault="00543399" w:rsidP="00543399">
            <w:pPr>
              <w:keepNext/>
              <w:keepLines/>
              <w:ind w:right="277"/>
              <w:jc w:val="right"/>
              <w:rPr>
                <w:rFonts w:ascii="Arial" w:hAnsi="Arial" w:cs="Arial"/>
                <w:sz w:val="18"/>
                <w:szCs w:val="18"/>
              </w:rPr>
            </w:pPr>
            <w:r>
              <w:rPr>
                <w:rFonts w:ascii="Arial" w:hAnsi="Arial" w:cs="Arial"/>
                <w:sz w:val="18"/>
                <w:szCs w:val="18"/>
              </w:rPr>
              <w:t>48 744</w:t>
            </w:r>
          </w:p>
        </w:tc>
        <w:tc>
          <w:tcPr>
            <w:tcW w:w="1201" w:type="dxa"/>
            <w:tcBorders>
              <w:top w:val="nil"/>
              <w:left w:val="nil"/>
              <w:bottom w:val="nil"/>
              <w:right w:val="nil"/>
            </w:tcBorders>
            <w:vAlign w:val="center"/>
          </w:tcPr>
          <w:p w14:paraId="0C7A087D" w14:textId="2926FF79" w:rsidR="00543399" w:rsidRDefault="00543399" w:rsidP="00543399">
            <w:pPr>
              <w:keepNext/>
              <w:keepLines/>
              <w:ind w:right="277"/>
              <w:jc w:val="right"/>
              <w:rPr>
                <w:rFonts w:ascii="Arial" w:hAnsi="Arial" w:cs="Arial"/>
                <w:sz w:val="18"/>
                <w:szCs w:val="18"/>
              </w:rPr>
            </w:pPr>
            <w:r>
              <w:rPr>
                <w:rFonts w:ascii="Arial" w:hAnsi="Arial" w:cs="Arial"/>
                <w:sz w:val="18"/>
                <w:szCs w:val="18"/>
              </w:rPr>
              <w:t>47 933</w:t>
            </w:r>
          </w:p>
        </w:tc>
        <w:tc>
          <w:tcPr>
            <w:tcW w:w="1201" w:type="dxa"/>
            <w:tcBorders>
              <w:top w:val="nil"/>
              <w:left w:val="nil"/>
              <w:bottom w:val="nil"/>
              <w:right w:val="nil"/>
            </w:tcBorders>
            <w:vAlign w:val="center"/>
          </w:tcPr>
          <w:p w14:paraId="76B3116C" w14:textId="1B48E428" w:rsidR="00543399" w:rsidRDefault="0079325E" w:rsidP="00543399">
            <w:pPr>
              <w:keepNext/>
              <w:keepLines/>
              <w:ind w:right="277"/>
              <w:jc w:val="right"/>
              <w:rPr>
                <w:rFonts w:ascii="Arial" w:hAnsi="Arial" w:cs="Arial"/>
                <w:sz w:val="18"/>
                <w:szCs w:val="18"/>
              </w:rPr>
            </w:pPr>
            <w:r>
              <w:rPr>
                <w:rFonts w:ascii="Arial" w:hAnsi="Arial" w:cs="Arial"/>
                <w:sz w:val="18"/>
                <w:szCs w:val="18"/>
              </w:rPr>
              <w:t>44 404</w:t>
            </w:r>
          </w:p>
        </w:tc>
        <w:tc>
          <w:tcPr>
            <w:tcW w:w="1201" w:type="dxa"/>
            <w:tcBorders>
              <w:top w:val="nil"/>
              <w:left w:val="nil"/>
              <w:bottom w:val="nil"/>
              <w:right w:val="double" w:sz="4" w:space="0" w:color="000000" w:themeColor="text1"/>
            </w:tcBorders>
            <w:vAlign w:val="center"/>
          </w:tcPr>
          <w:p w14:paraId="751C29F9" w14:textId="22B8BFB9" w:rsidR="00543399" w:rsidRDefault="0079325E" w:rsidP="00543399">
            <w:pPr>
              <w:keepNext/>
              <w:keepLines/>
              <w:ind w:right="277"/>
              <w:jc w:val="right"/>
              <w:rPr>
                <w:rFonts w:ascii="Arial" w:hAnsi="Arial" w:cs="Arial"/>
                <w:sz w:val="18"/>
                <w:szCs w:val="18"/>
              </w:rPr>
            </w:pPr>
            <w:r>
              <w:rPr>
                <w:rFonts w:ascii="Arial" w:hAnsi="Arial" w:cs="Arial"/>
                <w:sz w:val="18"/>
                <w:szCs w:val="18"/>
              </w:rPr>
              <w:t>314 600</w:t>
            </w:r>
          </w:p>
        </w:tc>
      </w:tr>
      <w:tr w:rsidR="00543399" w:rsidRPr="00843651" w14:paraId="79A375E0" w14:textId="548336C8" w:rsidTr="00F148DF">
        <w:trPr>
          <w:trHeight w:val="255"/>
          <w:jc w:val="center"/>
        </w:trPr>
        <w:tc>
          <w:tcPr>
            <w:tcW w:w="2737" w:type="dxa"/>
            <w:tcBorders>
              <w:top w:val="nil"/>
              <w:left w:val="double" w:sz="4" w:space="0" w:color="000000" w:themeColor="text1"/>
              <w:bottom w:val="nil"/>
              <w:right w:val="double" w:sz="4" w:space="0" w:color="000000" w:themeColor="text1"/>
            </w:tcBorders>
            <w:vAlign w:val="center"/>
          </w:tcPr>
          <w:p w14:paraId="211D66EA" w14:textId="3AD551C1" w:rsidR="00543399" w:rsidRPr="00843651" w:rsidRDefault="00543399" w:rsidP="00543399">
            <w:pPr>
              <w:keepNext/>
              <w:keepLines/>
              <w:ind w:left="183"/>
              <w:jc w:val="both"/>
              <w:rPr>
                <w:rFonts w:ascii="Arial" w:hAnsi="Arial" w:cs="Arial"/>
                <w:b/>
                <w:sz w:val="18"/>
                <w:szCs w:val="18"/>
              </w:rPr>
            </w:pPr>
            <w:r w:rsidRPr="00843651">
              <w:rPr>
                <w:rFonts w:ascii="Arial" w:hAnsi="Arial" w:cs="Arial"/>
                <w:b/>
                <w:sz w:val="18"/>
                <w:szCs w:val="18"/>
              </w:rPr>
              <w:t xml:space="preserve">Balanza </w:t>
            </w:r>
            <w:r>
              <w:rPr>
                <w:rFonts w:ascii="Arial" w:hAnsi="Arial" w:cs="Arial"/>
                <w:b/>
                <w:sz w:val="18"/>
                <w:szCs w:val="18"/>
              </w:rPr>
              <w:t>c</w:t>
            </w:r>
            <w:r w:rsidRPr="00843651">
              <w:rPr>
                <w:rFonts w:ascii="Arial" w:hAnsi="Arial" w:cs="Arial"/>
                <w:b/>
                <w:sz w:val="18"/>
                <w:szCs w:val="18"/>
              </w:rPr>
              <w:t xml:space="preserve">omercial </w:t>
            </w:r>
            <w:r>
              <w:rPr>
                <w:rFonts w:ascii="Arial" w:hAnsi="Arial" w:cs="Arial"/>
                <w:b/>
                <w:sz w:val="18"/>
                <w:szCs w:val="18"/>
              </w:rPr>
              <w:t>t</w:t>
            </w:r>
            <w:r w:rsidRPr="00843651">
              <w:rPr>
                <w:rFonts w:ascii="Arial" w:hAnsi="Arial" w:cs="Arial"/>
                <w:b/>
                <w:sz w:val="18"/>
                <w:szCs w:val="18"/>
              </w:rPr>
              <w:t>otal</w:t>
            </w:r>
          </w:p>
        </w:tc>
        <w:tc>
          <w:tcPr>
            <w:tcW w:w="1200" w:type="dxa"/>
            <w:tcBorders>
              <w:top w:val="nil"/>
              <w:left w:val="nil"/>
              <w:bottom w:val="nil"/>
              <w:right w:val="double" w:sz="4" w:space="0" w:color="000000" w:themeColor="text1"/>
            </w:tcBorders>
            <w:vAlign w:val="center"/>
          </w:tcPr>
          <w:p w14:paraId="17F9A660" w14:textId="6CEFC19B" w:rsidR="00543399" w:rsidRPr="00F02BA8" w:rsidRDefault="00543399" w:rsidP="00543399">
            <w:pPr>
              <w:keepNext/>
              <w:keepLines/>
              <w:tabs>
                <w:tab w:val="decimal" w:pos="637"/>
              </w:tabs>
              <w:rPr>
                <w:rFonts w:ascii="Arial" w:hAnsi="Arial" w:cs="Arial"/>
                <w:b/>
                <w:bCs/>
                <w:sz w:val="18"/>
                <w:szCs w:val="18"/>
              </w:rPr>
            </w:pPr>
            <w:r w:rsidRPr="00F02BA8">
              <w:rPr>
                <w:rFonts w:ascii="Arial" w:hAnsi="Arial" w:cs="Arial"/>
                <w:b/>
                <w:bCs/>
                <w:sz w:val="18"/>
                <w:szCs w:val="18"/>
              </w:rPr>
              <w:t>-10</w:t>
            </w:r>
            <w:r>
              <w:rPr>
                <w:rFonts w:ascii="Arial" w:hAnsi="Arial" w:cs="Arial"/>
                <w:b/>
                <w:bCs/>
                <w:sz w:val="18"/>
                <w:szCs w:val="18"/>
              </w:rPr>
              <w:t xml:space="preserve"> 754</w:t>
            </w:r>
          </w:p>
        </w:tc>
        <w:tc>
          <w:tcPr>
            <w:tcW w:w="1201" w:type="dxa"/>
            <w:tcBorders>
              <w:top w:val="nil"/>
              <w:left w:val="nil"/>
              <w:bottom w:val="nil"/>
              <w:right w:val="double" w:sz="4" w:space="0" w:color="000000" w:themeColor="text1"/>
            </w:tcBorders>
            <w:vAlign w:val="center"/>
          </w:tcPr>
          <w:p w14:paraId="5B481874" w14:textId="4F02EBA4" w:rsidR="00543399" w:rsidRPr="00AE5270" w:rsidRDefault="00543399" w:rsidP="00543399">
            <w:pPr>
              <w:keepNext/>
              <w:keepLines/>
              <w:ind w:right="170"/>
              <w:jc w:val="right"/>
              <w:rPr>
                <w:rFonts w:ascii="Arial" w:hAnsi="Arial" w:cs="Arial"/>
                <w:b/>
                <w:bCs/>
                <w:sz w:val="18"/>
                <w:szCs w:val="18"/>
              </w:rPr>
            </w:pPr>
            <w:r w:rsidRPr="00AE5270">
              <w:rPr>
                <w:rFonts w:ascii="Arial" w:hAnsi="Arial" w:cs="Arial"/>
                <w:b/>
                <w:bCs/>
                <w:sz w:val="18"/>
                <w:szCs w:val="18"/>
              </w:rPr>
              <w:t>-</w:t>
            </w:r>
            <w:r>
              <w:rPr>
                <w:rFonts w:ascii="Arial" w:hAnsi="Arial" w:cs="Arial"/>
                <w:b/>
                <w:bCs/>
                <w:sz w:val="18"/>
                <w:szCs w:val="18"/>
              </w:rPr>
              <w:t>26 879</w:t>
            </w:r>
          </w:p>
        </w:tc>
        <w:tc>
          <w:tcPr>
            <w:tcW w:w="1201" w:type="dxa"/>
            <w:tcBorders>
              <w:top w:val="nil"/>
              <w:left w:val="nil"/>
              <w:bottom w:val="nil"/>
              <w:right w:val="nil"/>
            </w:tcBorders>
            <w:vAlign w:val="center"/>
          </w:tcPr>
          <w:p w14:paraId="2E28A34A" w14:textId="65C7155D" w:rsidR="00543399" w:rsidRPr="00AE5270" w:rsidRDefault="00543399" w:rsidP="00543399">
            <w:pPr>
              <w:keepNext/>
              <w:keepLines/>
              <w:ind w:right="277"/>
              <w:jc w:val="right"/>
              <w:rPr>
                <w:rFonts w:ascii="Arial" w:hAnsi="Arial" w:cs="Arial"/>
                <w:b/>
                <w:bCs/>
                <w:sz w:val="18"/>
                <w:szCs w:val="18"/>
              </w:rPr>
            </w:pPr>
            <w:r w:rsidRPr="00686056">
              <w:rPr>
                <w:rFonts w:ascii="Arial" w:hAnsi="Arial" w:cs="Arial"/>
                <w:b/>
                <w:bCs/>
                <w:sz w:val="18"/>
                <w:szCs w:val="18"/>
              </w:rPr>
              <w:t>-</w:t>
            </w:r>
            <w:r>
              <w:rPr>
                <w:rFonts w:ascii="Arial" w:hAnsi="Arial" w:cs="Arial"/>
                <w:b/>
                <w:bCs/>
                <w:sz w:val="18"/>
                <w:szCs w:val="18"/>
              </w:rPr>
              <w:t>74</w:t>
            </w:r>
          </w:p>
        </w:tc>
        <w:tc>
          <w:tcPr>
            <w:tcW w:w="1201" w:type="dxa"/>
            <w:tcBorders>
              <w:top w:val="nil"/>
              <w:left w:val="nil"/>
              <w:bottom w:val="nil"/>
              <w:right w:val="nil"/>
            </w:tcBorders>
            <w:vAlign w:val="center"/>
          </w:tcPr>
          <w:p w14:paraId="7C4FAC81" w14:textId="7D9D2140" w:rsidR="00543399" w:rsidRPr="00AE5270" w:rsidRDefault="00543399" w:rsidP="00543399">
            <w:pPr>
              <w:keepNext/>
              <w:keepLines/>
              <w:ind w:right="277"/>
              <w:jc w:val="right"/>
              <w:rPr>
                <w:rFonts w:ascii="Arial" w:hAnsi="Arial" w:cs="Arial"/>
                <w:b/>
                <w:bCs/>
                <w:sz w:val="18"/>
                <w:szCs w:val="18"/>
              </w:rPr>
            </w:pPr>
            <w:r>
              <w:rPr>
                <w:rFonts w:ascii="Arial" w:hAnsi="Arial" w:cs="Arial"/>
                <w:b/>
                <w:bCs/>
                <w:sz w:val="18"/>
                <w:szCs w:val="18"/>
              </w:rPr>
              <w:t>38</w:t>
            </w:r>
          </w:p>
        </w:tc>
        <w:tc>
          <w:tcPr>
            <w:tcW w:w="1201" w:type="dxa"/>
            <w:tcBorders>
              <w:top w:val="nil"/>
              <w:left w:val="nil"/>
              <w:bottom w:val="nil"/>
              <w:right w:val="nil"/>
            </w:tcBorders>
            <w:vAlign w:val="center"/>
          </w:tcPr>
          <w:p w14:paraId="5AF75320" w14:textId="1DF074A1" w:rsidR="00543399" w:rsidRPr="00AE5270" w:rsidRDefault="00DE3436" w:rsidP="00543399">
            <w:pPr>
              <w:keepNext/>
              <w:keepLines/>
              <w:ind w:right="277"/>
              <w:jc w:val="right"/>
              <w:rPr>
                <w:rFonts w:ascii="Arial" w:hAnsi="Arial" w:cs="Arial"/>
                <w:b/>
                <w:bCs/>
                <w:sz w:val="18"/>
                <w:szCs w:val="18"/>
              </w:rPr>
            </w:pPr>
            <w:r>
              <w:rPr>
                <w:rFonts w:ascii="Arial" w:hAnsi="Arial" w:cs="Arial"/>
                <w:b/>
                <w:bCs/>
                <w:sz w:val="18"/>
                <w:szCs w:val="18"/>
              </w:rPr>
              <w:t>-881</w:t>
            </w:r>
          </w:p>
        </w:tc>
        <w:tc>
          <w:tcPr>
            <w:tcW w:w="1201" w:type="dxa"/>
            <w:tcBorders>
              <w:top w:val="nil"/>
              <w:left w:val="nil"/>
              <w:bottom w:val="nil"/>
              <w:right w:val="double" w:sz="4" w:space="0" w:color="000000" w:themeColor="text1"/>
            </w:tcBorders>
            <w:vAlign w:val="center"/>
          </w:tcPr>
          <w:p w14:paraId="48D98447" w14:textId="0FF802D7" w:rsidR="00543399" w:rsidRPr="00AE5270" w:rsidRDefault="00543399" w:rsidP="00543399">
            <w:pPr>
              <w:keepNext/>
              <w:keepLines/>
              <w:ind w:right="277"/>
              <w:jc w:val="right"/>
              <w:rPr>
                <w:rFonts w:ascii="Arial" w:hAnsi="Arial" w:cs="Arial"/>
                <w:b/>
                <w:bCs/>
                <w:sz w:val="18"/>
                <w:szCs w:val="18"/>
              </w:rPr>
            </w:pPr>
            <w:r w:rsidRPr="00AE5270">
              <w:rPr>
                <w:rFonts w:ascii="Arial" w:hAnsi="Arial" w:cs="Arial"/>
                <w:b/>
                <w:bCs/>
                <w:sz w:val="18"/>
                <w:szCs w:val="18"/>
              </w:rPr>
              <w:t>-</w:t>
            </w:r>
            <w:r w:rsidR="0079325E">
              <w:rPr>
                <w:rFonts w:ascii="Arial" w:hAnsi="Arial" w:cs="Arial"/>
                <w:b/>
                <w:bCs/>
                <w:sz w:val="18"/>
                <w:szCs w:val="18"/>
              </w:rPr>
              <w:t>7 225</w:t>
            </w:r>
          </w:p>
        </w:tc>
      </w:tr>
      <w:tr w:rsidR="00543399" w:rsidRPr="00843651" w14:paraId="4B624851" w14:textId="5BB467AA" w:rsidTr="00F148DF">
        <w:trPr>
          <w:trHeight w:val="255"/>
          <w:jc w:val="center"/>
        </w:trPr>
        <w:tc>
          <w:tcPr>
            <w:tcW w:w="2737" w:type="dxa"/>
            <w:tcBorders>
              <w:top w:val="nil"/>
              <w:left w:val="double" w:sz="4" w:space="0" w:color="000000" w:themeColor="text1"/>
              <w:bottom w:val="nil"/>
              <w:right w:val="double" w:sz="4" w:space="0" w:color="000000" w:themeColor="text1"/>
            </w:tcBorders>
            <w:vAlign w:val="center"/>
          </w:tcPr>
          <w:p w14:paraId="0EEE13EE" w14:textId="77777777" w:rsidR="00543399" w:rsidRPr="00843651" w:rsidRDefault="00543399" w:rsidP="00543399">
            <w:pPr>
              <w:keepNext/>
              <w:keepLines/>
              <w:ind w:left="393"/>
              <w:jc w:val="both"/>
              <w:rPr>
                <w:rFonts w:ascii="Arial" w:hAnsi="Arial" w:cs="Arial"/>
                <w:sz w:val="18"/>
                <w:szCs w:val="18"/>
              </w:rPr>
            </w:pPr>
            <w:r w:rsidRPr="00843651">
              <w:rPr>
                <w:rFonts w:ascii="Arial" w:hAnsi="Arial" w:cs="Arial"/>
                <w:sz w:val="18"/>
                <w:szCs w:val="18"/>
              </w:rPr>
              <w:t>Petrolera</w:t>
            </w:r>
          </w:p>
        </w:tc>
        <w:tc>
          <w:tcPr>
            <w:tcW w:w="1200" w:type="dxa"/>
            <w:tcBorders>
              <w:top w:val="nil"/>
              <w:left w:val="nil"/>
              <w:bottom w:val="nil"/>
              <w:right w:val="double" w:sz="4" w:space="0" w:color="000000" w:themeColor="text1"/>
            </w:tcBorders>
            <w:vAlign w:val="center"/>
          </w:tcPr>
          <w:p w14:paraId="57D163B4" w14:textId="7E968F18" w:rsidR="00543399" w:rsidRPr="00F02BA8" w:rsidRDefault="00543399" w:rsidP="00543399">
            <w:pPr>
              <w:keepNext/>
              <w:keepLines/>
              <w:tabs>
                <w:tab w:val="decimal" w:pos="637"/>
              </w:tabs>
              <w:rPr>
                <w:rFonts w:ascii="Arial" w:hAnsi="Arial" w:cs="Arial"/>
                <w:bCs/>
                <w:sz w:val="18"/>
                <w:szCs w:val="18"/>
              </w:rPr>
            </w:pPr>
            <w:r w:rsidRPr="00F02BA8">
              <w:rPr>
                <w:rFonts w:ascii="Arial" w:hAnsi="Arial" w:cs="Arial"/>
                <w:sz w:val="18"/>
                <w:szCs w:val="18"/>
              </w:rPr>
              <w:t>-24</w:t>
            </w:r>
            <w:r>
              <w:rPr>
                <w:rFonts w:ascii="Arial" w:hAnsi="Arial" w:cs="Arial"/>
                <w:sz w:val="18"/>
                <w:szCs w:val="18"/>
              </w:rPr>
              <w:t xml:space="preserve"> 461</w:t>
            </w:r>
          </w:p>
        </w:tc>
        <w:tc>
          <w:tcPr>
            <w:tcW w:w="1201" w:type="dxa"/>
            <w:tcBorders>
              <w:top w:val="nil"/>
              <w:left w:val="nil"/>
              <w:bottom w:val="nil"/>
              <w:right w:val="double" w:sz="4" w:space="0" w:color="000000" w:themeColor="text1"/>
            </w:tcBorders>
            <w:vAlign w:val="center"/>
          </w:tcPr>
          <w:p w14:paraId="42B52E27" w14:textId="4E288A30" w:rsidR="00543399" w:rsidRPr="00AE5270" w:rsidRDefault="00543399" w:rsidP="00543399">
            <w:pPr>
              <w:keepNext/>
              <w:keepLines/>
              <w:ind w:right="170"/>
              <w:jc w:val="right"/>
              <w:rPr>
                <w:rFonts w:ascii="Arial" w:hAnsi="Arial" w:cs="Arial"/>
                <w:sz w:val="18"/>
                <w:szCs w:val="18"/>
              </w:rPr>
            </w:pPr>
            <w:r w:rsidRPr="00AE5270">
              <w:rPr>
                <w:rFonts w:ascii="Arial" w:hAnsi="Arial" w:cs="Arial"/>
                <w:sz w:val="18"/>
                <w:szCs w:val="18"/>
              </w:rPr>
              <w:t>-</w:t>
            </w:r>
            <w:r>
              <w:rPr>
                <w:rFonts w:ascii="Arial" w:hAnsi="Arial" w:cs="Arial"/>
                <w:sz w:val="18"/>
                <w:szCs w:val="18"/>
              </w:rPr>
              <w:t>35 142</w:t>
            </w:r>
          </w:p>
        </w:tc>
        <w:tc>
          <w:tcPr>
            <w:tcW w:w="1201" w:type="dxa"/>
            <w:tcBorders>
              <w:top w:val="nil"/>
              <w:left w:val="nil"/>
              <w:bottom w:val="nil"/>
              <w:right w:val="nil"/>
            </w:tcBorders>
            <w:vAlign w:val="center"/>
          </w:tcPr>
          <w:p w14:paraId="5AAB8209" w14:textId="0AFDB48C" w:rsidR="00543399" w:rsidRPr="00AE5270" w:rsidRDefault="00543399" w:rsidP="00543399">
            <w:pPr>
              <w:keepNext/>
              <w:keepLines/>
              <w:ind w:right="277"/>
              <w:jc w:val="right"/>
              <w:rPr>
                <w:rFonts w:ascii="Arial" w:hAnsi="Arial" w:cs="Arial"/>
                <w:sz w:val="18"/>
                <w:szCs w:val="18"/>
              </w:rPr>
            </w:pPr>
            <w:r w:rsidRPr="00AE5270">
              <w:rPr>
                <w:rFonts w:ascii="Arial" w:hAnsi="Arial" w:cs="Arial"/>
                <w:sz w:val="18"/>
                <w:szCs w:val="18"/>
              </w:rPr>
              <w:t>-</w:t>
            </w:r>
            <w:r>
              <w:rPr>
                <w:rFonts w:ascii="Arial" w:hAnsi="Arial" w:cs="Arial"/>
                <w:sz w:val="18"/>
                <w:szCs w:val="18"/>
              </w:rPr>
              <w:t>1 461</w:t>
            </w:r>
          </w:p>
        </w:tc>
        <w:tc>
          <w:tcPr>
            <w:tcW w:w="1201" w:type="dxa"/>
            <w:tcBorders>
              <w:top w:val="nil"/>
              <w:left w:val="nil"/>
              <w:bottom w:val="nil"/>
              <w:right w:val="nil"/>
            </w:tcBorders>
            <w:vAlign w:val="center"/>
          </w:tcPr>
          <w:p w14:paraId="00F3C200" w14:textId="31C758D6" w:rsidR="00543399" w:rsidRPr="00AE5270" w:rsidRDefault="00543399" w:rsidP="00543399">
            <w:pPr>
              <w:keepNext/>
              <w:keepLines/>
              <w:ind w:right="277"/>
              <w:jc w:val="right"/>
              <w:rPr>
                <w:rFonts w:ascii="Arial" w:hAnsi="Arial" w:cs="Arial"/>
                <w:sz w:val="18"/>
                <w:szCs w:val="18"/>
              </w:rPr>
            </w:pPr>
            <w:r w:rsidRPr="00AE5270">
              <w:rPr>
                <w:rFonts w:ascii="Arial" w:hAnsi="Arial" w:cs="Arial"/>
                <w:sz w:val="18"/>
                <w:szCs w:val="18"/>
              </w:rPr>
              <w:t>-</w:t>
            </w:r>
            <w:r>
              <w:rPr>
                <w:rFonts w:ascii="Arial" w:hAnsi="Arial" w:cs="Arial"/>
                <w:sz w:val="18"/>
                <w:szCs w:val="18"/>
              </w:rPr>
              <w:t>979</w:t>
            </w:r>
          </w:p>
        </w:tc>
        <w:tc>
          <w:tcPr>
            <w:tcW w:w="1201" w:type="dxa"/>
            <w:tcBorders>
              <w:top w:val="nil"/>
              <w:left w:val="nil"/>
              <w:bottom w:val="nil"/>
              <w:right w:val="nil"/>
            </w:tcBorders>
            <w:vAlign w:val="center"/>
          </w:tcPr>
          <w:p w14:paraId="02DB479E" w14:textId="47C8C572" w:rsidR="00543399" w:rsidRPr="00AE5270" w:rsidRDefault="00543399" w:rsidP="00543399">
            <w:pPr>
              <w:keepNext/>
              <w:keepLines/>
              <w:ind w:right="277"/>
              <w:jc w:val="right"/>
              <w:rPr>
                <w:rFonts w:ascii="Arial" w:hAnsi="Arial" w:cs="Arial"/>
                <w:sz w:val="18"/>
                <w:szCs w:val="18"/>
              </w:rPr>
            </w:pPr>
            <w:r w:rsidRPr="00AE5270">
              <w:rPr>
                <w:rFonts w:ascii="Arial" w:hAnsi="Arial" w:cs="Arial"/>
                <w:sz w:val="18"/>
                <w:szCs w:val="18"/>
              </w:rPr>
              <w:t>-</w:t>
            </w:r>
            <w:r w:rsidR="00E64077">
              <w:rPr>
                <w:rFonts w:ascii="Arial" w:hAnsi="Arial" w:cs="Arial"/>
                <w:sz w:val="18"/>
                <w:szCs w:val="18"/>
              </w:rPr>
              <w:t>1 298</w:t>
            </w:r>
          </w:p>
        </w:tc>
        <w:tc>
          <w:tcPr>
            <w:tcW w:w="1201" w:type="dxa"/>
            <w:tcBorders>
              <w:top w:val="nil"/>
              <w:left w:val="nil"/>
              <w:bottom w:val="nil"/>
              <w:right w:val="double" w:sz="4" w:space="0" w:color="000000" w:themeColor="text1"/>
            </w:tcBorders>
            <w:vAlign w:val="center"/>
          </w:tcPr>
          <w:p w14:paraId="32F9D6BA" w14:textId="211A26A9" w:rsidR="00543399" w:rsidRPr="00AE5270" w:rsidRDefault="00543399" w:rsidP="00543399">
            <w:pPr>
              <w:keepNext/>
              <w:keepLines/>
              <w:ind w:right="277"/>
              <w:jc w:val="right"/>
              <w:rPr>
                <w:rFonts w:ascii="Arial" w:hAnsi="Arial" w:cs="Arial"/>
                <w:sz w:val="18"/>
                <w:szCs w:val="18"/>
              </w:rPr>
            </w:pPr>
            <w:r w:rsidRPr="00AE5270">
              <w:rPr>
                <w:rFonts w:ascii="Arial" w:hAnsi="Arial" w:cs="Arial"/>
                <w:sz w:val="18"/>
                <w:szCs w:val="18"/>
              </w:rPr>
              <w:t>-</w:t>
            </w:r>
            <w:r>
              <w:rPr>
                <w:rFonts w:ascii="Arial" w:hAnsi="Arial" w:cs="Arial"/>
                <w:sz w:val="18"/>
                <w:szCs w:val="18"/>
              </w:rPr>
              <w:t>1</w:t>
            </w:r>
            <w:r w:rsidR="0079325E">
              <w:rPr>
                <w:rFonts w:ascii="Arial" w:hAnsi="Arial" w:cs="Arial"/>
                <w:sz w:val="18"/>
                <w:szCs w:val="18"/>
              </w:rPr>
              <w:t>3 653</w:t>
            </w:r>
          </w:p>
        </w:tc>
      </w:tr>
      <w:tr w:rsidR="00543399" w:rsidRPr="00843651" w14:paraId="7494F75E" w14:textId="35AF5B9D" w:rsidTr="00F148DF">
        <w:trPr>
          <w:trHeight w:val="255"/>
          <w:jc w:val="center"/>
        </w:trPr>
        <w:tc>
          <w:tcPr>
            <w:tcW w:w="2737" w:type="dxa"/>
            <w:tcBorders>
              <w:top w:val="nil"/>
              <w:left w:val="double" w:sz="4" w:space="0" w:color="000000" w:themeColor="text1"/>
              <w:bottom w:val="double" w:sz="4" w:space="0" w:color="000000" w:themeColor="text1"/>
              <w:right w:val="double" w:sz="4" w:space="0" w:color="000000" w:themeColor="text1"/>
            </w:tcBorders>
            <w:vAlign w:val="center"/>
          </w:tcPr>
          <w:p w14:paraId="147D28CA" w14:textId="4AB762DF" w:rsidR="00543399" w:rsidRPr="00843651" w:rsidRDefault="00543399" w:rsidP="00543399">
            <w:pPr>
              <w:keepNext/>
              <w:keepLines/>
              <w:ind w:left="393"/>
              <w:jc w:val="both"/>
              <w:rPr>
                <w:rFonts w:ascii="Arial" w:hAnsi="Arial" w:cs="Arial"/>
                <w:sz w:val="18"/>
                <w:szCs w:val="18"/>
              </w:rPr>
            </w:pPr>
            <w:r w:rsidRPr="00843651">
              <w:rPr>
                <w:rFonts w:ascii="Arial" w:hAnsi="Arial" w:cs="Arial"/>
                <w:sz w:val="18"/>
                <w:szCs w:val="18"/>
              </w:rPr>
              <w:t xml:space="preserve">No </w:t>
            </w:r>
            <w:r>
              <w:rPr>
                <w:rFonts w:ascii="Arial" w:hAnsi="Arial" w:cs="Arial"/>
                <w:sz w:val="18"/>
                <w:szCs w:val="18"/>
              </w:rPr>
              <w:t>p</w:t>
            </w:r>
            <w:r w:rsidRPr="00843651">
              <w:rPr>
                <w:rFonts w:ascii="Arial" w:hAnsi="Arial" w:cs="Arial"/>
                <w:sz w:val="18"/>
                <w:szCs w:val="18"/>
              </w:rPr>
              <w:t>etrolera</w:t>
            </w:r>
          </w:p>
        </w:tc>
        <w:tc>
          <w:tcPr>
            <w:tcW w:w="1200" w:type="dxa"/>
            <w:tcBorders>
              <w:top w:val="nil"/>
              <w:left w:val="nil"/>
              <w:bottom w:val="double" w:sz="4" w:space="0" w:color="000000" w:themeColor="text1"/>
              <w:right w:val="double" w:sz="4" w:space="0" w:color="000000" w:themeColor="text1"/>
            </w:tcBorders>
            <w:vAlign w:val="center"/>
          </w:tcPr>
          <w:p w14:paraId="1F93AD90" w14:textId="6D9722C8" w:rsidR="00543399" w:rsidRPr="00F02BA8" w:rsidRDefault="00543399" w:rsidP="00543399">
            <w:pPr>
              <w:keepNext/>
              <w:keepLines/>
              <w:tabs>
                <w:tab w:val="decimal" w:pos="637"/>
              </w:tabs>
              <w:rPr>
                <w:rFonts w:ascii="Arial" w:hAnsi="Arial" w:cs="Arial"/>
                <w:bCs/>
                <w:sz w:val="18"/>
                <w:szCs w:val="18"/>
              </w:rPr>
            </w:pPr>
            <w:r w:rsidRPr="00F02BA8">
              <w:rPr>
                <w:rFonts w:ascii="Arial" w:hAnsi="Arial" w:cs="Arial"/>
                <w:sz w:val="18"/>
                <w:szCs w:val="18"/>
              </w:rPr>
              <w:t>13</w:t>
            </w:r>
            <w:r>
              <w:rPr>
                <w:rFonts w:ascii="Arial" w:hAnsi="Arial" w:cs="Arial"/>
                <w:sz w:val="18"/>
                <w:szCs w:val="18"/>
              </w:rPr>
              <w:t xml:space="preserve"> 707</w:t>
            </w:r>
          </w:p>
        </w:tc>
        <w:tc>
          <w:tcPr>
            <w:tcW w:w="1201" w:type="dxa"/>
            <w:tcBorders>
              <w:top w:val="nil"/>
              <w:left w:val="nil"/>
              <w:bottom w:val="double" w:sz="4" w:space="0" w:color="000000" w:themeColor="text1"/>
              <w:right w:val="double" w:sz="4" w:space="0" w:color="000000" w:themeColor="text1"/>
            </w:tcBorders>
            <w:vAlign w:val="center"/>
          </w:tcPr>
          <w:p w14:paraId="2C8C25A0" w14:textId="164296D2" w:rsidR="00543399" w:rsidRPr="00AE5270" w:rsidRDefault="00543399" w:rsidP="00543399">
            <w:pPr>
              <w:keepNext/>
              <w:keepLines/>
              <w:ind w:right="170"/>
              <w:jc w:val="right"/>
              <w:rPr>
                <w:rFonts w:ascii="Arial" w:hAnsi="Arial" w:cs="Arial"/>
                <w:sz w:val="18"/>
                <w:szCs w:val="18"/>
              </w:rPr>
            </w:pPr>
            <w:r>
              <w:rPr>
                <w:rFonts w:ascii="Arial" w:hAnsi="Arial" w:cs="Arial"/>
                <w:sz w:val="18"/>
                <w:szCs w:val="18"/>
              </w:rPr>
              <w:t>8 263</w:t>
            </w:r>
          </w:p>
        </w:tc>
        <w:tc>
          <w:tcPr>
            <w:tcW w:w="1201" w:type="dxa"/>
            <w:tcBorders>
              <w:top w:val="nil"/>
              <w:left w:val="nil"/>
              <w:bottom w:val="double" w:sz="4" w:space="0" w:color="000000" w:themeColor="text1"/>
              <w:right w:val="nil"/>
            </w:tcBorders>
            <w:vAlign w:val="center"/>
          </w:tcPr>
          <w:p w14:paraId="58ED1727" w14:textId="0E7980D0" w:rsidR="00543399" w:rsidRDefault="00543399" w:rsidP="00543399">
            <w:pPr>
              <w:keepNext/>
              <w:keepLines/>
              <w:ind w:right="277"/>
              <w:jc w:val="right"/>
              <w:rPr>
                <w:rFonts w:ascii="Arial" w:hAnsi="Arial" w:cs="Arial"/>
                <w:sz w:val="18"/>
                <w:szCs w:val="18"/>
              </w:rPr>
            </w:pPr>
            <w:r>
              <w:rPr>
                <w:rFonts w:ascii="Arial" w:hAnsi="Arial" w:cs="Arial"/>
                <w:sz w:val="18"/>
                <w:szCs w:val="18"/>
              </w:rPr>
              <w:t>1 387</w:t>
            </w:r>
          </w:p>
        </w:tc>
        <w:tc>
          <w:tcPr>
            <w:tcW w:w="1201" w:type="dxa"/>
            <w:tcBorders>
              <w:top w:val="nil"/>
              <w:left w:val="nil"/>
              <w:bottom w:val="double" w:sz="4" w:space="0" w:color="000000" w:themeColor="text1"/>
              <w:right w:val="nil"/>
            </w:tcBorders>
            <w:vAlign w:val="center"/>
          </w:tcPr>
          <w:p w14:paraId="462A84A3" w14:textId="0FD25F3A" w:rsidR="00543399" w:rsidRDefault="00543399" w:rsidP="00543399">
            <w:pPr>
              <w:keepNext/>
              <w:keepLines/>
              <w:ind w:right="277"/>
              <w:jc w:val="right"/>
              <w:rPr>
                <w:rFonts w:ascii="Arial" w:hAnsi="Arial" w:cs="Arial"/>
                <w:sz w:val="18"/>
                <w:szCs w:val="18"/>
              </w:rPr>
            </w:pPr>
            <w:r>
              <w:rPr>
                <w:rFonts w:ascii="Arial" w:hAnsi="Arial" w:cs="Arial"/>
                <w:sz w:val="18"/>
                <w:szCs w:val="18"/>
              </w:rPr>
              <w:t>1 017</w:t>
            </w:r>
          </w:p>
        </w:tc>
        <w:tc>
          <w:tcPr>
            <w:tcW w:w="1201" w:type="dxa"/>
            <w:tcBorders>
              <w:top w:val="nil"/>
              <w:left w:val="nil"/>
              <w:bottom w:val="double" w:sz="4" w:space="0" w:color="000000" w:themeColor="text1"/>
              <w:right w:val="nil"/>
            </w:tcBorders>
            <w:vAlign w:val="center"/>
          </w:tcPr>
          <w:p w14:paraId="7A154CB5" w14:textId="3BA2A01C" w:rsidR="00543399" w:rsidRDefault="00E64077" w:rsidP="00543399">
            <w:pPr>
              <w:keepNext/>
              <w:keepLines/>
              <w:ind w:right="277"/>
              <w:jc w:val="right"/>
              <w:rPr>
                <w:rFonts w:ascii="Arial" w:hAnsi="Arial" w:cs="Arial"/>
                <w:sz w:val="18"/>
                <w:szCs w:val="18"/>
              </w:rPr>
            </w:pPr>
            <w:r>
              <w:rPr>
                <w:rFonts w:ascii="Arial" w:hAnsi="Arial" w:cs="Arial"/>
                <w:sz w:val="18"/>
                <w:szCs w:val="18"/>
              </w:rPr>
              <w:t>417</w:t>
            </w:r>
          </w:p>
        </w:tc>
        <w:tc>
          <w:tcPr>
            <w:tcW w:w="1201" w:type="dxa"/>
            <w:tcBorders>
              <w:top w:val="nil"/>
              <w:left w:val="nil"/>
              <w:bottom w:val="double" w:sz="4" w:space="0" w:color="000000" w:themeColor="text1"/>
              <w:right w:val="double" w:sz="4" w:space="0" w:color="000000" w:themeColor="text1"/>
            </w:tcBorders>
            <w:vAlign w:val="center"/>
          </w:tcPr>
          <w:p w14:paraId="235A58CC" w14:textId="234921AC" w:rsidR="00543399" w:rsidRDefault="00543399" w:rsidP="00543399">
            <w:pPr>
              <w:keepNext/>
              <w:keepLines/>
              <w:ind w:right="277"/>
              <w:jc w:val="right"/>
              <w:rPr>
                <w:rFonts w:ascii="Arial" w:hAnsi="Arial" w:cs="Arial"/>
                <w:sz w:val="18"/>
                <w:szCs w:val="18"/>
              </w:rPr>
            </w:pPr>
            <w:r>
              <w:rPr>
                <w:rFonts w:ascii="Arial" w:hAnsi="Arial" w:cs="Arial"/>
                <w:sz w:val="18"/>
                <w:szCs w:val="18"/>
              </w:rPr>
              <w:t xml:space="preserve">6 </w:t>
            </w:r>
            <w:r w:rsidR="0079325E">
              <w:rPr>
                <w:rFonts w:ascii="Arial" w:hAnsi="Arial" w:cs="Arial"/>
                <w:sz w:val="18"/>
                <w:szCs w:val="18"/>
              </w:rPr>
              <w:t>427</w:t>
            </w:r>
          </w:p>
        </w:tc>
      </w:tr>
    </w:tbl>
    <w:p w14:paraId="5CBFDA3D" w14:textId="77777777" w:rsidR="00306964" w:rsidRPr="00EA4078" w:rsidRDefault="00C5486F" w:rsidP="0083036A">
      <w:pPr>
        <w:pStyle w:val="Textoindependiente211"/>
        <w:numPr>
          <w:ilvl w:val="12"/>
          <w:numId w:val="0"/>
        </w:numPr>
        <w:spacing w:after="0"/>
        <w:ind w:left="168"/>
        <w:rPr>
          <w:rFonts w:cs="Arial"/>
          <w:color w:val="000000" w:themeColor="text1"/>
          <w:sz w:val="16"/>
          <w:szCs w:val="16"/>
        </w:rPr>
      </w:pPr>
      <w:r w:rsidRPr="00EA4078">
        <w:rPr>
          <w:rFonts w:cs="Arial"/>
          <w:color w:val="000000" w:themeColor="text1"/>
          <w:sz w:val="16"/>
          <w:szCs w:val="16"/>
        </w:rPr>
        <w:t>* Cifras oportunas</w:t>
      </w:r>
    </w:p>
    <w:p w14:paraId="39DABDC7" w14:textId="77A4124B" w:rsidR="00905FCC" w:rsidRPr="00D67AF3" w:rsidRDefault="00A2074D" w:rsidP="00410641">
      <w:pPr>
        <w:pStyle w:val="Textoindependiente21"/>
        <w:numPr>
          <w:ilvl w:val="12"/>
          <w:numId w:val="0"/>
        </w:numPr>
        <w:spacing w:before="240" w:after="0"/>
        <w:rPr>
          <w:sz w:val="24"/>
        </w:rPr>
      </w:pPr>
      <w:r w:rsidRPr="00A2074D">
        <w:rPr>
          <w:sz w:val="24"/>
        </w:rPr>
        <w:t>En el séptimo mes del año en curso, el valor de las exportaciones sumó 47</w:t>
      </w:r>
      <w:r>
        <w:rPr>
          <w:sz w:val="24"/>
        </w:rPr>
        <w:t> </w:t>
      </w:r>
      <w:r w:rsidRPr="00A2074D">
        <w:rPr>
          <w:sz w:val="24"/>
        </w:rPr>
        <w:t>550 millones de dólares, monto superior en 2.9</w:t>
      </w:r>
      <w:r>
        <w:rPr>
          <w:sz w:val="24"/>
        </w:rPr>
        <w:t> </w:t>
      </w:r>
      <w:r w:rsidRPr="00A2074D">
        <w:rPr>
          <w:sz w:val="24"/>
        </w:rPr>
        <w:t>% al del mismo mes de 2022. Dicha tasa fue resultado neto de un aumento de 5.7</w:t>
      </w:r>
      <w:r>
        <w:rPr>
          <w:sz w:val="24"/>
        </w:rPr>
        <w:t> </w:t>
      </w:r>
      <w:r w:rsidRPr="00A2074D">
        <w:rPr>
          <w:sz w:val="24"/>
        </w:rPr>
        <w:t>% en las exportaciones no petroleras y de una caída de 28.5</w:t>
      </w:r>
      <w:r>
        <w:rPr>
          <w:sz w:val="24"/>
        </w:rPr>
        <w:t> </w:t>
      </w:r>
      <w:r w:rsidRPr="00A2074D">
        <w:rPr>
          <w:sz w:val="24"/>
        </w:rPr>
        <w:t>% en las petroleras. Al interior de las exportaciones no petroleras, se presentaron incrementos anuales de 6.9</w:t>
      </w:r>
      <w:r>
        <w:rPr>
          <w:sz w:val="24"/>
        </w:rPr>
        <w:t> </w:t>
      </w:r>
      <w:r w:rsidRPr="00A2074D">
        <w:rPr>
          <w:sz w:val="24"/>
        </w:rPr>
        <w:t>% en las dirigidas a Estados Unidos y de 0.3</w:t>
      </w:r>
      <w:r>
        <w:rPr>
          <w:sz w:val="24"/>
        </w:rPr>
        <w:t> </w:t>
      </w:r>
      <w:r w:rsidRPr="00A2074D">
        <w:rPr>
          <w:sz w:val="24"/>
        </w:rPr>
        <w:t>% en las canalizadas al resto del mundo.</w:t>
      </w:r>
    </w:p>
    <w:p w14:paraId="1BD1015C" w14:textId="22AFDE46" w:rsidR="00912F70" w:rsidRDefault="00912F70" w:rsidP="005851DD">
      <w:pPr>
        <w:pStyle w:val="Textoindependiente21"/>
        <w:numPr>
          <w:ilvl w:val="12"/>
          <w:numId w:val="0"/>
        </w:numPr>
        <w:spacing w:before="240" w:after="0"/>
        <w:jc w:val="center"/>
        <w:rPr>
          <w:rFonts w:cs="Arial"/>
          <w:b/>
          <w:smallCaps/>
          <w:lang w:val="es-MX"/>
        </w:rPr>
      </w:pPr>
      <w:r w:rsidRPr="007A64AF">
        <w:rPr>
          <w:rFonts w:cs="Arial"/>
          <w:bCs/>
          <w:sz w:val="20"/>
          <w:szCs w:val="18"/>
          <w:lang w:val="es-MX"/>
        </w:rPr>
        <w:t xml:space="preserve">Cuadro </w:t>
      </w:r>
      <w:r>
        <w:rPr>
          <w:rFonts w:cs="Arial"/>
          <w:bCs/>
          <w:sz w:val="20"/>
          <w:szCs w:val="18"/>
          <w:lang w:val="es-MX"/>
        </w:rPr>
        <w:t>3</w:t>
      </w:r>
    </w:p>
    <w:p w14:paraId="2D785C6E" w14:textId="0ED1A5C4" w:rsidR="00AF1CF5" w:rsidRPr="001F12C3" w:rsidRDefault="00AF1CF5" w:rsidP="005851DD">
      <w:pPr>
        <w:pStyle w:val="p01"/>
        <w:keepLines w:val="0"/>
        <w:widowControl/>
        <w:spacing w:before="0"/>
        <w:ind w:right="-23"/>
        <w:jc w:val="center"/>
        <w:outlineLvl w:val="0"/>
        <w:rPr>
          <w:rFonts w:ascii="Arial" w:hAnsi="Arial" w:cs="Arial"/>
          <w:b/>
          <w:smallCaps/>
          <w:color w:val="auto"/>
          <w:sz w:val="22"/>
          <w:lang w:val="es-MX"/>
        </w:rPr>
      </w:pPr>
      <w:r w:rsidRPr="001F12C3">
        <w:rPr>
          <w:rFonts w:ascii="Arial" w:hAnsi="Arial" w:cs="Arial"/>
          <w:b/>
          <w:smallCaps/>
          <w:color w:val="auto"/>
          <w:sz w:val="22"/>
          <w:lang w:val="es-MX"/>
        </w:rPr>
        <w:t xml:space="preserve">Exportaciones no petroleras a distintos mercados </w:t>
      </w:r>
    </w:p>
    <w:tbl>
      <w:tblPr>
        <w:tblW w:w="5000" w:type="pct"/>
        <w:jc w:val="center"/>
        <w:tblBorders>
          <w:top w:val="single" w:sz="8" w:space="0" w:color="000080"/>
          <w:bottom w:val="single" w:sz="8" w:space="0" w:color="000080"/>
        </w:tblBorders>
        <w:tblLayout w:type="fixed"/>
        <w:tblCellMar>
          <w:left w:w="0" w:type="dxa"/>
          <w:right w:w="0" w:type="dxa"/>
        </w:tblCellMar>
        <w:tblLook w:val="01E0" w:firstRow="1" w:lastRow="1" w:firstColumn="1" w:lastColumn="1" w:noHBand="0" w:noVBand="0"/>
      </w:tblPr>
      <w:tblGrid>
        <w:gridCol w:w="2544"/>
        <w:gridCol w:w="1408"/>
        <w:gridCol w:w="1292"/>
        <w:gridCol w:w="1201"/>
        <w:gridCol w:w="1203"/>
        <w:gridCol w:w="1147"/>
        <w:gridCol w:w="1147"/>
      </w:tblGrid>
      <w:tr w:rsidR="008D79FC" w:rsidRPr="00075546" w14:paraId="54876B84" w14:textId="21213277" w:rsidTr="00F148DF">
        <w:trPr>
          <w:trHeight w:val="283"/>
          <w:jc w:val="center"/>
        </w:trPr>
        <w:tc>
          <w:tcPr>
            <w:tcW w:w="1279" w:type="pct"/>
            <w:vMerge w:val="restart"/>
            <w:tcBorders>
              <w:top w:val="double" w:sz="4" w:space="0" w:color="auto"/>
              <w:left w:val="double" w:sz="4" w:space="0" w:color="auto"/>
              <w:right w:val="double" w:sz="4" w:space="0" w:color="auto"/>
            </w:tcBorders>
            <w:shd w:val="clear" w:color="auto" w:fill="C2D69B" w:themeFill="accent3" w:themeFillTint="99"/>
            <w:vAlign w:val="center"/>
          </w:tcPr>
          <w:p w14:paraId="7D7EAC38" w14:textId="77777777" w:rsidR="008D79FC" w:rsidRPr="00231C06" w:rsidRDefault="008D79FC" w:rsidP="00B63418">
            <w:pPr>
              <w:keepNext/>
              <w:keepLines/>
              <w:widowControl w:val="0"/>
              <w:ind w:left="183"/>
              <w:rPr>
                <w:rFonts w:ascii="Arial" w:hAnsi="Arial" w:cs="Arial"/>
                <w:snapToGrid w:val="0"/>
                <w:sz w:val="18"/>
                <w:szCs w:val="18"/>
                <w:lang w:eastAsia="en-US"/>
              </w:rPr>
            </w:pPr>
            <w:r w:rsidRPr="00231C06">
              <w:rPr>
                <w:rFonts w:ascii="Arial" w:hAnsi="Arial" w:cs="Arial"/>
                <w:snapToGrid w:val="0"/>
                <w:sz w:val="18"/>
                <w:szCs w:val="18"/>
                <w:lang w:eastAsia="en-US"/>
              </w:rPr>
              <w:t>Concepto</w:t>
            </w:r>
          </w:p>
        </w:tc>
        <w:tc>
          <w:tcPr>
            <w:tcW w:w="708" w:type="pct"/>
            <w:vMerge w:val="restart"/>
            <w:tcBorders>
              <w:top w:val="double" w:sz="4" w:space="0" w:color="000000" w:themeColor="text1"/>
              <w:left w:val="double" w:sz="4" w:space="0" w:color="auto"/>
              <w:bottom w:val="double" w:sz="4" w:space="0" w:color="000000" w:themeColor="text1"/>
              <w:right w:val="double" w:sz="4" w:space="0" w:color="000000" w:themeColor="text1"/>
            </w:tcBorders>
            <w:shd w:val="clear" w:color="auto" w:fill="C2D69B" w:themeFill="accent3" w:themeFillTint="99"/>
            <w:vAlign w:val="center"/>
          </w:tcPr>
          <w:p w14:paraId="7D2AEF77" w14:textId="7503E4DF" w:rsidR="008D79FC" w:rsidRPr="00231C06" w:rsidRDefault="008D79FC" w:rsidP="00B63418">
            <w:pPr>
              <w:pStyle w:val="Textoindependiente21"/>
              <w:keepNext/>
              <w:keepLines/>
              <w:widowControl w:val="0"/>
              <w:numPr>
                <w:ilvl w:val="12"/>
                <w:numId w:val="0"/>
              </w:numPr>
              <w:spacing w:after="0"/>
              <w:jc w:val="center"/>
              <w:rPr>
                <w:rFonts w:cs="Arial"/>
                <w:color w:val="000000"/>
                <w:sz w:val="18"/>
                <w:szCs w:val="18"/>
                <w:lang w:val="es-ES"/>
              </w:rPr>
            </w:pPr>
            <w:r>
              <w:rPr>
                <w:rFonts w:cs="Arial"/>
                <w:color w:val="000000"/>
                <w:sz w:val="18"/>
                <w:szCs w:val="18"/>
                <w:lang w:val="es-ES"/>
              </w:rPr>
              <w:t>Participación porcentual</w:t>
            </w:r>
            <w:r>
              <w:rPr>
                <w:rFonts w:cs="Arial"/>
                <w:color w:val="000000"/>
                <w:sz w:val="18"/>
                <w:szCs w:val="18"/>
                <w:lang w:val="es-ES"/>
              </w:rPr>
              <w:br/>
            </w:r>
            <w:r>
              <w:rPr>
                <w:rFonts w:cs="Arial"/>
                <w:color w:val="000000"/>
                <w:sz w:val="18"/>
                <w:szCs w:val="18"/>
              </w:rPr>
              <w:t>Ene.</w:t>
            </w:r>
            <w:r w:rsidR="00720DE2">
              <w:rPr>
                <w:rFonts w:cs="Arial"/>
                <w:color w:val="000000"/>
                <w:sz w:val="18"/>
                <w:szCs w:val="18"/>
              </w:rPr>
              <w:t xml:space="preserve"> </w:t>
            </w:r>
            <w:r>
              <w:rPr>
                <w:rFonts w:cs="Arial"/>
                <w:color w:val="000000"/>
                <w:sz w:val="18"/>
                <w:szCs w:val="18"/>
              </w:rPr>
              <w:t xml:space="preserve">- </w:t>
            </w:r>
            <w:r w:rsidR="00464ECB">
              <w:rPr>
                <w:rFonts w:cs="Arial"/>
                <w:color w:val="000000"/>
                <w:sz w:val="18"/>
                <w:szCs w:val="18"/>
              </w:rPr>
              <w:t>Ju</w:t>
            </w:r>
            <w:r w:rsidR="00543399">
              <w:rPr>
                <w:rFonts w:cs="Arial"/>
                <w:color w:val="000000"/>
                <w:sz w:val="18"/>
                <w:szCs w:val="18"/>
              </w:rPr>
              <w:t>l</w:t>
            </w:r>
            <w:r>
              <w:rPr>
                <w:rFonts w:cs="Arial"/>
                <w:color w:val="000000"/>
                <w:sz w:val="18"/>
                <w:szCs w:val="18"/>
              </w:rPr>
              <w:t>.*</w:t>
            </w:r>
            <w:r>
              <w:rPr>
                <w:rFonts w:cs="Arial"/>
                <w:color w:val="000000"/>
                <w:sz w:val="18"/>
                <w:szCs w:val="18"/>
              </w:rPr>
              <w:br/>
              <w:t>2023</w:t>
            </w:r>
          </w:p>
        </w:tc>
        <w:tc>
          <w:tcPr>
            <w:tcW w:w="3012" w:type="pct"/>
            <w:gridSpan w:val="5"/>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C2D69B" w:themeFill="accent3" w:themeFillTint="99"/>
            <w:vAlign w:val="center"/>
          </w:tcPr>
          <w:p w14:paraId="1199D46D" w14:textId="6FDE0D7E" w:rsidR="008D79FC" w:rsidRDefault="008D79FC" w:rsidP="008D79FC">
            <w:pPr>
              <w:pStyle w:val="Textoindependiente21"/>
              <w:keepNext/>
              <w:keepLines/>
              <w:widowControl w:val="0"/>
              <w:numPr>
                <w:ilvl w:val="12"/>
                <w:numId w:val="0"/>
              </w:numPr>
              <w:spacing w:after="0"/>
              <w:jc w:val="center"/>
              <w:rPr>
                <w:rFonts w:cs="Arial"/>
                <w:color w:val="000000"/>
                <w:sz w:val="18"/>
                <w:szCs w:val="18"/>
                <w:lang w:val="es-ES"/>
              </w:rPr>
            </w:pPr>
            <w:r>
              <w:rPr>
                <w:rFonts w:cs="Arial"/>
                <w:color w:val="000000"/>
                <w:sz w:val="18"/>
                <w:szCs w:val="18"/>
                <w:lang w:val="es-ES"/>
              </w:rPr>
              <w:t>Variación porcentual anual</w:t>
            </w:r>
          </w:p>
        </w:tc>
      </w:tr>
      <w:tr w:rsidR="008D79FC" w:rsidRPr="00075546" w14:paraId="139BB901" w14:textId="5577213A" w:rsidTr="008D79FC">
        <w:trPr>
          <w:trHeight w:val="283"/>
          <w:jc w:val="center"/>
        </w:trPr>
        <w:tc>
          <w:tcPr>
            <w:tcW w:w="1279" w:type="pct"/>
            <w:vMerge/>
            <w:tcBorders>
              <w:top w:val="double" w:sz="4" w:space="0" w:color="000000" w:themeColor="text1"/>
              <w:left w:val="double" w:sz="4" w:space="0" w:color="auto"/>
              <w:right w:val="double" w:sz="4" w:space="0" w:color="auto"/>
            </w:tcBorders>
            <w:shd w:val="clear" w:color="auto" w:fill="C2D69B" w:themeFill="accent3" w:themeFillTint="99"/>
            <w:vAlign w:val="center"/>
          </w:tcPr>
          <w:p w14:paraId="6A3490F9" w14:textId="77777777" w:rsidR="008D79FC" w:rsidRPr="00231C06" w:rsidRDefault="008D79FC" w:rsidP="004F6856">
            <w:pPr>
              <w:keepNext/>
              <w:keepLines/>
              <w:widowControl w:val="0"/>
              <w:spacing w:before="60" w:after="60"/>
              <w:jc w:val="center"/>
              <w:rPr>
                <w:rFonts w:ascii="Arial" w:hAnsi="Arial" w:cs="Arial"/>
                <w:snapToGrid w:val="0"/>
                <w:sz w:val="18"/>
                <w:szCs w:val="18"/>
                <w:lang w:eastAsia="en-US"/>
              </w:rPr>
            </w:pPr>
          </w:p>
        </w:tc>
        <w:tc>
          <w:tcPr>
            <w:tcW w:w="708" w:type="pct"/>
            <w:vMerge/>
            <w:tcBorders>
              <w:top w:val="double" w:sz="4" w:space="0" w:color="000000" w:themeColor="text1"/>
              <w:left w:val="double" w:sz="4" w:space="0" w:color="auto"/>
            </w:tcBorders>
            <w:shd w:val="clear" w:color="auto" w:fill="C2D69B" w:themeFill="accent3" w:themeFillTint="99"/>
            <w:vAlign w:val="center"/>
          </w:tcPr>
          <w:p w14:paraId="7DAAA17B" w14:textId="77777777" w:rsidR="008D79FC" w:rsidRPr="00231C06" w:rsidRDefault="008D79FC" w:rsidP="004F6856">
            <w:pPr>
              <w:pStyle w:val="Textoindependiente21"/>
              <w:keepNext/>
              <w:keepLines/>
              <w:widowControl w:val="0"/>
              <w:numPr>
                <w:ilvl w:val="12"/>
                <w:numId w:val="0"/>
              </w:numPr>
              <w:spacing w:before="40" w:after="40"/>
              <w:ind w:left="-109" w:right="-106"/>
              <w:jc w:val="center"/>
              <w:rPr>
                <w:rFonts w:cs="Arial"/>
                <w:color w:val="000000"/>
                <w:sz w:val="18"/>
                <w:szCs w:val="18"/>
                <w:lang w:val="es-ES"/>
              </w:rPr>
            </w:pPr>
          </w:p>
        </w:tc>
        <w:tc>
          <w:tcPr>
            <w:tcW w:w="650" w:type="pct"/>
            <w:vMerge w:val="restart"/>
            <w:tcBorders>
              <w:top w:val="double" w:sz="4" w:space="0" w:color="000000" w:themeColor="text1"/>
              <w:left w:val="double" w:sz="4" w:space="0" w:color="000000" w:themeColor="text1"/>
              <w:right w:val="double" w:sz="4" w:space="0" w:color="000000" w:themeColor="text1"/>
            </w:tcBorders>
            <w:shd w:val="clear" w:color="auto" w:fill="C2D69B" w:themeFill="accent3" w:themeFillTint="99"/>
            <w:vAlign w:val="center"/>
          </w:tcPr>
          <w:p w14:paraId="684812A7" w14:textId="6BBF9CD3" w:rsidR="008D79FC" w:rsidRDefault="008D79FC" w:rsidP="008D79FC">
            <w:pPr>
              <w:pStyle w:val="Textoindependiente21"/>
              <w:keepNext/>
              <w:keepLines/>
              <w:widowControl w:val="0"/>
              <w:numPr>
                <w:ilvl w:val="12"/>
                <w:numId w:val="0"/>
              </w:numPr>
              <w:spacing w:after="0"/>
              <w:jc w:val="center"/>
              <w:rPr>
                <w:rFonts w:cs="Arial"/>
                <w:color w:val="000000"/>
                <w:sz w:val="18"/>
                <w:szCs w:val="18"/>
                <w:lang w:val="es-ES"/>
              </w:rPr>
            </w:pPr>
            <w:r>
              <w:rPr>
                <w:rFonts w:cs="Arial"/>
                <w:color w:val="000000"/>
                <w:sz w:val="18"/>
                <w:szCs w:val="18"/>
                <w:lang w:val="es-ES"/>
              </w:rPr>
              <w:t>2022</w:t>
            </w:r>
          </w:p>
        </w:tc>
        <w:tc>
          <w:tcPr>
            <w:tcW w:w="2363" w:type="pct"/>
            <w:gridSpan w:val="4"/>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C2D69B" w:themeFill="accent3" w:themeFillTint="99"/>
            <w:vAlign w:val="center"/>
          </w:tcPr>
          <w:p w14:paraId="5642A0C9" w14:textId="6655F132" w:rsidR="008D79FC" w:rsidRDefault="008D79FC" w:rsidP="00F16058">
            <w:pPr>
              <w:pStyle w:val="Textoindependiente21"/>
              <w:keepNext/>
              <w:keepLines/>
              <w:widowControl w:val="0"/>
              <w:numPr>
                <w:ilvl w:val="12"/>
                <w:numId w:val="0"/>
              </w:numPr>
              <w:spacing w:after="0"/>
              <w:jc w:val="center"/>
              <w:rPr>
                <w:rFonts w:cs="Arial"/>
                <w:color w:val="000000"/>
                <w:sz w:val="18"/>
                <w:szCs w:val="18"/>
                <w:lang w:val="es-ES"/>
              </w:rPr>
            </w:pPr>
            <w:r>
              <w:rPr>
                <w:rFonts w:cs="Arial"/>
                <w:color w:val="000000"/>
                <w:sz w:val="18"/>
                <w:szCs w:val="18"/>
                <w:lang w:val="es-ES"/>
              </w:rPr>
              <w:t>2023</w:t>
            </w:r>
          </w:p>
        </w:tc>
      </w:tr>
      <w:tr w:rsidR="00543399" w:rsidRPr="00075546" w14:paraId="55E911BE" w14:textId="551F1C61">
        <w:trPr>
          <w:trHeight w:val="283"/>
          <w:jc w:val="center"/>
        </w:trPr>
        <w:tc>
          <w:tcPr>
            <w:tcW w:w="1279" w:type="pct"/>
            <w:vMerge/>
            <w:tcBorders>
              <w:top w:val="double" w:sz="4" w:space="0" w:color="000000" w:themeColor="text1"/>
              <w:left w:val="double" w:sz="4" w:space="0" w:color="auto"/>
              <w:right w:val="double" w:sz="4" w:space="0" w:color="auto"/>
            </w:tcBorders>
            <w:shd w:val="clear" w:color="auto" w:fill="C2D69B" w:themeFill="accent3" w:themeFillTint="99"/>
            <w:vAlign w:val="center"/>
          </w:tcPr>
          <w:p w14:paraId="5815229E" w14:textId="77777777" w:rsidR="00543399" w:rsidRPr="00231C06" w:rsidRDefault="00543399" w:rsidP="00543399">
            <w:pPr>
              <w:pStyle w:val="Textoindependiente21"/>
              <w:keepNext/>
              <w:keepLines/>
              <w:widowControl w:val="0"/>
              <w:numPr>
                <w:ilvl w:val="12"/>
                <w:numId w:val="0"/>
              </w:numPr>
              <w:spacing w:before="120" w:after="120"/>
              <w:jc w:val="center"/>
              <w:rPr>
                <w:rFonts w:cs="Arial"/>
                <w:color w:val="000000"/>
                <w:sz w:val="18"/>
                <w:szCs w:val="18"/>
                <w:lang w:val="es-ES"/>
              </w:rPr>
            </w:pPr>
          </w:p>
        </w:tc>
        <w:tc>
          <w:tcPr>
            <w:tcW w:w="708" w:type="pct"/>
            <w:vMerge/>
            <w:tcBorders>
              <w:top w:val="double" w:sz="4" w:space="0" w:color="000000" w:themeColor="text1"/>
              <w:left w:val="double" w:sz="4" w:space="0" w:color="auto"/>
            </w:tcBorders>
            <w:shd w:val="clear" w:color="auto" w:fill="C2D69B" w:themeFill="accent3" w:themeFillTint="99"/>
            <w:vAlign w:val="center"/>
          </w:tcPr>
          <w:p w14:paraId="3DDDFDA3" w14:textId="77777777" w:rsidR="00543399" w:rsidRPr="00231C06" w:rsidRDefault="00543399" w:rsidP="00543399">
            <w:pPr>
              <w:pStyle w:val="Textoindependiente21"/>
              <w:keepNext/>
              <w:keepLines/>
              <w:widowControl w:val="0"/>
              <w:numPr>
                <w:ilvl w:val="12"/>
                <w:numId w:val="0"/>
              </w:numPr>
              <w:spacing w:before="40" w:after="40"/>
              <w:ind w:left="-109" w:right="-106"/>
              <w:jc w:val="center"/>
              <w:rPr>
                <w:rFonts w:cs="Arial"/>
                <w:color w:val="000000"/>
                <w:sz w:val="18"/>
                <w:szCs w:val="18"/>
                <w:lang w:val="es-ES"/>
              </w:rPr>
            </w:pPr>
          </w:p>
        </w:tc>
        <w:tc>
          <w:tcPr>
            <w:tcW w:w="650" w:type="pct"/>
            <w:vMerge/>
            <w:tcBorders>
              <w:left w:val="double" w:sz="4" w:space="0" w:color="000000" w:themeColor="text1"/>
              <w:bottom w:val="double" w:sz="4" w:space="0" w:color="000000" w:themeColor="text1"/>
              <w:right w:val="double" w:sz="4" w:space="0" w:color="000000" w:themeColor="text1"/>
            </w:tcBorders>
            <w:shd w:val="clear" w:color="auto" w:fill="C2D69B" w:themeFill="accent3" w:themeFillTint="99"/>
          </w:tcPr>
          <w:p w14:paraId="59095404" w14:textId="76E64DD2" w:rsidR="00543399" w:rsidRDefault="00543399" w:rsidP="00543399">
            <w:pPr>
              <w:keepNext/>
              <w:keepLines/>
              <w:widowControl w:val="0"/>
              <w:spacing w:before="40" w:after="40"/>
              <w:ind w:left="-98" w:right="-94"/>
              <w:jc w:val="center"/>
              <w:rPr>
                <w:rFonts w:ascii="Arial" w:hAnsi="Arial" w:cs="Arial"/>
                <w:color w:val="000000"/>
                <w:sz w:val="18"/>
                <w:szCs w:val="18"/>
              </w:rPr>
            </w:pPr>
          </w:p>
        </w:tc>
        <w:tc>
          <w:tcPr>
            <w:tcW w:w="604" w:type="pct"/>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C2D69B" w:themeFill="accent3" w:themeFillTint="99"/>
          </w:tcPr>
          <w:p w14:paraId="0A94853F" w14:textId="65D60360" w:rsidR="00543399" w:rsidRDefault="00543399" w:rsidP="00543399">
            <w:pPr>
              <w:keepNext/>
              <w:keepLines/>
              <w:widowControl w:val="0"/>
              <w:spacing w:before="40" w:after="40"/>
              <w:ind w:left="-98" w:right="-94"/>
              <w:jc w:val="center"/>
              <w:rPr>
                <w:rFonts w:ascii="Arial" w:hAnsi="Arial" w:cs="Arial"/>
                <w:color w:val="000000"/>
                <w:sz w:val="18"/>
                <w:szCs w:val="18"/>
              </w:rPr>
            </w:pPr>
            <w:r>
              <w:rPr>
                <w:rFonts w:ascii="Arial" w:hAnsi="Arial" w:cs="Arial"/>
                <w:color w:val="000000"/>
                <w:sz w:val="18"/>
                <w:szCs w:val="18"/>
              </w:rPr>
              <w:t>May.</w:t>
            </w:r>
          </w:p>
        </w:tc>
        <w:tc>
          <w:tcPr>
            <w:tcW w:w="605" w:type="pct"/>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C2D69B" w:themeFill="accent3" w:themeFillTint="99"/>
          </w:tcPr>
          <w:p w14:paraId="62F1C764" w14:textId="54C633A2" w:rsidR="00543399" w:rsidRDefault="00543399" w:rsidP="00543399">
            <w:pPr>
              <w:keepNext/>
              <w:keepLines/>
              <w:widowControl w:val="0"/>
              <w:spacing w:before="40" w:after="40"/>
              <w:ind w:left="-98" w:right="-94"/>
              <w:jc w:val="center"/>
              <w:rPr>
                <w:rFonts w:ascii="Arial" w:hAnsi="Arial" w:cs="Arial"/>
                <w:color w:val="000000"/>
                <w:sz w:val="18"/>
                <w:szCs w:val="18"/>
              </w:rPr>
            </w:pPr>
            <w:r>
              <w:rPr>
                <w:rFonts w:ascii="Arial" w:hAnsi="Arial" w:cs="Arial"/>
                <w:color w:val="000000"/>
                <w:sz w:val="18"/>
                <w:szCs w:val="18"/>
              </w:rPr>
              <w:t>Jun.</w:t>
            </w:r>
          </w:p>
        </w:tc>
        <w:tc>
          <w:tcPr>
            <w:tcW w:w="577" w:type="pct"/>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C2D69B" w:themeFill="accent3" w:themeFillTint="99"/>
          </w:tcPr>
          <w:p w14:paraId="24AB2FEC" w14:textId="6DB6DFCB" w:rsidR="00543399" w:rsidRDefault="00543399" w:rsidP="00543399">
            <w:pPr>
              <w:keepNext/>
              <w:keepLines/>
              <w:widowControl w:val="0"/>
              <w:spacing w:before="40" w:after="40"/>
              <w:ind w:left="-98" w:right="-94"/>
              <w:jc w:val="center"/>
              <w:rPr>
                <w:rFonts w:ascii="Arial" w:hAnsi="Arial" w:cs="Arial"/>
                <w:color w:val="000000"/>
                <w:sz w:val="18"/>
                <w:szCs w:val="18"/>
              </w:rPr>
            </w:pPr>
            <w:r>
              <w:rPr>
                <w:rFonts w:ascii="Arial" w:hAnsi="Arial" w:cs="Arial"/>
                <w:color w:val="000000"/>
                <w:sz w:val="18"/>
                <w:szCs w:val="18"/>
              </w:rPr>
              <w:t>Jul.*</w:t>
            </w:r>
          </w:p>
        </w:tc>
        <w:tc>
          <w:tcPr>
            <w:tcW w:w="577" w:type="pct"/>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C2D69B" w:themeFill="accent3" w:themeFillTint="99"/>
          </w:tcPr>
          <w:p w14:paraId="25909B84" w14:textId="72BE0148" w:rsidR="00543399" w:rsidRDefault="00543399" w:rsidP="00543399">
            <w:pPr>
              <w:keepNext/>
              <w:keepLines/>
              <w:widowControl w:val="0"/>
              <w:spacing w:before="40" w:after="40"/>
              <w:ind w:left="-98" w:right="-94"/>
              <w:jc w:val="center"/>
              <w:rPr>
                <w:rFonts w:ascii="Arial" w:hAnsi="Arial" w:cs="Arial"/>
                <w:color w:val="000000"/>
                <w:sz w:val="18"/>
                <w:szCs w:val="18"/>
              </w:rPr>
            </w:pPr>
            <w:r>
              <w:rPr>
                <w:rFonts w:ascii="Arial" w:hAnsi="Arial" w:cs="Arial"/>
                <w:color w:val="000000"/>
                <w:sz w:val="18"/>
                <w:szCs w:val="18"/>
              </w:rPr>
              <w:t>Ene. - Jul.*</w:t>
            </w:r>
          </w:p>
        </w:tc>
      </w:tr>
      <w:tr w:rsidR="00543399" w:rsidRPr="00075546" w14:paraId="2C6730F8" w14:textId="37AAEE78" w:rsidTr="00D67AF3">
        <w:trPr>
          <w:trHeight w:val="255"/>
          <w:jc w:val="center"/>
        </w:trPr>
        <w:tc>
          <w:tcPr>
            <w:tcW w:w="1279" w:type="pct"/>
            <w:tcBorders>
              <w:top w:val="double" w:sz="4" w:space="0" w:color="000000" w:themeColor="text1"/>
              <w:left w:val="double" w:sz="4" w:space="0" w:color="auto"/>
              <w:bottom w:val="nil"/>
              <w:right w:val="double" w:sz="4" w:space="0" w:color="000000" w:themeColor="text1"/>
            </w:tcBorders>
            <w:vAlign w:val="center"/>
          </w:tcPr>
          <w:p w14:paraId="695A7C44" w14:textId="77777777" w:rsidR="00543399" w:rsidRPr="00231C06" w:rsidRDefault="00543399" w:rsidP="00543399">
            <w:pPr>
              <w:pStyle w:val="Textoindependiente21"/>
              <w:keepNext/>
              <w:keepLines/>
              <w:widowControl w:val="0"/>
              <w:numPr>
                <w:ilvl w:val="12"/>
                <w:numId w:val="0"/>
              </w:numPr>
              <w:spacing w:after="0"/>
              <w:ind w:left="113" w:right="-57"/>
              <w:rPr>
                <w:rFonts w:cs="Arial"/>
                <w:b/>
                <w:sz w:val="18"/>
                <w:szCs w:val="18"/>
                <w:lang w:val="es-ES"/>
              </w:rPr>
            </w:pPr>
            <w:r w:rsidRPr="00231C06">
              <w:rPr>
                <w:rFonts w:cs="Arial"/>
                <w:b/>
                <w:sz w:val="18"/>
                <w:szCs w:val="18"/>
                <w:lang w:val="es-ES"/>
              </w:rPr>
              <w:t>Total</w:t>
            </w:r>
          </w:p>
        </w:tc>
        <w:tc>
          <w:tcPr>
            <w:tcW w:w="708" w:type="pct"/>
            <w:tcBorders>
              <w:top w:val="double" w:sz="4" w:space="0" w:color="000000" w:themeColor="text1"/>
              <w:left w:val="double" w:sz="4" w:space="0" w:color="000000" w:themeColor="text1"/>
              <w:bottom w:val="nil"/>
              <w:right w:val="double" w:sz="4" w:space="0" w:color="000000" w:themeColor="text1"/>
            </w:tcBorders>
            <w:vAlign w:val="center"/>
          </w:tcPr>
          <w:p w14:paraId="4F5E192A" w14:textId="4EE044C1" w:rsidR="00543399" w:rsidRPr="002500FF" w:rsidRDefault="00543399" w:rsidP="00543399">
            <w:pPr>
              <w:tabs>
                <w:tab w:val="decimal" w:pos="560"/>
              </w:tabs>
              <w:rPr>
                <w:rFonts w:ascii="Arial" w:hAnsi="Arial" w:cs="Arial"/>
                <w:b/>
                <w:sz w:val="18"/>
                <w:szCs w:val="18"/>
              </w:rPr>
            </w:pPr>
            <w:r w:rsidRPr="002500FF">
              <w:rPr>
                <w:rFonts w:ascii="Arial" w:hAnsi="Arial" w:cs="Arial"/>
                <w:b/>
                <w:bCs/>
                <w:sz w:val="18"/>
                <w:szCs w:val="18"/>
              </w:rPr>
              <w:t>100.00</w:t>
            </w:r>
          </w:p>
        </w:tc>
        <w:tc>
          <w:tcPr>
            <w:tcW w:w="650" w:type="pct"/>
            <w:tcBorders>
              <w:top w:val="double" w:sz="4" w:space="0" w:color="000000" w:themeColor="text1"/>
              <w:left w:val="nil"/>
              <w:bottom w:val="nil"/>
              <w:right w:val="double" w:sz="4" w:space="0" w:color="000000" w:themeColor="text1"/>
            </w:tcBorders>
            <w:vAlign w:val="center"/>
          </w:tcPr>
          <w:p w14:paraId="737A0D90" w14:textId="20D6CDE9" w:rsidR="00543399" w:rsidRPr="008F35A1" w:rsidRDefault="00543399" w:rsidP="00543399">
            <w:pPr>
              <w:tabs>
                <w:tab w:val="decimal" w:pos="646"/>
              </w:tabs>
              <w:rPr>
                <w:rFonts w:ascii="Arial" w:hAnsi="Arial" w:cs="Arial"/>
                <w:b/>
                <w:bCs/>
                <w:sz w:val="18"/>
                <w:szCs w:val="18"/>
              </w:rPr>
            </w:pPr>
            <w:r>
              <w:rPr>
                <w:rFonts w:ascii="Arial" w:hAnsi="Arial" w:cs="Arial"/>
                <w:b/>
                <w:bCs/>
                <w:sz w:val="18"/>
                <w:szCs w:val="18"/>
              </w:rPr>
              <w:t>15.7</w:t>
            </w:r>
          </w:p>
        </w:tc>
        <w:tc>
          <w:tcPr>
            <w:tcW w:w="604" w:type="pct"/>
            <w:tcBorders>
              <w:top w:val="double" w:sz="4" w:space="0" w:color="000000" w:themeColor="text1"/>
              <w:left w:val="double" w:sz="4" w:space="0" w:color="000000" w:themeColor="text1"/>
              <w:bottom w:val="nil"/>
              <w:right w:val="nil"/>
            </w:tcBorders>
            <w:vAlign w:val="center"/>
          </w:tcPr>
          <w:p w14:paraId="6DF763AD" w14:textId="5212D3D5" w:rsidR="00543399" w:rsidRPr="002500FF" w:rsidRDefault="00543399" w:rsidP="00543399">
            <w:pPr>
              <w:tabs>
                <w:tab w:val="decimal" w:pos="553"/>
              </w:tabs>
              <w:rPr>
                <w:rFonts w:ascii="Arial" w:hAnsi="Arial" w:cs="Arial"/>
                <w:b/>
                <w:bCs/>
                <w:sz w:val="18"/>
                <w:szCs w:val="18"/>
              </w:rPr>
            </w:pPr>
            <w:r>
              <w:rPr>
                <w:rFonts w:ascii="Arial" w:hAnsi="Arial" w:cs="Arial"/>
                <w:b/>
                <w:bCs/>
                <w:sz w:val="18"/>
                <w:szCs w:val="18"/>
              </w:rPr>
              <w:t>8.6</w:t>
            </w:r>
          </w:p>
        </w:tc>
        <w:tc>
          <w:tcPr>
            <w:tcW w:w="605" w:type="pct"/>
            <w:tcBorders>
              <w:top w:val="double" w:sz="4" w:space="0" w:color="000000" w:themeColor="text1"/>
              <w:left w:val="nil"/>
              <w:bottom w:val="nil"/>
              <w:right w:val="nil"/>
            </w:tcBorders>
            <w:vAlign w:val="center"/>
          </w:tcPr>
          <w:p w14:paraId="41B69DA2" w14:textId="65DFF296" w:rsidR="00543399" w:rsidRPr="002500FF" w:rsidRDefault="00543399" w:rsidP="00543399">
            <w:pPr>
              <w:tabs>
                <w:tab w:val="decimal" w:pos="570"/>
              </w:tabs>
              <w:rPr>
                <w:rFonts w:ascii="Arial" w:hAnsi="Arial" w:cs="Arial"/>
                <w:b/>
                <w:bCs/>
                <w:sz w:val="18"/>
                <w:szCs w:val="18"/>
              </w:rPr>
            </w:pPr>
            <w:r>
              <w:rPr>
                <w:rFonts w:ascii="Arial" w:hAnsi="Arial" w:cs="Arial"/>
                <w:b/>
                <w:bCs/>
                <w:sz w:val="18"/>
                <w:szCs w:val="18"/>
              </w:rPr>
              <w:t>3.7</w:t>
            </w:r>
          </w:p>
        </w:tc>
        <w:tc>
          <w:tcPr>
            <w:tcW w:w="577" w:type="pct"/>
            <w:tcBorders>
              <w:top w:val="double" w:sz="4" w:space="0" w:color="000000" w:themeColor="text1"/>
              <w:left w:val="nil"/>
              <w:bottom w:val="nil"/>
              <w:right w:val="nil"/>
            </w:tcBorders>
            <w:vAlign w:val="center"/>
          </w:tcPr>
          <w:p w14:paraId="5CEC691D" w14:textId="5FDC9246" w:rsidR="00543399" w:rsidRDefault="00F96566" w:rsidP="00543399">
            <w:pPr>
              <w:tabs>
                <w:tab w:val="decimal" w:pos="576"/>
              </w:tabs>
              <w:rPr>
                <w:rFonts w:ascii="Arial" w:hAnsi="Arial" w:cs="Arial"/>
                <w:b/>
                <w:bCs/>
                <w:sz w:val="18"/>
                <w:szCs w:val="18"/>
              </w:rPr>
            </w:pPr>
            <w:r>
              <w:rPr>
                <w:rFonts w:ascii="Arial" w:hAnsi="Arial" w:cs="Arial"/>
                <w:b/>
                <w:bCs/>
                <w:sz w:val="18"/>
                <w:szCs w:val="18"/>
              </w:rPr>
              <w:t>5</w:t>
            </w:r>
            <w:r w:rsidR="00543399">
              <w:rPr>
                <w:rFonts w:ascii="Arial" w:hAnsi="Arial" w:cs="Arial"/>
                <w:b/>
                <w:bCs/>
                <w:sz w:val="18"/>
                <w:szCs w:val="18"/>
              </w:rPr>
              <w:t>.7</w:t>
            </w:r>
          </w:p>
        </w:tc>
        <w:tc>
          <w:tcPr>
            <w:tcW w:w="577" w:type="pct"/>
            <w:tcBorders>
              <w:top w:val="double" w:sz="4" w:space="0" w:color="000000" w:themeColor="text1"/>
              <w:left w:val="nil"/>
              <w:bottom w:val="nil"/>
              <w:right w:val="double" w:sz="4" w:space="0" w:color="auto"/>
            </w:tcBorders>
            <w:vAlign w:val="center"/>
          </w:tcPr>
          <w:p w14:paraId="338B516E" w14:textId="2D02D119" w:rsidR="00543399" w:rsidRDefault="00543399" w:rsidP="00543399">
            <w:pPr>
              <w:tabs>
                <w:tab w:val="decimal" w:pos="471"/>
              </w:tabs>
              <w:rPr>
                <w:rFonts w:ascii="Arial" w:hAnsi="Arial" w:cs="Arial"/>
                <w:b/>
                <w:bCs/>
                <w:sz w:val="18"/>
                <w:szCs w:val="18"/>
              </w:rPr>
            </w:pPr>
            <w:r>
              <w:rPr>
                <w:rFonts w:ascii="Arial" w:hAnsi="Arial" w:cs="Arial"/>
                <w:b/>
                <w:bCs/>
                <w:sz w:val="18"/>
                <w:szCs w:val="18"/>
              </w:rPr>
              <w:t>6.</w:t>
            </w:r>
            <w:r w:rsidR="00F96566">
              <w:rPr>
                <w:rFonts w:ascii="Arial" w:hAnsi="Arial" w:cs="Arial"/>
                <w:b/>
                <w:bCs/>
                <w:sz w:val="18"/>
                <w:szCs w:val="18"/>
              </w:rPr>
              <w:t>0</w:t>
            </w:r>
          </w:p>
        </w:tc>
      </w:tr>
      <w:tr w:rsidR="00543399" w:rsidRPr="00075546" w14:paraId="3571A734" w14:textId="02BFA8A7" w:rsidTr="00D67AF3">
        <w:trPr>
          <w:trHeight w:val="255"/>
          <w:jc w:val="center"/>
        </w:trPr>
        <w:tc>
          <w:tcPr>
            <w:tcW w:w="1279" w:type="pct"/>
            <w:tcBorders>
              <w:top w:val="nil"/>
              <w:left w:val="double" w:sz="4" w:space="0" w:color="auto"/>
              <w:bottom w:val="nil"/>
              <w:right w:val="double" w:sz="4" w:space="0" w:color="000000" w:themeColor="text1"/>
            </w:tcBorders>
            <w:vAlign w:val="center"/>
          </w:tcPr>
          <w:p w14:paraId="0DCE640D" w14:textId="77777777" w:rsidR="00543399" w:rsidRPr="00231C06" w:rsidRDefault="00543399" w:rsidP="00543399">
            <w:pPr>
              <w:pStyle w:val="Textoindependiente21"/>
              <w:keepNext/>
              <w:keepLines/>
              <w:widowControl w:val="0"/>
              <w:numPr>
                <w:ilvl w:val="12"/>
                <w:numId w:val="0"/>
              </w:numPr>
              <w:spacing w:after="0"/>
              <w:ind w:left="170" w:right="-79" w:firstLine="11"/>
              <w:rPr>
                <w:rFonts w:cs="Arial"/>
                <w:b/>
                <w:sz w:val="18"/>
                <w:szCs w:val="18"/>
                <w:lang w:val="es-ES"/>
              </w:rPr>
            </w:pPr>
            <w:r w:rsidRPr="00231C06">
              <w:rPr>
                <w:rFonts w:cs="Arial"/>
                <w:b/>
                <w:sz w:val="18"/>
                <w:szCs w:val="18"/>
                <w:lang w:val="es-ES"/>
              </w:rPr>
              <w:t>Estados Unidos</w:t>
            </w:r>
          </w:p>
        </w:tc>
        <w:tc>
          <w:tcPr>
            <w:tcW w:w="708" w:type="pct"/>
            <w:tcBorders>
              <w:top w:val="nil"/>
              <w:left w:val="double" w:sz="4" w:space="0" w:color="000000" w:themeColor="text1"/>
              <w:bottom w:val="nil"/>
              <w:right w:val="double" w:sz="4" w:space="0" w:color="000000" w:themeColor="text1"/>
            </w:tcBorders>
            <w:vAlign w:val="center"/>
          </w:tcPr>
          <w:p w14:paraId="41E104EA" w14:textId="57076471" w:rsidR="00543399" w:rsidRPr="002500FF" w:rsidRDefault="00543399" w:rsidP="00543399">
            <w:pPr>
              <w:tabs>
                <w:tab w:val="decimal" w:pos="560"/>
              </w:tabs>
              <w:rPr>
                <w:rFonts w:ascii="Arial" w:hAnsi="Arial" w:cs="Arial"/>
                <w:b/>
                <w:bCs/>
                <w:sz w:val="18"/>
                <w:szCs w:val="18"/>
              </w:rPr>
            </w:pPr>
            <w:r>
              <w:rPr>
                <w:rFonts w:ascii="Arial" w:hAnsi="Arial" w:cs="Arial"/>
                <w:b/>
                <w:bCs/>
                <w:sz w:val="18"/>
                <w:szCs w:val="18"/>
              </w:rPr>
              <w:t>83.</w:t>
            </w:r>
            <w:r w:rsidR="00F96566">
              <w:rPr>
                <w:rFonts w:ascii="Arial" w:hAnsi="Arial" w:cs="Arial"/>
                <w:b/>
                <w:bCs/>
                <w:sz w:val="18"/>
                <w:szCs w:val="18"/>
              </w:rPr>
              <w:t>19</w:t>
            </w:r>
          </w:p>
        </w:tc>
        <w:tc>
          <w:tcPr>
            <w:tcW w:w="650" w:type="pct"/>
            <w:tcBorders>
              <w:top w:val="nil"/>
              <w:left w:val="nil"/>
              <w:bottom w:val="nil"/>
              <w:right w:val="double" w:sz="4" w:space="0" w:color="000000" w:themeColor="text1"/>
            </w:tcBorders>
            <w:vAlign w:val="center"/>
          </w:tcPr>
          <w:p w14:paraId="052D49B7" w14:textId="349337A9" w:rsidR="00543399" w:rsidRPr="008F35A1" w:rsidRDefault="00543399" w:rsidP="00543399">
            <w:pPr>
              <w:tabs>
                <w:tab w:val="decimal" w:pos="646"/>
              </w:tabs>
              <w:rPr>
                <w:rFonts w:ascii="Arial" w:hAnsi="Arial" w:cs="Arial"/>
                <w:b/>
                <w:bCs/>
                <w:sz w:val="18"/>
                <w:szCs w:val="18"/>
              </w:rPr>
            </w:pPr>
            <w:r>
              <w:rPr>
                <w:rFonts w:ascii="Arial" w:hAnsi="Arial" w:cs="Arial"/>
                <w:b/>
                <w:bCs/>
                <w:sz w:val="18"/>
                <w:szCs w:val="18"/>
              </w:rPr>
              <w:t>16.6</w:t>
            </w:r>
          </w:p>
        </w:tc>
        <w:tc>
          <w:tcPr>
            <w:tcW w:w="604" w:type="pct"/>
            <w:tcBorders>
              <w:top w:val="nil"/>
              <w:left w:val="double" w:sz="4" w:space="0" w:color="000000" w:themeColor="text1"/>
              <w:bottom w:val="nil"/>
              <w:right w:val="nil"/>
            </w:tcBorders>
            <w:vAlign w:val="center"/>
          </w:tcPr>
          <w:p w14:paraId="1461BEC1" w14:textId="1AFC39F8" w:rsidR="00543399" w:rsidRPr="002500FF" w:rsidRDefault="00543399" w:rsidP="00543399">
            <w:pPr>
              <w:tabs>
                <w:tab w:val="decimal" w:pos="553"/>
              </w:tabs>
              <w:rPr>
                <w:rFonts w:ascii="Arial" w:hAnsi="Arial" w:cs="Arial"/>
                <w:b/>
                <w:bCs/>
                <w:sz w:val="18"/>
                <w:szCs w:val="18"/>
              </w:rPr>
            </w:pPr>
            <w:r>
              <w:rPr>
                <w:rFonts w:ascii="Arial" w:hAnsi="Arial" w:cs="Arial"/>
                <w:b/>
                <w:bCs/>
                <w:sz w:val="18"/>
                <w:szCs w:val="18"/>
              </w:rPr>
              <w:t>11.4</w:t>
            </w:r>
          </w:p>
        </w:tc>
        <w:tc>
          <w:tcPr>
            <w:tcW w:w="605" w:type="pct"/>
            <w:tcBorders>
              <w:top w:val="nil"/>
              <w:left w:val="nil"/>
              <w:bottom w:val="nil"/>
              <w:right w:val="nil"/>
            </w:tcBorders>
            <w:vAlign w:val="center"/>
          </w:tcPr>
          <w:p w14:paraId="08D92F87" w14:textId="520BC71D" w:rsidR="00543399" w:rsidRPr="002500FF" w:rsidRDefault="00543399" w:rsidP="00543399">
            <w:pPr>
              <w:tabs>
                <w:tab w:val="decimal" w:pos="570"/>
              </w:tabs>
              <w:rPr>
                <w:rFonts w:ascii="Arial" w:hAnsi="Arial" w:cs="Arial"/>
                <w:b/>
                <w:bCs/>
                <w:sz w:val="18"/>
                <w:szCs w:val="18"/>
              </w:rPr>
            </w:pPr>
            <w:r>
              <w:rPr>
                <w:rFonts w:ascii="Arial" w:hAnsi="Arial" w:cs="Arial"/>
                <w:b/>
                <w:bCs/>
                <w:sz w:val="18"/>
                <w:szCs w:val="18"/>
              </w:rPr>
              <w:t>2.7</w:t>
            </w:r>
          </w:p>
        </w:tc>
        <w:tc>
          <w:tcPr>
            <w:tcW w:w="577" w:type="pct"/>
            <w:tcBorders>
              <w:top w:val="nil"/>
              <w:left w:val="nil"/>
              <w:bottom w:val="nil"/>
              <w:right w:val="nil"/>
            </w:tcBorders>
            <w:vAlign w:val="center"/>
          </w:tcPr>
          <w:p w14:paraId="553D0049" w14:textId="76E320BB" w:rsidR="00543399" w:rsidRDefault="00F96566" w:rsidP="00543399">
            <w:pPr>
              <w:tabs>
                <w:tab w:val="decimal" w:pos="576"/>
              </w:tabs>
              <w:rPr>
                <w:rFonts w:ascii="Arial" w:hAnsi="Arial" w:cs="Arial"/>
                <w:b/>
                <w:bCs/>
                <w:sz w:val="18"/>
                <w:szCs w:val="18"/>
              </w:rPr>
            </w:pPr>
            <w:r>
              <w:rPr>
                <w:rFonts w:ascii="Arial" w:hAnsi="Arial" w:cs="Arial"/>
                <w:b/>
                <w:bCs/>
                <w:sz w:val="18"/>
                <w:szCs w:val="18"/>
              </w:rPr>
              <w:t>6.9</w:t>
            </w:r>
          </w:p>
        </w:tc>
        <w:tc>
          <w:tcPr>
            <w:tcW w:w="577" w:type="pct"/>
            <w:tcBorders>
              <w:top w:val="nil"/>
              <w:left w:val="nil"/>
              <w:bottom w:val="nil"/>
              <w:right w:val="double" w:sz="4" w:space="0" w:color="auto"/>
            </w:tcBorders>
            <w:vAlign w:val="center"/>
          </w:tcPr>
          <w:p w14:paraId="0DB5D148" w14:textId="3542D0AB" w:rsidR="00543399" w:rsidRDefault="00543399" w:rsidP="00543399">
            <w:pPr>
              <w:tabs>
                <w:tab w:val="decimal" w:pos="471"/>
              </w:tabs>
              <w:rPr>
                <w:rFonts w:ascii="Arial" w:hAnsi="Arial" w:cs="Arial"/>
                <w:b/>
                <w:bCs/>
                <w:sz w:val="18"/>
                <w:szCs w:val="18"/>
              </w:rPr>
            </w:pPr>
            <w:r>
              <w:rPr>
                <w:rFonts w:ascii="Arial" w:hAnsi="Arial" w:cs="Arial"/>
                <w:b/>
                <w:bCs/>
                <w:sz w:val="18"/>
                <w:szCs w:val="18"/>
              </w:rPr>
              <w:t>7.2</w:t>
            </w:r>
          </w:p>
        </w:tc>
      </w:tr>
      <w:tr w:rsidR="00543399" w:rsidRPr="00075546" w14:paraId="5D502775" w14:textId="132A7CFF" w:rsidTr="00D67AF3">
        <w:trPr>
          <w:trHeight w:val="255"/>
          <w:jc w:val="center"/>
        </w:trPr>
        <w:tc>
          <w:tcPr>
            <w:tcW w:w="1279" w:type="pct"/>
            <w:tcBorders>
              <w:top w:val="nil"/>
              <w:left w:val="double" w:sz="4" w:space="0" w:color="auto"/>
              <w:bottom w:val="nil"/>
              <w:right w:val="double" w:sz="4" w:space="0" w:color="000000" w:themeColor="text1"/>
            </w:tcBorders>
            <w:vAlign w:val="center"/>
          </w:tcPr>
          <w:p w14:paraId="642858CB" w14:textId="77777777" w:rsidR="00543399" w:rsidRPr="00231C06" w:rsidRDefault="00543399" w:rsidP="00543399">
            <w:pPr>
              <w:pStyle w:val="Textoindependiente21"/>
              <w:keepNext/>
              <w:keepLines/>
              <w:widowControl w:val="0"/>
              <w:numPr>
                <w:ilvl w:val="12"/>
                <w:numId w:val="0"/>
              </w:numPr>
              <w:spacing w:after="0"/>
              <w:ind w:left="426" w:right="-82"/>
              <w:rPr>
                <w:rFonts w:cs="Arial"/>
                <w:sz w:val="18"/>
                <w:szCs w:val="18"/>
                <w:lang w:val="es-ES"/>
              </w:rPr>
            </w:pPr>
            <w:r w:rsidRPr="00231C06">
              <w:rPr>
                <w:rFonts w:cs="Arial"/>
                <w:sz w:val="18"/>
                <w:szCs w:val="18"/>
                <w:lang w:val="es-ES"/>
              </w:rPr>
              <w:t>Automotriz</w:t>
            </w:r>
          </w:p>
        </w:tc>
        <w:tc>
          <w:tcPr>
            <w:tcW w:w="708" w:type="pct"/>
            <w:tcBorders>
              <w:top w:val="nil"/>
              <w:left w:val="double" w:sz="4" w:space="0" w:color="000000" w:themeColor="text1"/>
              <w:bottom w:val="nil"/>
              <w:right w:val="double" w:sz="4" w:space="0" w:color="000000" w:themeColor="text1"/>
            </w:tcBorders>
            <w:vAlign w:val="center"/>
          </w:tcPr>
          <w:p w14:paraId="7AE35AF4" w14:textId="628A2150" w:rsidR="00543399" w:rsidRPr="002500FF" w:rsidRDefault="00543399" w:rsidP="00543399">
            <w:pPr>
              <w:tabs>
                <w:tab w:val="decimal" w:pos="560"/>
              </w:tabs>
              <w:rPr>
                <w:rFonts w:ascii="Arial" w:hAnsi="Arial" w:cs="Arial"/>
                <w:sz w:val="18"/>
                <w:szCs w:val="18"/>
              </w:rPr>
            </w:pPr>
            <w:r>
              <w:rPr>
                <w:rFonts w:ascii="Arial" w:hAnsi="Arial" w:cs="Arial"/>
                <w:sz w:val="18"/>
                <w:szCs w:val="18"/>
              </w:rPr>
              <w:t>27.</w:t>
            </w:r>
            <w:r w:rsidR="00F96566">
              <w:rPr>
                <w:rFonts w:ascii="Arial" w:hAnsi="Arial" w:cs="Arial"/>
                <w:sz w:val="18"/>
                <w:szCs w:val="18"/>
              </w:rPr>
              <w:t>43</w:t>
            </w:r>
          </w:p>
        </w:tc>
        <w:tc>
          <w:tcPr>
            <w:tcW w:w="650" w:type="pct"/>
            <w:tcBorders>
              <w:top w:val="nil"/>
              <w:left w:val="nil"/>
              <w:bottom w:val="nil"/>
              <w:right w:val="double" w:sz="4" w:space="0" w:color="000000" w:themeColor="text1"/>
            </w:tcBorders>
            <w:vAlign w:val="center"/>
          </w:tcPr>
          <w:p w14:paraId="465F9E7E" w14:textId="1CE31970" w:rsidR="00543399" w:rsidRPr="008F35A1" w:rsidRDefault="00543399" w:rsidP="00543399">
            <w:pPr>
              <w:tabs>
                <w:tab w:val="decimal" w:pos="646"/>
              </w:tabs>
              <w:rPr>
                <w:rFonts w:ascii="Arial" w:hAnsi="Arial" w:cs="Arial"/>
                <w:sz w:val="18"/>
                <w:szCs w:val="18"/>
              </w:rPr>
            </w:pPr>
            <w:r>
              <w:rPr>
                <w:rFonts w:ascii="Arial" w:hAnsi="Arial" w:cs="Arial"/>
                <w:sz w:val="18"/>
                <w:szCs w:val="18"/>
              </w:rPr>
              <w:t>17.3</w:t>
            </w:r>
          </w:p>
        </w:tc>
        <w:tc>
          <w:tcPr>
            <w:tcW w:w="604" w:type="pct"/>
            <w:tcBorders>
              <w:top w:val="nil"/>
              <w:left w:val="double" w:sz="4" w:space="0" w:color="000000" w:themeColor="text1"/>
              <w:bottom w:val="nil"/>
              <w:right w:val="nil"/>
            </w:tcBorders>
            <w:vAlign w:val="center"/>
          </w:tcPr>
          <w:p w14:paraId="12AF85BB" w14:textId="14387A51" w:rsidR="00543399" w:rsidRPr="002500FF" w:rsidRDefault="00543399" w:rsidP="00543399">
            <w:pPr>
              <w:tabs>
                <w:tab w:val="decimal" w:pos="553"/>
              </w:tabs>
              <w:rPr>
                <w:rFonts w:ascii="Arial" w:hAnsi="Arial" w:cs="Arial"/>
                <w:sz w:val="18"/>
                <w:szCs w:val="18"/>
              </w:rPr>
            </w:pPr>
            <w:r>
              <w:rPr>
                <w:rFonts w:ascii="Arial" w:hAnsi="Arial" w:cs="Arial"/>
                <w:sz w:val="18"/>
                <w:szCs w:val="18"/>
              </w:rPr>
              <w:t>31.0</w:t>
            </w:r>
          </w:p>
        </w:tc>
        <w:tc>
          <w:tcPr>
            <w:tcW w:w="605" w:type="pct"/>
            <w:tcBorders>
              <w:top w:val="nil"/>
              <w:left w:val="nil"/>
              <w:bottom w:val="nil"/>
              <w:right w:val="nil"/>
            </w:tcBorders>
            <w:vAlign w:val="center"/>
          </w:tcPr>
          <w:p w14:paraId="3395E925" w14:textId="3D20838B" w:rsidR="00543399" w:rsidRPr="002500FF" w:rsidRDefault="00543399" w:rsidP="00543399">
            <w:pPr>
              <w:tabs>
                <w:tab w:val="decimal" w:pos="570"/>
              </w:tabs>
              <w:rPr>
                <w:rFonts w:ascii="Arial" w:hAnsi="Arial" w:cs="Arial"/>
                <w:sz w:val="18"/>
                <w:szCs w:val="18"/>
              </w:rPr>
            </w:pPr>
            <w:r>
              <w:rPr>
                <w:rFonts w:ascii="Arial" w:hAnsi="Arial" w:cs="Arial"/>
                <w:sz w:val="18"/>
                <w:szCs w:val="18"/>
              </w:rPr>
              <w:t>6.9</w:t>
            </w:r>
          </w:p>
        </w:tc>
        <w:tc>
          <w:tcPr>
            <w:tcW w:w="577" w:type="pct"/>
            <w:tcBorders>
              <w:top w:val="nil"/>
              <w:left w:val="nil"/>
              <w:bottom w:val="nil"/>
              <w:right w:val="nil"/>
            </w:tcBorders>
            <w:vAlign w:val="center"/>
          </w:tcPr>
          <w:p w14:paraId="726BE866" w14:textId="5B3B4D40" w:rsidR="00543399" w:rsidRDefault="00F96566" w:rsidP="00543399">
            <w:pPr>
              <w:tabs>
                <w:tab w:val="decimal" w:pos="576"/>
              </w:tabs>
              <w:rPr>
                <w:rFonts w:ascii="Arial" w:hAnsi="Arial" w:cs="Arial"/>
                <w:sz w:val="18"/>
                <w:szCs w:val="18"/>
              </w:rPr>
            </w:pPr>
            <w:r w:rsidRPr="00041C41">
              <w:rPr>
                <w:rFonts w:ascii="Arial" w:hAnsi="Arial" w:cs="Arial"/>
                <w:sz w:val="18"/>
                <w:szCs w:val="18"/>
              </w:rPr>
              <w:t>37.5</w:t>
            </w:r>
          </w:p>
        </w:tc>
        <w:tc>
          <w:tcPr>
            <w:tcW w:w="577" w:type="pct"/>
            <w:tcBorders>
              <w:top w:val="nil"/>
              <w:left w:val="nil"/>
              <w:bottom w:val="nil"/>
              <w:right w:val="double" w:sz="4" w:space="0" w:color="auto"/>
            </w:tcBorders>
            <w:vAlign w:val="center"/>
          </w:tcPr>
          <w:p w14:paraId="6009F1D7" w14:textId="35475295" w:rsidR="00543399" w:rsidRDefault="00F96566" w:rsidP="00543399">
            <w:pPr>
              <w:tabs>
                <w:tab w:val="decimal" w:pos="471"/>
              </w:tabs>
              <w:rPr>
                <w:rFonts w:ascii="Arial" w:hAnsi="Arial" w:cs="Arial"/>
                <w:sz w:val="18"/>
                <w:szCs w:val="18"/>
              </w:rPr>
            </w:pPr>
            <w:r>
              <w:rPr>
                <w:rFonts w:ascii="Arial" w:hAnsi="Arial" w:cs="Arial"/>
                <w:sz w:val="18"/>
                <w:szCs w:val="18"/>
              </w:rPr>
              <w:t>17.7</w:t>
            </w:r>
          </w:p>
        </w:tc>
      </w:tr>
      <w:tr w:rsidR="00543399" w:rsidRPr="00075546" w14:paraId="514B537E" w14:textId="788FAF93" w:rsidTr="00D67AF3">
        <w:trPr>
          <w:trHeight w:val="255"/>
          <w:jc w:val="center"/>
        </w:trPr>
        <w:tc>
          <w:tcPr>
            <w:tcW w:w="1279" w:type="pct"/>
            <w:tcBorders>
              <w:top w:val="nil"/>
              <w:left w:val="double" w:sz="4" w:space="0" w:color="auto"/>
              <w:bottom w:val="nil"/>
              <w:right w:val="double" w:sz="4" w:space="0" w:color="000000" w:themeColor="text1"/>
            </w:tcBorders>
            <w:vAlign w:val="center"/>
          </w:tcPr>
          <w:p w14:paraId="67068B9E" w14:textId="77777777" w:rsidR="00543399" w:rsidRPr="00231C06" w:rsidRDefault="00543399" w:rsidP="00543399">
            <w:pPr>
              <w:pStyle w:val="Textoindependiente21"/>
              <w:keepNext/>
              <w:keepLines/>
              <w:widowControl w:val="0"/>
              <w:numPr>
                <w:ilvl w:val="12"/>
                <w:numId w:val="0"/>
              </w:numPr>
              <w:spacing w:after="0"/>
              <w:ind w:left="426" w:right="-82"/>
              <w:rPr>
                <w:rFonts w:cs="Arial"/>
                <w:sz w:val="18"/>
                <w:szCs w:val="18"/>
                <w:lang w:val="es-ES"/>
              </w:rPr>
            </w:pPr>
            <w:r w:rsidRPr="00231C06">
              <w:rPr>
                <w:rFonts w:cs="Arial"/>
                <w:sz w:val="18"/>
                <w:szCs w:val="18"/>
                <w:lang w:val="es-ES"/>
              </w:rPr>
              <w:t>Otras</w:t>
            </w:r>
          </w:p>
        </w:tc>
        <w:tc>
          <w:tcPr>
            <w:tcW w:w="708" w:type="pct"/>
            <w:tcBorders>
              <w:top w:val="nil"/>
              <w:left w:val="double" w:sz="4" w:space="0" w:color="000000" w:themeColor="text1"/>
              <w:bottom w:val="nil"/>
              <w:right w:val="double" w:sz="4" w:space="0" w:color="000000" w:themeColor="text1"/>
            </w:tcBorders>
            <w:vAlign w:val="center"/>
          </w:tcPr>
          <w:p w14:paraId="01271D9F" w14:textId="30418A91" w:rsidR="00543399" w:rsidRPr="002500FF" w:rsidRDefault="00F96566" w:rsidP="00543399">
            <w:pPr>
              <w:tabs>
                <w:tab w:val="decimal" w:pos="560"/>
              </w:tabs>
              <w:rPr>
                <w:rFonts w:ascii="Arial" w:hAnsi="Arial" w:cs="Arial"/>
                <w:bCs/>
                <w:sz w:val="18"/>
                <w:szCs w:val="18"/>
              </w:rPr>
            </w:pPr>
            <w:r>
              <w:rPr>
                <w:rFonts w:ascii="Arial" w:hAnsi="Arial" w:cs="Arial"/>
                <w:sz w:val="18"/>
                <w:szCs w:val="18"/>
              </w:rPr>
              <w:t>55.76</w:t>
            </w:r>
          </w:p>
        </w:tc>
        <w:tc>
          <w:tcPr>
            <w:tcW w:w="650" w:type="pct"/>
            <w:tcBorders>
              <w:top w:val="nil"/>
              <w:left w:val="nil"/>
              <w:bottom w:val="nil"/>
              <w:right w:val="double" w:sz="4" w:space="0" w:color="000000" w:themeColor="text1"/>
            </w:tcBorders>
            <w:vAlign w:val="center"/>
          </w:tcPr>
          <w:p w14:paraId="763E5B8E" w14:textId="602A96E7" w:rsidR="00543399" w:rsidRPr="008F35A1" w:rsidRDefault="00543399" w:rsidP="00543399">
            <w:pPr>
              <w:tabs>
                <w:tab w:val="decimal" w:pos="646"/>
              </w:tabs>
              <w:rPr>
                <w:rFonts w:ascii="Arial" w:hAnsi="Arial" w:cs="Arial"/>
                <w:sz w:val="18"/>
                <w:szCs w:val="18"/>
              </w:rPr>
            </w:pPr>
            <w:r>
              <w:rPr>
                <w:rFonts w:ascii="Arial" w:hAnsi="Arial" w:cs="Arial"/>
                <w:sz w:val="18"/>
                <w:szCs w:val="18"/>
              </w:rPr>
              <w:t>16.2</w:t>
            </w:r>
          </w:p>
        </w:tc>
        <w:tc>
          <w:tcPr>
            <w:tcW w:w="604" w:type="pct"/>
            <w:tcBorders>
              <w:top w:val="nil"/>
              <w:left w:val="double" w:sz="4" w:space="0" w:color="000000" w:themeColor="text1"/>
              <w:bottom w:val="nil"/>
              <w:right w:val="nil"/>
            </w:tcBorders>
            <w:vAlign w:val="center"/>
          </w:tcPr>
          <w:p w14:paraId="7F4D1C19" w14:textId="34590F8B" w:rsidR="00543399" w:rsidRPr="002500FF" w:rsidRDefault="00543399" w:rsidP="00543399">
            <w:pPr>
              <w:tabs>
                <w:tab w:val="decimal" w:pos="553"/>
              </w:tabs>
              <w:rPr>
                <w:rFonts w:ascii="Arial" w:hAnsi="Arial" w:cs="Arial"/>
                <w:sz w:val="18"/>
                <w:szCs w:val="18"/>
              </w:rPr>
            </w:pPr>
            <w:r>
              <w:rPr>
                <w:rFonts w:ascii="Arial" w:hAnsi="Arial" w:cs="Arial"/>
                <w:sz w:val="18"/>
                <w:szCs w:val="18"/>
              </w:rPr>
              <w:t>3.2</w:t>
            </w:r>
          </w:p>
        </w:tc>
        <w:tc>
          <w:tcPr>
            <w:tcW w:w="605" w:type="pct"/>
            <w:tcBorders>
              <w:top w:val="nil"/>
              <w:left w:val="nil"/>
              <w:bottom w:val="nil"/>
              <w:right w:val="nil"/>
            </w:tcBorders>
            <w:vAlign w:val="center"/>
          </w:tcPr>
          <w:p w14:paraId="30FBB824" w14:textId="7DBCF95B" w:rsidR="00543399" w:rsidRPr="002500FF" w:rsidRDefault="00543399" w:rsidP="00543399">
            <w:pPr>
              <w:tabs>
                <w:tab w:val="decimal" w:pos="570"/>
              </w:tabs>
              <w:rPr>
                <w:rFonts w:ascii="Arial" w:hAnsi="Arial" w:cs="Arial"/>
                <w:sz w:val="18"/>
                <w:szCs w:val="18"/>
              </w:rPr>
            </w:pPr>
            <w:r>
              <w:rPr>
                <w:rFonts w:ascii="Arial" w:hAnsi="Arial" w:cs="Arial"/>
                <w:sz w:val="18"/>
                <w:szCs w:val="18"/>
              </w:rPr>
              <w:t>0.9</w:t>
            </w:r>
          </w:p>
        </w:tc>
        <w:tc>
          <w:tcPr>
            <w:tcW w:w="577" w:type="pct"/>
            <w:tcBorders>
              <w:top w:val="nil"/>
              <w:left w:val="nil"/>
              <w:bottom w:val="nil"/>
              <w:right w:val="nil"/>
            </w:tcBorders>
            <w:vAlign w:val="center"/>
          </w:tcPr>
          <w:p w14:paraId="3F0F2FEA" w14:textId="6AD785B7" w:rsidR="00543399" w:rsidRDefault="00F96566" w:rsidP="00543399">
            <w:pPr>
              <w:tabs>
                <w:tab w:val="decimal" w:pos="576"/>
              </w:tabs>
              <w:rPr>
                <w:rFonts w:ascii="Arial" w:hAnsi="Arial" w:cs="Arial"/>
                <w:sz w:val="18"/>
                <w:szCs w:val="18"/>
              </w:rPr>
            </w:pPr>
            <w:r>
              <w:rPr>
                <w:rFonts w:ascii="Arial" w:hAnsi="Arial" w:cs="Arial"/>
                <w:sz w:val="18"/>
                <w:szCs w:val="18"/>
              </w:rPr>
              <w:t>-4.9</w:t>
            </w:r>
          </w:p>
        </w:tc>
        <w:tc>
          <w:tcPr>
            <w:tcW w:w="577" w:type="pct"/>
            <w:tcBorders>
              <w:top w:val="nil"/>
              <w:left w:val="nil"/>
              <w:bottom w:val="nil"/>
              <w:right w:val="double" w:sz="4" w:space="0" w:color="auto"/>
            </w:tcBorders>
            <w:vAlign w:val="center"/>
          </w:tcPr>
          <w:p w14:paraId="3B4F9EE0" w14:textId="5A57A470" w:rsidR="00543399" w:rsidRDefault="00F96566" w:rsidP="00543399">
            <w:pPr>
              <w:tabs>
                <w:tab w:val="decimal" w:pos="471"/>
              </w:tabs>
              <w:rPr>
                <w:rFonts w:ascii="Arial" w:hAnsi="Arial" w:cs="Arial"/>
                <w:sz w:val="18"/>
                <w:szCs w:val="18"/>
              </w:rPr>
            </w:pPr>
            <w:r>
              <w:rPr>
                <w:rFonts w:ascii="Arial" w:hAnsi="Arial" w:cs="Arial"/>
                <w:sz w:val="18"/>
                <w:szCs w:val="18"/>
              </w:rPr>
              <w:t>2.7</w:t>
            </w:r>
          </w:p>
        </w:tc>
      </w:tr>
      <w:tr w:rsidR="00543399" w:rsidRPr="00075546" w14:paraId="5CF8F748" w14:textId="788ED69B" w:rsidTr="00D67AF3">
        <w:trPr>
          <w:trHeight w:val="255"/>
          <w:jc w:val="center"/>
        </w:trPr>
        <w:tc>
          <w:tcPr>
            <w:tcW w:w="1279" w:type="pct"/>
            <w:tcBorders>
              <w:top w:val="nil"/>
              <w:left w:val="double" w:sz="4" w:space="0" w:color="auto"/>
              <w:bottom w:val="nil"/>
              <w:right w:val="double" w:sz="4" w:space="0" w:color="000000" w:themeColor="text1"/>
            </w:tcBorders>
            <w:vAlign w:val="center"/>
          </w:tcPr>
          <w:p w14:paraId="51CEDAD2" w14:textId="77777777" w:rsidR="00543399" w:rsidRPr="00231C06" w:rsidRDefault="00543399" w:rsidP="00543399">
            <w:pPr>
              <w:pStyle w:val="Textoindependiente21"/>
              <w:keepNext/>
              <w:keepLines/>
              <w:widowControl w:val="0"/>
              <w:numPr>
                <w:ilvl w:val="12"/>
                <w:numId w:val="0"/>
              </w:numPr>
              <w:spacing w:after="0"/>
              <w:ind w:left="170" w:right="-79" w:firstLine="11"/>
              <w:rPr>
                <w:rFonts w:cs="Arial"/>
                <w:b/>
                <w:sz w:val="18"/>
                <w:szCs w:val="18"/>
                <w:lang w:val="es-ES"/>
              </w:rPr>
            </w:pPr>
            <w:r w:rsidRPr="00231C06">
              <w:rPr>
                <w:rFonts w:cs="Arial"/>
                <w:b/>
                <w:sz w:val="18"/>
                <w:szCs w:val="18"/>
                <w:lang w:val="es-ES"/>
              </w:rPr>
              <w:t>Resto del Mundo</w:t>
            </w:r>
          </w:p>
        </w:tc>
        <w:tc>
          <w:tcPr>
            <w:tcW w:w="708" w:type="pct"/>
            <w:tcBorders>
              <w:top w:val="nil"/>
              <w:left w:val="double" w:sz="4" w:space="0" w:color="000000" w:themeColor="text1"/>
              <w:bottom w:val="nil"/>
              <w:right w:val="double" w:sz="4" w:space="0" w:color="000000" w:themeColor="text1"/>
            </w:tcBorders>
            <w:vAlign w:val="center"/>
          </w:tcPr>
          <w:p w14:paraId="07AD8029" w14:textId="53398C0F" w:rsidR="00543399" w:rsidRPr="002500FF" w:rsidRDefault="00543399" w:rsidP="00543399">
            <w:pPr>
              <w:tabs>
                <w:tab w:val="decimal" w:pos="560"/>
              </w:tabs>
              <w:rPr>
                <w:rFonts w:ascii="Arial" w:hAnsi="Arial" w:cs="Arial"/>
                <w:b/>
                <w:bCs/>
                <w:sz w:val="18"/>
                <w:szCs w:val="18"/>
              </w:rPr>
            </w:pPr>
            <w:r>
              <w:rPr>
                <w:rFonts w:ascii="Arial" w:hAnsi="Arial" w:cs="Arial"/>
                <w:b/>
                <w:bCs/>
                <w:sz w:val="18"/>
                <w:szCs w:val="18"/>
              </w:rPr>
              <w:t>16.8</w:t>
            </w:r>
            <w:r w:rsidR="00F96566">
              <w:rPr>
                <w:rFonts w:ascii="Arial" w:hAnsi="Arial" w:cs="Arial"/>
                <w:b/>
                <w:bCs/>
                <w:sz w:val="18"/>
                <w:szCs w:val="18"/>
              </w:rPr>
              <w:t>1</w:t>
            </w:r>
          </w:p>
        </w:tc>
        <w:tc>
          <w:tcPr>
            <w:tcW w:w="650" w:type="pct"/>
            <w:tcBorders>
              <w:top w:val="nil"/>
              <w:left w:val="nil"/>
              <w:bottom w:val="nil"/>
              <w:right w:val="double" w:sz="4" w:space="0" w:color="000000" w:themeColor="text1"/>
            </w:tcBorders>
            <w:vAlign w:val="center"/>
          </w:tcPr>
          <w:p w14:paraId="1849A984" w14:textId="5B8131EC" w:rsidR="00543399" w:rsidRPr="008F35A1" w:rsidRDefault="00543399" w:rsidP="00543399">
            <w:pPr>
              <w:tabs>
                <w:tab w:val="decimal" w:pos="646"/>
              </w:tabs>
              <w:rPr>
                <w:rFonts w:ascii="Arial" w:hAnsi="Arial" w:cs="Arial"/>
                <w:b/>
                <w:bCs/>
                <w:sz w:val="18"/>
                <w:szCs w:val="18"/>
              </w:rPr>
            </w:pPr>
            <w:r>
              <w:rPr>
                <w:rFonts w:ascii="Arial" w:hAnsi="Arial" w:cs="Arial"/>
                <w:b/>
                <w:bCs/>
                <w:sz w:val="18"/>
                <w:szCs w:val="18"/>
              </w:rPr>
              <w:t>11.9</w:t>
            </w:r>
          </w:p>
        </w:tc>
        <w:tc>
          <w:tcPr>
            <w:tcW w:w="604" w:type="pct"/>
            <w:tcBorders>
              <w:top w:val="nil"/>
              <w:left w:val="double" w:sz="4" w:space="0" w:color="000000" w:themeColor="text1"/>
              <w:bottom w:val="nil"/>
              <w:right w:val="nil"/>
            </w:tcBorders>
            <w:vAlign w:val="center"/>
          </w:tcPr>
          <w:p w14:paraId="32DD9456" w14:textId="6ABD846F" w:rsidR="00543399" w:rsidRPr="002500FF" w:rsidRDefault="00543399" w:rsidP="00543399">
            <w:pPr>
              <w:tabs>
                <w:tab w:val="decimal" w:pos="553"/>
              </w:tabs>
              <w:rPr>
                <w:rFonts w:ascii="Arial" w:hAnsi="Arial" w:cs="Arial"/>
                <w:b/>
                <w:bCs/>
                <w:sz w:val="18"/>
                <w:szCs w:val="18"/>
              </w:rPr>
            </w:pPr>
            <w:r w:rsidRPr="00686056">
              <w:rPr>
                <w:rFonts w:ascii="Arial" w:hAnsi="Arial" w:cs="Arial"/>
                <w:b/>
                <w:bCs/>
                <w:sz w:val="18"/>
                <w:szCs w:val="18"/>
              </w:rPr>
              <w:t>-</w:t>
            </w:r>
            <w:r>
              <w:rPr>
                <w:rFonts w:ascii="Arial" w:hAnsi="Arial" w:cs="Arial"/>
                <w:b/>
                <w:bCs/>
                <w:sz w:val="18"/>
                <w:szCs w:val="18"/>
              </w:rPr>
              <w:t>3.5</w:t>
            </w:r>
          </w:p>
        </w:tc>
        <w:tc>
          <w:tcPr>
            <w:tcW w:w="605" w:type="pct"/>
            <w:tcBorders>
              <w:top w:val="nil"/>
              <w:left w:val="nil"/>
              <w:bottom w:val="nil"/>
              <w:right w:val="nil"/>
            </w:tcBorders>
            <w:vAlign w:val="center"/>
          </w:tcPr>
          <w:p w14:paraId="364177EE" w14:textId="0E124329" w:rsidR="00543399" w:rsidRPr="002500FF" w:rsidRDefault="00543399" w:rsidP="00543399">
            <w:pPr>
              <w:tabs>
                <w:tab w:val="decimal" w:pos="570"/>
              </w:tabs>
              <w:rPr>
                <w:rFonts w:ascii="Arial" w:hAnsi="Arial" w:cs="Arial"/>
                <w:b/>
                <w:bCs/>
                <w:sz w:val="18"/>
                <w:szCs w:val="18"/>
              </w:rPr>
            </w:pPr>
            <w:r>
              <w:rPr>
                <w:rFonts w:ascii="Arial" w:hAnsi="Arial" w:cs="Arial"/>
                <w:b/>
                <w:bCs/>
                <w:sz w:val="18"/>
                <w:szCs w:val="18"/>
              </w:rPr>
              <w:t>8.6</w:t>
            </w:r>
          </w:p>
        </w:tc>
        <w:tc>
          <w:tcPr>
            <w:tcW w:w="577" w:type="pct"/>
            <w:tcBorders>
              <w:top w:val="nil"/>
              <w:left w:val="nil"/>
              <w:bottom w:val="nil"/>
              <w:right w:val="nil"/>
            </w:tcBorders>
            <w:vAlign w:val="center"/>
          </w:tcPr>
          <w:p w14:paraId="62AB1719" w14:textId="5F47D0C1" w:rsidR="00543399" w:rsidRDefault="00F96566" w:rsidP="00543399">
            <w:pPr>
              <w:tabs>
                <w:tab w:val="decimal" w:pos="576"/>
              </w:tabs>
              <w:rPr>
                <w:rFonts w:ascii="Arial" w:hAnsi="Arial" w:cs="Arial"/>
                <w:b/>
                <w:bCs/>
                <w:sz w:val="18"/>
                <w:szCs w:val="18"/>
              </w:rPr>
            </w:pPr>
            <w:r>
              <w:rPr>
                <w:rFonts w:ascii="Arial" w:hAnsi="Arial" w:cs="Arial"/>
                <w:b/>
                <w:bCs/>
                <w:sz w:val="18"/>
                <w:szCs w:val="18"/>
              </w:rPr>
              <w:t>0.3</w:t>
            </w:r>
          </w:p>
        </w:tc>
        <w:tc>
          <w:tcPr>
            <w:tcW w:w="577" w:type="pct"/>
            <w:tcBorders>
              <w:top w:val="nil"/>
              <w:left w:val="nil"/>
              <w:bottom w:val="nil"/>
              <w:right w:val="double" w:sz="4" w:space="0" w:color="auto"/>
            </w:tcBorders>
            <w:vAlign w:val="center"/>
          </w:tcPr>
          <w:p w14:paraId="1ACBF358" w14:textId="5C474E85" w:rsidR="00543399" w:rsidRDefault="00543399" w:rsidP="00543399">
            <w:pPr>
              <w:tabs>
                <w:tab w:val="decimal" w:pos="471"/>
              </w:tabs>
              <w:rPr>
                <w:rFonts w:ascii="Arial" w:hAnsi="Arial" w:cs="Arial"/>
                <w:b/>
                <w:bCs/>
                <w:sz w:val="18"/>
                <w:szCs w:val="18"/>
              </w:rPr>
            </w:pPr>
            <w:r>
              <w:rPr>
                <w:rFonts w:ascii="Arial" w:hAnsi="Arial" w:cs="Arial"/>
                <w:b/>
                <w:bCs/>
                <w:sz w:val="18"/>
                <w:szCs w:val="18"/>
              </w:rPr>
              <w:t>0.</w:t>
            </w:r>
            <w:r w:rsidR="00F96566">
              <w:rPr>
                <w:rFonts w:ascii="Arial" w:hAnsi="Arial" w:cs="Arial"/>
                <w:b/>
                <w:bCs/>
                <w:sz w:val="18"/>
                <w:szCs w:val="18"/>
              </w:rPr>
              <w:t>7</w:t>
            </w:r>
          </w:p>
        </w:tc>
      </w:tr>
      <w:tr w:rsidR="00543399" w:rsidRPr="00075546" w14:paraId="46A4E156" w14:textId="1D433456" w:rsidTr="00D67AF3">
        <w:trPr>
          <w:trHeight w:val="255"/>
          <w:jc w:val="center"/>
        </w:trPr>
        <w:tc>
          <w:tcPr>
            <w:tcW w:w="1279" w:type="pct"/>
            <w:tcBorders>
              <w:top w:val="nil"/>
              <w:left w:val="double" w:sz="4" w:space="0" w:color="auto"/>
              <w:bottom w:val="nil"/>
              <w:right w:val="double" w:sz="4" w:space="0" w:color="000000" w:themeColor="text1"/>
            </w:tcBorders>
            <w:vAlign w:val="center"/>
          </w:tcPr>
          <w:p w14:paraId="56337D31" w14:textId="77777777" w:rsidR="00543399" w:rsidRPr="00231C06" w:rsidRDefault="00543399" w:rsidP="00543399">
            <w:pPr>
              <w:pStyle w:val="Textoindependiente21"/>
              <w:keepNext/>
              <w:keepLines/>
              <w:widowControl w:val="0"/>
              <w:numPr>
                <w:ilvl w:val="12"/>
                <w:numId w:val="0"/>
              </w:numPr>
              <w:spacing w:after="0"/>
              <w:ind w:left="426" w:right="-82"/>
              <w:rPr>
                <w:rFonts w:cs="Arial"/>
                <w:sz w:val="18"/>
                <w:szCs w:val="18"/>
                <w:lang w:val="es-ES"/>
              </w:rPr>
            </w:pPr>
            <w:r w:rsidRPr="00231C06">
              <w:rPr>
                <w:rFonts w:cs="Arial"/>
                <w:sz w:val="18"/>
                <w:szCs w:val="18"/>
                <w:lang w:val="es-ES"/>
              </w:rPr>
              <w:t>Automotriz</w:t>
            </w:r>
          </w:p>
        </w:tc>
        <w:tc>
          <w:tcPr>
            <w:tcW w:w="708" w:type="pct"/>
            <w:tcBorders>
              <w:top w:val="nil"/>
              <w:left w:val="double" w:sz="4" w:space="0" w:color="000000" w:themeColor="text1"/>
              <w:bottom w:val="nil"/>
              <w:right w:val="double" w:sz="4" w:space="0" w:color="000000" w:themeColor="text1"/>
            </w:tcBorders>
            <w:vAlign w:val="center"/>
          </w:tcPr>
          <w:p w14:paraId="10569A32" w14:textId="759B6C23" w:rsidR="00543399" w:rsidRPr="002500FF" w:rsidRDefault="00543399" w:rsidP="00543399">
            <w:pPr>
              <w:tabs>
                <w:tab w:val="decimal" w:pos="560"/>
              </w:tabs>
              <w:rPr>
                <w:rFonts w:ascii="Arial" w:hAnsi="Arial" w:cs="Arial"/>
                <w:sz w:val="18"/>
                <w:szCs w:val="18"/>
              </w:rPr>
            </w:pPr>
            <w:r>
              <w:rPr>
                <w:rFonts w:ascii="Arial" w:hAnsi="Arial" w:cs="Arial"/>
                <w:sz w:val="18"/>
                <w:szCs w:val="18"/>
              </w:rPr>
              <w:t>5.3</w:t>
            </w:r>
            <w:r w:rsidR="00F96566">
              <w:rPr>
                <w:rFonts w:ascii="Arial" w:hAnsi="Arial" w:cs="Arial"/>
                <w:sz w:val="18"/>
                <w:szCs w:val="18"/>
              </w:rPr>
              <w:t>9</w:t>
            </w:r>
          </w:p>
        </w:tc>
        <w:tc>
          <w:tcPr>
            <w:tcW w:w="650" w:type="pct"/>
            <w:tcBorders>
              <w:top w:val="nil"/>
              <w:left w:val="nil"/>
              <w:bottom w:val="nil"/>
              <w:right w:val="double" w:sz="4" w:space="0" w:color="000000" w:themeColor="text1"/>
            </w:tcBorders>
            <w:vAlign w:val="center"/>
          </w:tcPr>
          <w:p w14:paraId="242BFD65" w14:textId="2AB1D254" w:rsidR="00543399" w:rsidRPr="008F35A1" w:rsidRDefault="00543399" w:rsidP="00543399">
            <w:pPr>
              <w:tabs>
                <w:tab w:val="decimal" w:pos="646"/>
              </w:tabs>
              <w:rPr>
                <w:rFonts w:ascii="Arial" w:hAnsi="Arial" w:cs="Arial"/>
                <w:sz w:val="18"/>
                <w:szCs w:val="18"/>
              </w:rPr>
            </w:pPr>
            <w:r>
              <w:rPr>
                <w:rFonts w:ascii="Arial" w:hAnsi="Arial" w:cs="Arial"/>
                <w:sz w:val="18"/>
                <w:szCs w:val="18"/>
              </w:rPr>
              <w:t>22.4</w:t>
            </w:r>
          </w:p>
        </w:tc>
        <w:tc>
          <w:tcPr>
            <w:tcW w:w="604" w:type="pct"/>
            <w:tcBorders>
              <w:top w:val="nil"/>
              <w:left w:val="double" w:sz="4" w:space="0" w:color="000000" w:themeColor="text1"/>
              <w:bottom w:val="nil"/>
              <w:right w:val="nil"/>
            </w:tcBorders>
            <w:vAlign w:val="center"/>
          </w:tcPr>
          <w:p w14:paraId="346A9A32" w14:textId="437D6DEA" w:rsidR="00543399" w:rsidRPr="002500FF" w:rsidRDefault="00543399" w:rsidP="00543399">
            <w:pPr>
              <w:tabs>
                <w:tab w:val="decimal" w:pos="553"/>
              </w:tabs>
              <w:rPr>
                <w:rFonts w:ascii="Arial" w:hAnsi="Arial" w:cs="Arial"/>
                <w:sz w:val="18"/>
                <w:szCs w:val="18"/>
              </w:rPr>
            </w:pPr>
            <w:r>
              <w:rPr>
                <w:rFonts w:ascii="Arial" w:hAnsi="Arial" w:cs="Arial"/>
                <w:sz w:val="18"/>
                <w:szCs w:val="18"/>
              </w:rPr>
              <w:t>7.6</w:t>
            </w:r>
          </w:p>
        </w:tc>
        <w:tc>
          <w:tcPr>
            <w:tcW w:w="605" w:type="pct"/>
            <w:tcBorders>
              <w:top w:val="nil"/>
              <w:left w:val="nil"/>
              <w:bottom w:val="nil"/>
              <w:right w:val="nil"/>
            </w:tcBorders>
            <w:vAlign w:val="center"/>
          </w:tcPr>
          <w:p w14:paraId="643BD98B" w14:textId="022DEE8B" w:rsidR="00543399" w:rsidRPr="002500FF" w:rsidRDefault="00543399" w:rsidP="00543399">
            <w:pPr>
              <w:tabs>
                <w:tab w:val="decimal" w:pos="570"/>
              </w:tabs>
              <w:rPr>
                <w:rFonts w:ascii="Arial" w:hAnsi="Arial" w:cs="Arial"/>
                <w:sz w:val="18"/>
                <w:szCs w:val="18"/>
              </w:rPr>
            </w:pPr>
            <w:r>
              <w:rPr>
                <w:rFonts w:ascii="Arial" w:hAnsi="Arial" w:cs="Arial"/>
                <w:sz w:val="18"/>
                <w:szCs w:val="18"/>
              </w:rPr>
              <w:t>25.9</w:t>
            </w:r>
          </w:p>
        </w:tc>
        <w:tc>
          <w:tcPr>
            <w:tcW w:w="577" w:type="pct"/>
            <w:tcBorders>
              <w:top w:val="nil"/>
              <w:left w:val="nil"/>
              <w:bottom w:val="nil"/>
              <w:right w:val="nil"/>
            </w:tcBorders>
            <w:vAlign w:val="center"/>
          </w:tcPr>
          <w:p w14:paraId="58201604" w14:textId="0C66061C" w:rsidR="00543399" w:rsidRDefault="00F96566" w:rsidP="00543399">
            <w:pPr>
              <w:tabs>
                <w:tab w:val="decimal" w:pos="576"/>
              </w:tabs>
              <w:rPr>
                <w:rFonts w:ascii="Arial" w:hAnsi="Arial" w:cs="Arial"/>
                <w:sz w:val="18"/>
                <w:szCs w:val="18"/>
              </w:rPr>
            </w:pPr>
            <w:r>
              <w:rPr>
                <w:rFonts w:ascii="Arial" w:hAnsi="Arial" w:cs="Arial"/>
                <w:sz w:val="18"/>
                <w:szCs w:val="18"/>
              </w:rPr>
              <w:t>27.5</w:t>
            </w:r>
          </w:p>
        </w:tc>
        <w:tc>
          <w:tcPr>
            <w:tcW w:w="577" w:type="pct"/>
            <w:tcBorders>
              <w:top w:val="nil"/>
              <w:left w:val="nil"/>
              <w:bottom w:val="nil"/>
              <w:right w:val="double" w:sz="4" w:space="0" w:color="auto"/>
            </w:tcBorders>
            <w:vAlign w:val="center"/>
          </w:tcPr>
          <w:p w14:paraId="363B9804" w14:textId="2E60AD1A" w:rsidR="00543399" w:rsidRDefault="00F96566" w:rsidP="00543399">
            <w:pPr>
              <w:tabs>
                <w:tab w:val="decimal" w:pos="471"/>
              </w:tabs>
              <w:rPr>
                <w:rFonts w:ascii="Arial" w:hAnsi="Arial" w:cs="Arial"/>
                <w:sz w:val="18"/>
                <w:szCs w:val="18"/>
              </w:rPr>
            </w:pPr>
            <w:r>
              <w:rPr>
                <w:rFonts w:ascii="Arial" w:hAnsi="Arial" w:cs="Arial"/>
                <w:sz w:val="18"/>
                <w:szCs w:val="18"/>
              </w:rPr>
              <w:t>13.5</w:t>
            </w:r>
          </w:p>
        </w:tc>
      </w:tr>
      <w:tr w:rsidR="00543399" w:rsidRPr="00075546" w14:paraId="6D5F9A46" w14:textId="2743A3F3" w:rsidTr="00D67AF3">
        <w:trPr>
          <w:trHeight w:val="255"/>
          <w:jc w:val="center"/>
        </w:trPr>
        <w:tc>
          <w:tcPr>
            <w:tcW w:w="1279" w:type="pct"/>
            <w:tcBorders>
              <w:top w:val="nil"/>
              <w:left w:val="double" w:sz="4" w:space="0" w:color="auto"/>
              <w:bottom w:val="double" w:sz="4" w:space="0" w:color="auto"/>
              <w:right w:val="double" w:sz="4" w:space="0" w:color="000000" w:themeColor="text1"/>
            </w:tcBorders>
            <w:vAlign w:val="center"/>
          </w:tcPr>
          <w:p w14:paraId="3E656B52" w14:textId="77777777" w:rsidR="00543399" w:rsidRPr="00231C06" w:rsidRDefault="00543399" w:rsidP="00543399">
            <w:pPr>
              <w:pStyle w:val="Textoindependiente21"/>
              <w:keepNext/>
              <w:keepLines/>
              <w:widowControl w:val="0"/>
              <w:numPr>
                <w:ilvl w:val="12"/>
                <w:numId w:val="0"/>
              </w:numPr>
              <w:spacing w:after="0"/>
              <w:ind w:left="426" w:right="-82"/>
              <w:rPr>
                <w:rFonts w:cs="Arial"/>
                <w:sz w:val="18"/>
                <w:szCs w:val="18"/>
                <w:lang w:val="es-ES"/>
              </w:rPr>
            </w:pPr>
            <w:r w:rsidRPr="00231C06">
              <w:rPr>
                <w:rFonts w:cs="Arial"/>
                <w:sz w:val="18"/>
                <w:szCs w:val="18"/>
                <w:lang w:val="es-ES"/>
              </w:rPr>
              <w:t>Otras</w:t>
            </w:r>
          </w:p>
        </w:tc>
        <w:tc>
          <w:tcPr>
            <w:tcW w:w="708" w:type="pct"/>
            <w:tcBorders>
              <w:top w:val="nil"/>
              <w:left w:val="double" w:sz="4" w:space="0" w:color="000000" w:themeColor="text1"/>
              <w:bottom w:val="double" w:sz="4" w:space="0" w:color="000000" w:themeColor="text1"/>
              <w:right w:val="double" w:sz="4" w:space="0" w:color="000000" w:themeColor="text1"/>
            </w:tcBorders>
            <w:vAlign w:val="center"/>
          </w:tcPr>
          <w:p w14:paraId="53D302C7" w14:textId="50919210" w:rsidR="00543399" w:rsidRPr="002500FF" w:rsidRDefault="00543399" w:rsidP="00543399">
            <w:pPr>
              <w:tabs>
                <w:tab w:val="decimal" w:pos="560"/>
              </w:tabs>
              <w:rPr>
                <w:rFonts w:ascii="Arial" w:hAnsi="Arial" w:cs="Arial"/>
                <w:bCs/>
                <w:sz w:val="18"/>
                <w:szCs w:val="18"/>
              </w:rPr>
            </w:pPr>
            <w:r>
              <w:rPr>
                <w:rFonts w:ascii="Arial" w:hAnsi="Arial" w:cs="Arial"/>
                <w:sz w:val="18"/>
                <w:szCs w:val="18"/>
              </w:rPr>
              <w:t>11.4</w:t>
            </w:r>
            <w:r w:rsidR="00F96566">
              <w:rPr>
                <w:rFonts w:ascii="Arial" w:hAnsi="Arial" w:cs="Arial"/>
                <w:sz w:val="18"/>
                <w:szCs w:val="18"/>
              </w:rPr>
              <w:t>2</w:t>
            </w:r>
          </w:p>
        </w:tc>
        <w:tc>
          <w:tcPr>
            <w:tcW w:w="650" w:type="pct"/>
            <w:tcBorders>
              <w:top w:val="nil"/>
              <w:left w:val="nil"/>
              <w:bottom w:val="double" w:sz="4" w:space="0" w:color="auto"/>
              <w:right w:val="double" w:sz="4" w:space="0" w:color="000000" w:themeColor="text1"/>
            </w:tcBorders>
            <w:vAlign w:val="center"/>
          </w:tcPr>
          <w:p w14:paraId="28DE25DF" w14:textId="2865C3A2" w:rsidR="00543399" w:rsidRPr="008F35A1" w:rsidRDefault="00543399" w:rsidP="00543399">
            <w:pPr>
              <w:tabs>
                <w:tab w:val="decimal" w:pos="646"/>
              </w:tabs>
              <w:rPr>
                <w:rFonts w:ascii="Arial" w:hAnsi="Arial" w:cs="Arial"/>
                <w:sz w:val="18"/>
                <w:szCs w:val="18"/>
              </w:rPr>
            </w:pPr>
            <w:r>
              <w:rPr>
                <w:rFonts w:ascii="Arial" w:hAnsi="Arial" w:cs="Arial"/>
                <w:sz w:val="18"/>
                <w:szCs w:val="18"/>
              </w:rPr>
              <w:t>7.9</w:t>
            </w:r>
          </w:p>
        </w:tc>
        <w:tc>
          <w:tcPr>
            <w:tcW w:w="604" w:type="pct"/>
            <w:tcBorders>
              <w:top w:val="nil"/>
              <w:left w:val="double" w:sz="4" w:space="0" w:color="000000" w:themeColor="text1"/>
              <w:bottom w:val="double" w:sz="4" w:space="0" w:color="auto"/>
              <w:right w:val="nil"/>
            </w:tcBorders>
            <w:vAlign w:val="center"/>
          </w:tcPr>
          <w:p w14:paraId="34D23D79" w14:textId="204FD539" w:rsidR="00543399" w:rsidRPr="002500FF" w:rsidRDefault="00543399" w:rsidP="00543399">
            <w:pPr>
              <w:tabs>
                <w:tab w:val="decimal" w:pos="553"/>
              </w:tabs>
              <w:rPr>
                <w:rFonts w:ascii="Arial" w:hAnsi="Arial" w:cs="Arial"/>
                <w:sz w:val="18"/>
                <w:szCs w:val="18"/>
              </w:rPr>
            </w:pPr>
            <w:r>
              <w:rPr>
                <w:rFonts w:ascii="Arial" w:hAnsi="Arial" w:cs="Arial"/>
                <w:sz w:val="18"/>
                <w:szCs w:val="18"/>
              </w:rPr>
              <w:t>-8.9</w:t>
            </w:r>
          </w:p>
        </w:tc>
        <w:tc>
          <w:tcPr>
            <w:tcW w:w="605" w:type="pct"/>
            <w:tcBorders>
              <w:top w:val="nil"/>
              <w:left w:val="nil"/>
              <w:bottom w:val="double" w:sz="4" w:space="0" w:color="auto"/>
              <w:right w:val="nil"/>
            </w:tcBorders>
            <w:vAlign w:val="center"/>
          </w:tcPr>
          <w:p w14:paraId="4144F5EE" w14:textId="52BDC1F2" w:rsidR="00543399" w:rsidRPr="002500FF" w:rsidRDefault="00543399" w:rsidP="00543399">
            <w:pPr>
              <w:tabs>
                <w:tab w:val="decimal" w:pos="570"/>
              </w:tabs>
              <w:rPr>
                <w:rFonts w:ascii="Arial" w:hAnsi="Arial" w:cs="Arial"/>
                <w:sz w:val="18"/>
                <w:szCs w:val="18"/>
              </w:rPr>
            </w:pPr>
            <w:r>
              <w:rPr>
                <w:rFonts w:ascii="Arial" w:hAnsi="Arial" w:cs="Arial"/>
                <w:sz w:val="18"/>
                <w:szCs w:val="18"/>
              </w:rPr>
              <w:t>2.3</w:t>
            </w:r>
          </w:p>
        </w:tc>
        <w:tc>
          <w:tcPr>
            <w:tcW w:w="577" w:type="pct"/>
            <w:tcBorders>
              <w:top w:val="nil"/>
              <w:left w:val="nil"/>
              <w:bottom w:val="double" w:sz="4" w:space="0" w:color="auto"/>
              <w:right w:val="nil"/>
            </w:tcBorders>
            <w:vAlign w:val="center"/>
          </w:tcPr>
          <w:p w14:paraId="3D504FD1" w14:textId="1E706CEF" w:rsidR="00543399" w:rsidRDefault="00F96566" w:rsidP="00543399">
            <w:pPr>
              <w:tabs>
                <w:tab w:val="decimal" w:pos="576"/>
              </w:tabs>
              <w:rPr>
                <w:rFonts w:ascii="Arial" w:hAnsi="Arial" w:cs="Arial"/>
                <w:sz w:val="18"/>
                <w:szCs w:val="18"/>
              </w:rPr>
            </w:pPr>
            <w:r>
              <w:rPr>
                <w:rFonts w:ascii="Arial" w:hAnsi="Arial" w:cs="Arial"/>
                <w:sz w:val="18"/>
                <w:szCs w:val="18"/>
              </w:rPr>
              <w:t>-10.0</w:t>
            </w:r>
          </w:p>
        </w:tc>
        <w:tc>
          <w:tcPr>
            <w:tcW w:w="577" w:type="pct"/>
            <w:tcBorders>
              <w:top w:val="nil"/>
              <w:left w:val="nil"/>
              <w:bottom w:val="double" w:sz="4" w:space="0" w:color="auto"/>
              <w:right w:val="double" w:sz="4" w:space="0" w:color="auto"/>
            </w:tcBorders>
            <w:vAlign w:val="center"/>
          </w:tcPr>
          <w:p w14:paraId="68F57A97" w14:textId="1D89988D" w:rsidR="00543399" w:rsidRDefault="00543399" w:rsidP="00543399">
            <w:pPr>
              <w:tabs>
                <w:tab w:val="decimal" w:pos="471"/>
              </w:tabs>
              <w:rPr>
                <w:rFonts w:ascii="Arial" w:hAnsi="Arial" w:cs="Arial"/>
                <w:sz w:val="18"/>
                <w:szCs w:val="18"/>
              </w:rPr>
            </w:pPr>
            <w:r>
              <w:rPr>
                <w:rFonts w:ascii="Arial" w:hAnsi="Arial" w:cs="Arial"/>
                <w:sz w:val="18"/>
                <w:szCs w:val="18"/>
              </w:rPr>
              <w:t>-</w:t>
            </w:r>
            <w:r w:rsidR="00F96566">
              <w:rPr>
                <w:rFonts w:ascii="Arial" w:hAnsi="Arial" w:cs="Arial"/>
                <w:sz w:val="18"/>
                <w:szCs w:val="18"/>
              </w:rPr>
              <w:t>4.4</w:t>
            </w:r>
          </w:p>
        </w:tc>
      </w:tr>
    </w:tbl>
    <w:p w14:paraId="5ABB28B5" w14:textId="024A0925" w:rsidR="00F82911" w:rsidRDefault="00AF1CF5" w:rsidP="0083036A">
      <w:pPr>
        <w:pStyle w:val="titulos"/>
        <w:widowControl/>
        <w:spacing w:before="0"/>
        <w:ind w:left="168"/>
        <w:rPr>
          <w:rFonts w:cs="Arial"/>
          <w:b w:val="0"/>
          <w:i w:val="0"/>
          <w:color w:val="000000" w:themeColor="text1"/>
          <w:sz w:val="16"/>
          <w:szCs w:val="16"/>
          <w:u w:val="none"/>
          <w:lang w:val="es-MX"/>
        </w:rPr>
      </w:pPr>
      <w:r w:rsidRPr="00EA4078">
        <w:rPr>
          <w:rFonts w:cs="Arial"/>
          <w:b w:val="0"/>
          <w:i w:val="0"/>
          <w:color w:val="000000" w:themeColor="text1"/>
          <w:sz w:val="16"/>
          <w:szCs w:val="16"/>
          <w:u w:val="none"/>
          <w:lang w:val="es-MX"/>
        </w:rPr>
        <w:t>* Cifras oportunas</w:t>
      </w:r>
    </w:p>
    <w:p w14:paraId="36AEC4D2" w14:textId="77777777" w:rsidR="00C24D4B" w:rsidRDefault="00C24D4B">
      <w:pPr>
        <w:rPr>
          <w:i/>
          <w:iCs/>
        </w:rPr>
      </w:pPr>
      <w:r>
        <w:rPr>
          <w:i/>
          <w:iCs/>
        </w:rPr>
        <w:br w:type="page"/>
      </w:r>
    </w:p>
    <w:p w14:paraId="046E6265" w14:textId="7BA2FC1C" w:rsidR="00757DAD" w:rsidRPr="00565E53" w:rsidRDefault="00904A4E" w:rsidP="00C24D4B">
      <w:pPr>
        <w:pStyle w:val="titulos"/>
        <w:spacing w:before="240"/>
        <w:ind w:left="567"/>
        <w:rPr>
          <w:i w:val="0"/>
          <w:iCs/>
          <w:u w:val="none"/>
        </w:rPr>
      </w:pPr>
      <w:r w:rsidRPr="00565E53">
        <w:rPr>
          <w:i w:val="0"/>
          <w:iCs/>
          <w:u w:val="none"/>
        </w:rPr>
        <w:lastRenderedPageBreak/>
        <w:t>Export</w:t>
      </w:r>
      <w:r w:rsidR="00757DAD" w:rsidRPr="00565E53">
        <w:rPr>
          <w:i w:val="0"/>
          <w:iCs/>
          <w:u w:val="none"/>
        </w:rPr>
        <w:t xml:space="preserve">aciones por </w:t>
      </w:r>
      <w:r w:rsidR="005D2A24" w:rsidRPr="00565E53">
        <w:rPr>
          <w:i w:val="0"/>
          <w:iCs/>
          <w:u w:val="none"/>
        </w:rPr>
        <w:t>t</w:t>
      </w:r>
      <w:r w:rsidR="00757DAD" w:rsidRPr="00565E53">
        <w:rPr>
          <w:i w:val="0"/>
          <w:iCs/>
          <w:u w:val="none"/>
        </w:rPr>
        <w:t xml:space="preserve">ipo de </w:t>
      </w:r>
      <w:r w:rsidR="005D2A24" w:rsidRPr="00565E53">
        <w:rPr>
          <w:i w:val="0"/>
          <w:iCs/>
          <w:u w:val="none"/>
        </w:rPr>
        <w:t>m</w:t>
      </w:r>
      <w:r w:rsidR="00757DAD" w:rsidRPr="00565E53">
        <w:rPr>
          <w:i w:val="0"/>
          <w:iCs/>
          <w:u w:val="none"/>
        </w:rPr>
        <w:t>ercancía</w:t>
      </w:r>
    </w:p>
    <w:p w14:paraId="7D39862C" w14:textId="6B573D7E" w:rsidR="002A6B3A" w:rsidRDefault="00EC69E3" w:rsidP="00410641">
      <w:pPr>
        <w:pStyle w:val="Textoindependiente211"/>
        <w:numPr>
          <w:ilvl w:val="12"/>
          <w:numId w:val="0"/>
        </w:numPr>
        <w:spacing w:before="240" w:after="0"/>
        <w:rPr>
          <w:rFonts w:cs="Arial"/>
          <w:sz w:val="24"/>
          <w:szCs w:val="24"/>
        </w:rPr>
      </w:pPr>
      <w:r>
        <w:rPr>
          <w:rFonts w:cs="Arial"/>
          <w:sz w:val="24"/>
          <w:szCs w:val="24"/>
        </w:rPr>
        <w:t>E</w:t>
      </w:r>
      <w:r w:rsidRPr="00EC69E3">
        <w:rPr>
          <w:rFonts w:cs="Arial"/>
          <w:sz w:val="24"/>
          <w:szCs w:val="24"/>
        </w:rPr>
        <w:t>n julio de 2023</w:t>
      </w:r>
      <w:r>
        <w:rPr>
          <w:rFonts w:cs="Arial"/>
          <w:sz w:val="24"/>
          <w:szCs w:val="24"/>
        </w:rPr>
        <w:t>, l</w:t>
      </w:r>
      <w:r w:rsidRPr="00EC69E3">
        <w:rPr>
          <w:rFonts w:cs="Arial"/>
          <w:sz w:val="24"/>
          <w:szCs w:val="24"/>
        </w:rPr>
        <w:t>as exportaciones de productos manufacturados alcanzaron</w:t>
      </w:r>
      <w:r>
        <w:rPr>
          <w:rFonts w:cs="Arial"/>
          <w:sz w:val="24"/>
          <w:szCs w:val="24"/>
        </w:rPr>
        <w:t xml:space="preserve"> </w:t>
      </w:r>
      <w:r w:rsidRPr="00EC69E3">
        <w:rPr>
          <w:rFonts w:cs="Arial"/>
          <w:sz w:val="24"/>
          <w:szCs w:val="24"/>
        </w:rPr>
        <w:t>42</w:t>
      </w:r>
      <w:r w:rsidRPr="00784F7F">
        <w:rPr>
          <w:sz w:val="24"/>
        </w:rPr>
        <w:t> </w:t>
      </w:r>
      <w:r w:rsidRPr="00EC69E3">
        <w:rPr>
          <w:rFonts w:cs="Arial"/>
          <w:sz w:val="24"/>
          <w:szCs w:val="24"/>
        </w:rPr>
        <w:t>903 millones de dólares, lo que representó un crecimiento de 6.8</w:t>
      </w:r>
      <w:r w:rsidRPr="00784F7F">
        <w:rPr>
          <w:sz w:val="24"/>
        </w:rPr>
        <w:t> </w:t>
      </w:r>
      <w:r w:rsidRPr="00EC69E3">
        <w:rPr>
          <w:rFonts w:cs="Arial"/>
          <w:sz w:val="24"/>
          <w:szCs w:val="24"/>
        </w:rPr>
        <w:t xml:space="preserve">% a tasa anual. Las </w:t>
      </w:r>
      <w:r w:rsidR="00F640BF">
        <w:rPr>
          <w:rFonts w:cs="Arial"/>
          <w:sz w:val="24"/>
          <w:szCs w:val="24"/>
        </w:rPr>
        <w:t>alzas</w:t>
      </w:r>
      <w:r w:rsidR="00F640BF" w:rsidRPr="00EC69E3">
        <w:rPr>
          <w:rFonts w:cs="Arial"/>
          <w:sz w:val="24"/>
          <w:szCs w:val="24"/>
        </w:rPr>
        <w:t xml:space="preserve"> </w:t>
      </w:r>
      <w:r w:rsidRPr="00EC69E3">
        <w:rPr>
          <w:rFonts w:cs="Arial"/>
          <w:sz w:val="24"/>
          <w:szCs w:val="24"/>
        </w:rPr>
        <w:t>más importantes se observaron en las exportaciones de productos automotrices (35.7</w:t>
      </w:r>
      <w:r w:rsidRPr="00784F7F">
        <w:rPr>
          <w:sz w:val="24"/>
        </w:rPr>
        <w:t> </w:t>
      </w:r>
      <w:r w:rsidRPr="00EC69E3">
        <w:rPr>
          <w:rFonts w:cs="Arial"/>
          <w:sz w:val="24"/>
          <w:szCs w:val="24"/>
        </w:rPr>
        <w:t>%), de equipo profesional y científico (23</w:t>
      </w:r>
      <w:r w:rsidRPr="00784F7F">
        <w:rPr>
          <w:sz w:val="24"/>
        </w:rPr>
        <w:t> </w:t>
      </w:r>
      <w:r w:rsidRPr="00EC69E3">
        <w:rPr>
          <w:rFonts w:cs="Arial"/>
          <w:sz w:val="24"/>
          <w:szCs w:val="24"/>
        </w:rPr>
        <w:t>%), de aparatos de fotografía</w:t>
      </w:r>
      <w:r>
        <w:rPr>
          <w:rFonts w:cs="Arial"/>
          <w:sz w:val="24"/>
          <w:szCs w:val="24"/>
        </w:rPr>
        <w:t>,</w:t>
      </w:r>
      <w:r w:rsidRPr="00EC69E3">
        <w:rPr>
          <w:rFonts w:cs="Arial"/>
          <w:sz w:val="24"/>
          <w:szCs w:val="24"/>
        </w:rPr>
        <w:t xml:space="preserve"> óptica y relojería (14.1</w:t>
      </w:r>
      <w:r w:rsidRPr="00784F7F">
        <w:rPr>
          <w:sz w:val="24"/>
        </w:rPr>
        <w:t> </w:t>
      </w:r>
      <w:r w:rsidRPr="00EC69E3">
        <w:rPr>
          <w:rFonts w:cs="Arial"/>
          <w:sz w:val="24"/>
          <w:szCs w:val="24"/>
        </w:rPr>
        <w:t>%), de alimentos, bebidas y tabaco (8.9</w:t>
      </w:r>
      <w:r w:rsidRPr="00784F7F">
        <w:rPr>
          <w:sz w:val="24"/>
        </w:rPr>
        <w:t> </w:t>
      </w:r>
      <w:r w:rsidRPr="00EC69E3">
        <w:rPr>
          <w:rFonts w:cs="Arial"/>
          <w:sz w:val="24"/>
          <w:szCs w:val="24"/>
        </w:rPr>
        <w:t>%) y de productos textiles, artículos de vestir e industria del cuero (4.8</w:t>
      </w:r>
      <w:r w:rsidRPr="00784F7F">
        <w:rPr>
          <w:sz w:val="24"/>
        </w:rPr>
        <w:t> </w:t>
      </w:r>
      <w:r w:rsidRPr="00EC69E3">
        <w:rPr>
          <w:rFonts w:cs="Arial"/>
          <w:sz w:val="24"/>
          <w:szCs w:val="24"/>
        </w:rPr>
        <w:t xml:space="preserve">%). A su vez, el avance anual de las exportaciones de productos automotrices se derivó de </w:t>
      </w:r>
      <w:r w:rsidR="00F640BF">
        <w:rPr>
          <w:rFonts w:cs="Arial"/>
          <w:sz w:val="24"/>
          <w:szCs w:val="24"/>
        </w:rPr>
        <w:t>ascensos</w:t>
      </w:r>
      <w:r w:rsidR="00F640BF" w:rsidRPr="00EC69E3">
        <w:rPr>
          <w:rFonts w:cs="Arial"/>
          <w:sz w:val="24"/>
          <w:szCs w:val="24"/>
        </w:rPr>
        <w:t xml:space="preserve"> </w:t>
      </w:r>
      <w:r w:rsidRPr="00EC69E3">
        <w:rPr>
          <w:rFonts w:cs="Arial"/>
          <w:sz w:val="24"/>
          <w:szCs w:val="24"/>
        </w:rPr>
        <w:t>de 37.5</w:t>
      </w:r>
      <w:r w:rsidRPr="00784F7F">
        <w:rPr>
          <w:sz w:val="24"/>
        </w:rPr>
        <w:t> </w:t>
      </w:r>
      <w:r w:rsidRPr="00EC69E3">
        <w:rPr>
          <w:rFonts w:cs="Arial"/>
          <w:sz w:val="24"/>
          <w:szCs w:val="24"/>
        </w:rPr>
        <w:t>% en las ventas canalizadas a Estados Unidos y de 27.5</w:t>
      </w:r>
      <w:r w:rsidRPr="00784F7F">
        <w:rPr>
          <w:sz w:val="24"/>
        </w:rPr>
        <w:t> </w:t>
      </w:r>
      <w:r w:rsidRPr="00EC69E3">
        <w:rPr>
          <w:rFonts w:cs="Arial"/>
          <w:sz w:val="24"/>
          <w:szCs w:val="24"/>
        </w:rPr>
        <w:t>% en las dirigidas a otros mercados.</w:t>
      </w:r>
    </w:p>
    <w:p w14:paraId="4F030631" w14:textId="390EF5B2" w:rsidR="000C0F5C" w:rsidRPr="00123E23" w:rsidRDefault="000C0F5C" w:rsidP="00410641">
      <w:pPr>
        <w:pStyle w:val="Textoindependiente211"/>
        <w:numPr>
          <w:ilvl w:val="12"/>
          <w:numId w:val="0"/>
        </w:numPr>
        <w:spacing w:before="240" w:after="0"/>
        <w:rPr>
          <w:rFonts w:cs="Arial"/>
          <w:sz w:val="24"/>
          <w:szCs w:val="24"/>
        </w:rPr>
      </w:pPr>
      <w:r w:rsidRPr="001F4146">
        <w:rPr>
          <w:rFonts w:cs="Arial"/>
          <w:sz w:val="24"/>
          <w:szCs w:val="24"/>
        </w:rPr>
        <w:t xml:space="preserve">En </w:t>
      </w:r>
      <w:r>
        <w:rPr>
          <w:rFonts w:cs="Arial"/>
          <w:sz w:val="24"/>
          <w:szCs w:val="24"/>
        </w:rPr>
        <w:t>el mes de referencia</w:t>
      </w:r>
      <w:r w:rsidRPr="001F4146">
        <w:rPr>
          <w:rFonts w:cs="Arial"/>
          <w:sz w:val="24"/>
          <w:szCs w:val="24"/>
        </w:rPr>
        <w:t>,</w:t>
      </w:r>
      <w:r w:rsidRPr="000C0F5C">
        <w:rPr>
          <w:rFonts w:cs="Arial"/>
          <w:sz w:val="24"/>
          <w:szCs w:val="24"/>
        </w:rPr>
        <w:t xml:space="preserve"> el valor de las exportaciones petroleras fue de 2</w:t>
      </w:r>
      <w:r w:rsidRPr="00784F7F">
        <w:rPr>
          <w:sz w:val="24"/>
        </w:rPr>
        <w:t> </w:t>
      </w:r>
      <w:r w:rsidRPr="000C0F5C">
        <w:rPr>
          <w:rFonts w:cs="Arial"/>
          <w:sz w:val="24"/>
          <w:szCs w:val="24"/>
        </w:rPr>
        <w:t>730 millones de dólares. Este monto se integró por 2</w:t>
      </w:r>
      <w:r w:rsidRPr="00784F7F">
        <w:rPr>
          <w:sz w:val="24"/>
        </w:rPr>
        <w:t> </w:t>
      </w:r>
      <w:r w:rsidRPr="000C0F5C">
        <w:rPr>
          <w:rFonts w:cs="Arial"/>
          <w:sz w:val="24"/>
          <w:szCs w:val="24"/>
        </w:rPr>
        <w:t>345 millones de dólares de ventas de petróleo crudo</w:t>
      </w:r>
      <w:r w:rsidRPr="0001354B">
        <w:rPr>
          <w:rFonts w:cs="Arial"/>
          <w:sz w:val="24"/>
          <w:szCs w:val="24"/>
          <w:vertAlign w:val="superscript"/>
        </w:rPr>
        <w:footnoteReference w:id="3"/>
      </w:r>
      <w:r w:rsidRPr="000C0F5C">
        <w:rPr>
          <w:rFonts w:cs="Arial"/>
          <w:sz w:val="24"/>
          <w:szCs w:val="24"/>
        </w:rPr>
        <w:t xml:space="preserve"> y por</w:t>
      </w:r>
      <w:r>
        <w:rPr>
          <w:rFonts w:cs="Arial"/>
          <w:sz w:val="24"/>
          <w:szCs w:val="24"/>
        </w:rPr>
        <w:t xml:space="preserve"> </w:t>
      </w:r>
      <w:r w:rsidRPr="000C0F5C">
        <w:rPr>
          <w:rFonts w:cs="Arial"/>
          <w:sz w:val="24"/>
          <w:szCs w:val="24"/>
        </w:rPr>
        <w:t xml:space="preserve">385 millones de dólares de exportaciones de otros productos petroleros. En ese mes, el precio promedio de la mezcla mexicana de crudo de exportación se situó en 70.69 dólares por barril, cifra mayor en 5.98 dólares </w:t>
      </w:r>
      <w:r>
        <w:rPr>
          <w:rFonts w:cs="Arial"/>
          <w:sz w:val="24"/>
          <w:szCs w:val="24"/>
        </w:rPr>
        <w:t xml:space="preserve">con </w:t>
      </w:r>
      <w:r w:rsidRPr="000C0F5C">
        <w:rPr>
          <w:rFonts w:cs="Arial"/>
          <w:sz w:val="24"/>
          <w:szCs w:val="24"/>
        </w:rPr>
        <w:t xml:space="preserve">respecto </w:t>
      </w:r>
      <w:r>
        <w:rPr>
          <w:rFonts w:cs="Arial"/>
          <w:sz w:val="24"/>
          <w:szCs w:val="24"/>
        </w:rPr>
        <w:t xml:space="preserve">a la </w:t>
      </w:r>
      <w:r w:rsidRPr="000C0F5C">
        <w:rPr>
          <w:rFonts w:cs="Arial"/>
          <w:sz w:val="24"/>
          <w:szCs w:val="24"/>
        </w:rPr>
        <w:t>del mes previo, pero menor en 23.99</w:t>
      </w:r>
      <w:r w:rsidR="00143F5D">
        <w:rPr>
          <w:rFonts w:cs="Arial"/>
          <w:sz w:val="24"/>
          <w:szCs w:val="24"/>
        </w:rPr>
        <w:t> </w:t>
      </w:r>
      <w:r w:rsidRPr="000C0F5C">
        <w:rPr>
          <w:rFonts w:cs="Arial"/>
          <w:sz w:val="24"/>
          <w:szCs w:val="24"/>
        </w:rPr>
        <w:t xml:space="preserve">dólares </w:t>
      </w:r>
      <w:r>
        <w:rPr>
          <w:rFonts w:cs="Arial"/>
          <w:sz w:val="24"/>
          <w:szCs w:val="24"/>
        </w:rPr>
        <w:t xml:space="preserve">con </w:t>
      </w:r>
      <w:r w:rsidRPr="000C0F5C">
        <w:rPr>
          <w:rFonts w:cs="Arial"/>
          <w:sz w:val="24"/>
          <w:szCs w:val="24"/>
        </w:rPr>
        <w:t xml:space="preserve">respecto </w:t>
      </w:r>
      <w:r>
        <w:rPr>
          <w:rFonts w:cs="Arial"/>
          <w:sz w:val="24"/>
          <w:szCs w:val="24"/>
        </w:rPr>
        <w:t xml:space="preserve">a la </w:t>
      </w:r>
      <w:r w:rsidRPr="000C0F5C">
        <w:rPr>
          <w:rFonts w:cs="Arial"/>
          <w:sz w:val="24"/>
          <w:szCs w:val="24"/>
        </w:rPr>
        <w:t xml:space="preserve">de julio de 2022. En cuanto al volumen de crudo exportado, este se ubicó en </w:t>
      </w:r>
      <w:r w:rsidR="00F640BF">
        <w:rPr>
          <w:rFonts w:cs="Arial"/>
          <w:sz w:val="24"/>
          <w:szCs w:val="24"/>
        </w:rPr>
        <w:t>julio pasado</w:t>
      </w:r>
      <w:r w:rsidRPr="000C0F5C">
        <w:rPr>
          <w:rFonts w:cs="Arial"/>
          <w:sz w:val="24"/>
          <w:szCs w:val="24"/>
        </w:rPr>
        <w:t xml:space="preserve"> en 1.070 millones de barriles diarios, nivel inferior al de 1.237</w:t>
      </w:r>
      <w:r w:rsidR="00143F5D">
        <w:rPr>
          <w:rFonts w:cs="Arial"/>
          <w:sz w:val="24"/>
          <w:szCs w:val="24"/>
        </w:rPr>
        <w:t> </w:t>
      </w:r>
      <w:r w:rsidRPr="000C0F5C">
        <w:rPr>
          <w:rFonts w:cs="Arial"/>
          <w:sz w:val="24"/>
          <w:szCs w:val="24"/>
        </w:rPr>
        <w:t>millones de barriles diarios de junio y similar al de 1.079 millones de barriles diarios de julio de 2022.</w:t>
      </w:r>
    </w:p>
    <w:p w14:paraId="72A6EF08" w14:textId="22C1E191" w:rsidR="00A73247" w:rsidRDefault="00483D05" w:rsidP="00410641">
      <w:pPr>
        <w:pStyle w:val="Textoindependiente211"/>
        <w:numPr>
          <w:ilvl w:val="12"/>
          <w:numId w:val="0"/>
        </w:numPr>
        <w:spacing w:before="240" w:after="0"/>
        <w:rPr>
          <w:rFonts w:cs="Arial"/>
          <w:sz w:val="24"/>
          <w:szCs w:val="24"/>
        </w:rPr>
      </w:pPr>
      <w:r>
        <w:rPr>
          <w:rFonts w:cs="Arial"/>
          <w:sz w:val="24"/>
          <w:szCs w:val="24"/>
        </w:rPr>
        <w:t>E</w:t>
      </w:r>
      <w:r w:rsidRPr="00483D05">
        <w:rPr>
          <w:rFonts w:cs="Arial"/>
          <w:sz w:val="24"/>
          <w:szCs w:val="24"/>
        </w:rPr>
        <w:t>n el séptimo mes del año en curso</w:t>
      </w:r>
      <w:r>
        <w:rPr>
          <w:rFonts w:cs="Arial"/>
          <w:sz w:val="24"/>
          <w:szCs w:val="24"/>
        </w:rPr>
        <w:t>, e</w:t>
      </w:r>
      <w:r w:rsidRPr="00483D05">
        <w:rPr>
          <w:rFonts w:cs="Arial"/>
          <w:sz w:val="24"/>
          <w:szCs w:val="24"/>
        </w:rPr>
        <w:t>l valor de las exportaciones agropecuarias y pesqueras fue de 1</w:t>
      </w:r>
      <w:r w:rsidRPr="00784F7F">
        <w:rPr>
          <w:sz w:val="24"/>
        </w:rPr>
        <w:t> </w:t>
      </w:r>
      <w:r w:rsidRPr="00483D05">
        <w:rPr>
          <w:rFonts w:cs="Arial"/>
          <w:sz w:val="24"/>
          <w:szCs w:val="24"/>
        </w:rPr>
        <w:t xml:space="preserve">326 millones de dólares, monto que implicó un descenso anual de </w:t>
      </w:r>
      <w:r w:rsidR="00F640BF">
        <w:rPr>
          <w:rFonts w:cs="Arial"/>
          <w:sz w:val="24"/>
          <w:szCs w:val="24"/>
        </w:rPr>
        <w:t xml:space="preserve">seis </w:t>
      </w:r>
      <w:r>
        <w:rPr>
          <w:rFonts w:cs="Arial"/>
          <w:sz w:val="24"/>
          <w:szCs w:val="24"/>
        </w:rPr>
        <w:t>por ciento</w:t>
      </w:r>
      <w:r w:rsidRPr="00483D05">
        <w:rPr>
          <w:rFonts w:cs="Arial"/>
          <w:sz w:val="24"/>
          <w:szCs w:val="24"/>
        </w:rPr>
        <w:t xml:space="preserve">. Las </w:t>
      </w:r>
      <w:r>
        <w:rPr>
          <w:rFonts w:cs="Arial"/>
          <w:sz w:val="24"/>
          <w:szCs w:val="24"/>
        </w:rPr>
        <w:t>caídas</w:t>
      </w:r>
      <w:r w:rsidRPr="00483D05">
        <w:rPr>
          <w:rFonts w:cs="Arial"/>
          <w:sz w:val="24"/>
          <w:szCs w:val="24"/>
        </w:rPr>
        <w:t xml:space="preserve"> más importantes se registraron en las exportaciones de garbanzo (61</w:t>
      </w:r>
      <w:r w:rsidRPr="00784F7F">
        <w:rPr>
          <w:sz w:val="24"/>
        </w:rPr>
        <w:t> </w:t>
      </w:r>
      <w:r w:rsidRPr="00483D05">
        <w:rPr>
          <w:rFonts w:cs="Arial"/>
          <w:sz w:val="24"/>
          <w:szCs w:val="24"/>
        </w:rPr>
        <w:t xml:space="preserve">%), </w:t>
      </w:r>
      <w:r>
        <w:rPr>
          <w:rFonts w:cs="Arial"/>
          <w:sz w:val="24"/>
          <w:szCs w:val="24"/>
        </w:rPr>
        <w:t xml:space="preserve">de </w:t>
      </w:r>
      <w:r w:rsidRPr="00483D05">
        <w:rPr>
          <w:rFonts w:cs="Arial"/>
          <w:sz w:val="24"/>
          <w:szCs w:val="24"/>
        </w:rPr>
        <w:t>miel (57.3</w:t>
      </w:r>
      <w:r w:rsidRPr="00784F7F">
        <w:rPr>
          <w:sz w:val="24"/>
        </w:rPr>
        <w:t> </w:t>
      </w:r>
      <w:r w:rsidRPr="00483D05">
        <w:rPr>
          <w:rFonts w:cs="Arial"/>
          <w:sz w:val="24"/>
          <w:szCs w:val="24"/>
        </w:rPr>
        <w:t>%), de café crudo en grano (39</w:t>
      </w:r>
      <w:r w:rsidRPr="00784F7F">
        <w:rPr>
          <w:sz w:val="24"/>
        </w:rPr>
        <w:t> </w:t>
      </w:r>
      <w:r w:rsidRPr="00483D05">
        <w:rPr>
          <w:rFonts w:cs="Arial"/>
          <w:sz w:val="24"/>
          <w:szCs w:val="24"/>
        </w:rPr>
        <w:t>%), de aguacate (37.8</w:t>
      </w:r>
      <w:r w:rsidRPr="00784F7F">
        <w:rPr>
          <w:sz w:val="24"/>
        </w:rPr>
        <w:t> </w:t>
      </w:r>
      <w:r w:rsidRPr="00483D05">
        <w:rPr>
          <w:rFonts w:cs="Arial"/>
          <w:sz w:val="24"/>
          <w:szCs w:val="24"/>
        </w:rPr>
        <w:t>%) y de pescados</w:t>
      </w:r>
      <w:r>
        <w:rPr>
          <w:rFonts w:cs="Arial"/>
          <w:sz w:val="24"/>
          <w:szCs w:val="24"/>
        </w:rPr>
        <w:t>,</w:t>
      </w:r>
      <w:r w:rsidRPr="00483D05">
        <w:rPr>
          <w:rFonts w:cs="Arial"/>
          <w:sz w:val="24"/>
          <w:szCs w:val="24"/>
        </w:rPr>
        <w:t xml:space="preserve"> crustáceos y moluscos (17.7</w:t>
      </w:r>
      <w:r w:rsidRPr="00784F7F">
        <w:rPr>
          <w:sz w:val="24"/>
        </w:rPr>
        <w:t> </w:t>
      </w:r>
      <w:r w:rsidRPr="00483D05">
        <w:rPr>
          <w:rFonts w:cs="Arial"/>
          <w:sz w:val="24"/>
          <w:szCs w:val="24"/>
        </w:rPr>
        <w:t>%). En contraste, los incrementos más relevantes se presentaron en las exportaciones de ganado vacuno (96.8</w:t>
      </w:r>
      <w:r w:rsidRPr="00784F7F">
        <w:rPr>
          <w:sz w:val="24"/>
        </w:rPr>
        <w:t> </w:t>
      </w:r>
      <w:r w:rsidRPr="00483D05">
        <w:rPr>
          <w:rFonts w:cs="Arial"/>
          <w:sz w:val="24"/>
          <w:szCs w:val="24"/>
        </w:rPr>
        <w:t>%) y de legumbres y hortalizas frescas (7.8</w:t>
      </w:r>
      <w:r w:rsidRPr="00784F7F">
        <w:rPr>
          <w:sz w:val="24"/>
        </w:rPr>
        <w:t> </w:t>
      </w:r>
      <w:r w:rsidRPr="00483D05">
        <w:rPr>
          <w:rFonts w:cs="Arial"/>
          <w:sz w:val="24"/>
          <w:szCs w:val="24"/>
        </w:rPr>
        <w:t>%).</w:t>
      </w:r>
      <w:r w:rsidR="002B21FB" w:rsidRPr="002B21FB">
        <w:rPr>
          <w:rFonts w:cs="Arial"/>
          <w:sz w:val="24"/>
          <w:szCs w:val="24"/>
        </w:rPr>
        <w:t xml:space="preserve"> </w:t>
      </w:r>
      <w:r w:rsidR="00012D19">
        <w:rPr>
          <w:rFonts w:cs="Arial"/>
          <w:sz w:val="24"/>
          <w:szCs w:val="24"/>
        </w:rPr>
        <w:t xml:space="preserve">Las </w:t>
      </w:r>
      <w:r w:rsidR="00B212F6" w:rsidRPr="00F153AC">
        <w:rPr>
          <w:rFonts w:cs="Arial"/>
          <w:sz w:val="24"/>
          <w:szCs w:val="24"/>
        </w:rPr>
        <w:t>exportaciones extractivas</w:t>
      </w:r>
      <w:r w:rsidR="00B212F6">
        <w:rPr>
          <w:rFonts w:cs="Arial"/>
          <w:sz w:val="24"/>
          <w:szCs w:val="24"/>
        </w:rPr>
        <w:t xml:space="preserve"> se</w:t>
      </w:r>
      <w:r w:rsidR="00B212F6" w:rsidRPr="00F153AC">
        <w:rPr>
          <w:rFonts w:cs="Arial"/>
          <w:sz w:val="24"/>
          <w:szCs w:val="24"/>
        </w:rPr>
        <w:t xml:space="preserve"> ubicaron en </w:t>
      </w:r>
      <w:r w:rsidR="004357D9">
        <w:rPr>
          <w:rFonts w:cs="Arial"/>
          <w:sz w:val="24"/>
          <w:szCs w:val="24"/>
        </w:rPr>
        <w:t>591</w:t>
      </w:r>
      <w:r w:rsidR="00B212F6" w:rsidRPr="00F153AC">
        <w:rPr>
          <w:rFonts w:cs="Arial"/>
          <w:sz w:val="24"/>
          <w:szCs w:val="24"/>
        </w:rPr>
        <w:t xml:space="preserve"> millones de dólares</w:t>
      </w:r>
      <w:r w:rsidR="00126DC2">
        <w:rPr>
          <w:rFonts w:cs="Arial"/>
          <w:sz w:val="24"/>
          <w:szCs w:val="24"/>
        </w:rPr>
        <w:t>,</w:t>
      </w:r>
      <w:r w:rsidR="00B212F6" w:rsidRPr="00F153AC">
        <w:rPr>
          <w:rFonts w:cs="Arial"/>
          <w:sz w:val="24"/>
          <w:szCs w:val="24"/>
        </w:rPr>
        <w:t xml:space="preserve"> con un</w:t>
      </w:r>
      <w:r w:rsidR="004357D9">
        <w:rPr>
          <w:rFonts w:cs="Arial"/>
          <w:sz w:val="24"/>
          <w:szCs w:val="24"/>
        </w:rPr>
        <w:t>a</w:t>
      </w:r>
      <w:r w:rsidR="00B212F6" w:rsidRPr="00F153AC">
        <w:rPr>
          <w:rFonts w:cs="Arial"/>
          <w:sz w:val="24"/>
          <w:szCs w:val="24"/>
        </w:rPr>
        <w:t xml:space="preserve"> </w:t>
      </w:r>
      <w:r w:rsidR="004357D9">
        <w:rPr>
          <w:rFonts w:cs="Arial"/>
          <w:sz w:val="24"/>
          <w:szCs w:val="24"/>
        </w:rPr>
        <w:t>reducción</w:t>
      </w:r>
      <w:r w:rsidR="00B212F6" w:rsidRPr="00F153AC">
        <w:rPr>
          <w:rFonts w:cs="Arial"/>
          <w:sz w:val="24"/>
          <w:szCs w:val="24"/>
        </w:rPr>
        <w:t xml:space="preserve"> anual de </w:t>
      </w:r>
      <w:r w:rsidR="004357D9">
        <w:rPr>
          <w:rFonts w:cs="Arial"/>
          <w:sz w:val="24"/>
          <w:szCs w:val="24"/>
        </w:rPr>
        <w:t>25.9</w:t>
      </w:r>
      <w:r w:rsidR="00344A1F">
        <w:rPr>
          <w:rFonts w:cs="Arial"/>
          <w:sz w:val="24"/>
          <w:szCs w:val="24"/>
        </w:rPr>
        <w:t xml:space="preserve"> </w:t>
      </w:r>
      <w:r w:rsidR="00B212F6">
        <w:rPr>
          <w:rFonts w:cs="Arial"/>
          <w:sz w:val="24"/>
          <w:szCs w:val="24"/>
        </w:rPr>
        <w:t>por ciento.</w:t>
      </w:r>
    </w:p>
    <w:p w14:paraId="11E0F658" w14:textId="78C2D43F" w:rsidR="00415863" w:rsidRPr="00A73247" w:rsidRDefault="00D27A0E" w:rsidP="00410641">
      <w:pPr>
        <w:pStyle w:val="Textoindependiente211"/>
        <w:numPr>
          <w:ilvl w:val="12"/>
          <w:numId w:val="0"/>
        </w:numPr>
        <w:spacing w:before="240" w:after="0"/>
        <w:rPr>
          <w:rFonts w:cs="Arial"/>
          <w:sz w:val="24"/>
          <w:szCs w:val="24"/>
        </w:rPr>
      </w:pPr>
      <w:r w:rsidRPr="00D27A0E">
        <w:rPr>
          <w:rFonts w:cs="Arial"/>
          <w:sz w:val="24"/>
          <w:szCs w:val="24"/>
        </w:rPr>
        <w:t>En los primeros siete meses de 2023, el valor de las exportaciones totales sumó</w:t>
      </w:r>
      <w:r>
        <w:rPr>
          <w:rFonts w:cs="Arial"/>
          <w:sz w:val="24"/>
          <w:szCs w:val="24"/>
        </w:rPr>
        <w:t xml:space="preserve"> </w:t>
      </w:r>
      <w:r w:rsidRPr="00D27A0E">
        <w:rPr>
          <w:rFonts w:cs="Arial"/>
          <w:sz w:val="24"/>
          <w:szCs w:val="24"/>
        </w:rPr>
        <w:t>339</w:t>
      </w:r>
      <w:r w:rsidRPr="00784F7F">
        <w:rPr>
          <w:sz w:val="24"/>
        </w:rPr>
        <w:t> </w:t>
      </w:r>
      <w:r w:rsidRPr="00D27A0E">
        <w:rPr>
          <w:rFonts w:cs="Arial"/>
          <w:sz w:val="24"/>
          <w:szCs w:val="24"/>
        </w:rPr>
        <w:t>519</w:t>
      </w:r>
      <w:r w:rsidR="00143F5D">
        <w:rPr>
          <w:rFonts w:cs="Arial"/>
          <w:sz w:val="24"/>
          <w:szCs w:val="24"/>
        </w:rPr>
        <w:t> </w:t>
      </w:r>
      <w:r w:rsidRPr="00D27A0E">
        <w:rPr>
          <w:rFonts w:cs="Arial"/>
          <w:sz w:val="24"/>
          <w:szCs w:val="24"/>
        </w:rPr>
        <w:t>millones de dólares, que significó un aumento anual de 3.8</w:t>
      </w:r>
      <w:r>
        <w:rPr>
          <w:rFonts w:cs="Arial"/>
          <w:sz w:val="24"/>
          <w:szCs w:val="24"/>
        </w:rPr>
        <w:t xml:space="preserve"> por ciento</w:t>
      </w:r>
      <w:r w:rsidRPr="00D27A0E">
        <w:rPr>
          <w:rFonts w:cs="Arial"/>
          <w:sz w:val="24"/>
          <w:szCs w:val="24"/>
        </w:rPr>
        <w:t xml:space="preserve">. Dicha tasa fue reflejo de la combinación de un </w:t>
      </w:r>
      <w:r>
        <w:rPr>
          <w:rFonts w:cs="Arial"/>
          <w:sz w:val="24"/>
          <w:szCs w:val="24"/>
        </w:rPr>
        <w:t>alza</w:t>
      </w:r>
      <w:r w:rsidRPr="00D27A0E">
        <w:rPr>
          <w:rFonts w:cs="Arial"/>
          <w:sz w:val="24"/>
          <w:szCs w:val="24"/>
        </w:rPr>
        <w:t xml:space="preserve"> de 6</w:t>
      </w:r>
      <w:r w:rsidRPr="00784F7F">
        <w:rPr>
          <w:sz w:val="24"/>
        </w:rPr>
        <w:t> </w:t>
      </w:r>
      <w:r w:rsidRPr="00D27A0E">
        <w:rPr>
          <w:rFonts w:cs="Arial"/>
          <w:sz w:val="24"/>
          <w:szCs w:val="24"/>
        </w:rPr>
        <w:t>% en las exportaciones no petroleras y de un retroceso de 24.2</w:t>
      </w:r>
      <w:r w:rsidRPr="00784F7F">
        <w:rPr>
          <w:sz w:val="24"/>
        </w:rPr>
        <w:t> </w:t>
      </w:r>
      <w:r w:rsidRPr="00D27A0E">
        <w:rPr>
          <w:rFonts w:cs="Arial"/>
          <w:sz w:val="24"/>
          <w:szCs w:val="24"/>
        </w:rPr>
        <w:t>% en las petroleras.</w:t>
      </w:r>
    </w:p>
    <w:p w14:paraId="35EB48C3" w14:textId="2157F168" w:rsidR="00757DAD" w:rsidRPr="001341F0" w:rsidRDefault="00757DAD" w:rsidP="00410641">
      <w:pPr>
        <w:pStyle w:val="titulos"/>
        <w:spacing w:before="240"/>
        <w:ind w:left="851"/>
        <w:rPr>
          <w:i w:val="0"/>
          <w:iCs/>
          <w:u w:val="none"/>
        </w:rPr>
      </w:pPr>
      <w:r w:rsidRPr="001341F0">
        <w:rPr>
          <w:i w:val="0"/>
          <w:iCs/>
          <w:u w:val="none"/>
        </w:rPr>
        <w:t xml:space="preserve">Estructura de las </w:t>
      </w:r>
      <w:r w:rsidR="001F12C3" w:rsidRPr="001341F0">
        <w:rPr>
          <w:i w:val="0"/>
          <w:iCs/>
          <w:u w:val="none"/>
        </w:rPr>
        <w:t>e</w:t>
      </w:r>
      <w:r w:rsidRPr="001341F0">
        <w:rPr>
          <w:i w:val="0"/>
          <w:iCs/>
          <w:u w:val="none"/>
        </w:rPr>
        <w:t>xportaciones</w:t>
      </w:r>
    </w:p>
    <w:p w14:paraId="1A8E4EA8" w14:textId="60C9171F" w:rsidR="008C1059" w:rsidRDefault="0062501E" w:rsidP="00410641">
      <w:pPr>
        <w:pStyle w:val="Textoindependiente211"/>
        <w:numPr>
          <w:ilvl w:val="12"/>
          <w:numId w:val="0"/>
        </w:numPr>
        <w:spacing w:before="240" w:after="0"/>
        <w:rPr>
          <w:rFonts w:cs="Arial"/>
          <w:sz w:val="24"/>
          <w:szCs w:val="24"/>
        </w:rPr>
      </w:pPr>
      <w:r>
        <w:rPr>
          <w:rFonts w:cs="Arial"/>
          <w:sz w:val="24"/>
          <w:szCs w:val="24"/>
        </w:rPr>
        <w:t>D</w:t>
      </w:r>
      <w:r w:rsidRPr="00D65A8E">
        <w:rPr>
          <w:rFonts w:cs="Arial"/>
          <w:sz w:val="24"/>
          <w:szCs w:val="24"/>
        </w:rPr>
        <w:t xml:space="preserve">urante </w:t>
      </w:r>
      <w:r w:rsidR="00A4346A">
        <w:rPr>
          <w:rFonts w:cs="Arial"/>
          <w:sz w:val="24"/>
          <w:szCs w:val="24"/>
        </w:rPr>
        <w:t>enero-julio</w:t>
      </w:r>
      <w:r w:rsidRPr="00D65A8E">
        <w:rPr>
          <w:rFonts w:cs="Arial"/>
          <w:sz w:val="24"/>
          <w:szCs w:val="24"/>
        </w:rPr>
        <w:t xml:space="preserve"> de</w:t>
      </w:r>
      <w:r w:rsidR="00A4346A">
        <w:rPr>
          <w:rFonts w:cs="Arial"/>
          <w:sz w:val="24"/>
          <w:szCs w:val="24"/>
        </w:rPr>
        <w:t>l año en curso</w:t>
      </w:r>
      <w:r>
        <w:rPr>
          <w:rFonts w:cs="Arial"/>
          <w:sz w:val="24"/>
          <w:szCs w:val="24"/>
        </w:rPr>
        <w:t>, l</w:t>
      </w:r>
      <w:r w:rsidR="00D65A8E" w:rsidRPr="00D65A8E">
        <w:rPr>
          <w:rFonts w:cs="Arial"/>
          <w:sz w:val="24"/>
          <w:szCs w:val="24"/>
        </w:rPr>
        <w:t>a estructura del valor de las exportaciones de mercancías fue la siguiente: bienes manufacturados, 88.9</w:t>
      </w:r>
      <w:r w:rsidRPr="00784F7F">
        <w:rPr>
          <w:sz w:val="24"/>
        </w:rPr>
        <w:t> </w:t>
      </w:r>
      <w:r w:rsidR="00D65A8E" w:rsidRPr="00D65A8E">
        <w:rPr>
          <w:rFonts w:cs="Arial"/>
          <w:sz w:val="24"/>
          <w:szCs w:val="24"/>
        </w:rPr>
        <w:t>%; productos petroleros, 5.5</w:t>
      </w:r>
      <w:r w:rsidRPr="00784F7F">
        <w:rPr>
          <w:sz w:val="24"/>
        </w:rPr>
        <w:t> </w:t>
      </w:r>
      <w:r w:rsidR="00D65A8E" w:rsidRPr="00D65A8E">
        <w:rPr>
          <w:rFonts w:cs="Arial"/>
          <w:sz w:val="24"/>
          <w:szCs w:val="24"/>
        </w:rPr>
        <w:t>%; bienes agropecuarios, 4</w:t>
      </w:r>
      <w:r w:rsidRPr="00784F7F">
        <w:rPr>
          <w:sz w:val="24"/>
        </w:rPr>
        <w:t> </w:t>
      </w:r>
      <w:r w:rsidR="00D65A8E" w:rsidRPr="00D65A8E">
        <w:rPr>
          <w:rFonts w:cs="Arial"/>
          <w:sz w:val="24"/>
          <w:szCs w:val="24"/>
        </w:rPr>
        <w:t>% y productos extractivos no petroleros, 1.6</w:t>
      </w:r>
      <w:r w:rsidR="000A7B26">
        <w:rPr>
          <w:rFonts w:cs="Arial"/>
          <w:sz w:val="24"/>
          <w:szCs w:val="24"/>
        </w:rPr>
        <w:t xml:space="preserve"> </w:t>
      </w:r>
      <w:r w:rsidR="00A553B5">
        <w:rPr>
          <w:rFonts w:cs="Arial"/>
          <w:sz w:val="24"/>
          <w:szCs w:val="24"/>
        </w:rPr>
        <w:t>por ciento</w:t>
      </w:r>
      <w:r w:rsidR="00A553B5" w:rsidRPr="00A553B5">
        <w:rPr>
          <w:rFonts w:cs="Arial"/>
          <w:sz w:val="24"/>
          <w:szCs w:val="24"/>
        </w:rPr>
        <w:t>.</w:t>
      </w:r>
    </w:p>
    <w:p w14:paraId="54D2DAD4" w14:textId="77777777" w:rsidR="00C24D4B" w:rsidRDefault="00C24D4B">
      <w:pPr>
        <w:rPr>
          <w:rFonts w:ascii="Arial" w:hAnsi="Arial"/>
          <w:b/>
          <w:iCs/>
          <w:szCs w:val="20"/>
          <w:lang w:val="es-ES_tradnl" w:eastAsia="es-ES"/>
        </w:rPr>
      </w:pPr>
      <w:r>
        <w:rPr>
          <w:i/>
          <w:iCs/>
        </w:rPr>
        <w:br w:type="page"/>
      </w:r>
    </w:p>
    <w:p w14:paraId="7A38744B" w14:textId="37911B58" w:rsidR="00757DAD" w:rsidRPr="00F00C8A" w:rsidRDefault="00757DAD" w:rsidP="00C24D4B">
      <w:pPr>
        <w:pStyle w:val="titulos"/>
        <w:spacing w:before="240"/>
        <w:ind w:left="284"/>
        <w:rPr>
          <w:i w:val="0"/>
          <w:iCs/>
          <w:u w:val="none"/>
        </w:rPr>
      </w:pPr>
      <w:r w:rsidRPr="00F00C8A">
        <w:rPr>
          <w:i w:val="0"/>
          <w:iCs/>
          <w:u w:val="none"/>
        </w:rPr>
        <w:lastRenderedPageBreak/>
        <w:t xml:space="preserve">Importaciones </w:t>
      </w:r>
      <w:r w:rsidR="001F12C3" w:rsidRPr="00F00C8A">
        <w:rPr>
          <w:i w:val="0"/>
          <w:iCs/>
          <w:u w:val="none"/>
        </w:rPr>
        <w:t>t</w:t>
      </w:r>
      <w:r w:rsidRPr="00F00C8A">
        <w:rPr>
          <w:i w:val="0"/>
          <w:iCs/>
          <w:u w:val="none"/>
        </w:rPr>
        <w:t>otales</w:t>
      </w:r>
      <w:r w:rsidR="00B971CF" w:rsidRPr="00F00C8A">
        <w:rPr>
          <w:i w:val="0"/>
          <w:iCs/>
          <w:u w:val="none"/>
        </w:rPr>
        <w:t xml:space="preserve"> de </w:t>
      </w:r>
      <w:r w:rsidR="001F12C3" w:rsidRPr="00F00C8A">
        <w:rPr>
          <w:i w:val="0"/>
          <w:iCs/>
          <w:u w:val="none"/>
        </w:rPr>
        <w:t>m</w:t>
      </w:r>
      <w:r w:rsidR="00B971CF" w:rsidRPr="00F00C8A">
        <w:rPr>
          <w:i w:val="0"/>
          <w:iCs/>
          <w:u w:val="none"/>
        </w:rPr>
        <w:t>ercancías</w:t>
      </w:r>
    </w:p>
    <w:p w14:paraId="503D10F6" w14:textId="1D88E485" w:rsidR="00FF4F9D" w:rsidRDefault="005753AD" w:rsidP="00FF4F9D">
      <w:pPr>
        <w:pStyle w:val="Textoindependiente211"/>
        <w:numPr>
          <w:ilvl w:val="12"/>
          <w:numId w:val="0"/>
        </w:numPr>
        <w:spacing w:before="240" w:after="0"/>
        <w:rPr>
          <w:sz w:val="24"/>
          <w:szCs w:val="24"/>
          <w:lang w:val="es-ES"/>
        </w:rPr>
      </w:pPr>
      <w:r>
        <w:rPr>
          <w:sz w:val="24"/>
          <w:szCs w:val="24"/>
          <w:lang w:val="es-ES"/>
        </w:rPr>
        <w:t>E</w:t>
      </w:r>
      <w:r w:rsidRPr="005753AD">
        <w:rPr>
          <w:sz w:val="24"/>
          <w:szCs w:val="24"/>
          <w:lang w:val="es-ES"/>
        </w:rPr>
        <w:t>n julio de 2023</w:t>
      </w:r>
      <w:r>
        <w:rPr>
          <w:sz w:val="24"/>
          <w:szCs w:val="24"/>
          <w:lang w:val="es-ES"/>
        </w:rPr>
        <w:t>, e</w:t>
      </w:r>
      <w:r w:rsidRPr="005753AD">
        <w:rPr>
          <w:sz w:val="24"/>
          <w:szCs w:val="24"/>
          <w:lang w:val="es-ES"/>
        </w:rPr>
        <w:t>l valor de las importaciones de mercancías fue de 48</w:t>
      </w:r>
      <w:r w:rsidRPr="009D689E">
        <w:rPr>
          <w:sz w:val="24"/>
          <w:szCs w:val="24"/>
          <w:lang w:val="es-ES"/>
        </w:rPr>
        <w:t> </w:t>
      </w:r>
      <w:r w:rsidRPr="005753AD">
        <w:rPr>
          <w:sz w:val="24"/>
          <w:szCs w:val="24"/>
          <w:lang w:val="es-ES"/>
        </w:rPr>
        <w:t xml:space="preserve">432 millones de dólares, que representó una disminución anual de 7.7 </w:t>
      </w:r>
      <w:r w:rsidR="0053054F">
        <w:rPr>
          <w:sz w:val="24"/>
          <w:szCs w:val="24"/>
          <w:lang w:val="es-ES"/>
        </w:rPr>
        <w:t>por ciento</w:t>
      </w:r>
      <w:r w:rsidR="0053054F" w:rsidRPr="0053054F">
        <w:rPr>
          <w:sz w:val="24"/>
          <w:szCs w:val="24"/>
          <w:lang w:val="es-ES"/>
        </w:rPr>
        <w:t>.</w:t>
      </w:r>
    </w:p>
    <w:p w14:paraId="6036EC00" w14:textId="537506AB" w:rsidR="00757DAD" w:rsidRPr="00F00C8A" w:rsidRDefault="00757DAD" w:rsidP="00410641">
      <w:pPr>
        <w:pStyle w:val="titulos"/>
        <w:spacing w:before="240"/>
        <w:ind w:left="851"/>
        <w:rPr>
          <w:i w:val="0"/>
          <w:iCs/>
          <w:u w:val="none"/>
        </w:rPr>
      </w:pPr>
      <w:r w:rsidRPr="00F00C8A">
        <w:rPr>
          <w:i w:val="0"/>
          <w:iCs/>
          <w:u w:val="none"/>
        </w:rPr>
        <w:t xml:space="preserve">Importaciones por </w:t>
      </w:r>
      <w:r w:rsidR="005D2A24" w:rsidRPr="00F00C8A">
        <w:rPr>
          <w:i w:val="0"/>
          <w:iCs/>
          <w:u w:val="none"/>
        </w:rPr>
        <w:t>t</w:t>
      </w:r>
      <w:r w:rsidRPr="00F00C8A">
        <w:rPr>
          <w:i w:val="0"/>
          <w:iCs/>
          <w:u w:val="none"/>
        </w:rPr>
        <w:t xml:space="preserve">ipo de </w:t>
      </w:r>
      <w:r w:rsidR="005D2A24" w:rsidRPr="00F00C8A">
        <w:rPr>
          <w:i w:val="0"/>
          <w:iCs/>
          <w:u w:val="none"/>
        </w:rPr>
        <w:t>b</w:t>
      </w:r>
      <w:r w:rsidRPr="00F00C8A">
        <w:rPr>
          <w:i w:val="0"/>
          <w:iCs/>
          <w:u w:val="none"/>
        </w:rPr>
        <w:t>ien</w:t>
      </w:r>
    </w:p>
    <w:p w14:paraId="14E5914D" w14:textId="1BE114DD" w:rsidR="00530F80" w:rsidRDefault="00530F80" w:rsidP="00530F80">
      <w:pPr>
        <w:pStyle w:val="Textoindependiente211"/>
        <w:numPr>
          <w:ilvl w:val="12"/>
          <w:numId w:val="0"/>
        </w:numPr>
        <w:spacing w:before="240" w:after="0"/>
        <w:rPr>
          <w:sz w:val="24"/>
          <w:szCs w:val="24"/>
          <w:lang w:val="es-ES"/>
        </w:rPr>
      </w:pPr>
      <w:r>
        <w:rPr>
          <w:sz w:val="24"/>
          <w:szCs w:val="24"/>
          <w:lang w:val="es-ES"/>
        </w:rPr>
        <w:t>En el mes de referencia, l</w:t>
      </w:r>
      <w:r w:rsidRPr="00530F80">
        <w:rPr>
          <w:sz w:val="24"/>
          <w:szCs w:val="24"/>
          <w:lang w:val="es-ES"/>
        </w:rPr>
        <w:t>as importaciones de bienes de consumo ascendieron a 6</w:t>
      </w:r>
      <w:r w:rsidRPr="009D689E">
        <w:rPr>
          <w:sz w:val="24"/>
          <w:szCs w:val="24"/>
          <w:lang w:val="es-ES"/>
        </w:rPr>
        <w:t> </w:t>
      </w:r>
      <w:r w:rsidRPr="00530F80">
        <w:rPr>
          <w:sz w:val="24"/>
          <w:szCs w:val="24"/>
          <w:lang w:val="es-ES"/>
        </w:rPr>
        <w:t>858</w:t>
      </w:r>
      <w:r w:rsidR="00143F5D">
        <w:rPr>
          <w:sz w:val="24"/>
          <w:szCs w:val="24"/>
          <w:lang w:val="es-ES"/>
        </w:rPr>
        <w:t> </w:t>
      </w:r>
      <w:r w:rsidRPr="00530F80">
        <w:rPr>
          <w:sz w:val="24"/>
          <w:szCs w:val="24"/>
          <w:lang w:val="es-ES"/>
        </w:rPr>
        <w:t xml:space="preserve">millones de dólares, cifra que </w:t>
      </w:r>
      <w:r w:rsidR="005A147D">
        <w:rPr>
          <w:sz w:val="24"/>
          <w:szCs w:val="24"/>
          <w:lang w:val="es-ES"/>
        </w:rPr>
        <w:t>signific</w:t>
      </w:r>
      <w:r w:rsidR="005A147D" w:rsidRPr="00530F80">
        <w:rPr>
          <w:sz w:val="24"/>
          <w:szCs w:val="24"/>
          <w:lang w:val="es-ES"/>
        </w:rPr>
        <w:t xml:space="preserve">ó </w:t>
      </w:r>
      <w:r w:rsidRPr="00530F80">
        <w:rPr>
          <w:sz w:val="24"/>
          <w:szCs w:val="24"/>
          <w:lang w:val="es-ES"/>
        </w:rPr>
        <w:t>una reducción anual de 9.1</w:t>
      </w:r>
      <w:r>
        <w:rPr>
          <w:sz w:val="24"/>
          <w:szCs w:val="24"/>
          <w:lang w:val="es-ES"/>
        </w:rPr>
        <w:t xml:space="preserve"> por ciento</w:t>
      </w:r>
      <w:r w:rsidRPr="00530F80">
        <w:rPr>
          <w:sz w:val="24"/>
          <w:szCs w:val="24"/>
          <w:lang w:val="es-ES"/>
        </w:rPr>
        <w:t xml:space="preserve">. Dicha tasa fue resultado neto de una </w:t>
      </w:r>
      <w:r>
        <w:rPr>
          <w:sz w:val="24"/>
          <w:szCs w:val="24"/>
          <w:lang w:val="es-ES"/>
        </w:rPr>
        <w:t>caída</w:t>
      </w:r>
      <w:r w:rsidRPr="00530F80">
        <w:rPr>
          <w:sz w:val="24"/>
          <w:szCs w:val="24"/>
          <w:lang w:val="es-ES"/>
        </w:rPr>
        <w:t xml:space="preserve"> de 52.4</w:t>
      </w:r>
      <w:r w:rsidRPr="009D689E">
        <w:rPr>
          <w:sz w:val="24"/>
          <w:szCs w:val="24"/>
          <w:lang w:val="es-ES"/>
        </w:rPr>
        <w:t> </w:t>
      </w:r>
      <w:r w:rsidRPr="00530F80">
        <w:rPr>
          <w:sz w:val="24"/>
          <w:szCs w:val="24"/>
          <w:lang w:val="es-ES"/>
        </w:rPr>
        <w:t xml:space="preserve">% en las importaciones de bienes de consumo petroleros (gasolina y gas butano y propano) y de un </w:t>
      </w:r>
      <w:r w:rsidR="005A147D">
        <w:rPr>
          <w:sz w:val="24"/>
          <w:szCs w:val="24"/>
          <w:lang w:val="es-ES"/>
        </w:rPr>
        <w:t>alza</w:t>
      </w:r>
      <w:r w:rsidR="005A147D" w:rsidRPr="00530F80">
        <w:rPr>
          <w:sz w:val="24"/>
          <w:szCs w:val="24"/>
          <w:lang w:val="es-ES"/>
        </w:rPr>
        <w:t xml:space="preserve"> </w:t>
      </w:r>
      <w:r w:rsidRPr="00530F80">
        <w:rPr>
          <w:sz w:val="24"/>
          <w:szCs w:val="24"/>
          <w:lang w:val="es-ES"/>
        </w:rPr>
        <w:t>de 18.4</w:t>
      </w:r>
      <w:r w:rsidRPr="009D689E">
        <w:rPr>
          <w:sz w:val="24"/>
          <w:szCs w:val="24"/>
          <w:lang w:val="es-ES"/>
        </w:rPr>
        <w:t> </w:t>
      </w:r>
      <w:r w:rsidRPr="00530F80">
        <w:rPr>
          <w:sz w:val="24"/>
          <w:szCs w:val="24"/>
          <w:lang w:val="es-ES"/>
        </w:rPr>
        <w:t xml:space="preserve">% en las de bienes de consumo no petroleros. </w:t>
      </w:r>
    </w:p>
    <w:p w14:paraId="762D2D15" w14:textId="588C56BA" w:rsidR="00A4346A" w:rsidRDefault="00530F80" w:rsidP="00530F80">
      <w:pPr>
        <w:pStyle w:val="Textoindependiente211"/>
        <w:numPr>
          <w:ilvl w:val="12"/>
          <w:numId w:val="0"/>
        </w:numPr>
        <w:spacing w:before="240" w:after="0"/>
        <w:rPr>
          <w:sz w:val="24"/>
          <w:szCs w:val="24"/>
          <w:lang w:val="es-ES"/>
        </w:rPr>
      </w:pPr>
      <w:r w:rsidRPr="00530F80">
        <w:rPr>
          <w:sz w:val="24"/>
          <w:szCs w:val="24"/>
          <w:lang w:val="es-ES"/>
        </w:rPr>
        <w:t>Por su parte, se importaron bienes de uso intermedio por un valor de 36</w:t>
      </w:r>
      <w:r w:rsidRPr="009D689E">
        <w:rPr>
          <w:sz w:val="24"/>
          <w:szCs w:val="24"/>
          <w:lang w:val="es-ES"/>
        </w:rPr>
        <w:t> </w:t>
      </w:r>
      <w:r w:rsidRPr="00530F80">
        <w:rPr>
          <w:sz w:val="24"/>
          <w:szCs w:val="24"/>
          <w:lang w:val="es-ES"/>
        </w:rPr>
        <w:t>779 millones de dólares, nivel inferior en 10.4</w:t>
      </w:r>
      <w:r w:rsidRPr="009D689E">
        <w:rPr>
          <w:sz w:val="24"/>
          <w:szCs w:val="24"/>
          <w:lang w:val="es-ES"/>
        </w:rPr>
        <w:t> </w:t>
      </w:r>
      <w:r w:rsidRPr="00530F80">
        <w:rPr>
          <w:sz w:val="24"/>
          <w:szCs w:val="24"/>
          <w:lang w:val="es-ES"/>
        </w:rPr>
        <w:t xml:space="preserve">% al reportado en julio de 2022. A su vez, esta tasa se originó de </w:t>
      </w:r>
      <w:r w:rsidR="005A147D">
        <w:rPr>
          <w:sz w:val="24"/>
          <w:szCs w:val="24"/>
          <w:lang w:val="es-ES"/>
        </w:rPr>
        <w:t>descensos</w:t>
      </w:r>
      <w:r w:rsidR="005A147D" w:rsidRPr="00530F80">
        <w:rPr>
          <w:sz w:val="24"/>
          <w:szCs w:val="24"/>
          <w:lang w:val="es-ES"/>
        </w:rPr>
        <w:t xml:space="preserve"> </w:t>
      </w:r>
      <w:r w:rsidRPr="00530F80">
        <w:rPr>
          <w:sz w:val="24"/>
          <w:szCs w:val="24"/>
          <w:lang w:val="es-ES"/>
        </w:rPr>
        <w:t>de 4.6</w:t>
      </w:r>
      <w:r w:rsidRPr="009D689E">
        <w:rPr>
          <w:sz w:val="24"/>
          <w:szCs w:val="24"/>
          <w:lang w:val="es-ES"/>
        </w:rPr>
        <w:t> </w:t>
      </w:r>
      <w:r w:rsidRPr="00530F80">
        <w:rPr>
          <w:sz w:val="24"/>
          <w:szCs w:val="24"/>
          <w:lang w:val="es-ES"/>
        </w:rPr>
        <w:t>% en las importaciones de bienes de uso intermedio no petroleros y de 49.8</w:t>
      </w:r>
      <w:r w:rsidRPr="009D689E">
        <w:rPr>
          <w:sz w:val="24"/>
          <w:szCs w:val="24"/>
          <w:lang w:val="es-ES"/>
        </w:rPr>
        <w:t> </w:t>
      </w:r>
      <w:r w:rsidRPr="00530F80">
        <w:rPr>
          <w:sz w:val="24"/>
          <w:szCs w:val="24"/>
          <w:lang w:val="es-ES"/>
        </w:rPr>
        <w:t xml:space="preserve">% en las de productos de uso intermedio petroleros. </w:t>
      </w:r>
    </w:p>
    <w:p w14:paraId="4EFB050C" w14:textId="468AA665" w:rsidR="00530F80" w:rsidRPr="00530F80" w:rsidRDefault="00530F80" w:rsidP="00530F80">
      <w:pPr>
        <w:pStyle w:val="Textoindependiente211"/>
        <w:numPr>
          <w:ilvl w:val="12"/>
          <w:numId w:val="0"/>
        </w:numPr>
        <w:spacing w:before="240" w:after="0"/>
        <w:rPr>
          <w:sz w:val="24"/>
          <w:szCs w:val="24"/>
          <w:lang w:val="es-ES"/>
        </w:rPr>
      </w:pPr>
      <w:r w:rsidRPr="00530F80">
        <w:rPr>
          <w:sz w:val="24"/>
          <w:szCs w:val="24"/>
          <w:lang w:val="es-ES"/>
        </w:rPr>
        <w:t>En lo que corresponde a las importaciones de bienes de capital, estas alcanzaron 4</w:t>
      </w:r>
      <w:r w:rsidRPr="009D689E">
        <w:rPr>
          <w:sz w:val="24"/>
          <w:szCs w:val="24"/>
          <w:lang w:val="es-ES"/>
        </w:rPr>
        <w:t> </w:t>
      </w:r>
      <w:r w:rsidRPr="00530F80">
        <w:rPr>
          <w:sz w:val="24"/>
          <w:szCs w:val="24"/>
          <w:lang w:val="es-ES"/>
        </w:rPr>
        <w:t>795</w:t>
      </w:r>
      <w:r w:rsidR="00143F5D">
        <w:rPr>
          <w:sz w:val="24"/>
          <w:szCs w:val="24"/>
          <w:lang w:val="es-ES"/>
        </w:rPr>
        <w:t> </w:t>
      </w:r>
      <w:r w:rsidRPr="00530F80">
        <w:rPr>
          <w:sz w:val="24"/>
          <w:szCs w:val="24"/>
          <w:lang w:val="es-ES"/>
        </w:rPr>
        <w:t>millones de dólares</w:t>
      </w:r>
      <w:r>
        <w:rPr>
          <w:sz w:val="24"/>
          <w:szCs w:val="24"/>
          <w:lang w:val="es-ES"/>
        </w:rPr>
        <w:t>,</w:t>
      </w:r>
      <w:r w:rsidRPr="00530F80">
        <w:rPr>
          <w:sz w:val="24"/>
          <w:szCs w:val="24"/>
          <w:lang w:val="es-ES"/>
        </w:rPr>
        <w:t xml:space="preserve"> un crecimiento anual de 23.3</w:t>
      </w:r>
      <w:r>
        <w:rPr>
          <w:sz w:val="24"/>
          <w:szCs w:val="24"/>
          <w:lang w:val="es-ES"/>
        </w:rPr>
        <w:t xml:space="preserve"> por ciento</w:t>
      </w:r>
      <w:r w:rsidRPr="00530F80">
        <w:rPr>
          <w:sz w:val="24"/>
          <w:szCs w:val="24"/>
          <w:lang w:val="es-ES"/>
        </w:rPr>
        <w:t>.</w:t>
      </w:r>
    </w:p>
    <w:p w14:paraId="20E7DA0F" w14:textId="7CFC252D" w:rsidR="00570317" w:rsidRPr="00570317" w:rsidRDefault="00530F80" w:rsidP="00530F80">
      <w:pPr>
        <w:pStyle w:val="Textoindependiente211"/>
        <w:numPr>
          <w:ilvl w:val="12"/>
          <w:numId w:val="0"/>
        </w:numPr>
        <w:spacing w:before="240" w:after="0"/>
        <w:rPr>
          <w:sz w:val="24"/>
          <w:szCs w:val="24"/>
          <w:lang w:val="es-ES"/>
        </w:rPr>
      </w:pPr>
      <w:r w:rsidRPr="00530F80">
        <w:rPr>
          <w:sz w:val="24"/>
          <w:szCs w:val="24"/>
          <w:lang w:val="es-ES"/>
        </w:rPr>
        <w:t>En el periodo enero-julio de 2023, el valor de las importaciones totales fue de346</w:t>
      </w:r>
      <w:r w:rsidRPr="009D689E">
        <w:rPr>
          <w:sz w:val="24"/>
          <w:szCs w:val="24"/>
          <w:lang w:val="es-ES"/>
        </w:rPr>
        <w:t> </w:t>
      </w:r>
      <w:r w:rsidRPr="00530F80">
        <w:rPr>
          <w:sz w:val="24"/>
          <w:szCs w:val="24"/>
          <w:lang w:val="es-ES"/>
        </w:rPr>
        <w:t>744 millones de dólares, monto mayor en 0.2</w:t>
      </w:r>
      <w:r w:rsidRPr="009D689E">
        <w:rPr>
          <w:sz w:val="24"/>
          <w:szCs w:val="24"/>
          <w:lang w:val="es-ES"/>
        </w:rPr>
        <w:t> </w:t>
      </w:r>
      <w:r w:rsidRPr="00530F80">
        <w:rPr>
          <w:sz w:val="24"/>
          <w:szCs w:val="24"/>
          <w:lang w:val="es-ES"/>
        </w:rPr>
        <w:t xml:space="preserve">% al observado en igual lapso de 2022. A su interior, las importaciones no petroleras avanzaron </w:t>
      </w:r>
      <w:r w:rsidR="005A147D" w:rsidRPr="00530F80">
        <w:rPr>
          <w:sz w:val="24"/>
          <w:szCs w:val="24"/>
          <w:lang w:val="es-ES"/>
        </w:rPr>
        <w:t>4.4</w:t>
      </w:r>
      <w:r w:rsidR="005A147D" w:rsidRPr="009D689E">
        <w:rPr>
          <w:sz w:val="24"/>
          <w:szCs w:val="24"/>
          <w:lang w:val="es-ES"/>
        </w:rPr>
        <w:t> </w:t>
      </w:r>
      <w:r w:rsidR="005A147D" w:rsidRPr="00530F80">
        <w:rPr>
          <w:sz w:val="24"/>
          <w:szCs w:val="24"/>
          <w:lang w:val="es-ES"/>
        </w:rPr>
        <w:t>%</w:t>
      </w:r>
      <w:r w:rsidR="005A147D">
        <w:rPr>
          <w:sz w:val="24"/>
          <w:szCs w:val="24"/>
          <w:lang w:val="es-ES"/>
        </w:rPr>
        <w:t xml:space="preserve"> </w:t>
      </w:r>
      <w:r w:rsidRPr="00530F80">
        <w:rPr>
          <w:sz w:val="24"/>
          <w:szCs w:val="24"/>
          <w:lang w:val="es-ES"/>
        </w:rPr>
        <w:t xml:space="preserve">a tasa anual </w:t>
      </w:r>
      <w:r>
        <w:rPr>
          <w:sz w:val="24"/>
          <w:szCs w:val="24"/>
          <w:lang w:val="es-ES"/>
        </w:rPr>
        <w:t xml:space="preserve">y </w:t>
      </w:r>
      <w:r w:rsidRPr="00530F80">
        <w:rPr>
          <w:sz w:val="24"/>
          <w:szCs w:val="24"/>
          <w:lang w:val="es-ES"/>
        </w:rPr>
        <w:t>las petroleras retrocedieron 28.1</w:t>
      </w:r>
      <w:r w:rsidR="00EC66DE">
        <w:rPr>
          <w:sz w:val="24"/>
          <w:szCs w:val="24"/>
          <w:lang w:val="es-ES"/>
        </w:rPr>
        <w:t> </w:t>
      </w:r>
      <w:r>
        <w:rPr>
          <w:sz w:val="24"/>
          <w:szCs w:val="24"/>
          <w:lang w:val="es-ES"/>
        </w:rPr>
        <w:t>por ciento</w:t>
      </w:r>
      <w:r w:rsidRPr="00530F80">
        <w:rPr>
          <w:sz w:val="24"/>
          <w:szCs w:val="24"/>
          <w:lang w:val="es-ES"/>
        </w:rPr>
        <w:t>.</w:t>
      </w:r>
    </w:p>
    <w:p w14:paraId="620BB2B7" w14:textId="584BEB7C" w:rsidR="00757DAD" w:rsidRPr="00F00C8A" w:rsidRDefault="00757DAD" w:rsidP="00410641">
      <w:pPr>
        <w:pStyle w:val="titulos"/>
        <w:spacing w:before="240"/>
        <w:ind w:left="851"/>
        <w:rPr>
          <w:i w:val="0"/>
          <w:iCs/>
          <w:u w:val="none"/>
        </w:rPr>
      </w:pPr>
      <w:r w:rsidRPr="00F00C8A">
        <w:rPr>
          <w:i w:val="0"/>
          <w:iCs/>
          <w:u w:val="none"/>
        </w:rPr>
        <w:t>Estructura de l</w:t>
      </w:r>
      <w:r w:rsidR="002C6E44" w:rsidRPr="00F00C8A">
        <w:rPr>
          <w:i w:val="0"/>
          <w:iCs/>
          <w:u w:val="none"/>
        </w:rPr>
        <w:t>a</w:t>
      </w:r>
      <w:r w:rsidRPr="00F00C8A">
        <w:rPr>
          <w:i w:val="0"/>
          <w:iCs/>
          <w:u w:val="none"/>
        </w:rPr>
        <w:t xml:space="preserve">s </w:t>
      </w:r>
      <w:r w:rsidR="005D2A24" w:rsidRPr="00F00C8A">
        <w:rPr>
          <w:i w:val="0"/>
          <w:iCs/>
          <w:u w:val="none"/>
        </w:rPr>
        <w:t>i</w:t>
      </w:r>
      <w:r w:rsidRPr="00F00C8A">
        <w:rPr>
          <w:i w:val="0"/>
          <w:iCs/>
          <w:u w:val="none"/>
        </w:rPr>
        <w:t>mportaciones</w:t>
      </w:r>
    </w:p>
    <w:p w14:paraId="7BC417C0" w14:textId="565EEB80" w:rsidR="00FF4F9D" w:rsidRPr="007B230F" w:rsidRDefault="00707483" w:rsidP="00FF4F9D">
      <w:pPr>
        <w:pStyle w:val="Textoindependiente211"/>
        <w:numPr>
          <w:ilvl w:val="12"/>
          <w:numId w:val="0"/>
        </w:numPr>
        <w:spacing w:before="240" w:after="0"/>
        <w:rPr>
          <w:sz w:val="24"/>
          <w:szCs w:val="24"/>
          <w:lang w:val="es-ES"/>
        </w:rPr>
      </w:pPr>
      <w:r>
        <w:rPr>
          <w:sz w:val="24"/>
          <w:szCs w:val="24"/>
          <w:lang w:val="es-ES"/>
        </w:rPr>
        <w:t>E</w:t>
      </w:r>
      <w:r w:rsidRPr="00707483">
        <w:rPr>
          <w:sz w:val="24"/>
          <w:szCs w:val="24"/>
          <w:lang w:val="es-ES"/>
        </w:rPr>
        <w:t xml:space="preserve">n los primeros siete meses de </w:t>
      </w:r>
      <w:r w:rsidR="00A4346A">
        <w:rPr>
          <w:sz w:val="24"/>
          <w:szCs w:val="24"/>
          <w:lang w:val="es-ES"/>
        </w:rPr>
        <w:t>este año</w:t>
      </w:r>
      <w:r>
        <w:rPr>
          <w:sz w:val="24"/>
          <w:szCs w:val="24"/>
          <w:lang w:val="es-ES"/>
        </w:rPr>
        <w:t>,</w:t>
      </w:r>
      <w:r w:rsidRPr="00707483">
        <w:rPr>
          <w:sz w:val="24"/>
          <w:szCs w:val="24"/>
          <w:lang w:val="es-ES"/>
        </w:rPr>
        <w:t xml:space="preserve"> </w:t>
      </w:r>
      <w:r>
        <w:rPr>
          <w:sz w:val="24"/>
          <w:szCs w:val="24"/>
          <w:lang w:val="es-ES"/>
        </w:rPr>
        <w:t>l</w:t>
      </w:r>
      <w:r w:rsidRPr="00707483">
        <w:rPr>
          <w:sz w:val="24"/>
          <w:szCs w:val="24"/>
          <w:lang w:val="es-ES"/>
        </w:rPr>
        <w:t>a estructura del valor de las importaciones fue la siguiente: bienes de uso intermedio, 76.5</w:t>
      </w:r>
      <w:r w:rsidRPr="009D689E">
        <w:rPr>
          <w:sz w:val="24"/>
          <w:szCs w:val="24"/>
          <w:lang w:val="es-ES"/>
        </w:rPr>
        <w:t> </w:t>
      </w:r>
      <w:r w:rsidRPr="00707483">
        <w:rPr>
          <w:sz w:val="24"/>
          <w:szCs w:val="24"/>
          <w:lang w:val="es-ES"/>
        </w:rPr>
        <w:t>%; bienes de consumo, 14.1</w:t>
      </w:r>
      <w:r w:rsidRPr="009D689E">
        <w:rPr>
          <w:sz w:val="24"/>
          <w:szCs w:val="24"/>
          <w:lang w:val="es-ES"/>
        </w:rPr>
        <w:t> </w:t>
      </w:r>
      <w:r w:rsidRPr="00707483">
        <w:rPr>
          <w:sz w:val="24"/>
          <w:szCs w:val="24"/>
          <w:lang w:val="es-ES"/>
        </w:rPr>
        <w:t>% y bienes de capital, 9.4</w:t>
      </w:r>
      <w:r w:rsidR="00241ADC">
        <w:rPr>
          <w:sz w:val="24"/>
          <w:szCs w:val="24"/>
          <w:lang w:val="es-ES"/>
        </w:rPr>
        <w:t xml:space="preserve"> por ciento</w:t>
      </w:r>
      <w:r w:rsidR="00570317" w:rsidRPr="00570317">
        <w:rPr>
          <w:sz w:val="24"/>
          <w:szCs w:val="24"/>
          <w:lang w:val="es-ES"/>
        </w:rPr>
        <w:t>.</w:t>
      </w:r>
    </w:p>
    <w:p w14:paraId="61DC273F" w14:textId="3D2FA81C" w:rsidR="00743646" w:rsidRPr="00F00C8A" w:rsidRDefault="00900594" w:rsidP="00410641">
      <w:pPr>
        <w:pStyle w:val="titulos"/>
        <w:rPr>
          <w:i w:val="0"/>
          <w:iCs/>
          <w:smallCaps/>
          <w:u w:val="none"/>
        </w:rPr>
      </w:pPr>
      <w:r w:rsidRPr="00F00C8A">
        <w:rPr>
          <w:i w:val="0"/>
          <w:iCs/>
          <w:smallCaps/>
          <w:u w:val="none"/>
        </w:rPr>
        <w:t xml:space="preserve">Cifras </w:t>
      </w:r>
      <w:r w:rsidR="002C126C" w:rsidRPr="00F00C8A">
        <w:rPr>
          <w:i w:val="0"/>
          <w:iCs/>
          <w:smallCaps/>
          <w:u w:val="none"/>
        </w:rPr>
        <w:t>desestacionalizadas</w:t>
      </w:r>
    </w:p>
    <w:p w14:paraId="2785735D" w14:textId="3EDFBC3A" w:rsidR="002E54F4" w:rsidRDefault="008E3259" w:rsidP="00410641">
      <w:pPr>
        <w:pStyle w:val="Textoindependiente211"/>
        <w:numPr>
          <w:ilvl w:val="12"/>
          <w:numId w:val="0"/>
        </w:numPr>
        <w:spacing w:before="240" w:after="0"/>
        <w:rPr>
          <w:sz w:val="24"/>
          <w:szCs w:val="24"/>
          <w:lang w:val="es-ES"/>
        </w:rPr>
      </w:pPr>
      <w:r w:rsidRPr="008B2949">
        <w:rPr>
          <w:sz w:val="24"/>
          <w:szCs w:val="24"/>
          <w:lang w:val="es-ES"/>
        </w:rPr>
        <w:t>En ju</w:t>
      </w:r>
      <w:r>
        <w:rPr>
          <w:sz w:val="24"/>
          <w:szCs w:val="24"/>
          <w:lang w:val="es-ES"/>
        </w:rPr>
        <w:t>l</w:t>
      </w:r>
      <w:r w:rsidRPr="008B2949">
        <w:rPr>
          <w:sz w:val="24"/>
          <w:szCs w:val="24"/>
          <w:lang w:val="es-ES"/>
        </w:rPr>
        <w:t xml:space="preserve">io de 2023 y con cifras desestacionalizadas, </w:t>
      </w:r>
      <w:r w:rsidRPr="008E3259">
        <w:rPr>
          <w:sz w:val="24"/>
          <w:szCs w:val="24"/>
          <w:lang w:val="es-ES"/>
        </w:rPr>
        <w:t>la balanza comercial registró un superávit de 532 millones de dólares. En junio se presentó un déficit de 949 millones de dólares. El aumento del saldo</w:t>
      </w:r>
      <w:r w:rsidR="005A147D">
        <w:rPr>
          <w:sz w:val="24"/>
          <w:szCs w:val="24"/>
          <w:lang w:val="es-ES"/>
        </w:rPr>
        <w:t>,</w:t>
      </w:r>
      <w:r w:rsidRPr="008E3259">
        <w:rPr>
          <w:sz w:val="24"/>
          <w:szCs w:val="24"/>
          <w:lang w:val="es-ES"/>
        </w:rPr>
        <w:t xml:space="preserve"> entre junio y julio</w:t>
      </w:r>
      <w:r w:rsidR="005A147D">
        <w:rPr>
          <w:sz w:val="24"/>
          <w:szCs w:val="24"/>
          <w:lang w:val="es-ES"/>
        </w:rPr>
        <w:t>,</w:t>
      </w:r>
      <w:r w:rsidRPr="008E3259">
        <w:rPr>
          <w:sz w:val="24"/>
          <w:szCs w:val="24"/>
          <w:lang w:val="es-ES"/>
        </w:rPr>
        <w:t xml:space="preserve"> se derivó de la combinación de un incremento en el superávit de la balanza de productos no petroleros </w:t>
      </w:r>
      <w:r w:rsidRPr="000256CA">
        <w:rPr>
          <w:sz w:val="24"/>
          <w:szCs w:val="24"/>
          <w:lang w:val="es-ES"/>
        </w:rPr>
        <w:t>—</w:t>
      </w:r>
      <w:r w:rsidRPr="008E3259">
        <w:rPr>
          <w:sz w:val="24"/>
          <w:szCs w:val="24"/>
          <w:lang w:val="es-ES"/>
        </w:rPr>
        <w:t>que pasó de 66 millones de dólares</w:t>
      </w:r>
      <w:r w:rsidR="005A147D">
        <w:rPr>
          <w:sz w:val="24"/>
          <w:szCs w:val="24"/>
          <w:lang w:val="es-ES"/>
        </w:rPr>
        <w:t>,</w:t>
      </w:r>
      <w:r w:rsidRPr="008E3259">
        <w:rPr>
          <w:sz w:val="24"/>
          <w:szCs w:val="24"/>
          <w:lang w:val="es-ES"/>
        </w:rPr>
        <w:t xml:space="preserve"> en junio</w:t>
      </w:r>
      <w:r w:rsidR="005A147D">
        <w:rPr>
          <w:sz w:val="24"/>
          <w:szCs w:val="24"/>
          <w:lang w:val="es-ES"/>
        </w:rPr>
        <w:t>,</w:t>
      </w:r>
      <w:r w:rsidRPr="008E3259">
        <w:rPr>
          <w:sz w:val="24"/>
          <w:szCs w:val="24"/>
          <w:lang w:val="es-ES"/>
        </w:rPr>
        <w:t xml:space="preserve"> a 1</w:t>
      </w:r>
      <w:r w:rsidRPr="009D689E">
        <w:rPr>
          <w:sz w:val="24"/>
          <w:szCs w:val="24"/>
          <w:lang w:val="es-ES"/>
        </w:rPr>
        <w:t> </w:t>
      </w:r>
      <w:r w:rsidRPr="008E3259">
        <w:rPr>
          <w:sz w:val="24"/>
          <w:szCs w:val="24"/>
          <w:lang w:val="es-ES"/>
        </w:rPr>
        <w:t>834 millones de dólares</w:t>
      </w:r>
      <w:r w:rsidR="005A147D">
        <w:rPr>
          <w:sz w:val="24"/>
          <w:szCs w:val="24"/>
          <w:lang w:val="es-ES"/>
        </w:rPr>
        <w:t>,</w:t>
      </w:r>
      <w:r w:rsidRPr="008E3259">
        <w:rPr>
          <w:sz w:val="24"/>
          <w:szCs w:val="24"/>
          <w:lang w:val="es-ES"/>
        </w:rPr>
        <w:t xml:space="preserve"> en julio</w:t>
      </w:r>
      <w:r w:rsidRPr="000256CA">
        <w:rPr>
          <w:sz w:val="24"/>
          <w:szCs w:val="24"/>
          <w:lang w:val="es-ES"/>
        </w:rPr>
        <w:t>—</w:t>
      </w:r>
      <w:r w:rsidRPr="008E3259">
        <w:rPr>
          <w:sz w:val="24"/>
          <w:szCs w:val="24"/>
          <w:lang w:val="es-ES"/>
        </w:rPr>
        <w:t xml:space="preserve"> y de una ampliación del déficit de la balanza de productos petroleros </w:t>
      </w:r>
      <w:r w:rsidRPr="000256CA">
        <w:rPr>
          <w:sz w:val="24"/>
          <w:szCs w:val="24"/>
          <w:lang w:val="es-ES"/>
        </w:rPr>
        <w:t>—</w:t>
      </w:r>
      <w:r w:rsidRPr="008E3259">
        <w:rPr>
          <w:sz w:val="24"/>
          <w:szCs w:val="24"/>
          <w:lang w:val="es-ES"/>
        </w:rPr>
        <w:t>que pasó de 1</w:t>
      </w:r>
      <w:r w:rsidRPr="009D689E">
        <w:rPr>
          <w:sz w:val="24"/>
          <w:szCs w:val="24"/>
          <w:lang w:val="es-ES"/>
        </w:rPr>
        <w:t> </w:t>
      </w:r>
      <w:r w:rsidRPr="008E3259">
        <w:rPr>
          <w:sz w:val="24"/>
          <w:szCs w:val="24"/>
          <w:lang w:val="es-ES"/>
        </w:rPr>
        <w:t>015 millones de dólares a 1</w:t>
      </w:r>
      <w:r w:rsidRPr="009D689E">
        <w:rPr>
          <w:sz w:val="24"/>
          <w:szCs w:val="24"/>
          <w:lang w:val="es-ES"/>
        </w:rPr>
        <w:t> </w:t>
      </w:r>
      <w:r w:rsidRPr="008E3259">
        <w:rPr>
          <w:sz w:val="24"/>
          <w:szCs w:val="24"/>
          <w:lang w:val="es-ES"/>
        </w:rPr>
        <w:t>301 millones de dólares en esa misma comparación</w:t>
      </w:r>
      <w:r w:rsidRPr="000256CA">
        <w:rPr>
          <w:sz w:val="24"/>
          <w:szCs w:val="24"/>
          <w:lang w:val="es-ES"/>
        </w:rPr>
        <w:t>—</w:t>
      </w:r>
      <w:r w:rsidRPr="008E3259">
        <w:rPr>
          <w:sz w:val="24"/>
          <w:szCs w:val="24"/>
          <w:lang w:val="es-ES"/>
        </w:rPr>
        <w:t>.</w:t>
      </w:r>
    </w:p>
    <w:p w14:paraId="4472BE78" w14:textId="77777777" w:rsidR="00EC66DE" w:rsidRDefault="00EC66DE" w:rsidP="00C24D4B">
      <w:pPr>
        <w:pStyle w:val="Textoindependiente217"/>
        <w:keepNext/>
        <w:keepLines/>
        <w:numPr>
          <w:ilvl w:val="12"/>
          <w:numId w:val="0"/>
        </w:numPr>
        <w:spacing w:before="240" w:after="0"/>
        <w:jc w:val="center"/>
        <w:rPr>
          <w:bCs/>
          <w:sz w:val="20"/>
          <w:szCs w:val="18"/>
          <w:lang w:val="es-ES"/>
        </w:rPr>
      </w:pPr>
      <w:bookmarkStart w:id="0" w:name="_Hlk43973138"/>
    </w:p>
    <w:p w14:paraId="41D92C5D" w14:textId="702B33E5" w:rsidR="00900594" w:rsidRPr="00900594" w:rsidRDefault="00900594" w:rsidP="00C24D4B">
      <w:pPr>
        <w:pStyle w:val="Textoindependiente217"/>
        <w:keepNext/>
        <w:keepLines/>
        <w:numPr>
          <w:ilvl w:val="12"/>
          <w:numId w:val="0"/>
        </w:numPr>
        <w:spacing w:before="240" w:after="0"/>
        <w:jc w:val="center"/>
        <w:rPr>
          <w:bCs/>
          <w:sz w:val="20"/>
          <w:szCs w:val="18"/>
          <w:lang w:val="es-ES"/>
        </w:rPr>
      </w:pPr>
      <w:r w:rsidRPr="00900594">
        <w:rPr>
          <w:bCs/>
          <w:sz w:val="20"/>
          <w:szCs w:val="18"/>
          <w:lang w:val="es-ES"/>
        </w:rPr>
        <w:t>Gráfica 1</w:t>
      </w:r>
    </w:p>
    <w:p w14:paraId="3E2475B8" w14:textId="351CAD30" w:rsidR="002305FE" w:rsidRDefault="002305FE" w:rsidP="00C24D4B">
      <w:pPr>
        <w:pStyle w:val="Textoindependiente217"/>
        <w:keepNext/>
        <w:keepLines/>
        <w:numPr>
          <w:ilvl w:val="12"/>
          <w:numId w:val="0"/>
        </w:numPr>
        <w:spacing w:after="0" w:line="280" w:lineRule="exact"/>
        <w:jc w:val="center"/>
        <w:rPr>
          <w:b/>
          <w:smallCaps/>
          <w:lang w:val="es-ES"/>
        </w:rPr>
      </w:pPr>
      <w:r w:rsidRPr="002C126C">
        <w:rPr>
          <w:b/>
          <w:smallCaps/>
          <w:lang w:val="es-ES"/>
        </w:rPr>
        <w:t xml:space="preserve">Saldo de la </w:t>
      </w:r>
      <w:r w:rsidR="002C126C">
        <w:rPr>
          <w:b/>
          <w:smallCaps/>
          <w:lang w:val="es-ES"/>
        </w:rPr>
        <w:t>b</w:t>
      </w:r>
      <w:r w:rsidRPr="002C126C">
        <w:rPr>
          <w:b/>
          <w:smallCaps/>
          <w:lang w:val="es-ES"/>
        </w:rPr>
        <w:t xml:space="preserve">alanza </w:t>
      </w:r>
      <w:r w:rsidR="002C126C">
        <w:rPr>
          <w:b/>
          <w:smallCaps/>
          <w:lang w:val="es-ES"/>
        </w:rPr>
        <w:t>c</w:t>
      </w:r>
      <w:r w:rsidRPr="002C126C">
        <w:rPr>
          <w:b/>
          <w:smallCaps/>
          <w:lang w:val="es-ES"/>
        </w:rPr>
        <w:t>omercial</w:t>
      </w:r>
      <w:r w:rsidR="004A7E82" w:rsidRPr="002C126C">
        <w:rPr>
          <w:b/>
          <w:smallCaps/>
          <w:lang w:val="es-ES"/>
        </w:rPr>
        <w:t xml:space="preserve"> de </w:t>
      </w:r>
      <w:r w:rsidR="002C126C">
        <w:rPr>
          <w:b/>
          <w:smallCaps/>
          <w:lang w:val="es-ES"/>
        </w:rPr>
        <w:t>m</w:t>
      </w:r>
      <w:r w:rsidR="004A7E82" w:rsidRPr="002C126C">
        <w:rPr>
          <w:b/>
          <w:smallCaps/>
          <w:lang w:val="es-ES"/>
        </w:rPr>
        <w:t>ercancías</w:t>
      </w:r>
      <w:r w:rsidR="005B46A4" w:rsidRPr="002C126C">
        <w:rPr>
          <w:b/>
          <w:smallCaps/>
          <w:lang w:val="es-ES"/>
        </w:rPr>
        <w:t xml:space="preserve"> de México</w:t>
      </w:r>
    </w:p>
    <w:p w14:paraId="282CE75A" w14:textId="32501402" w:rsidR="00460395" w:rsidRPr="00D67AF3" w:rsidRDefault="00460395" w:rsidP="00C24D4B">
      <w:pPr>
        <w:pStyle w:val="Textoindependiente217"/>
        <w:keepNext/>
        <w:keepLines/>
        <w:numPr>
          <w:ilvl w:val="12"/>
          <w:numId w:val="0"/>
        </w:numPr>
        <w:spacing w:after="0" w:line="280" w:lineRule="exact"/>
        <w:jc w:val="center"/>
        <w:rPr>
          <w:b/>
          <w:smallCaps/>
          <w:sz w:val="20"/>
          <w:szCs w:val="18"/>
          <w:lang w:val="es-ES"/>
        </w:rPr>
      </w:pPr>
      <w:r w:rsidRPr="00D67AF3">
        <w:rPr>
          <w:b/>
          <w:smallCaps/>
          <w:sz w:val="20"/>
          <w:szCs w:val="18"/>
          <w:lang w:val="es-ES"/>
        </w:rPr>
        <w:t xml:space="preserve">serie </w:t>
      </w:r>
      <w:r w:rsidR="007C3D6A" w:rsidRPr="00D67AF3">
        <w:rPr>
          <w:b/>
          <w:smallCaps/>
          <w:sz w:val="20"/>
          <w:szCs w:val="18"/>
          <w:lang w:val="es-ES"/>
        </w:rPr>
        <w:t>d</w:t>
      </w:r>
      <w:r w:rsidRPr="00D67AF3">
        <w:rPr>
          <w:b/>
          <w:smallCaps/>
          <w:sz w:val="20"/>
          <w:szCs w:val="18"/>
          <w:lang w:val="es-ES"/>
        </w:rPr>
        <w:t>esestacionalizada</w:t>
      </w:r>
    </w:p>
    <w:p w14:paraId="773B7720" w14:textId="4305FED8" w:rsidR="002305FE" w:rsidRPr="00437F85" w:rsidRDefault="00FE5C20" w:rsidP="00C24D4B">
      <w:pPr>
        <w:pStyle w:val="Textoindependiente217"/>
        <w:keepNext/>
        <w:keepLines/>
        <w:numPr>
          <w:ilvl w:val="12"/>
          <w:numId w:val="0"/>
        </w:numPr>
        <w:spacing w:after="0" w:line="260" w:lineRule="exact"/>
        <w:jc w:val="center"/>
        <w:rPr>
          <w:sz w:val="20"/>
          <w:lang w:val="es-ES"/>
        </w:rPr>
      </w:pPr>
      <w:r>
        <w:rPr>
          <w:sz w:val="18"/>
          <w:lang w:val="es-ES"/>
        </w:rPr>
        <w:t>(</w:t>
      </w:r>
      <w:r w:rsidR="00A92A39" w:rsidRPr="00A92A39">
        <w:rPr>
          <w:sz w:val="18"/>
          <w:lang w:val="es-ES"/>
        </w:rPr>
        <w:t>Millones de dólares</w:t>
      </w:r>
      <w:r>
        <w:rPr>
          <w:sz w:val="18"/>
          <w:lang w:val="es-ES"/>
        </w:rPr>
        <w:t>)</w:t>
      </w:r>
    </w:p>
    <w:p w14:paraId="606DDA7D" w14:textId="7A2E5CD1" w:rsidR="00E573F9" w:rsidRDefault="005A1E4E" w:rsidP="00C24D4B">
      <w:pPr>
        <w:pStyle w:val="Textoindependiente217"/>
        <w:keepNext/>
        <w:keepLines/>
        <w:widowControl w:val="0"/>
        <w:numPr>
          <w:ilvl w:val="12"/>
          <w:numId w:val="0"/>
        </w:numPr>
        <w:spacing w:after="0"/>
        <w:ind w:hanging="11"/>
        <w:jc w:val="center"/>
        <w:rPr>
          <w:sz w:val="18"/>
          <w:szCs w:val="18"/>
          <w:lang w:val="es-ES"/>
        </w:rPr>
      </w:pPr>
      <w:r>
        <w:rPr>
          <w:noProof/>
        </w:rPr>
        <w:drawing>
          <wp:inline distT="0" distB="0" distL="0" distR="0" wp14:anchorId="5FABC9AA" wp14:editId="3E1E4A9D">
            <wp:extent cx="5040000" cy="4140000"/>
            <wp:effectExtent l="0" t="0" r="27305" b="32385"/>
            <wp:docPr id="1316360217" name="Gráfico 1">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459DCF54" w14:textId="73187FCF" w:rsidR="002C0404" w:rsidRPr="003D49CC" w:rsidRDefault="002C0404" w:rsidP="00C24D4B">
      <w:pPr>
        <w:pStyle w:val="Textoindependiente217"/>
        <w:keepNext/>
        <w:keepLines/>
        <w:widowControl w:val="0"/>
        <w:numPr>
          <w:ilvl w:val="12"/>
          <w:numId w:val="0"/>
        </w:numPr>
        <w:spacing w:after="0"/>
        <w:ind w:left="1134" w:hanging="11"/>
        <w:jc w:val="left"/>
        <w:rPr>
          <w:sz w:val="16"/>
          <w:szCs w:val="16"/>
          <w:lang w:val="es-ES"/>
        </w:rPr>
      </w:pPr>
      <w:r w:rsidRPr="003D49CC">
        <w:rPr>
          <w:sz w:val="16"/>
          <w:szCs w:val="16"/>
          <w:lang w:val="es-ES"/>
        </w:rPr>
        <w:t>* Cifras oportunas</w:t>
      </w:r>
    </w:p>
    <w:p w14:paraId="3EF5C6E0" w14:textId="77777777" w:rsidR="00EC66DE" w:rsidRDefault="00EC66DE" w:rsidP="007E58B0">
      <w:pPr>
        <w:pStyle w:val="Textoindependiente211"/>
        <w:numPr>
          <w:ilvl w:val="12"/>
          <w:numId w:val="0"/>
        </w:numPr>
        <w:spacing w:before="240" w:after="0"/>
        <w:rPr>
          <w:sz w:val="24"/>
          <w:szCs w:val="24"/>
          <w:lang w:val="es-ES"/>
        </w:rPr>
      </w:pPr>
    </w:p>
    <w:p w14:paraId="2CA9C60A" w14:textId="0101D930" w:rsidR="0061287B" w:rsidRPr="002D7C43" w:rsidRDefault="0006060E" w:rsidP="007E58B0">
      <w:pPr>
        <w:pStyle w:val="Textoindependiente211"/>
        <w:numPr>
          <w:ilvl w:val="12"/>
          <w:numId w:val="0"/>
        </w:numPr>
        <w:spacing w:before="240" w:after="0"/>
        <w:rPr>
          <w:sz w:val="24"/>
          <w:szCs w:val="24"/>
          <w:lang w:val="es-ES"/>
        </w:rPr>
      </w:pPr>
      <w:r w:rsidRPr="0006060E">
        <w:rPr>
          <w:sz w:val="24"/>
          <w:szCs w:val="24"/>
          <w:lang w:val="es-ES"/>
        </w:rPr>
        <w:t xml:space="preserve">En el mes que se reporta, las exportaciones totales desestacionalizadas </w:t>
      </w:r>
      <w:r>
        <w:rPr>
          <w:sz w:val="24"/>
          <w:szCs w:val="24"/>
          <w:lang w:val="es-ES"/>
        </w:rPr>
        <w:t>registraron</w:t>
      </w:r>
      <w:r w:rsidRPr="0006060E">
        <w:rPr>
          <w:sz w:val="24"/>
          <w:szCs w:val="24"/>
          <w:lang w:val="es-ES"/>
        </w:rPr>
        <w:t xml:space="preserve"> un crecimiento mensual de 0.98</w:t>
      </w:r>
      <w:r w:rsidR="00E33FF9" w:rsidRPr="009D689E">
        <w:rPr>
          <w:sz w:val="24"/>
          <w:szCs w:val="24"/>
          <w:lang w:val="es-ES"/>
        </w:rPr>
        <w:t> </w:t>
      </w:r>
      <w:r w:rsidRPr="0006060E">
        <w:rPr>
          <w:sz w:val="24"/>
          <w:szCs w:val="24"/>
          <w:lang w:val="es-ES"/>
        </w:rPr>
        <w:t>%, el cual fue resultado neto de un avance de 1.23</w:t>
      </w:r>
      <w:r w:rsidR="00E33FF9" w:rsidRPr="009D689E">
        <w:rPr>
          <w:sz w:val="24"/>
          <w:szCs w:val="24"/>
          <w:lang w:val="es-ES"/>
        </w:rPr>
        <w:t> </w:t>
      </w:r>
      <w:r w:rsidRPr="0006060E">
        <w:rPr>
          <w:sz w:val="24"/>
          <w:szCs w:val="24"/>
          <w:lang w:val="es-ES"/>
        </w:rPr>
        <w:t>% en las exportaciones no petroleras y de un descenso de 3.59</w:t>
      </w:r>
      <w:r w:rsidR="00E33FF9" w:rsidRPr="009D689E">
        <w:rPr>
          <w:sz w:val="24"/>
          <w:szCs w:val="24"/>
          <w:lang w:val="es-ES"/>
        </w:rPr>
        <w:t> </w:t>
      </w:r>
      <w:r w:rsidRPr="0006060E">
        <w:rPr>
          <w:sz w:val="24"/>
          <w:szCs w:val="24"/>
          <w:lang w:val="es-ES"/>
        </w:rPr>
        <w:t>% en las petroleras. Al interior de las exportaciones no petroleras, las manufactureras mostraron un alza mensual de 2.40</w:t>
      </w:r>
      <w:r w:rsidR="00E33FF9">
        <w:rPr>
          <w:sz w:val="24"/>
          <w:szCs w:val="24"/>
          <w:lang w:val="es-ES"/>
        </w:rPr>
        <w:t xml:space="preserve"> por ciento</w:t>
      </w:r>
      <w:r w:rsidRPr="0006060E">
        <w:rPr>
          <w:sz w:val="24"/>
          <w:szCs w:val="24"/>
          <w:lang w:val="es-ES"/>
        </w:rPr>
        <w:t xml:space="preserve">. A su vez, dicha tasa se originó de la combinación de un </w:t>
      </w:r>
      <w:r w:rsidR="009F0357">
        <w:rPr>
          <w:sz w:val="24"/>
          <w:szCs w:val="24"/>
          <w:lang w:val="es-ES"/>
        </w:rPr>
        <w:t>aumento</w:t>
      </w:r>
      <w:r w:rsidRPr="0006060E">
        <w:rPr>
          <w:sz w:val="24"/>
          <w:szCs w:val="24"/>
          <w:lang w:val="es-ES"/>
        </w:rPr>
        <w:t xml:space="preserve"> de 13.28</w:t>
      </w:r>
      <w:r w:rsidR="00E33FF9" w:rsidRPr="009D689E">
        <w:rPr>
          <w:sz w:val="24"/>
          <w:szCs w:val="24"/>
          <w:lang w:val="es-ES"/>
        </w:rPr>
        <w:t> </w:t>
      </w:r>
      <w:r w:rsidRPr="0006060E">
        <w:rPr>
          <w:sz w:val="24"/>
          <w:szCs w:val="24"/>
          <w:lang w:val="es-ES"/>
        </w:rPr>
        <w:t>% en las exportaciones automotrices y de una reducción de 3.35</w:t>
      </w:r>
      <w:r w:rsidR="00E33FF9" w:rsidRPr="009D689E">
        <w:rPr>
          <w:sz w:val="24"/>
          <w:szCs w:val="24"/>
          <w:lang w:val="es-ES"/>
        </w:rPr>
        <w:t> </w:t>
      </w:r>
      <w:r w:rsidRPr="0006060E">
        <w:rPr>
          <w:sz w:val="24"/>
          <w:szCs w:val="24"/>
          <w:lang w:val="es-ES"/>
        </w:rPr>
        <w:t>% en las manufactureras no automotrices.</w:t>
      </w:r>
    </w:p>
    <w:p w14:paraId="4E659BAB" w14:textId="77777777" w:rsidR="00DD5098" w:rsidRDefault="00DD5098">
      <w:pPr>
        <w:rPr>
          <w:rFonts w:ascii="Arial" w:hAnsi="Arial"/>
          <w:bCs/>
          <w:sz w:val="20"/>
          <w:szCs w:val="18"/>
          <w:lang w:val="es-ES" w:eastAsia="es-ES"/>
        </w:rPr>
      </w:pPr>
      <w:r>
        <w:rPr>
          <w:bCs/>
          <w:sz w:val="20"/>
          <w:szCs w:val="18"/>
          <w:lang w:val="es-ES"/>
        </w:rPr>
        <w:br w:type="page"/>
      </w:r>
    </w:p>
    <w:p w14:paraId="247076E7" w14:textId="52317516" w:rsidR="000E6765" w:rsidRPr="00900594" w:rsidRDefault="00900594" w:rsidP="008C3BFC">
      <w:pPr>
        <w:pStyle w:val="Textoindependiente217"/>
        <w:numPr>
          <w:ilvl w:val="12"/>
          <w:numId w:val="0"/>
        </w:numPr>
        <w:spacing w:before="240" w:after="0" w:line="280" w:lineRule="exact"/>
        <w:jc w:val="center"/>
        <w:rPr>
          <w:sz w:val="20"/>
          <w:lang w:val="es-ES"/>
        </w:rPr>
      </w:pPr>
      <w:r w:rsidRPr="00900594">
        <w:rPr>
          <w:bCs/>
          <w:sz w:val="20"/>
          <w:szCs w:val="18"/>
          <w:lang w:val="es-ES"/>
        </w:rPr>
        <w:lastRenderedPageBreak/>
        <w:t>Gráfica 2</w:t>
      </w:r>
    </w:p>
    <w:p w14:paraId="748E6B0C" w14:textId="08F78B7D" w:rsidR="0065085B" w:rsidRPr="002C126C" w:rsidRDefault="0065085B" w:rsidP="002C126C">
      <w:pPr>
        <w:pStyle w:val="Textoindependiente217"/>
        <w:numPr>
          <w:ilvl w:val="12"/>
          <w:numId w:val="0"/>
        </w:numPr>
        <w:spacing w:after="0" w:line="260" w:lineRule="exact"/>
        <w:jc w:val="center"/>
        <w:rPr>
          <w:b/>
          <w:smallCaps/>
          <w:lang w:val="es-ES"/>
        </w:rPr>
      </w:pPr>
      <w:r w:rsidRPr="002C126C">
        <w:rPr>
          <w:b/>
          <w:smallCaps/>
          <w:lang w:val="es-ES"/>
        </w:rPr>
        <w:t xml:space="preserve">Exportaciones de </w:t>
      </w:r>
      <w:r w:rsidR="002C126C" w:rsidRPr="002C126C">
        <w:rPr>
          <w:b/>
          <w:smallCaps/>
          <w:lang w:val="es-ES"/>
        </w:rPr>
        <w:t>m</w:t>
      </w:r>
      <w:r w:rsidRPr="002C126C">
        <w:rPr>
          <w:b/>
          <w:smallCaps/>
          <w:lang w:val="es-ES"/>
        </w:rPr>
        <w:t xml:space="preserve">ercancías </w:t>
      </w:r>
    </w:p>
    <w:p w14:paraId="1FDDA229" w14:textId="77777777" w:rsidR="0065085B" w:rsidRPr="00A92A39" w:rsidRDefault="0065085B" w:rsidP="002C126C">
      <w:pPr>
        <w:pStyle w:val="Textoindependiente217"/>
        <w:numPr>
          <w:ilvl w:val="12"/>
          <w:numId w:val="0"/>
        </w:numPr>
        <w:spacing w:after="0" w:line="260" w:lineRule="exact"/>
        <w:jc w:val="center"/>
        <w:rPr>
          <w:sz w:val="20"/>
          <w:lang w:val="es-ES"/>
        </w:rPr>
      </w:pPr>
      <w:r w:rsidRPr="00A92A39">
        <w:rPr>
          <w:sz w:val="18"/>
          <w:lang w:val="es-ES"/>
        </w:rPr>
        <w:t>Millones de dólares</w:t>
      </w:r>
    </w:p>
    <w:tbl>
      <w:tblPr>
        <w:tblStyle w:val="Tablaconcuadrcula"/>
        <w:tblW w:w="95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
      <w:tblGrid>
        <w:gridCol w:w="4760"/>
        <w:gridCol w:w="4760"/>
      </w:tblGrid>
      <w:tr w:rsidR="0065085B" w:rsidRPr="00260163" w14:paraId="5D304927" w14:textId="77777777" w:rsidTr="00D37D2A">
        <w:trPr>
          <w:jc w:val="center"/>
        </w:trPr>
        <w:tc>
          <w:tcPr>
            <w:tcW w:w="4760" w:type="dxa"/>
            <w:shd w:val="clear" w:color="auto" w:fill="auto"/>
          </w:tcPr>
          <w:p w14:paraId="14A2D42A" w14:textId="0090D94D" w:rsidR="0065085B" w:rsidRPr="00260163" w:rsidRDefault="00D37D2A" w:rsidP="00016BFA">
            <w:pPr>
              <w:pStyle w:val="Textoindependiente217"/>
              <w:widowControl w:val="0"/>
              <w:numPr>
                <w:ilvl w:val="12"/>
                <w:numId w:val="0"/>
              </w:numPr>
              <w:spacing w:before="120" w:after="0"/>
              <w:jc w:val="center"/>
            </w:pPr>
            <w:r>
              <w:rPr>
                <w:noProof/>
              </w:rPr>
              <w:drawing>
                <wp:inline distT="0" distB="0" distL="0" distR="0" wp14:anchorId="4FED1213" wp14:editId="54DB3819">
                  <wp:extent cx="2919106" cy="2144293"/>
                  <wp:effectExtent l="0" t="0" r="14605" b="8890"/>
                  <wp:docPr id="478115676" name="Gráfico 1">
                    <a:extLst xmlns:a="http://schemas.openxmlformats.org/drawingml/2006/main">
                      <a:ext uri="{FF2B5EF4-FFF2-40B4-BE49-F238E27FC236}">
                        <a16:creationId xmlns:a16="http://schemas.microsoft.com/office/drawing/2014/main"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tc>
        <w:tc>
          <w:tcPr>
            <w:tcW w:w="4760" w:type="dxa"/>
          </w:tcPr>
          <w:p w14:paraId="45B21DDC" w14:textId="30C1B0BD" w:rsidR="0065085B" w:rsidRPr="00260163" w:rsidRDefault="00D37D2A" w:rsidP="00016BFA">
            <w:pPr>
              <w:pStyle w:val="Textoindependiente217"/>
              <w:widowControl w:val="0"/>
              <w:numPr>
                <w:ilvl w:val="12"/>
                <w:numId w:val="0"/>
              </w:numPr>
              <w:spacing w:before="120" w:after="0"/>
              <w:jc w:val="center"/>
            </w:pPr>
            <w:r>
              <w:rPr>
                <w:noProof/>
              </w:rPr>
              <w:drawing>
                <wp:inline distT="0" distB="0" distL="0" distR="0" wp14:anchorId="11A6232C" wp14:editId="2DA000AA">
                  <wp:extent cx="2919106" cy="2144293"/>
                  <wp:effectExtent l="0" t="0" r="14605" b="8890"/>
                  <wp:docPr id="1118176178" name="Gráfico 1">
                    <a:extLst xmlns:a="http://schemas.openxmlformats.org/drawingml/2006/main">
                      <a:ext uri="{FF2B5EF4-FFF2-40B4-BE49-F238E27FC236}">
                        <a16:creationId xmlns:a16="http://schemas.microsoft.com/office/drawing/2014/main" id="{00000000-0008-0000-03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tc>
      </w:tr>
      <w:tr w:rsidR="0065085B" w:rsidRPr="00260163" w14:paraId="5AB2B9C2" w14:textId="77777777" w:rsidTr="00D37D2A">
        <w:trPr>
          <w:jc w:val="center"/>
        </w:trPr>
        <w:tc>
          <w:tcPr>
            <w:tcW w:w="4760" w:type="dxa"/>
          </w:tcPr>
          <w:p w14:paraId="20733AE8" w14:textId="70C61DD8" w:rsidR="0065085B" w:rsidRPr="00260163" w:rsidRDefault="00D37D2A" w:rsidP="00016BFA">
            <w:pPr>
              <w:pStyle w:val="Textoindependiente217"/>
              <w:widowControl w:val="0"/>
              <w:numPr>
                <w:ilvl w:val="12"/>
                <w:numId w:val="0"/>
              </w:numPr>
              <w:spacing w:before="120" w:after="0"/>
              <w:jc w:val="center"/>
            </w:pPr>
            <w:r>
              <w:rPr>
                <w:noProof/>
              </w:rPr>
              <w:drawing>
                <wp:inline distT="0" distB="0" distL="0" distR="0" wp14:anchorId="7B73E38C" wp14:editId="27ED6A45">
                  <wp:extent cx="2920141" cy="2144292"/>
                  <wp:effectExtent l="0" t="0" r="13970" b="8890"/>
                  <wp:docPr id="253195052" name="Gráfico 1">
                    <a:extLst xmlns:a="http://schemas.openxmlformats.org/drawingml/2006/main">
                      <a:ext uri="{FF2B5EF4-FFF2-40B4-BE49-F238E27FC236}">
                        <a16:creationId xmlns:a16="http://schemas.microsoft.com/office/drawing/2014/main" id="{00000000-0008-0000-03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tc>
        <w:tc>
          <w:tcPr>
            <w:tcW w:w="4760" w:type="dxa"/>
          </w:tcPr>
          <w:p w14:paraId="7FA792AB" w14:textId="1F8DA39D" w:rsidR="0065085B" w:rsidRPr="00260163" w:rsidRDefault="00D37D2A" w:rsidP="00016BFA">
            <w:pPr>
              <w:pStyle w:val="Textoindependiente217"/>
              <w:widowControl w:val="0"/>
              <w:numPr>
                <w:ilvl w:val="12"/>
                <w:numId w:val="0"/>
              </w:numPr>
              <w:spacing w:before="120" w:after="0"/>
              <w:jc w:val="center"/>
            </w:pPr>
            <w:r>
              <w:rPr>
                <w:noProof/>
              </w:rPr>
              <w:drawing>
                <wp:inline distT="0" distB="0" distL="0" distR="0" wp14:anchorId="17CA854B" wp14:editId="4F685E1E">
                  <wp:extent cx="2919106" cy="2142843"/>
                  <wp:effectExtent l="0" t="0" r="14605" b="10160"/>
                  <wp:docPr id="1753529741" name="Gráfico 1">
                    <a:extLst xmlns:a="http://schemas.openxmlformats.org/drawingml/2006/main">
                      <a:ext uri="{FF2B5EF4-FFF2-40B4-BE49-F238E27FC236}">
                        <a16:creationId xmlns:a16="http://schemas.microsoft.com/office/drawing/2014/main" id="{00000000-0008-0000-03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tc>
      </w:tr>
      <w:tr w:rsidR="0065085B" w14:paraId="2A2D45F1" w14:textId="77777777" w:rsidTr="00D37D2A">
        <w:trPr>
          <w:jc w:val="center"/>
        </w:trPr>
        <w:tc>
          <w:tcPr>
            <w:tcW w:w="4760" w:type="dxa"/>
          </w:tcPr>
          <w:p w14:paraId="0CD35AE3" w14:textId="5605C187" w:rsidR="0065085B" w:rsidRPr="003B5309" w:rsidRDefault="00D37D2A" w:rsidP="00016BFA">
            <w:pPr>
              <w:pStyle w:val="Textoindependiente217"/>
              <w:widowControl w:val="0"/>
              <w:numPr>
                <w:ilvl w:val="12"/>
                <w:numId w:val="0"/>
              </w:numPr>
              <w:spacing w:before="120" w:after="0"/>
              <w:jc w:val="center"/>
            </w:pPr>
            <w:r>
              <w:rPr>
                <w:noProof/>
              </w:rPr>
              <w:drawing>
                <wp:inline distT="0" distB="0" distL="0" distR="0" wp14:anchorId="35DE2AEA" wp14:editId="272128CD">
                  <wp:extent cx="2919106" cy="2142843"/>
                  <wp:effectExtent l="0" t="0" r="14605" b="10160"/>
                  <wp:docPr id="311083079" name="Gráfico 1">
                    <a:extLst xmlns:a="http://schemas.openxmlformats.org/drawingml/2006/main">
                      <a:ext uri="{FF2B5EF4-FFF2-40B4-BE49-F238E27FC236}">
                        <a16:creationId xmlns:a16="http://schemas.microsoft.com/office/drawing/2014/main" id="{00000000-0008-0000-0300-000006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tc>
        <w:tc>
          <w:tcPr>
            <w:tcW w:w="4760" w:type="dxa"/>
          </w:tcPr>
          <w:p w14:paraId="23525FAD" w14:textId="0DF861F8" w:rsidR="0065085B" w:rsidRDefault="00D37D2A" w:rsidP="00016BFA">
            <w:pPr>
              <w:pStyle w:val="Textoindependiente217"/>
              <w:widowControl w:val="0"/>
              <w:numPr>
                <w:ilvl w:val="12"/>
                <w:numId w:val="0"/>
              </w:numPr>
              <w:spacing w:before="120" w:after="0"/>
              <w:jc w:val="center"/>
            </w:pPr>
            <w:r>
              <w:rPr>
                <w:noProof/>
              </w:rPr>
              <w:drawing>
                <wp:inline distT="0" distB="0" distL="0" distR="0" wp14:anchorId="0CD331F3" wp14:editId="1D2FFC5D">
                  <wp:extent cx="2919106" cy="2144292"/>
                  <wp:effectExtent l="0" t="0" r="14605" b="8890"/>
                  <wp:docPr id="1877299134" name="Gráfico 1">
                    <a:extLst xmlns:a="http://schemas.openxmlformats.org/drawingml/2006/main">
                      <a:ext uri="{FF2B5EF4-FFF2-40B4-BE49-F238E27FC236}">
                        <a16:creationId xmlns:a16="http://schemas.microsoft.com/office/drawing/2014/main" id="{00000000-0008-0000-0300-000007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c>
      </w:tr>
    </w:tbl>
    <w:p w14:paraId="01F06A1B" w14:textId="5EE6904B" w:rsidR="002C126C" w:rsidRPr="003D49CC" w:rsidRDefault="003B5309" w:rsidP="00C24D4B">
      <w:pPr>
        <w:pStyle w:val="Textoindependiente211"/>
        <w:numPr>
          <w:ilvl w:val="12"/>
          <w:numId w:val="0"/>
        </w:numPr>
        <w:spacing w:after="0"/>
        <w:ind w:left="426"/>
        <w:rPr>
          <w:sz w:val="16"/>
          <w:szCs w:val="16"/>
        </w:rPr>
      </w:pPr>
      <w:r w:rsidRPr="003D49CC">
        <w:rPr>
          <w:sz w:val="16"/>
          <w:szCs w:val="16"/>
        </w:rPr>
        <w:t>*  Cifras oportunas</w:t>
      </w:r>
    </w:p>
    <w:p w14:paraId="2EA04AC6" w14:textId="77777777" w:rsidR="00140111" w:rsidRDefault="00140111">
      <w:pPr>
        <w:rPr>
          <w:rFonts w:ascii="Arial" w:hAnsi="Arial"/>
          <w:lang w:val="es-ES" w:eastAsia="es-ES"/>
        </w:rPr>
      </w:pPr>
      <w:r>
        <w:rPr>
          <w:lang w:val="es-ES"/>
        </w:rPr>
        <w:br w:type="page"/>
      </w:r>
    </w:p>
    <w:p w14:paraId="7C30E225" w14:textId="77777777" w:rsidR="00EC66DE" w:rsidRDefault="00EC66DE" w:rsidP="009472FF">
      <w:pPr>
        <w:pStyle w:val="Textoindependiente211"/>
        <w:keepNext/>
        <w:keepLines/>
        <w:numPr>
          <w:ilvl w:val="12"/>
          <w:numId w:val="0"/>
        </w:numPr>
        <w:spacing w:before="240" w:after="0"/>
        <w:rPr>
          <w:sz w:val="24"/>
          <w:szCs w:val="24"/>
          <w:lang w:val="es-ES"/>
        </w:rPr>
      </w:pPr>
    </w:p>
    <w:p w14:paraId="378B7C2C" w14:textId="69C7F0CA" w:rsidR="007A5BF2" w:rsidRPr="009D373C" w:rsidRDefault="00A73D43" w:rsidP="009472FF">
      <w:pPr>
        <w:pStyle w:val="Textoindependiente211"/>
        <w:keepNext/>
        <w:keepLines/>
        <w:numPr>
          <w:ilvl w:val="12"/>
          <w:numId w:val="0"/>
        </w:numPr>
        <w:spacing w:before="240" w:after="0"/>
        <w:rPr>
          <w:sz w:val="24"/>
          <w:szCs w:val="24"/>
          <w:lang w:val="es-ES"/>
        </w:rPr>
      </w:pPr>
      <w:r w:rsidRPr="00A73D43">
        <w:rPr>
          <w:sz w:val="24"/>
          <w:szCs w:val="24"/>
          <w:lang w:val="es-ES"/>
        </w:rPr>
        <w:t xml:space="preserve">En julio de 2023, las importaciones totales de mercancías </w:t>
      </w:r>
      <w:r w:rsidR="00A4346A">
        <w:rPr>
          <w:sz w:val="24"/>
          <w:szCs w:val="24"/>
          <w:lang w:val="es-ES"/>
        </w:rPr>
        <w:t>mostraron</w:t>
      </w:r>
      <w:r w:rsidRPr="00A73D43">
        <w:rPr>
          <w:sz w:val="24"/>
          <w:szCs w:val="24"/>
          <w:lang w:val="es-ES"/>
        </w:rPr>
        <w:t xml:space="preserve"> una reducción mensual desestacionalizada de 1.95</w:t>
      </w:r>
      <w:r>
        <w:rPr>
          <w:sz w:val="24"/>
          <w:szCs w:val="24"/>
          <w:lang w:val="es-ES"/>
        </w:rPr>
        <w:t xml:space="preserve"> por ciento</w:t>
      </w:r>
      <w:r w:rsidRPr="00A73D43">
        <w:rPr>
          <w:sz w:val="24"/>
          <w:szCs w:val="24"/>
          <w:lang w:val="es-ES"/>
        </w:rPr>
        <w:t>. Esta cifra fue resultado neto de una caída de 2.51</w:t>
      </w:r>
      <w:r w:rsidRPr="009D689E">
        <w:rPr>
          <w:sz w:val="24"/>
          <w:szCs w:val="24"/>
          <w:lang w:val="es-ES"/>
        </w:rPr>
        <w:t> </w:t>
      </w:r>
      <w:r w:rsidRPr="00A73D43">
        <w:rPr>
          <w:sz w:val="24"/>
          <w:szCs w:val="24"/>
          <w:lang w:val="es-ES"/>
        </w:rPr>
        <w:t>% en las importaciones no petroleras y de un aumento de 5.37</w:t>
      </w:r>
      <w:r w:rsidRPr="009D689E">
        <w:rPr>
          <w:sz w:val="24"/>
          <w:szCs w:val="24"/>
          <w:lang w:val="es-ES"/>
        </w:rPr>
        <w:t> </w:t>
      </w:r>
      <w:r w:rsidRPr="00A73D43">
        <w:rPr>
          <w:sz w:val="24"/>
          <w:szCs w:val="24"/>
          <w:lang w:val="es-ES"/>
        </w:rPr>
        <w:t>% en las petroleras. Por tipo de bien, se observaron retrocesos mensuales de 2.62</w:t>
      </w:r>
      <w:r w:rsidRPr="009D689E">
        <w:rPr>
          <w:sz w:val="24"/>
          <w:szCs w:val="24"/>
          <w:lang w:val="es-ES"/>
        </w:rPr>
        <w:t> </w:t>
      </w:r>
      <w:r w:rsidRPr="00A73D43">
        <w:rPr>
          <w:sz w:val="24"/>
          <w:szCs w:val="24"/>
          <w:lang w:val="es-ES"/>
        </w:rPr>
        <w:t>% en las importaciones de bienes de uso intermedio (descenso de 2.89</w:t>
      </w:r>
      <w:r w:rsidRPr="009D689E">
        <w:rPr>
          <w:sz w:val="24"/>
          <w:szCs w:val="24"/>
          <w:lang w:val="es-ES"/>
        </w:rPr>
        <w:t> </w:t>
      </w:r>
      <w:r w:rsidRPr="00A73D43">
        <w:rPr>
          <w:sz w:val="24"/>
          <w:szCs w:val="24"/>
          <w:lang w:val="es-ES"/>
        </w:rPr>
        <w:t>% en las de bienes de uso intermedio no petroleros) y de 2.12</w:t>
      </w:r>
      <w:r w:rsidRPr="009D689E">
        <w:rPr>
          <w:sz w:val="24"/>
          <w:szCs w:val="24"/>
          <w:lang w:val="es-ES"/>
        </w:rPr>
        <w:t> </w:t>
      </w:r>
      <w:r w:rsidRPr="00A73D43">
        <w:rPr>
          <w:sz w:val="24"/>
          <w:szCs w:val="24"/>
          <w:lang w:val="es-ES"/>
        </w:rPr>
        <w:t>%</w:t>
      </w:r>
      <w:r w:rsidR="00EC66DE">
        <w:rPr>
          <w:sz w:val="24"/>
          <w:szCs w:val="24"/>
          <w:lang w:val="es-ES"/>
        </w:rPr>
        <w:t> </w:t>
      </w:r>
      <w:r w:rsidRPr="00A73D43">
        <w:rPr>
          <w:sz w:val="24"/>
          <w:szCs w:val="24"/>
          <w:lang w:val="es-ES"/>
        </w:rPr>
        <w:t>en las de bienes de capital</w:t>
      </w:r>
      <w:r w:rsidR="00C31C25">
        <w:rPr>
          <w:sz w:val="24"/>
          <w:szCs w:val="24"/>
          <w:lang w:val="es-ES"/>
        </w:rPr>
        <w:t>,</w:t>
      </w:r>
      <w:r w:rsidRPr="00A73D43">
        <w:rPr>
          <w:sz w:val="24"/>
          <w:szCs w:val="24"/>
          <w:lang w:val="es-ES"/>
        </w:rPr>
        <w:t xml:space="preserve"> </w:t>
      </w:r>
      <w:r w:rsidR="005A147D">
        <w:rPr>
          <w:sz w:val="24"/>
          <w:szCs w:val="24"/>
          <w:lang w:val="es-ES"/>
        </w:rPr>
        <w:t xml:space="preserve">así como </w:t>
      </w:r>
      <w:r w:rsidRPr="00A73D43">
        <w:rPr>
          <w:sz w:val="24"/>
          <w:szCs w:val="24"/>
          <w:lang w:val="es-ES"/>
        </w:rPr>
        <w:t>un incremento de 1.84</w:t>
      </w:r>
      <w:r w:rsidRPr="009D689E">
        <w:rPr>
          <w:sz w:val="24"/>
          <w:szCs w:val="24"/>
          <w:lang w:val="es-ES"/>
        </w:rPr>
        <w:t> </w:t>
      </w:r>
      <w:r w:rsidRPr="00A73D43">
        <w:rPr>
          <w:sz w:val="24"/>
          <w:szCs w:val="24"/>
          <w:lang w:val="es-ES"/>
        </w:rPr>
        <w:t>% en las importaciones de bienes de consumo (disminución de 0.51</w:t>
      </w:r>
      <w:r w:rsidRPr="009D689E">
        <w:rPr>
          <w:sz w:val="24"/>
          <w:szCs w:val="24"/>
          <w:lang w:val="es-ES"/>
        </w:rPr>
        <w:t> </w:t>
      </w:r>
      <w:r w:rsidRPr="00A73D43">
        <w:rPr>
          <w:sz w:val="24"/>
          <w:szCs w:val="24"/>
          <w:lang w:val="es-ES"/>
        </w:rPr>
        <w:t>% en las importaciones de bienes de consumo no petroleros).</w:t>
      </w:r>
    </w:p>
    <w:p w14:paraId="01B8BE06" w14:textId="07388EE9" w:rsidR="00900594" w:rsidRDefault="00900594" w:rsidP="00A3628A">
      <w:pPr>
        <w:pStyle w:val="Textoindependiente217"/>
        <w:keepNext/>
        <w:numPr>
          <w:ilvl w:val="12"/>
          <w:numId w:val="0"/>
        </w:numPr>
        <w:spacing w:before="240" w:after="0"/>
        <w:ind w:left="295"/>
        <w:jc w:val="center"/>
        <w:rPr>
          <w:b/>
          <w:lang w:val="es-ES"/>
        </w:rPr>
      </w:pPr>
      <w:r w:rsidRPr="00900594">
        <w:rPr>
          <w:bCs/>
          <w:sz w:val="20"/>
          <w:szCs w:val="18"/>
          <w:lang w:val="es-ES"/>
        </w:rPr>
        <w:t xml:space="preserve">Gráfica </w:t>
      </w:r>
      <w:r>
        <w:rPr>
          <w:bCs/>
          <w:sz w:val="20"/>
          <w:szCs w:val="18"/>
          <w:lang w:val="es-ES"/>
        </w:rPr>
        <w:t>3</w:t>
      </w:r>
    </w:p>
    <w:p w14:paraId="40DB10EE" w14:textId="5782AC45" w:rsidR="0065085B" w:rsidRPr="002C126C" w:rsidRDefault="0065085B" w:rsidP="00900594">
      <w:pPr>
        <w:pStyle w:val="Textoindependiente217"/>
        <w:keepNext/>
        <w:numPr>
          <w:ilvl w:val="12"/>
          <w:numId w:val="0"/>
        </w:numPr>
        <w:spacing w:after="0"/>
        <w:ind w:left="295"/>
        <w:jc w:val="center"/>
        <w:rPr>
          <w:b/>
          <w:smallCaps/>
          <w:lang w:val="es-ES"/>
        </w:rPr>
      </w:pPr>
      <w:r w:rsidRPr="002C126C">
        <w:rPr>
          <w:b/>
          <w:smallCaps/>
          <w:lang w:val="es-ES"/>
        </w:rPr>
        <w:t xml:space="preserve">Importaciones de </w:t>
      </w:r>
      <w:r w:rsidR="002C126C">
        <w:rPr>
          <w:b/>
          <w:smallCaps/>
          <w:lang w:val="es-ES"/>
        </w:rPr>
        <w:t>m</w:t>
      </w:r>
      <w:r w:rsidRPr="002C126C">
        <w:rPr>
          <w:b/>
          <w:smallCaps/>
          <w:lang w:val="es-ES"/>
        </w:rPr>
        <w:t>ercancías</w:t>
      </w:r>
    </w:p>
    <w:p w14:paraId="46EBF676" w14:textId="77777777" w:rsidR="0065085B" w:rsidRPr="008C11AD" w:rsidRDefault="0065085B" w:rsidP="0065085B">
      <w:pPr>
        <w:pStyle w:val="Textoindependiente217"/>
        <w:numPr>
          <w:ilvl w:val="12"/>
          <w:numId w:val="0"/>
        </w:numPr>
        <w:spacing w:after="0" w:line="260" w:lineRule="exact"/>
        <w:ind w:left="284"/>
        <w:jc w:val="center"/>
        <w:rPr>
          <w:sz w:val="20"/>
          <w:lang w:val="es-ES"/>
        </w:rPr>
      </w:pPr>
      <w:r w:rsidRPr="00A92A39">
        <w:rPr>
          <w:sz w:val="18"/>
          <w:lang w:val="es-ES"/>
        </w:rPr>
        <w:t>Millones de dólares</w:t>
      </w:r>
    </w:p>
    <w:tbl>
      <w:tblPr>
        <w:tblStyle w:val="Tablaconcuadrcula"/>
        <w:tblW w:w="95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
      <w:tblGrid>
        <w:gridCol w:w="4760"/>
        <w:gridCol w:w="4760"/>
      </w:tblGrid>
      <w:tr w:rsidR="0065085B" w:rsidRPr="00CE6AE4" w14:paraId="6174D7C2" w14:textId="77777777" w:rsidTr="00D37D2A">
        <w:trPr>
          <w:jc w:val="center"/>
        </w:trPr>
        <w:tc>
          <w:tcPr>
            <w:tcW w:w="4760" w:type="dxa"/>
          </w:tcPr>
          <w:p w14:paraId="655AF491" w14:textId="2C5814AE" w:rsidR="0065085B" w:rsidRPr="00CE6AE4" w:rsidRDefault="00D37D2A" w:rsidP="00D7592F">
            <w:pPr>
              <w:pStyle w:val="Textoindependiente217"/>
              <w:widowControl w:val="0"/>
              <w:numPr>
                <w:ilvl w:val="12"/>
                <w:numId w:val="0"/>
              </w:numPr>
              <w:spacing w:before="120" w:after="0"/>
              <w:jc w:val="center"/>
            </w:pPr>
            <w:r>
              <w:rPr>
                <w:noProof/>
              </w:rPr>
              <w:drawing>
                <wp:inline distT="0" distB="0" distL="0" distR="0" wp14:anchorId="4A1E33AC" wp14:editId="03B12CDF">
                  <wp:extent cx="2916000" cy="2096484"/>
                  <wp:effectExtent l="0" t="0" r="17780" b="18415"/>
                  <wp:docPr id="2063088564" name="Gráfico 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tc>
        <w:tc>
          <w:tcPr>
            <w:tcW w:w="4760" w:type="dxa"/>
            <w:shd w:val="clear" w:color="auto" w:fill="auto"/>
          </w:tcPr>
          <w:p w14:paraId="6D65477F" w14:textId="7E459643" w:rsidR="0065085B" w:rsidRPr="00CE6AE4" w:rsidRDefault="00D37D2A" w:rsidP="00D7592F">
            <w:pPr>
              <w:pStyle w:val="Textoindependiente217"/>
              <w:widowControl w:val="0"/>
              <w:numPr>
                <w:ilvl w:val="12"/>
                <w:numId w:val="0"/>
              </w:numPr>
              <w:spacing w:before="120" w:after="0"/>
              <w:jc w:val="center"/>
            </w:pPr>
            <w:r>
              <w:rPr>
                <w:noProof/>
              </w:rPr>
              <w:drawing>
                <wp:inline distT="0" distB="0" distL="0" distR="0" wp14:anchorId="4EA276B5" wp14:editId="49B0ED06">
                  <wp:extent cx="2916000" cy="2096484"/>
                  <wp:effectExtent l="0" t="0" r="17780" b="18415"/>
                  <wp:docPr id="40066837" name="Gráfico 1">
                    <a:extLst xmlns:a="http://schemas.openxmlformats.org/drawingml/2006/main">
                      <a:ext uri="{FF2B5EF4-FFF2-40B4-BE49-F238E27FC236}">
                        <a16:creationId xmlns:a16="http://schemas.microsoft.com/office/drawing/2014/main" id="{00000000-0008-0000-01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tc>
      </w:tr>
      <w:tr w:rsidR="0065085B" w:rsidRPr="00CE6AE4" w14:paraId="6669A40B" w14:textId="77777777" w:rsidTr="00D37D2A">
        <w:trPr>
          <w:jc w:val="center"/>
        </w:trPr>
        <w:tc>
          <w:tcPr>
            <w:tcW w:w="4760" w:type="dxa"/>
          </w:tcPr>
          <w:p w14:paraId="5A861ACC" w14:textId="35B1EA70" w:rsidR="0065085B" w:rsidRPr="00CE6AE4" w:rsidRDefault="00D37D2A" w:rsidP="00825F98">
            <w:pPr>
              <w:pStyle w:val="Textoindependiente217"/>
              <w:widowControl w:val="0"/>
              <w:numPr>
                <w:ilvl w:val="12"/>
                <w:numId w:val="0"/>
              </w:numPr>
              <w:spacing w:before="120" w:after="0"/>
              <w:jc w:val="center"/>
            </w:pPr>
            <w:r>
              <w:rPr>
                <w:noProof/>
              </w:rPr>
              <w:drawing>
                <wp:inline distT="0" distB="0" distL="0" distR="0" wp14:anchorId="057B91B9" wp14:editId="7092212C">
                  <wp:extent cx="2916000" cy="2096484"/>
                  <wp:effectExtent l="0" t="0" r="17780" b="18415"/>
                  <wp:docPr id="453123186" name="Gráfico 1">
                    <a:extLst xmlns:a="http://schemas.openxmlformats.org/drawingml/2006/main">
                      <a:ext uri="{FF2B5EF4-FFF2-40B4-BE49-F238E27FC236}">
                        <a16:creationId xmlns:a16="http://schemas.microsoft.com/office/drawing/2014/main" id="{00000000-0008-0000-01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tc>
        <w:tc>
          <w:tcPr>
            <w:tcW w:w="4760" w:type="dxa"/>
          </w:tcPr>
          <w:p w14:paraId="65BEDE79" w14:textId="29A7371B" w:rsidR="0065085B" w:rsidRPr="00CE6AE4" w:rsidRDefault="00D37D2A" w:rsidP="00D7592F">
            <w:pPr>
              <w:pStyle w:val="Textoindependiente217"/>
              <w:widowControl w:val="0"/>
              <w:numPr>
                <w:ilvl w:val="12"/>
                <w:numId w:val="0"/>
              </w:numPr>
              <w:spacing w:before="120" w:after="60"/>
              <w:jc w:val="center"/>
            </w:pPr>
            <w:r>
              <w:rPr>
                <w:noProof/>
              </w:rPr>
              <w:drawing>
                <wp:inline distT="0" distB="0" distL="0" distR="0" wp14:anchorId="0EF9BE7C" wp14:editId="1E0D4CF4">
                  <wp:extent cx="2916000" cy="2096484"/>
                  <wp:effectExtent l="0" t="0" r="17780" b="18415"/>
                  <wp:docPr id="2049466798" name="Gráfico 1">
                    <a:extLst xmlns:a="http://schemas.openxmlformats.org/drawingml/2006/main">
                      <a:ext uri="{FF2B5EF4-FFF2-40B4-BE49-F238E27FC236}">
                        <a16:creationId xmlns:a16="http://schemas.microsoft.com/office/drawing/2014/main" id="{00000000-0008-0000-01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tc>
      </w:tr>
      <w:tr w:rsidR="0065085B" w14:paraId="4306972F" w14:textId="77777777" w:rsidTr="00D37D2A">
        <w:trPr>
          <w:trHeight w:hRule="exact" w:val="3345"/>
          <w:jc w:val="center"/>
        </w:trPr>
        <w:tc>
          <w:tcPr>
            <w:tcW w:w="4760" w:type="dxa"/>
          </w:tcPr>
          <w:p w14:paraId="5AAC9AC4" w14:textId="3041CB2D" w:rsidR="0065085B" w:rsidRPr="00D52280" w:rsidRDefault="00D37D2A" w:rsidP="00D4290F">
            <w:pPr>
              <w:pStyle w:val="Textoindependiente217"/>
              <w:widowControl w:val="0"/>
              <w:numPr>
                <w:ilvl w:val="12"/>
                <w:numId w:val="0"/>
              </w:numPr>
              <w:spacing w:after="0"/>
              <w:jc w:val="center"/>
              <w:rPr>
                <w:sz w:val="18"/>
                <w:szCs w:val="16"/>
              </w:rPr>
            </w:pPr>
            <w:r>
              <w:rPr>
                <w:noProof/>
              </w:rPr>
              <w:lastRenderedPageBreak/>
              <w:drawing>
                <wp:inline distT="0" distB="0" distL="0" distR="0" wp14:anchorId="671C5A08" wp14:editId="45B6D932">
                  <wp:extent cx="2916000" cy="2096483"/>
                  <wp:effectExtent l="0" t="0" r="17780" b="18415"/>
                  <wp:docPr id="1804394593" name="Gráfico 1">
                    <a:extLst xmlns:a="http://schemas.openxmlformats.org/drawingml/2006/main">
                      <a:ext uri="{FF2B5EF4-FFF2-40B4-BE49-F238E27FC236}">
                        <a16:creationId xmlns:a16="http://schemas.microsoft.com/office/drawing/2014/main" id="{00000000-0008-0000-0100-000006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tc>
        <w:tc>
          <w:tcPr>
            <w:tcW w:w="4760" w:type="dxa"/>
          </w:tcPr>
          <w:p w14:paraId="2ABA2ABE" w14:textId="67D24264" w:rsidR="0065085B" w:rsidRDefault="00D37D2A" w:rsidP="00D4290F">
            <w:pPr>
              <w:pStyle w:val="Textoindependiente217"/>
              <w:widowControl w:val="0"/>
              <w:numPr>
                <w:ilvl w:val="12"/>
                <w:numId w:val="0"/>
              </w:numPr>
              <w:spacing w:after="0"/>
              <w:jc w:val="center"/>
            </w:pPr>
            <w:r>
              <w:rPr>
                <w:noProof/>
              </w:rPr>
              <w:drawing>
                <wp:inline distT="0" distB="0" distL="0" distR="0" wp14:anchorId="0849EDD8" wp14:editId="17362015">
                  <wp:extent cx="2916000" cy="2096484"/>
                  <wp:effectExtent l="0" t="0" r="17780" b="18415"/>
                  <wp:docPr id="858813604" name="Gráfico 1">
                    <a:extLst xmlns:a="http://schemas.openxmlformats.org/drawingml/2006/main">
                      <a:ext uri="{FF2B5EF4-FFF2-40B4-BE49-F238E27FC236}">
                        <a16:creationId xmlns:a16="http://schemas.microsoft.com/office/drawing/2014/main" id="{00000000-0008-0000-0100-000007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tc>
      </w:tr>
    </w:tbl>
    <w:bookmarkEnd w:id="0"/>
    <w:p w14:paraId="21E72DA5" w14:textId="4E3A6F40" w:rsidR="00DC78AA" w:rsidRPr="003D49CC" w:rsidRDefault="00DC78AA" w:rsidP="00C24D4B">
      <w:pPr>
        <w:pStyle w:val="Textoindependiente211"/>
        <w:numPr>
          <w:ilvl w:val="12"/>
          <w:numId w:val="0"/>
        </w:numPr>
        <w:spacing w:after="0"/>
        <w:ind w:left="426"/>
        <w:rPr>
          <w:sz w:val="16"/>
          <w:szCs w:val="16"/>
        </w:rPr>
      </w:pPr>
      <w:r w:rsidRPr="003D49CC">
        <w:rPr>
          <w:sz w:val="16"/>
          <w:szCs w:val="16"/>
        </w:rPr>
        <w:t>* Cifras oportunas</w:t>
      </w:r>
    </w:p>
    <w:p w14:paraId="6897FDD5" w14:textId="3AEAEB28" w:rsidR="005219B3" w:rsidRDefault="00383E44" w:rsidP="00410641">
      <w:pPr>
        <w:pStyle w:val="rollo"/>
        <w:keepLines w:val="0"/>
        <w:spacing w:before="360"/>
        <w:rPr>
          <w:rFonts w:cs="Arial"/>
          <w:spacing w:val="3"/>
          <w:szCs w:val="22"/>
          <w:lang w:val="es-ES"/>
        </w:rPr>
      </w:pPr>
      <w:r w:rsidRPr="002C06F8">
        <w:rPr>
          <w:rFonts w:cs="Arial"/>
          <w:spacing w:val="3"/>
          <w:szCs w:val="22"/>
          <w:lang w:val="es-ES"/>
        </w:rPr>
        <w:t xml:space="preserve">La información oportuna de comercio exterior que se presenta en este </w:t>
      </w:r>
      <w:r>
        <w:rPr>
          <w:rFonts w:cs="Arial"/>
          <w:spacing w:val="3"/>
          <w:szCs w:val="22"/>
          <w:lang w:val="es-ES"/>
        </w:rPr>
        <w:t>documento</w:t>
      </w:r>
      <w:r w:rsidR="00F0075F">
        <w:rPr>
          <w:rFonts w:cs="Arial"/>
          <w:spacing w:val="3"/>
          <w:szCs w:val="22"/>
          <w:lang w:val="es-ES"/>
        </w:rPr>
        <w:t xml:space="preserve"> la elabora</w:t>
      </w:r>
      <w:r w:rsidR="00667A14">
        <w:rPr>
          <w:rFonts w:cs="Arial"/>
          <w:spacing w:val="3"/>
          <w:szCs w:val="22"/>
          <w:lang w:val="es-ES"/>
        </w:rPr>
        <w:t>n:</w:t>
      </w:r>
      <w:r w:rsidR="00F0075F">
        <w:rPr>
          <w:rFonts w:cs="Arial"/>
          <w:spacing w:val="3"/>
          <w:szCs w:val="22"/>
          <w:lang w:val="es-ES"/>
        </w:rPr>
        <w:t xml:space="preserve"> el </w:t>
      </w:r>
      <w:r>
        <w:rPr>
          <w:rFonts w:cs="Arial"/>
          <w:spacing w:val="3"/>
          <w:szCs w:val="22"/>
          <w:lang w:val="es-ES"/>
        </w:rPr>
        <w:t>S</w:t>
      </w:r>
      <w:r w:rsidR="00F0075F">
        <w:rPr>
          <w:rFonts w:cs="Arial"/>
          <w:spacing w:val="3"/>
          <w:szCs w:val="22"/>
          <w:lang w:val="es-ES"/>
        </w:rPr>
        <w:t>istema de Administración Tributaria (S</w:t>
      </w:r>
      <w:r>
        <w:rPr>
          <w:rFonts w:cs="Arial"/>
          <w:spacing w:val="3"/>
          <w:szCs w:val="22"/>
          <w:lang w:val="es-ES"/>
        </w:rPr>
        <w:t>AT</w:t>
      </w:r>
      <w:r w:rsidR="00F0075F">
        <w:rPr>
          <w:rFonts w:cs="Arial"/>
          <w:spacing w:val="3"/>
          <w:szCs w:val="22"/>
          <w:lang w:val="es-ES"/>
        </w:rPr>
        <w:t>)</w:t>
      </w:r>
      <w:r>
        <w:rPr>
          <w:rFonts w:cs="Arial"/>
          <w:spacing w:val="3"/>
          <w:szCs w:val="22"/>
          <w:lang w:val="es-ES"/>
        </w:rPr>
        <w:t xml:space="preserve">, </w:t>
      </w:r>
      <w:r w:rsidR="00F0075F">
        <w:rPr>
          <w:rFonts w:cs="Arial"/>
          <w:spacing w:val="3"/>
          <w:szCs w:val="22"/>
          <w:lang w:val="es-ES"/>
        </w:rPr>
        <w:t xml:space="preserve">la </w:t>
      </w:r>
      <w:r>
        <w:rPr>
          <w:rFonts w:cs="Arial"/>
          <w:spacing w:val="3"/>
          <w:szCs w:val="22"/>
          <w:lang w:val="es-ES"/>
        </w:rPr>
        <w:t>S</w:t>
      </w:r>
      <w:r w:rsidR="00F0075F">
        <w:rPr>
          <w:rFonts w:cs="Arial"/>
          <w:spacing w:val="3"/>
          <w:szCs w:val="22"/>
          <w:lang w:val="es-ES"/>
        </w:rPr>
        <w:t xml:space="preserve">ecretaría de </w:t>
      </w:r>
      <w:r>
        <w:rPr>
          <w:rFonts w:cs="Arial"/>
          <w:spacing w:val="3"/>
          <w:szCs w:val="22"/>
          <w:lang w:val="es-ES"/>
        </w:rPr>
        <w:t>E</w:t>
      </w:r>
      <w:r w:rsidR="00F0075F">
        <w:rPr>
          <w:rFonts w:cs="Arial"/>
          <w:spacing w:val="3"/>
          <w:szCs w:val="22"/>
          <w:lang w:val="es-ES"/>
        </w:rPr>
        <w:t>conomía (SE)</w:t>
      </w:r>
      <w:r>
        <w:rPr>
          <w:rFonts w:cs="Arial"/>
          <w:spacing w:val="3"/>
          <w:szCs w:val="22"/>
          <w:lang w:val="es-ES"/>
        </w:rPr>
        <w:t xml:space="preserve">, </w:t>
      </w:r>
      <w:r w:rsidR="00661AEB">
        <w:rPr>
          <w:rFonts w:cs="Arial"/>
          <w:spacing w:val="3"/>
          <w:szCs w:val="22"/>
          <w:lang w:val="es-ES"/>
        </w:rPr>
        <w:t xml:space="preserve">el </w:t>
      </w:r>
      <w:r w:rsidRPr="002C06F8">
        <w:rPr>
          <w:rFonts w:cs="Arial"/>
          <w:spacing w:val="3"/>
          <w:szCs w:val="22"/>
          <w:lang w:val="es-ES"/>
        </w:rPr>
        <w:t>Banco de México</w:t>
      </w:r>
      <w:r w:rsidR="00260078">
        <w:rPr>
          <w:rFonts w:cs="Arial"/>
          <w:spacing w:val="3"/>
          <w:szCs w:val="22"/>
          <w:lang w:val="es-ES"/>
        </w:rPr>
        <w:t xml:space="preserve"> </w:t>
      </w:r>
      <w:r w:rsidR="00F0075F">
        <w:rPr>
          <w:rFonts w:cs="Arial"/>
          <w:spacing w:val="3"/>
          <w:szCs w:val="22"/>
          <w:lang w:val="es-ES"/>
        </w:rPr>
        <w:t>y el Instituto Nacional de Estadística y Geografía</w:t>
      </w:r>
      <w:r w:rsidRPr="002C06F8">
        <w:rPr>
          <w:rFonts w:cs="Arial"/>
          <w:spacing w:val="3"/>
          <w:szCs w:val="22"/>
          <w:lang w:val="es-ES"/>
        </w:rPr>
        <w:t xml:space="preserve"> </w:t>
      </w:r>
      <w:r w:rsidR="00F0075F">
        <w:rPr>
          <w:rFonts w:cs="Arial"/>
          <w:spacing w:val="3"/>
          <w:szCs w:val="22"/>
          <w:lang w:val="es-ES"/>
        </w:rPr>
        <w:t>(</w:t>
      </w:r>
      <w:r w:rsidRPr="002C06F8">
        <w:rPr>
          <w:rFonts w:cs="Arial"/>
          <w:spacing w:val="3"/>
          <w:szCs w:val="22"/>
          <w:lang w:val="es-ES"/>
        </w:rPr>
        <w:t>INEGI</w:t>
      </w:r>
      <w:r w:rsidR="00F0075F">
        <w:rPr>
          <w:rFonts w:cs="Arial"/>
          <w:spacing w:val="3"/>
          <w:szCs w:val="22"/>
          <w:lang w:val="es-ES"/>
        </w:rPr>
        <w:t>)</w:t>
      </w:r>
      <w:r>
        <w:rPr>
          <w:rFonts w:cs="Arial"/>
          <w:spacing w:val="3"/>
          <w:szCs w:val="22"/>
          <w:lang w:val="es-ES"/>
        </w:rPr>
        <w:t xml:space="preserve">. Balanza Comercial de Mercancías de México. </w:t>
      </w:r>
      <w:r w:rsidRPr="008D1581">
        <w:rPr>
          <w:rFonts w:cs="Arial"/>
          <w:b/>
          <w:spacing w:val="3"/>
          <w:szCs w:val="22"/>
          <w:lang w:val="es-ES"/>
        </w:rPr>
        <w:t>SNIEG. Información de Interés Nacional</w:t>
      </w:r>
      <w:r>
        <w:rPr>
          <w:rFonts w:cs="Arial"/>
          <w:spacing w:val="3"/>
          <w:szCs w:val="22"/>
          <w:lang w:val="es-ES"/>
        </w:rPr>
        <w:t>.</w:t>
      </w:r>
    </w:p>
    <w:sectPr w:rsidR="005219B3" w:rsidSect="00143F5D">
      <w:headerReference w:type="default" r:id="rId37"/>
      <w:type w:val="continuous"/>
      <w:pgSz w:w="12240" w:h="15840" w:code="1"/>
      <w:pgMar w:top="1134" w:right="1134" w:bottom="1134" w:left="1134" w:header="567" w:footer="567" w:gutter="0"/>
      <w:paperSrc w:first="15"/>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7C9AC3" w14:textId="77777777" w:rsidR="00480D23" w:rsidRDefault="00480D23">
      <w:r>
        <w:separator/>
      </w:r>
    </w:p>
  </w:endnote>
  <w:endnote w:type="continuationSeparator" w:id="0">
    <w:p w14:paraId="503BE299" w14:textId="77777777" w:rsidR="00480D23" w:rsidRDefault="00480D23">
      <w:r>
        <w:continuationSeparator/>
      </w:r>
    </w:p>
  </w:endnote>
  <w:endnote w:type="continuationNotice" w:id="1">
    <w:p w14:paraId="1AC6AF6D" w14:textId="77777777" w:rsidR="00480D23" w:rsidRDefault="00480D2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Univers (W1)">
    <w:altName w:val="Arial"/>
    <w:panose1 w:val="00000000000000000000"/>
    <w:charset w:val="00"/>
    <w:family w:val="swiss"/>
    <w:notTrueType/>
    <w:pitch w:val="variable"/>
    <w:sig w:usb0="00000003" w:usb1="00000000" w:usb2="00000000" w:usb3="00000000" w:csb0="00000001" w:csb1="00000000"/>
  </w:font>
  <w:font w:name="Arial Negrita">
    <w:panose1 w:val="020B0704020202020204"/>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48909" w14:textId="671E38E8" w:rsidR="002E498C" w:rsidRPr="00BE04EC" w:rsidRDefault="002004C3">
    <w:pPr>
      <w:pStyle w:val="Piedepgina"/>
      <w:jc w:val="center"/>
      <w:rPr>
        <w:rFonts w:ascii="Arial" w:hAnsi="Arial" w:cs="Arial"/>
        <w:color w:val="003057"/>
        <w:sz w:val="16"/>
        <w:szCs w:val="20"/>
      </w:rPr>
    </w:pPr>
    <w:r w:rsidRPr="00653EC2">
      <w:rPr>
        <w:rFonts w:ascii="Arial" w:hAnsi="Arial" w:cs="Arial"/>
        <w:b/>
        <w:color w:val="003057"/>
        <w:sz w:val="20"/>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D4347F" w14:textId="77777777" w:rsidR="00480D23" w:rsidRDefault="00480D23">
      <w:r>
        <w:separator/>
      </w:r>
    </w:p>
  </w:footnote>
  <w:footnote w:type="continuationSeparator" w:id="0">
    <w:p w14:paraId="7CE03CFB" w14:textId="77777777" w:rsidR="00480D23" w:rsidRDefault="00480D23">
      <w:r>
        <w:continuationSeparator/>
      </w:r>
    </w:p>
  </w:footnote>
  <w:footnote w:type="continuationNotice" w:id="1">
    <w:p w14:paraId="5B83F428" w14:textId="77777777" w:rsidR="00480D23" w:rsidRDefault="00480D23"/>
  </w:footnote>
  <w:footnote w:id="2">
    <w:p w14:paraId="6881EF0D" w14:textId="77777777" w:rsidR="00543399" w:rsidRDefault="00543399" w:rsidP="00543399">
      <w:pPr>
        <w:pStyle w:val="Textonotapie"/>
        <w:ind w:left="170" w:hanging="170"/>
        <w:jc w:val="both"/>
        <w:rPr>
          <w:rFonts w:ascii="Arial" w:hAnsi="Arial" w:cs="Arial"/>
          <w:sz w:val="16"/>
          <w:szCs w:val="16"/>
        </w:rPr>
      </w:pPr>
      <w:r>
        <w:rPr>
          <w:rFonts w:ascii="Arial" w:hAnsi="Arial" w:cs="Arial"/>
          <w:sz w:val="18"/>
          <w:szCs w:val="18"/>
          <w:vertAlign w:val="superscript"/>
        </w:rPr>
        <w:footnoteRef/>
      </w:r>
      <w:r>
        <w:rPr>
          <w:rFonts w:ascii="Arial" w:hAnsi="Arial" w:cs="Arial"/>
          <w:sz w:val="18"/>
          <w:szCs w:val="18"/>
          <w:vertAlign w:val="superscript"/>
        </w:rPr>
        <w:t xml:space="preserve"> </w:t>
      </w:r>
      <w:r>
        <w:rPr>
          <w:rFonts w:ascii="Arial" w:hAnsi="Arial" w:cs="Arial"/>
          <w:sz w:val="18"/>
          <w:szCs w:val="18"/>
          <w:vertAlign w:val="superscript"/>
        </w:rPr>
        <w:tab/>
      </w:r>
      <w:r>
        <w:rPr>
          <w:rFonts w:ascii="Arial" w:hAnsi="Arial" w:cs="Arial"/>
          <w:sz w:val="16"/>
          <w:szCs w:val="16"/>
        </w:rPr>
        <w:t>La suma de los componentes que integran la estadística de la Balanza Comercial de Mercancías de México que se presenta en este reporte puede no coincidir con los totales debido al redondeo de las cifras.</w:t>
      </w:r>
    </w:p>
  </w:footnote>
  <w:footnote w:id="3">
    <w:p w14:paraId="50BFBE7A" w14:textId="77777777" w:rsidR="000C0F5C" w:rsidRPr="00EB6DEE" w:rsidRDefault="000C0F5C" w:rsidP="000C0F5C">
      <w:pPr>
        <w:pStyle w:val="Textonotapie"/>
        <w:ind w:left="170" w:hanging="170"/>
        <w:jc w:val="both"/>
        <w:rPr>
          <w:rStyle w:val="Refdenotaalpie"/>
          <w:rFonts w:ascii="Arial" w:hAnsi="Arial" w:cs="Arial"/>
          <w:sz w:val="16"/>
          <w:szCs w:val="16"/>
        </w:rPr>
      </w:pPr>
      <w:r w:rsidRPr="00B910AA">
        <w:rPr>
          <w:rStyle w:val="Refdenotaalpie"/>
          <w:rFonts w:ascii="Arial" w:hAnsi="Arial" w:cs="Arial"/>
          <w:sz w:val="18"/>
        </w:rPr>
        <w:footnoteRef/>
      </w:r>
      <w:r>
        <w:rPr>
          <w:rFonts w:ascii="Arial" w:hAnsi="Arial" w:cs="Arial"/>
          <w:sz w:val="18"/>
        </w:rPr>
        <w:tab/>
      </w:r>
      <w:r w:rsidRPr="00EB6DEE">
        <w:rPr>
          <w:rStyle w:val="Refdenotaalpie"/>
          <w:rFonts w:ascii="Arial" w:hAnsi="Arial" w:cs="Arial"/>
          <w:sz w:val="16"/>
          <w:szCs w:val="16"/>
          <w:vertAlign w:val="baseline"/>
        </w:rPr>
        <w:t>Información proporcionada por PMI Comercio Internacional, S.</w:t>
      </w:r>
      <w:r w:rsidRPr="00EB6DEE">
        <w:rPr>
          <w:rFonts w:ascii="Arial" w:hAnsi="Arial" w:cs="Arial"/>
          <w:sz w:val="16"/>
          <w:szCs w:val="16"/>
        </w:rPr>
        <w:t xml:space="preserve"> </w:t>
      </w:r>
      <w:r w:rsidRPr="00EB6DEE">
        <w:rPr>
          <w:rStyle w:val="Refdenotaalpie"/>
          <w:rFonts w:ascii="Arial" w:hAnsi="Arial" w:cs="Arial"/>
          <w:sz w:val="16"/>
          <w:szCs w:val="16"/>
          <w:vertAlign w:val="baseline"/>
        </w:rPr>
        <w:t>A. de C.</w:t>
      </w:r>
      <w:r w:rsidRPr="00EB6DEE">
        <w:rPr>
          <w:rFonts w:ascii="Arial" w:hAnsi="Arial" w:cs="Arial"/>
          <w:sz w:val="16"/>
          <w:szCs w:val="16"/>
        </w:rPr>
        <w:t xml:space="preserve"> </w:t>
      </w:r>
      <w:r w:rsidRPr="00EB6DEE">
        <w:rPr>
          <w:rStyle w:val="Refdenotaalpie"/>
          <w:rFonts w:ascii="Arial" w:hAnsi="Arial" w:cs="Arial"/>
          <w:sz w:val="16"/>
          <w:szCs w:val="16"/>
          <w:vertAlign w:val="baseline"/>
        </w:rPr>
        <w:t xml:space="preserve">V., que corresponde a sus cifras operativas y </w:t>
      </w:r>
      <w:r w:rsidRPr="00EB6DEE">
        <w:rPr>
          <w:rFonts w:ascii="Arial" w:hAnsi="Arial" w:cs="Arial"/>
          <w:sz w:val="16"/>
          <w:szCs w:val="16"/>
        </w:rPr>
        <w:t xml:space="preserve">que </w:t>
      </w:r>
      <w:r w:rsidRPr="00EB6DEE">
        <w:rPr>
          <w:rStyle w:val="Refdenotaalpie"/>
          <w:rFonts w:ascii="Arial" w:hAnsi="Arial" w:cs="Arial"/>
          <w:sz w:val="16"/>
          <w:szCs w:val="16"/>
          <w:vertAlign w:val="baseline"/>
        </w:rPr>
        <w:t>está sujeta a revisiones posteriores.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AF01E" w14:textId="2EFE112A" w:rsidR="00BC2858" w:rsidRPr="00776EFB" w:rsidRDefault="00BC2858" w:rsidP="00BC2858">
    <w:pPr>
      <w:pStyle w:val="Encabezado"/>
      <w:framePr w:w="4618" w:hSpace="141" w:vSpace="141" w:wrap="auto" w:vAnchor="page" w:hAnchor="page" w:x="6265" w:y="991"/>
      <w:ind w:left="-142" w:right="49" w:hanging="142"/>
      <w:jc w:val="right"/>
      <w:rPr>
        <w:rFonts w:ascii="Arial" w:hAnsi="Arial" w:cs="Arial"/>
        <w:b/>
        <w:color w:val="002060"/>
        <w:lang w:val="pt-BR"/>
      </w:rPr>
    </w:pPr>
    <w:r w:rsidRPr="00776EFB">
      <w:rPr>
        <w:rFonts w:ascii="Arial" w:hAnsi="Arial" w:cs="Arial"/>
        <w:b/>
        <w:color w:val="002060"/>
      </w:rPr>
      <w:t xml:space="preserve">COMUNICADO DE PRENSA NÚM. </w:t>
    </w:r>
    <w:r>
      <w:rPr>
        <w:rFonts w:ascii="Arial" w:hAnsi="Arial" w:cs="Arial"/>
        <w:b/>
        <w:color w:val="002060"/>
      </w:rPr>
      <w:t>488</w:t>
    </w:r>
    <w:r w:rsidRPr="00776EFB">
      <w:rPr>
        <w:rFonts w:ascii="Arial" w:hAnsi="Arial" w:cs="Arial"/>
        <w:b/>
        <w:color w:val="002060"/>
      </w:rPr>
      <w:t>/2</w:t>
    </w:r>
    <w:r>
      <w:rPr>
        <w:rFonts w:ascii="Arial" w:hAnsi="Arial" w:cs="Arial"/>
        <w:b/>
        <w:color w:val="002060"/>
      </w:rPr>
      <w:t>3</w:t>
    </w:r>
  </w:p>
  <w:p w14:paraId="6A9A9267" w14:textId="7D224A06" w:rsidR="00BC2858" w:rsidRPr="00776EFB" w:rsidRDefault="00BC2858" w:rsidP="00BC2858">
    <w:pPr>
      <w:pStyle w:val="Encabezado"/>
      <w:framePr w:w="4618" w:hSpace="141" w:vSpace="141" w:wrap="auto" w:vAnchor="page" w:hAnchor="page" w:x="6265" w:y="991"/>
      <w:ind w:left="-567" w:right="49"/>
      <w:jc w:val="right"/>
      <w:rPr>
        <w:rFonts w:ascii="Arial" w:hAnsi="Arial" w:cs="Arial"/>
        <w:b/>
        <w:color w:val="002060"/>
        <w:lang w:val="pt-BR"/>
      </w:rPr>
    </w:pPr>
    <w:r>
      <w:rPr>
        <w:rFonts w:ascii="Arial" w:hAnsi="Arial" w:cs="Arial"/>
        <w:b/>
        <w:color w:val="002060"/>
        <w:lang w:val="pt-BR"/>
      </w:rPr>
      <w:t>2</w:t>
    </w:r>
    <w:r>
      <w:rPr>
        <w:rFonts w:ascii="Arial" w:hAnsi="Arial" w:cs="Arial"/>
        <w:b/>
        <w:color w:val="002060"/>
        <w:lang w:val="pt-BR"/>
      </w:rPr>
      <w:t>8</w:t>
    </w:r>
    <w:r w:rsidRPr="00776EFB">
      <w:rPr>
        <w:rFonts w:ascii="Arial" w:hAnsi="Arial" w:cs="Arial"/>
        <w:b/>
        <w:color w:val="002060"/>
        <w:lang w:val="pt-BR"/>
      </w:rPr>
      <w:t xml:space="preserve"> DE </w:t>
    </w:r>
    <w:r>
      <w:rPr>
        <w:rFonts w:ascii="Arial" w:hAnsi="Arial" w:cs="Arial"/>
        <w:b/>
        <w:color w:val="002060"/>
        <w:lang w:val="pt-BR"/>
      </w:rPr>
      <w:t>AGOSTO</w:t>
    </w:r>
    <w:r>
      <w:rPr>
        <w:rFonts w:ascii="Arial" w:hAnsi="Arial" w:cs="Arial"/>
        <w:b/>
        <w:color w:val="002060"/>
        <w:lang w:val="pt-BR"/>
      </w:rPr>
      <w:t xml:space="preserve"> </w:t>
    </w:r>
    <w:r w:rsidRPr="00776EFB">
      <w:rPr>
        <w:rFonts w:ascii="Arial" w:hAnsi="Arial" w:cs="Arial"/>
        <w:b/>
        <w:color w:val="002060"/>
        <w:lang w:val="pt-BR"/>
      </w:rPr>
      <w:t>DE 202</w:t>
    </w:r>
    <w:r>
      <w:rPr>
        <w:rFonts w:ascii="Arial" w:hAnsi="Arial" w:cs="Arial"/>
        <w:b/>
        <w:color w:val="002060"/>
        <w:lang w:val="pt-BR"/>
      </w:rPr>
      <w:t>3</w:t>
    </w:r>
  </w:p>
  <w:p w14:paraId="46EF5BA6" w14:textId="77777777" w:rsidR="00BC2858" w:rsidRPr="00776EFB" w:rsidRDefault="00BC2858" w:rsidP="00BC2858">
    <w:pPr>
      <w:pStyle w:val="Encabezado"/>
      <w:framePr w:w="4618" w:hSpace="141" w:vSpace="141" w:wrap="auto" w:vAnchor="page" w:hAnchor="page" w:x="6265" w:y="991"/>
      <w:ind w:left="-567" w:right="49"/>
      <w:jc w:val="right"/>
      <w:rPr>
        <w:rFonts w:ascii="Arial" w:hAnsi="Arial" w:cs="Arial"/>
        <w:b/>
        <w:color w:val="002060"/>
      </w:rPr>
    </w:pPr>
    <w:r w:rsidRPr="00776EFB">
      <w:rPr>
        <w:rFonts w:ascii="Arial" w:hAnsi="Arial" w:cs="Arial"/>
        <w:b/>
        <w:color w:val="002060"/>
      </w:rPr>
      <w:t xml:space="preserve">PÁGINA </w:t>
    </w:r>
    <w:r w:rsidRPr="00776EFB">
      <w:rPr>
        <w:rFonts w:ascii="Arial" w:hAnsi="Arial" w:cs="Arial"/>
        <w:b/>
        <w:color w:val="002060"/>
      </w:rPr>
      <w:fldChar w:fldCharType="begin"/>
    </w:r>
    <w:r w:rsidRPr="00776EFB">
      <w:rPr>
        <w:rFonts w:ascii="Arial" w:hAnsi="Arial" w:cs="Arial"/>
        <w:b/>
        <w:color w:val="002060"/>
      </w:rPr>
      <w:instrText xml:space="preserve"> PAGE  \* Arabic </w:instrText>
    </w:r>
    <w:r w:rsidRPr="00776EFB">
      <w:rPr>
        <w:rFonts w:ascii="Arial" w:hAnsi="Arial" w:cs="Arial"/>
        <w:b/>
        <w:color w:val="002060"/>
      </w:rPr>
      <w:fldChar w:fldCharType="separate"/>
    </w:r>
    <w:r>
      <w:rPr>
        <w:rFonts w:ascii="Arial" w:hAnsi="Arial" w:cs="Arial"/>
        <w:b/>
        <w:color w:val="002060"/>
      </w:rPr>
      <w:t>1</w:t>
    </w:r>
    <w:r w:rsidRPr="00776EFB">
      <w:rPr>
        <w:rFonts w:ascii="Arial" w:hAnsi="Arial" w:cs="Arial"/>
        <w:b/>
        <w:color w:val="002060"/>
      </w:rPr>
      <w:fldChar w:fldCharType="end"/>
    </w:r>
    <w:r w:rsidRPr="00776EFB">
      <w:rPr>
        <w:rFonts w:ascii="Arial" w:hAnsi="Arial" w:cs="Arial"/>
        <w:b/>
        <w:color w:val="002060"/>
      </w:rPr>
      <w:t>/</w:t>
    </w:r>
    <w:r>
      <w:rPr>
        <w:rFonts w:ascii="Arial" w:hAnsi="Arial" w:cs="Arial"/>
        <w:b/>
        <w:color w:val="002060"/>
      </w:rPr>
      <w:t>10</w:t>
    </w:r>
  </w:p>
  <w:p w14:paraId="4B5551FE" w14:textId="0100E650" w:rsidR="002E498C" w:rsidRDefault="002004C3" w:rsidP="007D26FE">
    <w:pPr>
      <w:pStyle w:val="Encabezado"/>
      <w:tabs>
        <w:tab w:val="clear" w:pos="4419"/>
        <w:tab w:val="clear" w:pos="8838"/>
        <w:tab w:val="left" w:pos="4877"/>
      </w:tabs>
    </w:pPr>
    <w:r>
      <w:rPr>
        <w:noProof/>
      </w:rPr>
      <w:drawing>
        <wp:inline distT="0" distB="0" distL="0" distR="0" wp14:anchorId="42EF36CB" wp14:editId="6E15E741">
          <wp:extent cx="827405" cy="827405"/>
          <wp:effectExtent l="0" t="0" r="10795" b="10795"/>
          <wp:docPr id="1546142220" name="Imagen 1546142220" descr="cid:image002.png@01D4B335.490B1A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36455468" name="Imagen 1036455468" descr="cid:image002.png@01D4B335.490B1A50"/>
                  <pic:cNvPicPr>
                    <a:picLocks/>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27405" cy="827405"/>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BA400" w14:textId="765AE03A" w:rsidR="00143F5D" w:rsidRDefault="00143F5D" w:rsidP="007D26FE">
    <w:pPr>
      <w:pStyle w:val="Encabezado"/>
      <w:tabs>
        <w:tab w:val="clear" w:pos="4419"/>
        <w:tab w:val="clear" w:pos="8838"/>
        <w:tab w:val="left" w:pos="4877"/>
      </w:tabs>
    </w:pPr>
    <w:r>
      <w:t xml:space="preserve">                                                                          </w:t>
    </w:r>
    <w:r>
      <w:rPr>
        <w:noProof/>
      </w:rPr>
      <w:drawing>
        <wp:inline distT="0" distB="0" distL="0" distR="0" wp14:anchorId="73DF7926" wp14:editId="5F37AF3F">
          <wp:extent cx="827405" cy="827405"/>
          <wp:effectExtent l="0" t="0" r="10795" b="10795"/>
          <wp:docPr id="1030643442" name="Imagen 1030643442" descr="cid:image002.png@01D4B335.490B1A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36455468" name="Imagen 1036455468" descr="cid:image002.png@01D4B335.490B1A50"/>
                  <pic:cNvPicPr>
                    <a:picLocks/>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27405" cy="827405"/>
                  </a:xfrm>
                  <a:prstGeom prst="rect">
                    <a:avLst/>
                  </a:prstGeom>
                  <a:noFill/>
                  <a:ln>
                    <a:noFill/>
                  </a:ln>
                </pic:spPr>
              </pic:pic>
            </a:graphicData>
          </a:graphic>
        </wp:inline>
      </w:drawing>
    </w:r>
  </w:p>
  <w:p w14:paraId="4D494F93" w14:textId="77777777" w:rsidR="00143F5D" w:rsidRDefault="00143F5D" w:rsidP="007D26FE">
    <w:pPr>
      <w:pStyle w:val="Encabezado"/>
      <w:tabs>
        <w:tab w:val="clear" w:pos="4419"/>
        <w:tab w:val="clear" w:pos="8838"/>
        <w:tab w:val="left" w:pos="4877"/>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4C7652"/>
    <w:multiLevelType w:val="hybridMultilevel"/>
    <w:tmpl w:val="F36AB148"/>
    <w:lvl w:ilvl="0" w:tplc="6528213C">
      <w:start w:val="1"/>
      <w:numFmt w:val="lowerLetter"/>
      <w:pStyle w:val="Lista"/>
      <w:lvlText w:val="(%1)"/>
      <w:lvlJc w:val="left"/>
      <w:pPr>
        <w:tabs>
          <w:tab w:val="num" w:pos="1304"/>
        </w:tabs>
        <w:ind w:left="1304" w:hanging="397"/>
      </w:pPr>
      <w:rPr>
        <w:rFonts w:hint="default"/>
      </w:rPr>
    </w:lvl>
    <w:lvl w:ilvl="1" w:tplc="080A0019" w:tentative="1">
      <w:start w:val="1"/>
      <w:numFmt w:val="lowerLetter"/>
      <w:lvlText w:val="%2."/>
      <w:lvlJc w:val="left"/>
      <w:pPr>
        <w:tabs>
          <w:tab w:val="num" w:pos="1440"/>
        </w:tabs>
        <w:ind w:left="1440" w:hanging="360"/>
      </w:p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1" w15:restartNumberingAfterBreak="0">
    <w:nsid w:val="3FDA5303"/>
    <w:multiLevelType w:val="hybridMultilevel"/>
    <w:tmpl w:val="EFC85FA2"/>
    <w:lvl w:ilvl="0" w:tplc="764A5A84">
      <w:start w:val="1"/>
      <w:numFmt w:val="decimal"/>
      <w:pStyle w:val="TtuloCuadro"/>
      <w:lvlText w:val="Cuadro %1"/>
      <w:lvlJc w:val="left"/>
      <w:pPr>
        <w:tabs>
          <w:tab w:val="num" w:pos="1418"/>
        </w:tabs>
        <w:ind w:left="1418" w:hanging="1418"/>
      </w:pPr>
      <w:rPr>
        <w:rFonts w:hint="default"/>
      </w:rPr>
    </w:lvl>
    <w:lvl w:ilvl="1" w:tplc="080A0019" w:tentative="1">
      <w:start w:val="1"/>
      <w:numFmt w:val="lowerLetter"/>
      <w:lvlText w:val="%2."/>
      <w:lvlJc w:val="left"/>
      <w:pPr>
        <w:tabs>
          <w:tab w:val="num" w:pos="1440"/>
        </w:tabs>
        <w:ind w:left="1440" w:hanging="360"/>
      </w:p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2" w15:restartNumberingAfterBreak="0">
    <w:nsid w:val="51FB40AD"/>
    <w:multiLevelType w:val="singleLevel"/>
    <w:tmpl w:val="840EB14A"/>
    <w:lvl w:ilvl="0">
      <w:start w:val="1"/>
      <w:numFmt w:val="bullet"/>
      <w:lvlText w:val=""/>
      <w:lvlJc w:val="left"/>
      <w:pPr>
        <w:tabs>
          <w:tab w:val="num" w:pos="2880"/>
        </w:tabs>
        <w:ind w:left="2880" w:hanging="360"/>
      </w:pPr>
      <w:rPr>
        <w:rFonts w:ascii="Symbol" w:hAnsi="Symbol" w:hint="default"/>
        <w:lang w:val="es-ES"/>
      </w:rPr>
    </w:lvl>
  </w:abstractNum>
  <w:abstractNum w:abstractNumId="3" w15:restartNumberingAfterBreak="0">
    <w:nsid w:val="64F5673E"/>
    <w:multiLevelType w:val="hybridMultilevel"/>
    <w:tmpl w:val="EED853D8"/>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num w:numId="1" w16cid:durableId="508253381">
    <w:abstractNumId w:val="2"/>
  </w:num>
  <w:num w:numId="2" w16cid:durableId="1162699374">
    <w:abstractNumId w:val="0"/>
  </w:num>
  <w:num w:numId="3" w16cid:durableId="1494419273">
    <w:abstractNumId w:val="1"/>
  </w:num>
  <w:num w:numId="4" w16cid:durableId="1984383997">
    <w:abstractNumId w:val="2"/>
  </w:num>
  <w:num w:numId="5" w16cid:durableId="1551457447">
    <w:abstractNumId w:val="2"/>
  </w:num>
  <w:num w:numId="6" w16cid:durableId="2055617873">
    <w:abstractNumId w:val="2"/>
  </w:num>
  <w:num w:numId="7" w16cid:durableId="753890785">
    <w:abstractNumId w:val="3"/>
  </w:num>
  <w:num w:numId="8" w16cid:durableId="2096316598">
    <w:abstractNumId w:val="2"/>
  </w:num>
  <w:num w:numId="9" w16cid:durableId="937369938">
    <w:abstractNumId w:val="2"/>
  </w:num>
  <w:num w:numId="10" w16cid:durableId="698968767">
    <w:abstractNumId w:val="2"/>
  </w:num>
  <w:num w:numId="11" w16cid:durableId="1739866047">
    <w:abstractNumId w:val="2"/>
  </w:num>
  <w:num w:numId="12" w16cid:durableId="1539393879">
    <w:abstractNumId w:val="2"/>
  </w:num>
  <w:num w:numId="13" w16cid:durableId="1737170753">
    <w:abstractNumId w:val="2"/>
  </w:num>
  <w:num w:numId="14" w16cid:durableId="1523473562">
    <w:abstractNumId w:val="2"/>
  </w:num>
  <w:num w:numId="15" w16cid:durableId="1393649690">
    <w:abstractNumId w:val="2"/>
  </w:num>
  <w:num w:numId="16" w16cid:durableId="1614166776">
    <w:abstractNumId w:val="2"/>
  </w:num>
  <w:num w:numId="17" w16cid:durableId="931358235">
    <w:abstractNumId w:val="2"/>
  </w:num>
  <w:num w:numId="18" w16cid:durableId="1797337279">
    <w:abstractNumId w:val="2"/>
  </w:num>
  <w:num w:numId="19" w16cid:durableId="1821727650">
    <w:abstractNumId w:val="2"/>
  </w:num>
  <w:num w:numId="20" w16cid:durableId="1301762766">
    <w:abstractNumId w:val="2"/>
  </w:num>
  <w:num w:numId="21" w16cid:durableId="1026636133">
    <w:abstractNumId w:val="2"/>
  </w:num>
  <w:num w:numId="22" w16cid:durableId="301274651">
    <w:abstractNumId w:val="2"/>
  </w:num>
  <w:num w:numId="23" w16cid:durableId="2051345262">
    <w:abstractNumId w:val="2"/>
  </w:num>
  <w:num w:numId="24" w16cid:durableId="1444693602">
    <w:abstractNumId w:val="2"/>
  </w:num>
  <w:num w:numId="25" w16cid:durableId="1176727203">
    <w:abstractNumId w:val="2"/>
  </w:num>
  <w:num w:numId="26" w16cid:durableId="1560943122">
    <w:abstractNumId w:val="2"/>
  </w:num>
  <w:num w:numId="27" w16cid:durableId="899905451">
    <w:abstractNumId w:val="2"/>
  </w:num>
  <w:num w:numId="28" w16cid:durableId="1568034224">
    <w:abstractNumId w:val="2"/>
  </w:num>
  <w:num w:numId="29" w16cid:durableId="498665018">
    <w:abstractNumId w:val="2"/>
  </w:num>
  <w:num w:numId="30" w16cid:durableId="1167594151">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activeWritingStyle w:appName="MSWord" w:lang="pt-BR" w:vendorID="64" w:dllVersion="0" w:nlCheck="1" w:checkStyle="0"/>
  <w:activeWritingStyle w:appName="MSWord" w:lang="es-ES_tradnl" w:vendorID="64" w:dllVersion="0" w:nlCheck="1" w:checkStyle="0"/>
  <w:activeWritingStyle w:appName="MSWord" w:lang="es-ES" w:vendorID="64" w:dllVersion="0" w:nlCheck="1" w:checkStyle="0"/>
  <w:activeWritingStyle w:appName="MSWord" w:lang="es-MX"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5FFE"/>
    <w:rsid w:val="00000094"/>
    <w:rsid w:val="000005B4"/>
    <w:rsid w:val="000005F5"/>
    <w:rsid w:val="00000902"/>
    <w:rsid w:val="00000CB5"/>
    <w:rsid w:val="00000FA7"/>
    <w:rsid w:val="000010AF"/>
    <w:rsid w:val="000013B4"/>
    <w:rsid w:val="000013CD"/>
    <w:rsid w:val="000014BB"/>
    <w:rsid w:val="00002050"/>
    <w:rsid w:val="00002074"/>
    <w:rsid w:val="000023FC"/>
    <w:rsid w:val="000027FC"/>
    <w:rsid w:val="00002A24"/>
    <w:rsid w:val="00002A4C"/>
    <w:rsid w:val="0000312C"/>
    <w:rsid w:val="000034C2"/>
    <w:rsid w:val="00003626"/>
    <w:rsid w:val="00003906"/>
    <w:rsid w:val="00003E7C"/>
    <w:rsid w:val="00003E94"/>
    <w:rsid w:val="00003FCD"/>
    <w:rsid w:val="000041BF"/>
    <w:rsid w:val="00004235"/>
    <w:rsid w:val="000042AC"/>
    <w:rsid w:val="0000434D"/>
    <w:rsid w:val="0000442D"/>
    <w:rsid w:val="00004561"/>
    <w:rsid w:val="0000467B"/>
    <w:rsid w:val="00004763"/>
    <w:rsid w:val="000048BD"/>
    <w:rsid w:val="00004AE4"/>
    <w:rsid w:val="00004B8A"/>
    <w:rsid w:val="00004E17"/>
    <w:rsid w:val="00004E75"/>
    <w:rsid w:val="000056F2"/>
    <w:rsid w:val="00005797"/>
    <w:rsid w:val="0000591C"/>
    <w:rsid w:val="00005CF6"/>
    <w:rsid w:val="00006364"/>
    <w:rsid w:val="00006401"/>
    <w:rsid w:val="000066AD"/>
    <w:rsid w:val="0000698D"/>
    <w:rsid w:val="00006B11"/>
    <w:rsid w:val="00006D6B"/>
    <w:rsid w:val="00007397"/>
    <w:rsid w:val="00007564"/>
    <w:rsid w:val="000079BE"/>
    <w:rsid w:val="00007C43"/>
    <w:rsid w:val="00007F82"/>
    <w:rsid w:val="00010080"/>
    <w:rsid w:val="00010641"/>
    <w:rsid w:val="00010A33"/>
    <w:rsid w:val="00010AAA"/>
    <w:rsid w:val="00010D57"/>
    <w:rsid w:val="00011263"/>
    <w:rsid w:val="0001134F"/>
    <w:rsid w:val="000113D3"/>
    <w:rsid w:val="00011483"/>
    <w:rsid w:val="000119E3"/>
    <w:rsid w:val="00011B73"/>
    <w:rsid w:val="00012B92"/>
    <w:rsid w:val="00012D19"/>
    <w:rsid w:val="00012D75"/>
    <w:rsid w:val="00012F3D"/>
    <w:rsid w:val="00013163"/>
    <w:rsid w:val="000131E1"/>
    <w:rsid w:val="0001330B"/>
    <w:rsid w:val="0001354B"/>
    <w:rsid w:val="00013609"/>
    <w:rsid w:val="00013834"/>
    <w:rsid w:val="00013E31"/>
    <w:rsid w:val="00014660"/>
    <w:rsid w:val="000148DD"/>
    <w:rsid w:val="00014B05"/>
    <w:rsid w:val="00014C53"/>
    <w:rsid w:val="00014D07"/>
    <w:rsid w:val="0001532E"/>
    <w:rsid w:val="00015A8C"/>
    <w:rsid w:val="00015C82"/>
    <w:rsid w:val="00016280"/>
    <w:rsid w:val="000162D9"/>
    <w:rsid w:val="00016319"/>
    <w:rsid w:val="00016372"/>
    <w:rsid w:val="000163D9"/>
    <w:rsid w:val="00016424"/>
    <w:rsid w:val="000164CA"/>
    <w:rsid w:val="00016518"/>
    <w:rsid w:val="00016868"/>
    <w:rsid w:val="00016B3A"/>
    <w:rsid w:val="00016B6B"/>
    <w:rsid w:val="00016BFA"/>
    <w:rsid w:val="00016C2D"/>
    <w:rsid w:val="00016CE2"/>
    <w:rsid w:val="00016DEA"/>
    <w:rsid w:val="00016E36"/>
    <w:rsid w:val="000171E9"/>
    <w:rsid w:val="00017243"/>
    <w:rsid w:val="000173BF"/>
    <w:rsid w:val="000177CA"/>
    <w:rsid w:val="000178F8"/>
    <w:rsid w:val="00017DFC"/>
    <w:rsid w:val="00017EE4"/>
    <w:rsid w:val="000203B3"/>
    <w:rsid w:val="000209BA"/>
    <w:rsid w:val="000211EE"/>
    <w:rsid w:val="00021318"/>
    <w:rsid w:val="000216B1"/>
    <w:rsid w:val="0002180D"/>
    <w:rsid w:val="00021DFA"/>
    <w:rsid w:val="00021FB7"/>
    <w:rsid w:val="000222AE"/>
    <w:rsid w:val="0002296B"/>
    <w:rsid w:val="00023253"/>
    <w:rsid w:val="000233FE"/>
    <w:rsid w:val="00023690"/>
    <w:rsid w:val="0002369F"/>
    <w:rsid w:val="00023818"/>
    <w:rsid w:val="00023964"/>
    <w:rsid w:val="0002418D"/>
    <w:rsid w:val="000249C3"/>
    <w:rsid w:val="00024A8F"/>
    <w:rsid w:val="00024FE2"/>
    <w:rsid w:val="000256CA"/>
    <w:rsid w:val="000258C4"/>
    <w:rsid w:val="000264A5"/>
    <w:rsid w:val="00026611"/>
    <w:rsid w:val="00026C01"/>
    <w:rsid w:val="000270C6"/>
    <w:rsid w:val="000270DF"/>
    <w:rsid w:val="00027456"/>
    <w:rsid w:val="000276D4"/>
    <w:rsid w:val="000277F2"/>
    <w:rsid w:val="000302C4"/>
    <w:rsid w:val="00030A94"/>
    <w:rsid w:val="00030DD4"/>
    <w:rsid w:val="00030FDB"/>
    <w:rsid w:val="00031604"/>
    <w:rsid w:val="000316DC"/>
    <w:rsid w:val="0003190F"/>
    <w:rsid w:val="00031A28"/>
    <w:rsid w:val="00031A37"/>
    <w:rsid w:val="00031AEA"/>
    <w:rsid w:val="00031BFF"/>
    <w:rsid w:val="00031CE2"/>
    <w:rsid w:val="00031D81"/>
    <w:rsid w:val="0003247F"/>
    <w:rsid w:val="0003266D"/>
    <w:rsid w:val="000327A6"/>
    <w:rsid w:val="00032D69"/>
    <w:rsid w:val="00032FDF"/>
    <w:rsid w:val="000330CC"/>
    <w:rsid w:val="00033408"/>
    <w:rsid w:val="00033471"/>
    <w:rsid w:val="00033822"/>
    <w:rsid w:val="00033CA4"/>
    <w:rsid w:val="0003420D"/>
    <w:rsid w:val="000343D4"/>
    <w:rsid w:val="00034647"/>
    <w:rsid w:val="000346A7"/>
    <w:rsid w:val="000356F8"/>
    <w:rsid w:val="00035861"/>
    <w:rsid w:val="00035A95"/>
    <w:rsid w:val="00035B93"/>
    <w:rsid w:val="00035C48"/>
    <w:rsid w:val="00035EF1"/>
    <w:rsid w:val="00036173"/>
    <w:rsid w:val="000362F9"/>
    <w:rsid w:val="00036A5F"/>
    <w:rsid w:val="00036C87"/>
    <w:rsid w:val="00036F07"/>
    <w:rsid w:val="00037347"/>
    <w:rsid w:val="000374D4"/>
    <w:rsid w:val="000378BF"/>
    <w:rsid w:val="00037AA8"/>
    <w:rsid w:val="0004003B"/>
    <w:rsid w:val="0004066A"/>
    <w:rsid w:val="00040B91"/>
    <w:rsid w:val="00040BEF"/>
    <w:rsid w:val="00041175"/>
    <w:rsid w:val="00041428"/>
    <w:rsid w:val="00041779"/>
    <w:rsid w:val="00041C41"/>
    <w:rsid w:val="00041E52"/>
    <w:rsid w:val="00041FDB"/>
    <w:rsid w:val="000425BC"/>
    <w:rsid w:val="0004269B"/>
    <w:rsid w:val="00042A77"/>
    <w:rsid w:val="00042C89"/>
    <w:rsid w:val="00042E96"/>
    <w:rsid w:val="00042EC6"/>
    <w:rsid w:val="00043002"/>
    <w:rsid w:val="00043349"/>
    <w:rsid w:val="0004360E"/>
    <w:rsid w:val="00043776"/>
    <w:rsid w:val="00044162"/>
    <w:rsid w:val="00044179"/>
    <w:rsid w:val="0004424B"/>
    <w:rsid w:val="00044426"/>
    <w:rsid w:val="00044C5A"/>
    <w:rsid w:val="000451C2"/>
    <w:rsid w:val="00045777"/>
    <w:rsid w:val="0004584C"/>
    <w:rsid w:val="00045ACA"/>
    <w:rsid w:val="00045DDF"/>
    <w:rsid w:val="00045F0C"/>
    <w:rsid w:val="000468EA"/>
    <w:rsid w:val="00046D97"/>
    <w:rsid w:val="00046F7F"/>
    <w:rsid w:val="00047360"/>
    <w:rsid w:val="0004743F"/>
    <w:rsid w:val="00047C44"/>
    <w:rsid w:val="000505F7"/>
    <w:rsid w:val="00051396"/>
    <w:rsid w:val="00051828"/>
    <w:rsid w:val="00051882"/>
    <w:rsid w:val="00051D80"/>
    <w:rsid w:val="0005203F"/>
    <w:rsid w:val="00053556"/>
    <w:rsid w:val="000536FB"/>
    <w:rsid w:val="00053746"/>
    <w:rsid w:val="00053A9E"/>
    <w:rsid w:val="00053D1A"/>
    <w:rsid w:val="00053F5F"/>
    <w:rsid w:val="0005443C"/>
    <w:rsid w:val="0005452C"/>
    <w:rsid w:val="00054840"/>
    <w:rsid w:val="00054AAC"/>
    <w:rsid w:val="00054F15"/>
    <w:rsid w:val="000553C3"/>
    <w:rsid w:val="000553C8"/>
    <w:rsid w:val="00055421"/>
    <w:rsid w:val="00055545"/>
    <w:rsid w:val="00055D80"/>
    <w:rsid w:val="00055E58"/>
    <w:rsid w:val="00055FA3"/>
    <w:rsid w:val="00056BD2"/>
    <w:rsid w:val="00056D7B"/>
    <w:rsid w:val="00056F2C"/>
    <w:rsid w:val="00057154"/>
    <w:rsid w:val="00057404"/>
    <w:rsid w:val="000574E1"/>
    <w:rsid w:val="00057528"/>
    <w:rsid w:val="00057966"/>
    <w:rsid w:val="00057AE4"/>
    <w:rsid w:val="00060189"/>
    <w:rsid w:val="0006051F"/>
    <w:rsid w:val="0006060E"/>
    <w:rsid w:val="00060792"/>
    <w:rsid w:val="00060793"/>
    <w:rsid w:val="00060831"/>
    <w:rsid w:val="000608A1"/>
    <w:rsid w:val="00060C4F"/>
    <w:rsid w:val="00060FD6"/>
    <w:rsid w:val="00061780"/>
    <w:rsid w:val="00061E72"/>
    <w:rsid w:val="00061F74"/>
    <w:rsid w:val="0006207F"/>
    <w:rsid w:val="000621F2"/>
    <w:rsid w:val="0006232C"/>
    <w:rsid w:val="00062B4D"/>
    <w:rsid w:val="00063098"/>
    <w:rsid w:val="000631D8"/>
    <w:rsid w:val="00063902"/>
    <w:rsid w:val="0006392C"/>
    <w:rsid w:val="00063D14"/>
    <w:rsid w:val="000641FD"/>
    <w:rsid w:val="00064256"/>
    <w:rsid w:val="00064814"/>
    <w:rsid w:val="00064960"/>
    <w:rsid w:val="00065361"/>
    <w:rsid w:val="00065649"/>
    <w:rsid w:val="00065665"/>
    <w:rsid w:val="00065A29"/>
    <w:rsid w:val="00065B7F"/>
    <w:rsid w:val="00065DFA"/>
    <w:rsid w:val="00065F33"/>
    <w:rsid w:val="00066104"/>
    <w:rsid w:val="000661E0"/>
    <w:rsid w:val="0006644C"/>
    <w:rsid w:val="000669AA"/>
    <w:rsid w:val="00066D8B"/>
    <w:rsid w:val="000679B4"/>
    <w:rsid w:val="00067B9A"/>
    <w:rsid w:val="00067BBF"/>
    <w:rsid w:val="00067E52"/>
    <w:rsid w:val="00067EFA"/>
    <w:rsid w:val="00067F18"/>
    <w:rsid w:val="00070255"/>
    <w:rsid w:val="0007074C"/>
    <w:rsid w:val="000707E3"/>
    <w:rsid w:val="00070897"/>
    <w:rsid w:val="000710C6"/>
    <w:rsid w:val="0007190D"/>
    <w:rsid w:val="0007195E"/>
    <w:rsid w:val="0007222E"/>
    <w:rsid w:val="0007241B"/>
    <w:rsid w:val="00072491"/>
    <w:rsid w:val="00072CE0"/>
    <w:rsid w:val="00072DFD"/>
    <w:rsid w:val="000732B7"/>
    <w:rsid w:val="00073502"/>
    <w:rsid w:val="0007372E"/>
    <w:rsid w:val="0007394E"/>
    <w:rsid w:val="000739BD"/>
    <w:rsid w:val="00073B73"/>
    <w:rsid w:val="00073C3A"/>
    <w:rsid w:val="00073D63"/>
    <w:rsid w:val="00073DA5"/>
    <w:rsid w:val="000748FA"/>
    <w:rsid w:val="0007499D"/>
    <w:rsid w:val="00074C0A"/>
    <w:rsid w:val="00074F21"/>
    <w:rsid w:val="00075546"/>
    <w:rsid w:val="00075598"/>
    <w:rsid w:val="000759C7"/>
    <w:rsid w:val="00076321"/>
    <w:rsid w:val="00076772"/>
    <w:rsid w:val="000768A7"/>
    <w:rsid w:val="00076EB1"/>
    <w:rsid w:val="00076F8E"/>
    <w:rsid w:val="000770A2"/>
    <w:rsid w:val="000770D0"/>
    <w:rsid w:val="00077813"/>
    <w:rsid w:val="00077844"/>
    <w:rsid w:val="00080421"/>
    <w:rsid w:val="0008068B"/>
    <w:rsid w:val="00080720"/>
    <w:rsid w:val="000808BD"/>
    <w:rsid w:val="0008164E"/>
    <w:rsid w:val="0008177A"/>
    <w:rsid w:val="00081F09"/>
    <w:rsid w:val="0008200B"/>
    <w:rsid w:val="0008208D"/>
    <w:rsid w:val="000825DA"/>
    <w:rsid w:val="000827E4"/>
    <w:rsid w:val="00082CE1"/>
    <w:rsid w:val="0008355D"/>
    <w:rsid w:val="0008379E"/>
    <w:rsid w:val="0008380F"/>
    <w:rsid w:val="000838E0"/>
    <w:rsid w:val="00083ABD"/>
    <w:rsid w:val="00083AC5"/>
    <w:rsid w:val="00083BBC"/>
    <w:rsid w:val="00083BFC"/>
    <w:rsid w:val="00083E06"/>
    <w:rsid w:val="00084470"/>
    <w:rsid w:val="000844EA"/>
    <w:rsid w:val="00084868"/>
    <w:rsid w:val="0008495C"/>
    <w:rsid w:val="000853C9"/>
    <w:rsid w:val="0008545D"/>
    <w:rsid w:val="000856B3"/>
    <w:rsid w:val="000856ED"/>
    <w:rsid w:val="00085D6C"/>
    <w:rsid w:val="00085D90"/>
    <w:rsid w:val="00085E14"/>
    <w:rsid w:val="00086103"/>
    <w:rsid w:val="000864B9"/>
    <w:rsid w:val="000869EE"/>
    <w:rsid w:val="00087442"/>
    <w:rsid w:val="0008754F"/>
    <w:rsid w:val="00087B1F"/>
    <w:rsid w:val="00087B78"/>
    <w:rsid w:val="00087EC0"/>
    <w:rsid w:val="00087F01"/>
    <w:rsid w:val="00087FA2"/>
    <w:rsid w:val="000903E7"/>
    <w:rsid w:val="00090820"/>
    <w:rsid w:val="00090D23"/>
    <w:rsid w:val="00090F3A"/>
    <w:rsid w:val="00091847"/>
    <w:rsid w:val="00091D22"/>
    <w:rsid w:val="00091D6F"/>
    <w:rsid w:val="00091EC0"/>
    <w:rsid w:val="000922C4"/>
    <w:rsid w:val="0009238D"/>
    <w:rsid w:val="0009288C"/>
    <w:rsid w:val="000929A1"/>
    <w:rsid w:val="000929AC"/>
    <w:rsid w:val="00092E7E"/>
    <w:rsid w:val="0009319E"/>
    <w:rsid w:val="000933D8"/>
    <w:rsid w:val="00093998"/>
    <w:rsid w:val="00094397"/>
    <w:rsid w:val="000945A4"/>
    <w:rsid w:val="00094681"/>
    <w:rsid w:val="00094992"/>
    <w:rsid w:val="00094A66"/>
    <w:rsid w:val="00094E67"/>
    <w:rsid w:val="00095146"/>
    <w:rsid w:val="000952B2"/>
    <w:rsid w:val="000952CA"/>
    <w:rsid w:val="000956C8"/>
    <w:rsid w:val="000957DF"/>
    <w:rsid w:val="000957FE"/>
    <w:rsid w:val="00095BF9"/>
    <w:rsid w:val="00095CBC"/>
    <w:rsid w:val="0009611B"/>
    <w:rsid w:val="00096953"/>
    <w:rsid w:val="00096A64"/>
    <w:rsid w:val="000970D5"/>
    <w:rsid w:val="0009719B"/>
    <w:rsid w:val="00097656"/>
    <w:rsid w:val="0009796C"/>
    <w:rsid w:val="00097BAD"/>
    <w:rsid w:val="00097BCD"/>
    <w:rsid w:val="00097CBE"/>
    <w:rsid w:val="00097E3D"/>
    <w:rsid w:val="000A0419"/>
    <w:rsid w:val="000A0490"/>
    <w:rsid w:val="000A06C1"/>
    <w:rsid w:val="000A0D5C"/>
    <w:rsid w:val="000A0FCF"/>
    <w:rsid w:val="000A0FED"/>
    <w:rsid w:val="000A1401"/>
    <w:rsid w:val="000A163D"/>
    <w:rsid w:val="000A1877"/>
    <w:rsid w:val="000A1918"/>
    <w:rsid w:val="000A19FA"/>
    <w:rsid w:val="000A20E5"/>
    <w:rsid w:val="000A2304"/>
    <w:rsid w:val="000A2705"/>
    <w:rsid w:val="000A28D7"/>
    <w:rsid w:val="000A2934"/>
    <w:rsid w:val="000A29D3"/>
    <w:rsid w:val="000A2A16"/>
    <w:rsid w:val="000A2E8D"/>
    <w:rsid w:val="000A2F41"/>
    <w:rsid w:val="000A3626"/>
    <w:rsid w:val="000A36E9"/>
    <w:rsid w:val="000A3BEF"/>
    <w:rsid w:val="000A3C87"/>
    <w:rsid w:val="000A3D5B"/>
    <w:rsid w:val="000A4541"/>
    <w:rsid w:val="000A473B"/>
    <w:rsid w:val="000A47DE"/>
    <w:rsid w:val="000A47F2"/>
    <w:rsid w:val="000A47F5"/>
    <w:rsid w:val="000A487B"/>
    <w:rsid w:val="000A4D75"/>
    <w:rsid w:val="000A4DA0"/>
    <w:rsid w:val="000A5275"/>
    <w:rsid w:val="000A5296"/>
    <w:rsid w:val="000A5C7C"/>
    <w:rsid w:val="000A5CD2"/>
    <w:rsid w:val="000A6259"/>
    <w:rsid w:val="000A65EE"/>
    <w:rsid w:val="000A6BC6"/>
    <w:rsid w:val="000A6BEF"/>
    <w:rsid w:val="000A7080"/>
    <w:rsid w:val="000A7898"/>
    <w:rsid w:val="000A7B26"/>
    <w:rsid w:val="000A7E7B"/>
    <w:rsid w:val="000B00E1"/>
    <w:rsid w:val="000B036C"/>
    <w:rsid w:val="000B0611"/>
    <w:rsid w:val="000B0763"/>
    <w:rsid w:val="000B09AA"/>
    <w:rsid w:val="000B0E5A"/>
    <w:rsid w:val="000B1079"/>
    <w:rsid w:val="000B1316"/>
    <w:rsid w:val="000B1412"/>
    <w:rsid w:val="000B1519"/>
    <w:rsid w:val="000B15E3"/>
    <w:rsid w:val="000B18DB"/>
    <w:rsid w:val="000B1EDB"/>
    <w:rsid w:val="000B23D0"/>
    <w:rsid w:val="000B250D"/>
    <w:rsid w:val="000B271F"/>
    <w:rsid w:val="000B298B"/>
    <w:rsid w:val="000B2B3F"/>
    <w:rsid w:val="000B2DB5"/>
    <w:rsid w:val="000B3111"/>
    <w:rsid w:val="000B3294"/>
    <w:rsid w:val="000B3A3E"/>
    <w:rsid w:val="000B3D66"/>
    <w:rsid w:val="000B3E21"/>
    <w:rsid w:val="000B3E99"/>
    <w:rsid w:val="000B3F13"/>
    <w:rsid w:val="000B3F5B"/>
    <w:rsid w:val="000B4615"/>
    <w:rsid w:val="000B4895"/>
    <w:rsid w:val="000B4BCC"/>
    <w:rsid w:val="000B4C31"/>
    <w:rsid w:val="000B4CE5"/>
    <w:rsid w:val="000B5084"/>
    <w:rsid w:val="000B509F"/>
    <w:rsid w:val="000B51C1"/>
    <w:rsid w:val="000B552B"/>
    <w:rsid w:val="000B6128"/>
    <w:rsid w:val="000B62BA"/>
    <w:rsid w:val="000B6504"/>
    <w:rsid w:val="000B6CD2"/>
    <w:rsid w:val="000B6F15"/>
    <w:rsid w:val="000B6F1D"/>
    <w:rsid w:val="000B77B6"/>
    <w:rsid w:val="000B7B1F"/>
    <w:rsid w:val="000B7D02"/>
    <w:rsid w:val="000B7DF2"/>
    <w:rsid w:val="000B7E18"/>
    <w:rsid w:val="000C0442"/>
    <w:rsid w:val="000C05F2"/>
    <w:rsid w:val="000C0669"/>
    <w:rsid w:val="000C0954"/>
    <w:rsid w:val="000C0F5C"/>
    <w:rsid w:val="000C12AD"/>
    <w:rsid w:val="000C1C21"/>
    <w:rsid w:val="000C1CFE"/>
    <w:rsid w:val="000C1D74"/>
    <w:rsid w:val="000C2538"/>
    <w:rsid w:val="000C2864"/>
    <w:rsid w:val="000C2B92"/>
    <w:rsid w:val="000C2BBC"/>
    <w:rsid w:val="000C2C83"/>
    <w:rsid w:val="000C2CF6"/>
    <w:rsid w:val="000C2ED4"/>
    <w:rsid w:val="000C34AD"/>
    <w:rsid w:val="000C36F0"/>
    <w:rsid w:val="000C3B8D"/>
    <w:rsid w:val="000C3C32"/>
    <w:rsid w:val="000C3E9F"/>
    <w:rsid w:val="000C40D0"/>
    <w:rsid w:val="000C4434"/>
    <w:rsid w:val="000C45BF"/>
    <w:rsid w:val="000C4B79"/>
    <w:rsid w:val="000C4CCE"/>
    <w:rsid w:val="000C5214"/>
    <w:rsid w:val="000C5337"/>
    <w:rsid w:val="000C5723"/>
    <w:rsid w:val="000C5737"/>
    <w:rsid w:val="000C5C55"/>
    <w:rsid w:val="000C5C9A"/>
    <w:rsid w:val="000C5E30"/>
    <w:rsid w:val="000C6117"/>
    <w:rsid w:val="000C62B4"/>
    <w:rsid w:val="000C64B0"/>
    <w:rsid w:val="000C6746"/>
    <w:rsid w:val="000C6758"/>
    <w:rsid w:val="000C675E"/>
    <w:rsid w:val="000C6DD1"/>
    <w:rsid w:val="000C6E66"/>
    <w:rsid w:val="000C7353"/>
    <w:rsid w:val="000C739F"/>
    <w:rsid w:val="000C7544"/>
    <w:rsid w:val="000C7612"/>
    <w:rsid w:val="000C76A1"/>
    <w:rsid w:val="000C7729"/>
    <w:rsid w:val="000C79C2"/>
    <w:rsid w:val="000C7B83"/>
    <w:rsid w:val="000C7D87"/>
    <w:rsid w:val="000C7FE1"/>
    <w:rsid w:val="000D01DD"/>
    <w:rsid w:val="000D046C"/>
    <w:rsid w:val="000D06A2"/>
    <w:rsid w:val="000D08A9"/>
    <w:rsid w:val="000D0B24"/>
    <w:rsid w:val="000D0C3C"/>
    <w:rsid w:val="000D0D1A"/>
    <w:rsid w:val="000D0D6F"/>
    <w:rsid w:val="000D0DE5"/>
    <w:rsid w:val="000D157C"/>
    <w:rsid w:val="000D2147"/>
    <w:rsid w:val="000D226D"/>
    <w:rsid w:val="000D234C"/>
    <w:rsid w:val="000D2358"/>
    <w:rsid w:val="000D24AA"/>
    <w:rsid w:val="000D2510"/>
    <w:rsid w:val="000D2982"/>
    <w:rsid w:val="000D2BDB"/>
    <w:rsid w:val="000D2CE2"/>
    <w:rsid w:val="000D2D12"/>
    <w:rsid w:val="000D3369"/>
    <w:rsid w:val="000D3432"/>
    <w:rsid w:val="000D379C"/>
    <w:rsid w:val="000D3EE1"/>
    <w:rsid w:val="000D3F24"/>
    <w:rsid w:val="000D3F48"/>
    <w:rsid w:val="000D4008"/>
    <w:rsid w:val="000D4726"/>
    <w:rsid w:val="000D4871"/>
    <w:rsid w:val="000D5012"/>
    <w:rsid w:val="000D502B"/>
    <w:rsid w:val="000D53C8"/>
    <w:rsid w:val="000D548C"/>
    <w:rsid w:val="000D54F2"/>
    <w:rsid w:val="000D54FC"/>
    <w:rsid w:val="000D553D"/>
    <w:rsid w:val="000D597B"/>
    <w:rsid w:val="000D5AC1"/>
    <w:rsid w:val="000D5DA0"/>
    <w:rsid w:val="000D5E36"/>
    <w:rsid w:val="000D5F6D"/>
    <w:rsid w:val="000D684F"/>
    <w:rsid w:val="000D698E"/>
    <w:rsid w:val="000D6AD6"/>
    <w:rsid w:val="000D6CA1"/>
    <w:rsid w:val="000D73EE"/>
    <w:rsid w:val="000D75FB"/>
    <w:rsid w:val="000D796D"/>
    <w:rsid w:val="000D7C1B"/>
    <w:rsid w:val="000E00A6"/>
    <w:rsid w:val="000E036F"/>
    <w:rsid w:val="000E0537"/>
    <w:rsid w:val="000E0A03"/>
    <w:rsid w:val="000E0DFD"/>
    <w:rsid w:val="000E13C4"/>
    <w:rsid w:val="000E1403"/>
    <w:rsid w:val="000E154F"/>
    <w:rsid w:val="000E1625"/>
    <w:rsid w:val="000E17A6"/>
    <w:rsid w:val="000E1897"/>
    <w:rsid w:val="000E18A3"/>
    <w:rsid w:val="000E212B"/>
    <w:rsid w:val="000E216B"/>
    <w:rsid w:val="000E2310"/>
    <w:rsid w:val="000E2390"/>
    <w:rsid w:val="000E24DE"/>
    <w:rsid w:val="000E2BE9"/>
    <w:rsid w:val="000E2D0D"/>
    <w:rsid w:val="000E30BF"/>
    <w:rsid w:val="000E315E"/>
    <w:rsid w:val="000E350C"/>
    <w:rsid w:val="000E37EC"/>
    <w:rsid w:val="000E38D1"/>
    <w:rsid w:val="000E3D1C"/>
    <w:rsid w:val="000E3F1C"/>
    <w:rsid w:val="000E4385"/>
    <w:rsid w:val="000E456F"/>
    <w:rsid w:val="000E46ED"/>
    <w:rsid w:val="000E4894"/>
    <w:rsid w:val="000E4C69"/>
    <w:rsid w:val="000E4FF2"/>
    <w:rsid w:val="000E55D9"/>
    <w:rsid w:val="000E57F0"/>
    <w:rsid w:val="000E64E8"/>
    <w:rsid w:val="000E6765"/>
    <w:rsid w:val="000E6775"/>
    <w:rsid w:val="000E69CA"/>
    <w:rsid w:val="000E69DA"/>
    <w:rsid w:val="000E6BEC"/>
    <w:rsid w:val="000E6F96"/>
    <w:rsid w:val="000E6FFA"/>
    <w:rsid w:val="000E7408"/>
    <w:rsid w:val="000E743D"/>
    <w:rsid w:val="000E75E3"/>
    <w:rsid w:val="000E770F"/>
    <w:rsid w:val="000E7779"/>
    <w:rsid w:val="000E7A51"/>
    <w:rsid w:val="000E7EDB"/>
    <w:rsid w:val="000E7F5E"/>
    <w:rsid w:val="000F03E1"/>
    <w:rsid w:val="000F064C"/>
    <w:rsid w:val="000F0820"/>
    <w:rsid w:val="000F08A0"/>
    <w:rsid w:val="000F0957"/>
    <w:rsid w:val="000F0B61"/>
    <w:rsid w:val="000F0C6D"/>
    <w:rsid w:val="000F0DED"/>
    <w:rsid w:val="000F1119"/>
    <w:rsid w:val="000F124C"/>
    <w:rsid w:val="000F15BB"/>
    <w:rsid w:val="000F1910"/>
    <w:rsid w:val="000F196C"/>
    <w:rsid w:val="000F1B1A"/>
    <w:rsid w:val="000F1B8F"/>
    <w:rsid w:val="000F1C4A"/>
    <w:rsid w:val="000F1FF6"/>
    <w:rsid w:val="000F2539"/>
    <w:rsid w:val="000F2665"/>
    <w:rsid w:val="000F2CC5"/>
    <w:rsid w:val="000F322D"/>
    <w:rsid w:val="000F32BC"/>
    <w:rsid w:val="000F376E"/>
    <w:rsid w:val="000F3958"/>
    <w:rsid w:val="000F398C"/>
    <w:rsid w:val="000F3C6B"/>
    <w:rsid w:val="000F3D5B"/>
    <w:rsid w:val="000F4038"/>
    <w:rsid w:val="000F407F"/>
    <w:rsid w:val="000F4AF5"/>
    <w:rsid w:val="000F4BD9"/>
    <w:rsid w:val="000F4F04"/>
    <w:rsid w:val="000F56B3"/>
    <w:rsid w:val="000F59BA"/>
    <w:rsid w:val="000F5AFB"/>
    <w:rsid w:val="000F5C16"/>
    <w:rsid w:val="000F5F0C"/>
    <w:rsid w:val="000F60D4"/>
    <w:rsid w:val="000F6140"/>
    <w:rsid w:val="000F686B"/>
    <w:rsid w:val="000F706B"/>
    <w:rsid w:val="000F71C7"/>
    <w:rsid w:val="000F722C"/>
    <w:rsid w:val="000F73C5"/>
    <w:rsid w:val="000F7411"/>
    <w:rsid w:val="000F7CDA"/>
    <w:rsid w:val="000F7DC8"/>
    <w:rsid w:val="000F7ED6"/>
    <w:rsid w:val="000F7EDF"/>
    <w:rsid w:val="000F7F63"/>
    <w:rsid w:val="0010016F"/>
    <w:rsid w:val="00100670"/>
    <w:rsid w:val="00100903"/>
    <w:rsid w:val="0010098D"/>
    <w:rsid w:val="00100D10"/>
    <w:rsid w:val="00100DD1"/>
    <w:rsid w:val="00101009"/>
    <w:rsid w:val="00101204"/>
    <w:rsid w:val="001013CB"/>
    <w:rsid w:val="00101445"/>
    <w:rsid w:val="0010172E"/>
    <w:rsid w:val="001019FE"/>
    <w:rsid w:val="00101CF2"/>
    <w:rsid w:val="00102025"/>
    <w:rsid w:val="00102090"/>
    <w:rsid w:val="001023AA"/>
    <w:rsid w:val="00102590"/>
    <w:rsid w:val="00103C40"/>
    <w:rsid w:val="00103C6F"/>
    <w:rsid w:val="00103DB4"/>
    <w:rsid w:val="00104469"/>
    <w:rsid w:val="001045FD"/>
    <w:rsid w:val="001046F8"/>
    <w:rsid w:val="001048F3"/>
    <w:rsid w:val="001049D5"/>
    <w:rsid w:val="00104DED"/>
    <w:rsid w:val="00104E22"/>
    <w:rsid w:val="0010508A"/>
    <w:rsid w:val="0010540C"/>
    <w:rsid w:val="00105559"/>
    <w:rsid w:val="00105A1E"/>
    <w:rsid w:val="00105D7A"/>
    <w:rsid w:val="0010610A"/>
    <w:rsid w:val="00106212"/>
    <w:rsid w:val="00106414"/>
    <w:rsid w:val="00106491"/>
    <w:rsid w:val="001064B0"/>
    <w:rsid w:val="001068D6"/>
    <w:rsid w:val="001069CD"/>
    <w:rsid w:val="00106D45"/>
    <w:rsid w:val="00106E8E"/>
    <w:rsid w:val="001071C9"/>
    <w:rsid w:val="00107672"/>
    <w:rsid w:val="00107747"/>
    <w:rsid w:val="00107968"/>
    <w:rsid w:val="00107BA0"/>
    <w:rsid w:val="001100ED"/>
    <w:rsid w:val="00110284"/>
    <w:rsid w:val="001104D9"/>
    <w:rsid w:val="00110609"/>
    <w:rsid w:val="001107E8"/>
    <w:rsid w:val="00110933"/>
    <w:rsid w:val="00110FF2"/>
    <w:rsid w:val="00111552"/>
    <w:rsid w:val="0011161D"/>
    <w:rsid w:val="00111880"/>
    <w:rsid w:val="001119A6"/>
    <w:rsid w:val="00111F97"/>
    <w:rsid w:val="00112145"/>
    <w:rsid w:val="00112220"/>
    <w:rsid w:val="00112257"/>
    <w:rsid w:val="00112BB3"/>
    <w:rsid w:val="00112C01"/>
    <w:rsid w:val="0011301F"/>
    <w:rsid w:val="001132D1"/>
    <w:rsid w:val="0011342C"/>
    <w:rsid w:val="00113527"/>
    <w:rsid w:val="00113B9A"/>
    <w:rsid w:val="00113C9F"/>
    <w:rsid w:val="00113D5A"/>
    <w:rsid w:val="001141A0"/>
    <w:rsid w:val="0011426E"/>
    <w:rsid w:val="00114481"/>
    <w:rsid w:val="0011489E"/>
    <w:rsid w:val="00114ABD"/>
    <w:rsid w:val="00114BC5"/>
    <w:rsid w:val="00114C96"/>
    <w:rsid w:val="00114D09"/>
    <w:rsid w:val="00114E0E"/>
    <w:rsid w:val="00115050"/>
    <w:rsid w:val="001150D7"/>
    <w:rsid w:val="001152ED"/>
    <w:rsid w:val="00115494"/>
    <w:rsid w:val="001154D6"/>
    <w:rsid w:val="001154DF"/>
    <w:rsid w:val="001157F6"/>
    <w:rsid w:val="00115ADC"/>
    <w:rsid w:val="00115B2E"/>
    <w:rsid w:val="00115D2B"/>
    <w:rsid w:val="00115E99"/>
    <w:rsid w:val="001167DE"/>
    <w:rsid w:val="00116B41"/>
    <w:rsid w:val="00116F43"/>
    <w:rsid w:val="00117448"/>
    <w:rsid w:val="001177B6"/>
    <w:rsid w:val="00117A4C"/>
    <w:rsid w:val="00117C0E"/>
    <w:rsid w:val="00117C16"/>
    <w:rsid w:val="00117C7E"/>
    <w:rsid w:val="00117ECF"/>
    <w:rsid w:val="001206EC"/>
    <w:rsid w:val="00120CB8"/>
    <w:rsid w:val="00120D51"/>
    <w:rsid w:val="00120DE2"/>
    <w:rsid w:val="0012104D"/>
    <w:rsid w:val="00121528"/>
    <w:rsid w:val="0012178C"/>
    <w:rsid w:val="001217FE"/>
    <w:rsid w:val="00121F50"/>
    <w:rsid w:val="00122098"/>
    <w:rsid w:val="0012210A"/>
    <w:rsid w:val="00122248"/>
    <w:rsid w:val="00122558"/>
    <w:rsid w:val="001226EE"/>
    <w:rsid w:val="001229AE"/>
    <w:rsid w:val="00122CDD"/>
    <w:rsid w:val="00122E0A"/>
    <w:rsid w:val="001230D0"/>
    <w:rsid w:val="001231F9"/>
    <w:rsid w:val="001234C9"/>
    <w:rsid w:val="00123546"/>
    <w:rsid w:val="001236C3"/>
    <w:rsid w:val="00123958"/>
    <w:rsid w:val="00123C4E"/>
    <w:rsid w:val="00123D66"/>
    <w:rsid w:val="00123E23"/>
    <w:rsid w:val="001242DB"/>
    <w:rsid w:val="0012437F"/>
    <w:rsid w:val="00124389"/>
    <w:rsid w:val="00124806"/>
    <w:rsid w:val="001248FB"/>
    <w:rsid w:val="00124CBE"/>
    <w:rsid w:val="00124F74"/>
    <w:rsid w:val="00125033"/>
    <w:rsid w:val="0012508D"/>
    <w:rsid w:val="00125130"/>
    <w:rsid w:val="001259F4"/>
    <w:rsid w:val="00125CD9"/>
    <w:rsid w:val="00125FB4"/>
    <w:rsid w:val="0012625B"/>
    <w:rsid w:val="001264A7"/>
    <w:rsid w:val="001264BA"/>
    <w:rsid w:val="00126799"/>
    <w:rsid w:val="00126DC2"/>
    <w:rsid w:val="0012761A"/>
    <w:rsid w:val="0012766E"/>
    <w:rsid w:val="0012797C"/>
    <w:rsid w:val="0013055B"/>
    <w:rsid w:val="00130610"/>
    <w:rsid w:val="00130EB5"/>
    <w:rsid w:val="00130FBA"/>
    <w:rsid w:val="001310F4"/>
    <w:rsid w:val="001312DF"/>
    <w:rsid w:val="001318C3"/>
    <w:rsid w:val="00131C91"/>
    <w:rsid w:val="00131D53"/>
    <w:rsid w:val="00132139"/>
    <w:rsid w:val="00132288"/>
    <w:rsid w:val="00132350"/>
    <w:rsid w:val="0013262C"/>
    <w:rsid w:val="001327FF"/>
    <w:rsid w:val="00132D9B"/>
    <w:rsid w:val="00132F7E"/>
    <w:rsid w:val="00133103"/>
    <w:rsid w:val="0013366D"/>
    <w:rsid w:val="00133692"/>
    <w:rsid w:val="00133AE0"/>
    <w:rsid w:val="001341F0"/>
    <w:rsid w:val="0013440E"/>
    <w:rsid w:val="001347EF"/>
    <w:rsid w:val="00134A3D"/>
    <w:rsid w:val="00134AAF"/>
    <w:rsid w:val="00134AF6"/>
    <w:rsid w:val="00134B7D"/>
    <w:rsid w:val="00134BA6"/>
    <w:rsid w:val="00134C76"/>
    <w:rsid w:val="001353FF"/>
    <w:rsid w:val="001356BC"/>
    <w:rsid w:val="00135F22"/>
    <w:rsid w:val="0013607A"/>
    <w:rsid w:val="0013627B"/>
    <w:rsid w:val="001365A4"/>
    <w:rsid w:val="001369FF"/>
    <w:rsid w:val="00136AAE"/>
    <w:rsid w:val="00136B9A"/>
    <w:rsid w:val="00137042"/>
    <w:rsid w:val="00137152"/>
    <w:rsid w:val="00137580"/>
    <w:rsid w:val="001378AA"/>
    <w:rsid w:val="00137A0A"/>
    <w:rsid w:val="00137B5E"/>
    <w:rsid w:val="00137BDD"/>
    <w:rsid w:val="00137DF5"/>
    <w:rsid w:val="00137EBD"/>
    <w:rsid w:val="00140111"/>
    <w:rsid w:val="001407F6"/>
    <w:rsid w:val="00141168"/>
    <w:rsid w:val="00141244"/>
    <w:rsid w:val="00141557"/>
    <w:rsid w:val="001416CA"/>
    <w:rsid w:val="0014180F"/>
    <w:rsid w:val="001421EE"/>
    <w:rsid w:val="00142717"/>
    <w:rsid w:val="00142907"/>
    <w:rsid w:val="00142B3D"/>
    <w:rsid w:val="00142C2F"/>
    <w:rsid w:val="00142FA7"/>
    <w:rsid w:val="00142FF0"/>
    <w:rsid w:val="00143585"/>
    <w:rsid w:val="00143794"/>
    <w:rsid w:val="001439C6"/>
    <w:rsid w:val="00143A1D"/>
    <w:rsid w:val="00143B3D"/>
    <w:rsid w:val="00143CAF"/>
    <w:rsid w:val="00143F5D"/>
    <w:rsid w:val="001441A6"/>
    <w:rsid w:val="00144378"/>
    <w:rsid w:val="0014439B"/>
    <w:rsid w:val="00145694"/>
    <w:rsid w:val="00145A3E"/>
    <w:rsid w:val="00145B96"/>
    <w:rsid w:val="00145BC0"/>
    <w:rsid w:val="0014626C"/>
    <w:rsid w:val="001462D7"/>
    <w:rsid w:val="0014667F"/>
    <w:rsid w:val="00146711"/>
    <w:rsid w:val="00146810"/>
    <w:rsid w:val="00146934"/>
    <w:rsid w:val="00146CA9"/>
    <w:rsid w:val="001471D1"/>
    <w:rsid w:val="00147225"/>
    <w:rsid w:val="001473DF"/>
    <w:rsid w:val="00147506"/>
    <w:rsid w:val="001475A1"/>
    <w:rsid w:val="00147677"/>
    <w:rsid w:val="001477BA"/>
    <w:rsid w:val="00147AD6"/>
    <w:rsid w:val="00147B9E"/>
    <w:rsid w:val="001500E3"/>
    <w:rsid w:val="0015056E"/>
    <w:rsid w:val="00150912"/>
    <w:rsid w:val="00150AF8"/>
    <w:rsid w:val="00150BBE"/>
    <w:rsid w:val="00150BE1"/>
    <w:rsid w:val="00150C8F"/>
    <w:rsid w:val="00150CA3"/>
    <w:rsid w:val="00151413"/>
    <w:rsid w:val="00151601"/>
    <w:rsid w:val="001518CC"/>
    <w:rsid w:val="00151FA8"/>
    <w:rsid w:val="001520AF"/>
    <w:rsid w:val="0015220B"/>
    <w:rsid w:val="00152294"/>
    <w:rsid w:val="00152363"/>
    <w:rsid w:val="00152491"/>
    <w:rsid w:val="00152931"/>
    <w:rsid w:val="001529C8"/>
    <w:rsid w:val="00152C76"/>
    <w:rsid w:val="00152E31"/>
    <w:rsid w:val="00152FA9"/>
    <w:rsid w:val="00153014"/>
    <w:rsid w:val="001532E7"/>
    <w:rsid w:val="00153311"/>
    <w:rsid w:val="00153379"/>
    <w:rsid w:val="0015349B"/>
    <w:rsid w:val="001534CD"/>
    <w:rsid w:val="001538F2"/>
    <w:rsid w:val="00153C54"/>
    <w:rsid w:val="001541BD"/>
    <w:rsid w:val="00154341"/>
    <w:rsid w:val="00154981"/>
    <w:rsid w:val="00154D17"/>
    <w:rsid w:val="00154F76"/>
    <w:rsid w:val="001553B5"/>
    <w:rsid w:val="00155794"/>
    <w:rsid w:val="001559BA"/>
    <w:rsid w:val="00155B09"/>
    <w:rsid w:val="00155FCB"/>
    <w:rsid w:val="001563FC"/>
    <w:rsid w:val="0015662E"/>
    <w:rsid w:val="00156B7A"/>
    <w:rsid w:val="00156CEE"/>
    <w:rsid w:val="00156D55"/>
    <w:rsid w:val="00156D90"/>
    <w:rsid w:val="00156F1C"/>
    <w:rsid w:val="0015717B"/>
    <w:rsid w:val="001576A6"/>
    <w:rsid w:val="0015797E"/>
    <w:rsid w:val="00157EFE"/>
    <w:rsid w:val="00157F50"/>
    <w:rsid w:val="001600DF"/>
    <w:rsid w:val="00160386"/>
    <w:rsid w:val="0016063F"/>
    <w:rsid w:val="00160849"/>
    <w:rsid w:val="001612F1"/>
    <w:rsid w:val="00161A52"/>
    <w:rsid w:val="00161C5A"/>
    <w:rsid w:val="00161C74"/>
    <w:rsid w:val="00162100"/>
    <w:rsid w:val="00162394"/>
    <w:rsid w:val="001623E9"/>
    <w:rsid w:val="001629F1"/>
    <w:rsid w:val="00162D86"/>
    <w:rsid w:val="00163360"/>
    <w:rsid w:val="0016341D"/>
    <w:rsid w:val="0016379D"/>
    <w:rsid w:val="00164459"/>
    <w:rsid w:val="001648AE"/>
    <w:rsid w:val="00165289"/>
    <w:rsid w:val="001653CA"/>
    <w:rsid w:val="00165495"/>
    <w:rsid w:val="00165997"/>
    <w:rsid w:val="00165A7C"/>
    <w:rsid w:val="00165C4D"/>
    <w:rsid w:val="00165EF1"/>
    <w:rsid w:val="00166C33"/>
    <w:rsid w:val="00166CBA"/>
    <w:rsid w:val="001670C1"/>
    <w:rsid w:val="001672F7"/>
    <w:rsid w:val="0016759D"/>
    <w:rsid w:val="00167BA8"/>
    <w:rsid w:val="00167D6D"/>
    <w:rsid w:val="001700C1"/>
    <w:rsid w:val="001704EB"/>
    <w:rsid w:val="00170526"/>
    <w:rsid w:val="00170662"/>
    <w:rsid w:val="001706C7"/>
    <w:rsid w:val="00170BCB"/>
    <w:rsid w:val="00170FE6"/>
    <w:rsid w:val="00171085"/>
    <w:rsid w:val="00171472"/>
    <w:rsid w:val="00171557"/>
    <w:rsid w:val="00171FB5"/>
    <w:rsid w:val="00172135"/>
    <w:rsid w:val="001721AE"/>
    <w:rsid w:val="001721BE"/>
    <w:rsid w:val="00172F82"/>
    <w:rsid w:val="001732A4"/>
    <w:rsid w:val="001732FC"/>
    <w:rsid w:val="00173404"/>
    <w:rsid w:val="0017374F"/>
    <w:rsid w:val="0017378A"/>
    <w:rsid w:val="00173B1B"/>
    <w:rsid w:val="00173CD4"/>
    <w:rsid w:val="0017435A"/>
    <w:rsid w:val="001743FA"/>
    <w:rsid w:val="0017453F"/>
    <w:rsid w:val="00174932"/>
    <w:rsid w:val="00174A1F"/>
    <w:rsid w:val="00174B4C"/>
    <w:rsid w:val="00174BD3"/>
    <w:rsid w:val="00174C2D"/>
    <w:rsid w:val="00175009"/>
    <w:rsid w:val="001750E7"/>
    <w:rsid w:val="0017520D"/>
    <w:rsid w:val="00175254"/>
    <w:rsid w:val="001753C2"/>
    <w:rsid w:val="001754BB"/>
    <w:rsid w:val="0017564D"/>
    <w:rsid w:val="001759E6"/>
    <w:rsid w:val="00175D90"/>
    <w:rsid w:val="00175EDA"/>
    <w:rsid w:val="00176263"/>
    <w:rsid w:val="00176309"/>
    <w:rsid w:val="001763AA"/>
    <w:rsid w:val="001763CF"/>
    <w:rsid w:val="001768E2"/>
    <w:rsid w:val="001769D5"/>
    <w:rsid w:val="00176A31"/>
    <w:rsid w:val="00176AA4"/>
    <w:rsid w:val="00176B53"/>
    <w:rsid w:val="00176DF9"/>
    <w:rsid w:val="00177055"/>
    <w:rsid w:val="0017714E"/>
    <w:rsid w:val="001772E3"/>
    <w:rsid w:val="0017756E"/>
    <w:rsid w:val="00177BAD"/>
    <w:rsid w:val="00177F22"/>
    <w:rsid w:val="00180094"/>
    <w:rsid w:val="00180250"/>
    <w:rsid w:val="00180266"/>
    <w:rsid w:val="00180491"/>
    <w:rsid w:val="001808E9"/>
    <w:rsid w:val="00180AE6"/>
    <w:rsid w:val="00180C2C"/>
    <w:rsid w:val="00180DEE"/>
    <w:rsid w:val="00180E58"/>
    <w:rsid w:val="0018123F"/>
    <w:rsid w:val="001813EB"/>
    <w:rsid w:val="00181819"/>
    <w:rsid w:val="00181E2C"/>
    <w:rsid w:val="00181EAB"/>
    <w:rsid w:val="0018217E"/>
    <w:rsid w:val="0018264C"/>
    <w:rsid w:val="00182A8E"/>
    <w:rsid w:val="00182C0F"/>
    <w:rsid w:val="00183854"/>
    <w:rsid w:val="001839BE"/>
    <w:rsid w:val="00183DEE"/>
    <w:rsid w:val="001840DF"/>
    <w:rsid w:val="001842EE"/>
    <w:rsid w:val="00184D6F"/>
    <w:rsid w:val="00184DF6"/>
    <w:rsid w:val="0018535C"/>
    <w:rsid w:val="001853BD"/>
    <w:rsid w:val="001856D8"/>
    <w:rsid w:val="00185721"/>
    <w:rsid w:val="00185882"/>
    <w:rsid w:val="00185A23"/>
    <w:rsid w:val="00185F2A"/>
    <w:rsid w:val="001864C9"/>
    <w:rsid w:val="001866A5"/>
    <w:rsid w:val="00186A89"/>
    <w:rsid w:val="00186EC1"/>
    <w:rsid w:val="00186FEF"/>
    <w:rsid w:val="001873A9"/>
    <w:rsid w:val="00187539"/>
    <w:rsid w:val="001879AE"/>
    <w:rsid w:val="00187ED9"/>
    <w:rsid w:val="00190019"/>
    <w:rsid w:val="00190040"/>
    <w:rsid w:val="001902FA"/>
    <w:rsid w:val="00190303"/>
    <w:rsid w:val="00190835"/>
    <w:rsid w:val="001908D3"/>
    <w:rsid w:val="00190D6F"/>
    <w:rsid w:val="00190EB6"/>
    <w:rsid w:val="0019135C"/>
    <w:rsid w:val="00191397"/>
    <w:rsid w:val="00191402"/>
    <w:rsid w:val="001914C5"/>
    <w:rsid w:val="0019160A"/>
    <w:rsid w:val="001917B6"/>
    <w:rsid w:val="00191CFB"/>
    <w:rsid w:val="001921DE"/>
    <w:rsid w:val="00192A88"/>
    <w:rsid w:val="00192CD7"/>
    <w:rsid w:val="0019309B"/>
    <w:rsid w:val="00193476"/>
    <w:rsid w:val="001936C8"/>
    <w:rsid w:val="00193C46"/>
    <w:rsid w:val="00193C9D"/>
    <w:rsid w:val="00193F23"/>
    <w:rsid w:val="00193F76"/>
    <w:rsid w:val="00194852"/>
    <w:rsid w:val="00194879"/>
    <w:rsid w:val="00194943"/>
    <w:rsid w:val="00194989"/>
    <w:rsid w:val="00194B1F"/>
    <w:rsid w:val="00194E2D"/>
    <w:rsid w:val="00194E98"/>
    <w:rsid w:val="00194FE3"/>
    <w:rsid w:val="00195511"/>
    <w:rsid w:val="001956AB"/>
    <w:rsid w:val="00195756"/>
    <w:rsid w:val="00195767"/>
    <w:rsid w:val="00195F73"/>
    <w:rsid w:val="00196A44"/>
    <w:rsid w:val="00196C92"/>
    <w:rsid w:val="00196E89"/>
    <w:rsid w:val="00196F5C"/>
    <w:rsid w:val="001970AD"/>
    <w:rsid w:val="001971BA"/>
    <w:rsid w:val="001973F2"/>
    <w:rsid w:val="001976DC"/>
    <w:rsid w:val="0019782F"/>
    <w:rsid w:val="00197CA1"/>
    <w:rsid w:val="00197D0B"/>
    <w:rsid w:val="00197E84"/>
    <w:rsid w:val="001A046A"/>
    <w:rsid w:val="001A06F8"/>
    <w:rsid w:val="001A0857"/>
    <w:rsid w:val="001A0CDB"/>
    <w:rsid w:val="001A1699"/>
    <w:rsid w:val="001A19BC"/>
    <w:rsid w:val="001A19D5"/>
    <w:rsid w:val="001A1D6E"/>
    <w:rsid w:val="001A218C"/>
    <w:rsid w:val="001A2238"/>
    <w:rsid w:val="001A223A"/>
    <w:rsid w:val="001A2370"/>
    <w:rsid w:val="001A2411"/>
    <w:rsid w:val="001A24E8"/>
    <w:rsid w:val="001A2506"/>
    <w:rsid w:val="001A2906"/>
    <w:rsid w:val="001A2A1E"/>
    <w:rsid w:val="001A2EBC"/>
    <w:rsid w:val="001A2FEE"/>
    <w:rsid w:val="001A33F7"/>
    <w:rsid w:val="001A36A8"/>
    <w:rsid w:val="001A3757"/>
    <w:rsid w:val="001A3A48"/>
    <w:rsid w:val="001A3F5D"/>
    <w:rsid w:val="001A4376"/>
    <w:rsid w:val="001A4D14"/>
    <w:rsid w:val="001A5B54"/>
    <w:rsid w:val="001A65D2"/>
    <w:rsid w:val="001A71B1"/>
    <w:rsid w:val="001A7281"/>
    <w:rsid w:val="001A7326"/>
    <w:rsid w:val="001A75D7"/>
    <w:rsid w:val="001A75E2"/>
    <w:rsid w:val="001A763D"/>
    <w:rsid w:val="001A7A69"/>
    <w:rsid w:val="001A7ADB"/>
    <w:rsid w:val="001A7D78"/>
    <w:rsid w:val="001B0492"/>
    <w:rsid w:val="001B0656"/>
    <w:rsid w:val="001B06DD"/>
    <w:rsid w:val="001B0922"/>
    <w:rsid w:val="001B0A80"/>
    <w:rsid w:val="001B1009"/>
    <w:rsid w:val="001B13C5"/>
    <w:rsid w:val="001B156A"/>
    <w:rsid w:val="001B16CE"/>
    <w:rsid w:val="001B1B72"/>
    <w:rsid w:val="001B1E67"/>
    <w:rsid w:val="001B1EC2"/>
    <w:rsid w:val="001B1FDC"/>
    <w:rsid w:val="001B2482"/>
    <w:rsid w:val="001B26FB"/>
    <w:rsid w:val="001B2B41"/>
    <w:rsid w:val="001B32DB"/>
    <w:rsid w:val="001B3386"/>
    <w:rsid w:val="001B3A08"/>
    <w:rsid w:val="001B3E8B"/>
    <w:rsid w:val="001B4526"/>
    <w:rsid w:val="001B4550"/>
    <w:rsid w:val="001B480F"/>
    <w:rsid w:val="001B49E3"/>
    <w:rsid w:val="001B4B1A"/>
    <w:rsid w:val="001B54CA"/>
    <w:rsid w:val="001B561A"/>
    <w:rsid w:val="001B5BB1"/>
    <w:rsid w:val="001B61A9"/>
    <w:rsid w:val="001B638D"/>
    <w:rsid w:val="001B6434"/>
    <w:rsid w:val="001B6561"/>
    <w:rsid w:val="001B657D"/>
    <w:rsid w:val="001B660A"/>
    <w:rsid w:val="001B6849"/>
    <w:rsid w:val="001B69D8"/>
    <w:rsid w:val="001B6B05"/>
    <w:rsid w:val="001B6E2E"/>
    <w:rsid w:val="001B6ECA"/>
    <w:rsid w:val="001B7024"/>
    <w:rsid w:val="001B71FE"/>
    <w:rsid w:val="001B7216"/>
    <w:rsid w:val="001B7BB0"/>
    <w:rsid w:val="001B7BE0"/>
    <w:rsid w:val="001B7F9E"/>
    <w:rsid w:val="001C0284"/>
    <w:rsid w:val="001C056B"/>
    <w:rsid w:val="001C07A1"/>
    <w:rsid w:val="001C08A0"/>
    <w:rsid w:val="001C0B00"/>
    <w:rsid w:val="001C0C14"/>
    <w:rsid w:val="001C0E96"/>
    <w:rsid w:val="001C10A3"/>
    <w:rsid w:val="001C12EF"/>
    <w:rsid w:val="001C1413"/>
    <w:rsid w:val="001C14FC"/>
    <w:rsid w:val="001C15EE"/>
    <w:rsid w:val="001C17A8"/>
    <w:rsid w:val="001C18B0"/>
    <w:rsid w:val="001C1953"/>
    <w:rsid w:val="001C1ED9"/>
    <w:rsid w:val="001C26A2"/>
    <w:rsid w:val="001C2BA2"/>
    <w:rsid w:val="001C2DFA"/>
    <w:rsid w:val="001C3070"/>
    <w:rsid w:val="001C30DA"/>
    <w:rsid w:val="001C30FD"/>
    <w:rsid w:val="001C3486"/>
    <w:rsid w:val="001C3629"/>
    <w:rsid w:val="001C385D"/>
    <w:rsid w:val="001C3CB4"/>
    <w:rsid w:val="001C3DF2"/>
    <w:rsid w:val="001C3EC8"/>
    <w:rsid w:val="001C4136"/>
    <w:rsid w:val="001C42DA"/>
    <w:rsid w:val="001C448A"/>
    <w:rsid w:val="001C4737"/>
    <w:rsid w:val="001C47A0"/>
    <w:rsid w:val="001C481D"/>
    <w:rsid w:val="001C49AD"/>
    <w:rsid w:val="001C4D18"/>
    <w:rsid w:val="001C4D8F"/>
    <w:rsid w:val="001C517F"/>
    <w:rsid w:val="001C5467"/>
    <w:rsid w:val="001C57F2"/>
    <w:rsid w:val="001C5898"/>
    <w:rsid w:val="001C5A17"/>
    <w:rsid w:val="001C5B72"/>
    <w:rsid w:val="001C5B95"/>
    <w:rsid w:val="001C5CB4"/>
    <w:rsid w:val="001C5E76"/>
    <w:rsid w:val="001C61A3"/>
    <w:rsid w:val="001C68EE"/>
    <w:rsid w:val="001C6A0A"/>
    <w:rsid w:val="001C6D2A"/>
    <w:rsid w:val="001C6D85"/>
    <w:rsid w:val="001C751D"/>
    <w:rsid w:val="001C7836"/>
    <w:rsid w:val="001C7AB2"/>
    <w:rsid w:val="001C7D25"/>
    <w:rsid w:val="001C7DD4"/>
    <w:rsid w:val="001D02D8"/>
    <w:rsid w:val="001D0910"/>
    <w:rsid w:val="001D0BD6"/>
    <w:rsid w:val="001D0E6E"/>
    <w:rsid w:val="001D10AB"/>
    <w:rsid w:val="001D12C6"/>
    <w:rsid w:val="001D1689"/>
    <w:rsid w:val="001D16CC"/>
    <w:rsid w:val="001D19A2"/>
    <w:rsid w:val="001D1B7B"/>
    <w:rsid w:val="001D1EEE"/>
    <w:rsid w:val="001D2180"/>
    <w:rsid w:val="001D23F0"/>
    <w:rsid w:val="001D28D9"/>
    <w:rsid w:val="001D290D"/>
    <w:rsid w:val="001D2CA9"/>
    <w:rsid w:val="001D2F1B"/>
    <w:rsid w:val="001D3067"/>
    <w:rsid w:val="001D3292"/>
    <w:rsid w:val="001D364C"/>
    <w:rsid w:val="001D3A39"/>
    <w:rsid w:val="001D3BD7"/>
    <w:rsid w:val="001D3FD3"/>
    <w:rsid w:val="001D3FE1"/>
    <w:rsid w:val="001D4031"/>
    <w:rsid w:val="001D405D"/>
    <w:rsid w:val="001D40E8"/>
    <w:rsid w:val="001D4342"/>
    <w:rsid w:val="001D4617"/>
    <w:rsid w:val="001D4BCC"/>
    <w:rsid w:val="001D4DD1"/>
    <w:rsid w:val="001D4EB1"/>
    <w:rsid w:val="001D5032"/>
    <w:rsid w:val="001D5102"/>
    <w:rsid w:val="001D5B3A"/>
    <w:rsid w:val="001D5B4A"/>
    <w:rsid w:val="001D5F8E"/>
    <w:rsid w:val="001D6280"/>
    <w:rsid w:val="001D6926"/>
    <w:rsid w:val="001D6A4F"/>
    <w:rsid w:val="001D6CEF"/>
    <w:rsid w:val="001D6E4E"/>
    <w:rsid w:val="001D73FF"/>
    <w:rsid w:val="001D74F4"/>
    <w:rsid w:val="001D79DA"/>
    <w:rsid w:val="001D7DA6"/>
    <w:rsid w:val="001E0455"/>
    <w:rsid w:val="001E0471"/>
    <w:rsid w:val="001E048D"/>
    <w:rsid w:val="001E09D2"/>
    <w:rsid w:val="001E0D9D"/>
    <w:rsid w:val="001E0DB6"/>
    <w:rsid w:val="001E0E24"/>
    <w:rsid w:val="001E12AA"/>
    <w:rsid w:val="001E13A8"/>
    <w:rsid w:val="001E1541"/>
    <w:rsid w:val="001E154B"/>
    <w:rsid w:val="001E1617"/>
    <w:rsid w:val="001E1D6D"/>
    <w:rsid w:val="001E1F6E"/>
    <w:rsid w:val="001E2363"/>
    <w:rsid w:val="001E2879"/>
    <w:rsid w:val="001E2AAF"/>
    <w:rsid w:val="001E2BD4"/>
    <w:rsid w:val="001E3025"/>
    <w:rsid w:val="001E3370"/>
    <w:rsid w:val="001E3D79"/>
    <w:rsid w:val="001E4492"/>
    <w:rsid w:val="001E45B5"/>
    <w:rsid w:val="001E4726"/>
    <w:rsid w:val="001E47D3"/>
    <w:rsid w:val="001E4964"/>
    <w:rsid w:val="001E4BD9"/>
    <w:rsid w:val="001E4F23"/>
    <w:rsid w:val="001E5349"/>
    <w:rsid w:val="001E5AAD"/>
    <w:rsid w:val="001E5E90"/>
    <w:rsid w:val="001E5F75"/>
    <w:rsid w:val="001E6501"/>
    <w:rsid w:val="001E662C"/>
    <w:rsid w:val="001E6738"/>
    <w:rsid w:val="001E6BE9"/>
    <w:rsid w:val="001E6D2C"/>
    <w:rsid w:val="001E6D46"/>
    <w:rsid w:val="001E6EAF"/>
    <w:rsid w:val="001E6F21"/>
    <w:rsid w:val="001E70D5"/>
    <w:rsid w:val="001E7A48"/>
    <w:rsid w:val="001E7B9B"/>
    <w:rsid w:val="001E7C1C"/>
    <w:rsid w:val="001E7C31"/>
    <w:rsid w:val="001E7D06"/>
    <w:rsid w:val="001E7EFB"/>
    <w:rsid w:val="001F0244"/>
    <w:rsid w:val="001F0A46"/>
    <w:rsid w:val="001F0E61"/>
    <w:rsid w:val="001F11F4"/>
    <w:rsid w:val="001F12C3"/>
    <w:rsid w:val="001F1DCD"/>
    <w:rsid w:val="001F219F"/>
    <w:rsid w:val="001F21DC"/>
    <w:rsid w:val="001F23A2"/>
    <w:rsid w:val="001F23AA"/>
    <w:rsid w:val="001F269D"/>
    <w:rsid w:val="001F280A"/>
    <w:rsid w:val="001F2BC4"/>
    <w:rsid w:val="001F2BFD"/>
    <w:rsid w:val="001F309C"/>
    <w:rsid w:val="001F3263"/>
    <w:rsid w:val="001F357A"/>
    <w:rsid w:val="001F378A"/>
    <w:rsid w:val="001F3D9F"/>
    <w:rsid w:val="001F3EA2"/>
    <w:rsid w:val="001F3F4D"/>
    <w:rsid w:val="001F4146"/>
    <w:rsid w:val="001F46CC"/>
    <w:rsid w:val="001F4850"/>
    <w:rsid w:val="001F4A03"/>
    <w:rsid w:val="001F4A22"/>
    <w:rsid w:val="001F4B54"/>
    <w:rsid w:val="001F4C4E"/>
    <w:rsid w:val="001F4D72"/>
    <w:rsid w:val="001F4E74"/>
    <w:rsid w:val="001F4EE1"/>
    <w:rsid w:val="001F500F"/>
    <w:rsid w:val="001F54DF"/>
    <w:rsid w:val="001F55AE"/>
    <w:rsid w:val="001F56DA"/>
    <w:rsid w:val="001F589E"/>
    <w:rsid w:val="001F5C1E"/>
    <w:rsid w:val="001F5FF5"/>
    <w:rsid w:val="001F6500"/>
    <w:rsid w:val="001F654F"/>
    <w:rsid w:val="001F67E4"/>
    <w:rsid w:val="001F6F73"/>
    <w:rsid w:val="001F700C"/>
    <w:rsid w:val="001F757A"/>
    <w:rsid w:val="001F7672"/>
    <w:rsid w:val="001F7792"/>
    <w:rsid w:val="001F7867"/>
    <w:rsid w:val="001F7A4B"/>
    <w:rsid w:val="001F7CE1"/>
    <w:rsid w:val="001F7FD3"/>
    <w:rsid w:val="00200152"/>
    <w:rsid w:val="002004C3"/>
    <w:rsid w:val="00200846"/>
    <w:rsid w:val="00200ADC"/>
    <w:rsid w:val="00200CA9"/>
    <w:rsid w:val="00200F89"/>
    <w:rsid w:val="0020108D"/>
    <w:rsid w:val="0020110B"/>
    <w:rsid w:val="002013BA"/>
    <w:rsid w:val="00201417"/>
    <w:rsid w:val="002015F9"/>
    <w:rsid w:val="002017CA"/>
    <w:rsid w:val="00201A90"/>
    <w:rsid w:val="00201AC1"/>
    <w:rsid w:val="00201EA3"/>
    <w:rsid w:val="00201EFF"/>
    <w:rsid w:val="00201FC7"/>
    <w:rsid w:val="00202083"/>
    <w:rsid w:val="0020210B"/>
    <w:rsid w:val="0020216E"/>
    <w:rsid w:val="0020228A"/>
    <w:rsid w:val="002035E2"/>
    <w:rsid w:val="00203655"/>
    <w:rsid w:val="002039B4"/>
    <w:rsid w:val="00203E20"/>
    <w:rsid w:val="00204241"/>
    <w:rsid w:val="002043A2"/>
    <w:rsid w:val="00204427"/>
    <w:rsid w:val="00204430"/>
    <w:rsid w:val="0020453B"/>
    <w:rsid w:val="0020471B"/>
    <w:rsid w:val="00204894"/>
    <w:rsid w:val="002048DB"/>
    <w:rsid w:val="002048EE"/>
    <w:rsid w:val="00204B2B"/>
    <w:rsid w:val="00204B54"/>
    <w:rsid w:val="0020513C"/>
    <w:rsid w:val="002058B4"/>
    <w:rsid w:val="00205F8E"/>
    <w:rsid w:val="00205FC1"/>
    <w:rsid w:val="002060A5"/>
    <w:rsid w:val="0020666A"/>
    <w:rsid w:val="002068D7"/>
    <w:rsid w:val="00206F96"/>
    <w:rsid w:val="00207149"/>
    <w:rsid w:val="00207364"/>
    <w:rsid w:val="0020760A"/>
    <w:rsid w:val="00207AF8"/>
    <w:rsid w:val="00207D1F"/>
    <w:rsid w:val="00207DEC"/>
    <w:rsid w:val="002102D3"/>
    <w:rsid w:val="002105E2"/>
    <w:rsid w:val="00210799"/>
    <w:rsid w:val="00210D8B"/>
    <w:rsid w:val="0021108A"/>
    <w:rsid w:val="00211171"/>
    <w:rsid w:val="00211185"/>
    <w:rsid w:val="002112EA"/>
    <w:rsid w:val="002113D3"/>
    <w:rsid w:val="002116F4"/>
    <w:rsid w:val="00211B7F"/>
    <w:rsid w:val="00211C3C"/>
    <w:rsid w:val="00211C63"/>
    <w:rsid w:val="00212137"/>
    <w:rsid w:val="00212224"/>
    <w:rsid w:val="0021247B"/>
    <w:rsid w:val="00212596"/>
    <w:rsid w:val="002128AE"/>
    <w:rsid w:val="00212F12"/>
    <w:rsid w:val="00212F71"/>
    <w:rsid w:val="002132E8"/>
    <w:rsid w:val="002137F5"/>
    <w:rsid w:val="0021385A"/>
    <w:rsid w:val="0021398C"/>
    <w:rsid w:val="00213AD6"/>
    <w:rsid w:val="00213CE9"/>
    <w:rsid w:val="00213D44"/>
    <w:rsid w:val="00213ECA"/>
    <w:rsid w:val="00213F45"/>
    <w:rsid w:val="00214170"/>
    <w:rsid w:val="00214825"/>
    <w:rsid w:val="002148BC"/>
    <w:rsid w:val="00214A13"/>
    <w:rsid w:val="00214B43"/>
    <w:rsid w:val="00214C41"/>
    <w:rsid w:val="0021507F"/>
    <w:rsid w:val="002152FC"/>
    <w:rsid w:val="00215581"/>
    <w:rsid w:val="0021571B"/>
    <w:rsid w:val="002158F9"/>
    <w:rsid w:val="00215C84"/>
    <w:rsid w:val="00215F94"/>
    <w:rsid w:val="00216220"/>
    <w:rsid w:val="002168F4"/>
    <w:rsid w:val="002169ED"/>
    <w:rsid w:val="00216BE4"/>
    <w:rsid w:val="00216C01"/>
    <w:rsid w:val="00216C72"/>
    <w:rsid w:val="00216CC2"/>
    <w:rsid w:val="002172BB"/>
    <w:rsid w:val="00217346"/>
    <w:rsid w:val="00217347"/>
    <w:rsid w:val="0021788C"/>
    <w:rsid w:val="00217C11"/>
    <w:rsid w:val="00217C7A"/>
    <w:rsid w:val="00217D1A"/>
    <w:rsid w:val="002200BE"/>
    <w:rsid w:val="00220369"/>
    <w:rsid w:val="0022067B"/>
    <w:rsid w:val="00220852"/>
    <w:rsid w:val="002208E1"/>
    <w:rsid w:val="00220968"/>
    <w:rsid w:val="00221030"/>
    <w:rsid w:val="002213A6"/>
    <w:rsid w:val="002213FD"/>
    <w:rsid w:val="00221457"/>
    <w:rsid w:val="00221512"/>
    <w:rsid w:val="00221524"/>
    <w:rsid w:val="002219C1"/>
    <w:rsid w:val="00221C5F"/>
    <w:rsid w:val="0022205C"/>
    <w:rsid w:val="002224EF"/>
    <w:rsid w:val="00222687"/>
    <w:rsid w:val="002228DF"/>
    <w:rsid w:val="00222A0E"/>
    <w:rsid w:val="00222E5A"/>
    <w:rsid w:val="00222E9E"/>
    <w:rsid w:val="002235AF"/>
    <w:rsid w:val="00223671"/>
    <w:rsid w:val="00223A84"/>
    <w:rsid w:val="00223A8C"/>
    <w:rsid w:val="00223B18"/>
    <w:rsid w:val="00223B1F"/>
    <w:rsid w:val="00223CE7"/>
    <w:rsid w:val="0022418E"/>
    <w:rsid w:val="0022431B"/>
    <w:rsid w:val="002244F1"/>
    <w:rsid w:val="002245DA"/>
    <w:rsid w:val="002249D1"/>
    <w:rsid w:val="00224F34"/>
    <w:rsid w:val="00224FE4"/>
    <w:rsid w:val="0022529A"/>
    <w:rsid w:val="00225489"/>
    <w:rsid w:val="002255A4"/>
    <w:rsid w:val="00225B2C"/>
    <w:rsid w:val="00225C90"/>
    <w:rsid w:val="00225F90"/>
    <w:rsid w:val="00225FCB"/>
    <w:rsid w:val="0022695B"/>
    <w:rsid w:val="00226BB0"/>
    <w:rsid w:val="0022769C"/>
    <w:rsid w:val="00227F23"/>
    <w:rsid w:val="002305FE"/>
    <w:rsid w:val="002306C3"/>
    <w:rsid w:val="002307D4"/>
    <w:rsid w:val="002309DE"/>
    <w:rsid w:val="00230C5A"/>
    <w:rsid w:val="00230FAA"/>
    <w:rsid w:val="00230FE8"/>
    <w:rsid w:val="00231794"/>
    <w:rsid w:val="00231BD0"/>
    <w:rsid w:val="00231C06"/>
    <w:rsid w:val="00231C75"/>
    <w:rsid w:val="00231E63"/>
    <w:rsid w:val="00232199"/>
    <w:rsid w:val="00232606"/>
    <w:rsid w:val="002326A7"/>
    <w:rsid w:val="002327FE"/>
    <w:rsid w:val="002329DD"/>
    <w:rsid w:val="00232CBA"/>
    <w:rsid w:val="00233062"/>
    <w:rsid w:val="002332CC"/>
    <w:rsid w:val="002335DC"/>
    <w:rsid w:val="00233649"/>
    <w:rsid w:val="00233B10"/>
    <w:rsid w:val="00233EE4"/>
    <w:rsid w:val="00234543"/>
    <w:rsid w:val="002349E5"/>
    <w:rsid w:val="0023507B"/>
    <w:rsid w:val="00235203"/>
    <w:rsid w:val="002359C6"/>
    <w:rsid w:val="00235C0C"/>
    <w:rsid w:val="00235C88"/>
    <w:rsid w:val="00235F05"/>
    <w:rsid w:val="00235F97"/>
    <w:rsid w:val="00236071"/>
    <w:rsid w:val="0023609B"/>
    <w:rsid w:val="00236362"/>
    <w:rsid w:val="002363E4"/>
    <w:rsid w:val="00236B33"/>
    <w:rsid w:val="0023733D"/>
    <w:rsid w:val="002379E5"/>
    <w:rsid w:val="00237BCA"/>
    <w:rsid w:val="00240222"/>
    <w:rsid w:val="00240243"/>
    <w:rsid w:val="002402FD"/>
    <w:rsid w:val="00240370"/>
    <w:rsid w:val="002403AD"/>
    <w:rsid w:val="0024052B"/>
    <w:rsid w:val="002407EC"/>
    <w:rsid w:val="00240904"/>
    <w:rsid w:val="00240E6D"/>
    <w:rsid w:val="00240F44"/>
    <w:rsid w:val="002415E4"/>
    <w:rsid w:val="00241ADC"/>
    <w:rsid w:val="00241BCC"/>
    <w:rsid w:val="00241CA2"/>
    <w:rsid w:val="002420FD"/>
    <w:rsid w:val="0024276B"/>
    <w:rsid w:val="0024287C"/>
    <w:rsid w:val="00242A02"/>
    <w:rsid w:val="00242B5B"/>
    <w:rsid w:val="00242B84"/>
    <w:rsid w:val="00242B9F"/>
    <w:rsid w:val="00242E2B"/>
    <w:rsid w:val="0024319B"/>
    <w:rsid w:val="002434BC"/>
    <w:rsid w:val="00243642"/>
    <w:rsid w:val="00243ABB"/>
    <w:rsid w:val="0024465E"/>
    <w:rsid w:val="00244A67"/>
    <w:rsid w:val="00245142"/>
    <w:rsid w:val="00245379"/>
    <w:rsid w:val="002458AB"/>
    <w:rsid w:val="00245E0B"/>
    <w:rsid w:val="00245F62"/>
    <w:rsid w:val="0024600E"/>
    <w:rsid w:val="0024699F"/>
    <w:rsid w:val="002469FC"/>
    <w:rsid w:val="00246A62"/>
    <w:rsid w:val="00246C3E"/>
    <w:rsid w:val="00246E0B"/>
    <w:rsid w:val="00246E1F"/>
    <w:rsid w:val="002471D2"/>
    <w:rsid w:val="002471F4"/>
    <w:rsid w:val="002472D9"/>
    <w:rsid w:val="002475C5"/>
    <w:rsid w:val="002477F8"/>
    <w:rsid w:val="00247A31"/>
    <w:rsid w:val="00247C08"/>
    <w:rsid w:val="00247C92"/>
    <w:rsid w:val="00247E8E"/>
    <w:rsid w:val="00247F1F"/>
    <w:rsid w:val="002500FF"/>
    <w:rsid w:val="0025043E"/>
    <w:rsid w:val="00250697"/>
    <w:rsid w:val="0025086E"/>
    <w:rsid w:val="00251228"/>
    <w:rsid w:val="00251598"/>
    <w:rsid w:val="00251A2A"/>
    <w:rsid w:val="00251A81"/>
    <w:rsid w:val="00251AF4"/>
    <w:rsid w:val="00251D8D"/>
    <w:rsid w:val="002524F7"/>
    <w:rsid w:val="002525FC"/>
    <w:rsid w:val="002527AF"/>
    <w:rsid w:val="00252A7F"/>
    <w:rsid w:val="00252DE7"/>
    <w:rsid w:val="00252E66"/>
    <w:rsid w:val="002535CA"/>
    <w:rsid w:val="00254030"/>
    <w:rsid w:val="002540FB"/>
    <w:rsid w:val="0025411C"/>
    <w:rsid w:val="00254210"/>
    <w:rsid w:val="0025433A"/>
    <w:rsid w:val="002543B3"/>
    <w:rsid w:val="00254A6D"/>
    <w:rsid w:val="00254DF6"/>
    <w:rsid w:val="00254E29"/>
    <w:rsid w:val="0025503E"/>
    <w:rsid w:val="00255374"/>
    <w:rsid w:val="002553B2"/>
    <w:rsid w:val="002553C0"/>
    <w:rsid w:val="002554BE"/>
    <w:rsid w:val="002554E0"/>
    <w:rsid w:val="00255F13"/>
    <w:rsid w:val="00255FFE"/>
    <w:rsid w:val="00256622"/>
    <w:rsid w:val="002568CE"/>
    <w:rsid w:val="00256A16"/>
    <w:rsid w:val="00256D73"/>
    <w:rsid w:val="00256E8D"/>
    <w:rsid w:val="00257031"/>
    <w:rsid w:val="00257064"/>
    <w:rsid w:val="002574DB"/>
    <w:rsid w:val="002578DA"/>
    <w:rsid w:val="00257E7D"/>
    <w:rsid w:val="00260078"/>
    <w:rsid w:val="00260163"/>
    <w:rsid w:val="002603C0"/>
    <w:rsid w:val="00260516"/>
    <w:rsid w:val="00260528"/>
    <w:rsid w:val="002609BE"/>
    <w:rsid w:val="002613E8"/>
    <w:rsid w:val="00261651"/>
    <w:rsid w:val="0026186B"/>
    <w:rsid w:val="00261901"/>
    <w:rsid w:val="00261A40"/>
    <w:rsid w:val="00261F83"/>
    <w:rsid w:val="002621D8"/>
    <w:rsid w:val="002627EA"/>
    <w:rsid w:val="00262A99"/>
    <w:rsid w:val="00262CB0"/>
    <w:rsid w:val="00262EB6"/>
    <w:rsid w:val="00262F0A"/>
    <w:rsid w:val="00263196"/>
    <w:rsid w:val="002636B0"/>
    <w:rsid w:val="00263B19"/>
    <w:rsid w:val="00263BAC"/>
    <w:rsid w:val="00263C0D"/>
    <w:rsid w:val="00263D2E"/>
    <w:rsid w:val="00264235"/>
    <w:rsid w:val="0026423A"/>
    <w:rsid w:val="00264268"/>
    <w:rsid w:val="002645C1"/>
    <w:rsid w:val="002646EF"/>
    <w:rsid w:val="00264E48"/>
    <w:rsid w:val="00264FC9"/>
    <w:rsid w:val="00265389"/>
    <w:rsid w:val="0026556D"/>
    <w:rsid w:val="00265802"/>
    <w:rsid w:val="0026595B"/>
    <w:rsid w:val="00265BCA"/>
    <w:rsid w:val="0026616A"/>
    <w:rsid w:val="002662FD"/>
    <w:rsid w:val="00266357"/>
    <w:rsid w:val="00266BA9"/>
    <w:rsid w:val="0026703E"/>
    <w:rsid w:val="002670DE"/>
    <w:rsid w:val="002674E6"/>
    <w:rsid w:val="00267584"/>
    <w:rsid w:val="00267587"/>
    <w:rsid w:val="0026779A"/>
    <w:rsid w:val="002679CB"/>
    <w:rsid w:val="00267BEF"/>
    <w:rsid w:val="002700CA"/>
    <w:rsid w:val="00270383"/>
    <w:rsid w:val="00270467"/>
    <w:rsid w:val="00270487"/>
    <w:rsid w:val="0027060C"/>
    <w:rsid w:val="002708EB"/>
    <w:rsid w:val="002708EE"/>
    <w:rsid w:val="00270A61"/>
    <w:rsid w:val="00270C2D"/>
    <w:rsid w:val="00270D02"/>
    <w:rsid w:val="0027195B"/>
    <w:rsid w:val="00271E80"/>
    <w:rsid w:val="00271ECF"/>
    <w:rsid w:val="00272236"/>
    <w:rsid w:val="002729C5"/>
    <w:rsid w:val="00272A37"/>
    <w:rsid w:val="00272CB1"/>
    <w:rsid w:val="00273B48"/>
    <w:rsid w:val="00273CBC"/>
    <w:rsid w:val="00274286"/>
    <w:rsid w:val="0027435C"/>
    <w:rsid w:val="0027438C"/>
    <w:rsid w:val="0027456A"/>
    <w:rsid w:val="002745C3"/>
    <w:rsid w:val="002745D9"/>
    <w:rsid w:val="002747B7"/>
    <w:rsid w:val="002748AD"/>
    <w:rsid w:val="00274E2C"/>
    <w:rsid w:val="00274E36"/>
    <w:rsid w:val="00274E9F"/>
    <w:rsid w:val="00275346"/>
    <w:rsid w:val="00275415"/>
    <w:rsid w:val="00275425"/>
    <w:rsid w:val="00275707"/>
    <w:rsid w:val="00275783"/>
    <w:rsid w:val="00275870"/>
    <w:rsid w:val="0027587D"/>
    <w:rsid w:val="00275ED1"/>
    <w:rsid w:val="00276474"/>
    <w:rsid w:val="002767DE"/>
    <w:rsid w:val="00276CAB"/>
    <w:rsid w:val="00276DB2"/>
    <w:rsid w:val="00276EDB"/>
    <w:rsid w:val="00276FAC"/>
    <w:rsid w:val="002770D8"/>
    <w:rsid w:val="0027753E"/>
    <w:rsid w:val="00277645"/>
    <w:rsid w:val="002777BE"/>
    <w:rsid w:val="00277BF6"/>
    <w:rsid w:val="00277E54"/>
    <w:rsid w:val="002801FD"/>
    <w:rsid w:val="002803AB"/>
    <w:rsid w:val="002809A8"/>
    <w:rsid w:val="00280CDE"/>
    <w:rsid w:val="00280E8B"/>
    <w:rsid w:val="00281299"/>
    <w:rsid w:val="0028129C"/>
    <w:rsid w:val="0028153F"/>
    <w:rsid w:val="002817B2"/>
    <w:rsid w:val="00281BB2"/>
    <w:rsid w:val="00281BDF"/>
    <w:rsid w:val="00281E55"/>
    <w:rsid w:val="00281F0D"/>
    <w:rsid w:val="00282014"/>
    <w:rsid w:val="00282043"/>
    <w:rsid w:val="00282113"/>
    <w:rsid w:val="00282218"/>
    <w:rsid w:val="00282299"/>
    <w:rsid w:val="00282305"/>
    <w:rsid w:val="00282318"/>
    <w:rsid w:val="00282AE5"/>
    <w:rsid w:val="00282CD9"/>
    <w:rsid w:val="0028309B"/>
    <w:rsid w:val="00283394"/>
    <w:rsid w:val="00283932"/>
    <w:rsid w:val="00283959"/>
    <w:rsid w:val="00283CA0"/>
    <w:rsid w:val="00283EEB"/>
    <w:rsid w:val="002840D6"/>
    <w:rsid w:val="002843DE"/>
    <w:rsid w:val="00284562"/>
    <w:rsid w:val="00284B3E"/>
    <w:rsid w:val="00284B97"/>
    <w:rsid w:val="00284E41"/>
    <w:rsid w:val="00284E79"/>
    <w:rsid w:val="00284F48"/>
    <w:rsid w:val="0028503C"/>
    <w:rsid w:val="002850DD"/>
    <w:rsid w:val="002851A9"/>
    <w:rsid w:val="002853DF"/>
    <w:rsid w:val="00285758"/>
    <w:rsid w:val="0028584D"/>
    <w:rsid w:val="00285ABE"/>
    <w:rsid w:val="00285CDE"/>
    <w:rsid w:val="00286A35"/>
    <w:rsid w:val="0028722C"/>
    <w:rsid w:val="0028763A"/>
    <w:rsid w:val="00287984"/>
    <w:rsid w:val="00287C7F"/>
    <w:rsid w:val="00287CE2"/>
    <w:rsid w:val="00287ED1"/>
    <w:rsid w:val="00290056"/>
    <w:rsid w:val="002902B1"/>
    <w:rsid w:val="002903AF"/>
    <w:rsid w:val="002908A6"/>
    <w:rsid w:val="00290900"/>
    <w:rsid w:val="00290A0C"/>
    <w:rsid w:val="00290BD6"/>
    <w:rsid w:val="00290C70"/>
    <w:rsid w:val="00290EB6"/>
    <w:rsid w:val="00290F9B"/>
    <w:rsid w:val="00290FDE"/>
    <w:rsid w:val="0029110A"/>
    <w:rsid w:val="00291178"/>
    <w:rsid w:val="002913B3"/>
    <w:rsid w:val="002917A2"/>
    <w:rsid w:val="00291AF6"/>
    <w:rsid w:val="00291E51"/>
    <w:rsid w:val="00292062"/>
    <w:rsid w:val="00292CD6"/>
    <w:rsid w:val="00293673"/>
    <w:rsid w:val="0029383B"/>
    <w:rsid w:val="002938EF"/>
    <w:rsid w:val="002939E2"/>
    <w:rsid w:val="00293ECB"/>
    <w:rsid w:val="002943FB"/>
    <w:rsid w:val="002946E7"/>
    <w:rsid w:val="00294758"/>
    <w:rsid w:val="00294D41"/>
    <w:rsid w:val="00294F63"/>
    <w:rsid w:val="00294F8F"/>
    <w:rsid w:val="0029517F"/>
    <w:rsid w:val="00295267"/>
    <w:rsid w:val="002952D2"/>
    <w:rsid w:val="002959A5"/>
    <w:rsid w:val="00295DFC"/>
    <w:rsid w:val="002961C8"/>
    <w:rsid w:val="0029628F"/>
    <w:rsid w:val="002964EE"/>
    <w:rsid w:val="002966FD"/>
    <w:rsid w:val="00296E62"/>
    <w:rsid w:val="00297059"/>
    <w:rsid w:val="00297247"/>
    <w:rsid w:val="00297790"/>
    <w:rsid w:val="00297AA6"/>
    <w:rsid w:val="00297E93"/>
    <w:rsid w:val="002A06A7"/>
    <w:rsid w:val="002A0CB1"/>
    <w:rsid w:val="002A125B"/>
    <w:rsid w:val="002A1263"/>
    <w:rsid w:val="002A1417"/>
    <w:rsid w:val="002A1704"/>
    <w:rsid w:val="002A18ED"/>
    <w:rsid w:val="002A1A7B"/>
    <w:rsid w:val="002A1AE1"/>
    <w:rsid w:val="002A1AFA"/>
    <w:rsid w:val="002A1C18"/>
    <w:rsid w:val="002A1CA9"/>
    <w:rsid w:val="002A2636"/>
    <w:rsid w:val="002A27EA"/>
    <w:rsid w:val="002A2D92"/>
    <w:rsid w:val="002A2E6E"/>
    <w:rsid w:val="002A31ED"/>
    <w:rsid w:val="002A33C8"/>
    <w:rsid w:val="002A397F"/>
    <w:rsid w:val="002A3E39"/>
    <w:rsid w:val="002A461D"/>
    <w:rsid w:val="002A478D"/>
    <w:rsid w:val="002A479D"/>
    <w:rsid w:val="002A49CB"/>
    <w:rsid w:val="002A4A93"/>
    <w:rsid w:val="002A4BB9"/>
    <w:rsid w:val="002A4FBE"/>
    <w:rsid w:val="002A5140"/>
    <w:rsid w:val="002A5205"/>
    <w:rsid w:val="002A5271"/>
    <w:rsid w:val="002A528F"/>
    <w:rsid w:val="002A52E5"/>
    <w:rsid w:val="002A54D1"/>
    <w:rsid w:val="002A57E2"/>
    <w:rsid w:val="002A5804"/>
    <w:rsid w:val="002A593F"/>
    <w:rsid w:val="002A5BF7"/>
    <w:rsid w:val="002A5E5E"/>
    <w:rsid w:val="002A5E5F"/>
    <w:rsid w:val="002A644A"/>
    <w:rsid w:val="002A65DB"/>
    <w:rsid w:val="002A6903"/>
    <w:rsid w:val="002A691F"/>
    <w:rsid w:val="002A6B3A"/>
    <w:rsid w:val="002A6EA0"/>
    <w:rsid w:val="002A7033"/>
    <w:rsid w:val="002A7299"/>
    <w:rsid w:val="002A7324"/>
    <w:rsid w:val="002A75C4"/>
    <w:rsid w:val="002A764B"/>
    <w:rsid w:val="002A76CC"/>
    <w:rsid w:val="002A7874"/>
    <w:rsid w:val="002A7C96"/>
    <w:rsid w:val="002A7C9F"/>
    <w:rsid w:val="002A7E53"/>
    <w:rsid w:val="002B0760"/>
    <w:rsid w:val="002B0D26"/>
    <w:rsid w:val="002B0E9A"/>
    <w:rsid w:val="002B16EA"/>
    <w:rsid w:val="002B20E1"/>
    <w:rsid w:val="002B20F1"/>
    <w:rsid w:val="002B21FB"/>
    <w:rsid w:val="002B25D1"/>
    <w:rsid w:val="002B33E1"/>
    <w:rsid w:val="002B3804"/>
    <w:rsid w:val="002B3DF7"/>
    <w:rsid w:val="002B3E42"/>
    <w:rsid w:val="002B3E69"/>
    <w:rsid w:val="002B40BD"/>
    <w:rsid w:val="002B43E7"/>
    <w:rsid w:val="002B4BEE"/>
    <w:rsid w:val="002B4D04"/>
    <w:rsid w:val="002B4F0E"/>
    <w:rsid w:val="002B4F23"/>
    <w:rsid w:val="002B51A0"/>
    <w:rsid w:val="002B5292"/>
    <w:rsid w:val="002B52A0"/>
    <w:rsid w:val="002B5352"/>
    <w:rsid w:val="002B53DA"/>
    <w:rsid w:val="002B53E6"/>
    <w:rsid w:val="002B5437"/>
    <w:rsid w:val="002B589F"/>
    <w:rsid w:val="002B58F7"/>
    <w:rsid w:val="002B5A4F"/>
    <w:rsid w:val="002B5EF7"/>
    <w:rsid w:val="002B6446"/>
    <w:rsid w:val="002B67D7"/>
    <w:rsid w:val="002B6943"/>
    <w:rsid w:val="002B6BBD"/>
    <w:rsid w:val="002B6F55"/>
    <w:rsid w:val="002B707F"/>
    <w:rsid w:val="002B755B"/>
    <w:rsid w:val="002B7612"/>
    <w:rsid w:val="002B7710"/>
    <w:rsid w:val="002B7B1E"/>
    <w:rsid w:val="002B7C0D"/>
    <w:rsid w:val="002B7D61"/>
    <w:rsid w:val="002B7F1C"/>
    <w:rsid w:val="002B7FB4"/>
    <w:rsid w:val="002B7FC8"/>
    <w:rsid w:val="002C0404"/>
    <w:rsid w:val="002C06F8"/>
    <w:rsid w:val="002C0A98"/>
    <w:rsid w:val="002C0AAF"/>
    <w:rsid w:val="002C0CBC"/>
    <w:rsid w:val="002C0DD2"/>
    <w:rsid w:val="002C0F56"/>
    <w:rsid w:val="002C112D"/>
    <w:rsid w:val="002C1194"/>
    <w:rsid w:val="002C126C"/>
    <w:rsid w:val="002C149F"/>
    <w:rsid w:val="002C14CC"/>
    <w:rsid w:val="002C15E2"/>
    <w:rsid w:val="002C1A89"/>
    <w:rsid w:val="002C1C3C"/>
    <w:rsid w:val="002C1DD5"/>
    <w:rsid w:val="002C21C2"/>
    <w:rsid w:val="002C2244"/>
    <w:rsid w:val="002C2566"/>
    <w:rsid w:val="002C298E"/>
    <w:rsid w:val="002C2CD4"/>
    <w:rsid w:val="002C2FFB"/>
    <w:rsid w:val="002C32DB"/>
    <w:rsid w:val="002C350E"/>
    <w:rsid w:val="002C385D"/>
    <w:rsid w:val="002C3AC9"/>
    <w:rsid w:val="002C3CD1"/>
    <w:rsid w:val="002C3F5C"/>
    <w:rsid w:val="002C4409"/>
    <w:rsid w:val="002C48C5"/>
    <w:rsid w:val="002C4B23"/>
    <w:rsid w:val="002C4CAF"/>
    <w:rsid w:val="002C5144"/>
    <w:rsid w:val="002C52BD"/>
    <w:rsid w:val="002C5A22"/>
    <w:rsid w:val="002C5E27"/>
    <w:rsid w:val="002C668A"/>
    <w:rsid w:val="002C682A"/>
    <w:rsid w:val="002C6C98"/>
    <w:rsid w:val="002C6E44"/>
    <w:rsid w:val="002C6E9D"/>
    <w:rsid w:val="002C76D8"/>
    <w:rsid w:val="002C7857"/>
    <w:rsid w:val="002D062B"/>
    <w:rsid w:val="002D06FB"/>
    <w:rsid w:val="002D07FD"/>
    <w:rsid w:val="002D0DB0"/>
    <w:rsid w:val="002D1026"/>
    <w:rsid w:val="002D113E"/>
    <w:rsid w:val="002D1225"/>
    <w:rsid w:val="002D1F32"/>
    <w:rsid w:val="002D2AAE"/>
    <w:rsid w:val="002D2B82"/>
    <w:rsid w:val="002D2BD7"/>
    <w:rsid w:val="002D3005"/>
    <w:rsid w:val="002D3007"/>
    <w:rsid w:val="002D31E4"/>
    <w:rsid w:val="002D3263"/>
    <w:rsid w:val="002D336F"/>
    <w:rsid w:val="002D37A7"/>
    <w:rsid w:val="002D3DF7"/>
    <w:rsid w:val="002D4216"/>
    <w:rsid w:val="002D452C"/>
    <w:rsid w:val="002D4572"/>
    <w:rsid w:val="002D480C"/>
    <w:rsid w:val="002D48FD"/>
    <w:rsid w:val="002D4BA6"/>
    <w:rsid w:val="002D4F6B"/>
    <w:rsid w:val="002D52DA"/>
    <w:rsid w:val="002D544A"/>
    <w:rsid w:val="002D545B"/>
    <w:rsid w:val="002D5697"/>
    <w:rsid w:val="002D594A"/>
    <w:rsid w:val="002D5B91"/>
    <w:rsid w:val="002D5D99"/>
    <w:rsid w:val="002D5E91"/>
    <w:rsid w:val="002D5F3D"/>
    <w:rsid w:val="002D68F4"/>
    <w:rsid w:val="002D6967"/>
    <w:rsid w:val="002D7123"/>
    <w:rsid w:val="002D74A2"/>
    <w:rsid w:val="002D7502"/>
    <w:rsid w:val="002D798C"/>
    <w:rsid w:val="002D7C43"/>
    <w:rsid w:val="002D7D5B"/>
    <w:rsid w:val="002D7F0C"/>
    <w:rsid w:val="002E0AA8"/>
    <w:rsid w:val="002E1960"/>
    <w:rsid w:val="002E19FE"/>
    <w:rsid w:val="002E25E6"/>
    <w:rsid w:val="002E2645"/>
    <w:rsid w:val="002E276A"/>
    <w:rsid w:val="002E27D3"/>
    <w:rsid w:val="002E28B8"/>
    <w:rsid w:val="002E2ABD"/>
    <w:rsid w:val="002E2CDB"/>
    <w:rsid w:val="002E2EB9"/>
    <w:rsid w:val="002E3799"/>
    <w:rsid w:val="002E3A04"/>
    <w:rsid w:val="002E3C90"/>
    <w:rsid w:val="002E4044"/>
    <w:rsid w:val="002E4064"/>
    <w:rsid w:val="002E40DE"/>
    <w:rsid w:val="002E4575"/>
    <w:rsid w:val="002E4682"/>
    <w:rsid w:val="002E498C"/>
    <w:rsid w:val="002E49A4"/>
    <w:rsid w:val="002E4B72"/>
    <w:rsid w:val="002E4B7E"/>
    <w:rsid w:val="002E4D3B"/>
    <w:rsid w:val="002E54F4"/>
    <w:rsid w:val="002E557C"/>
    <w:rsid w:val="002E5934"/>
    <w:rsid w:val="002E5A83"/>
    <w:rsid w:val="002E5D85"/>
    <w:rsid w:val="002E6039"/>
    <w:rsid w:val="002E6055"/>
    <w:rsid w:val="002E630D"/>
    <w:rsid w:val="002E6696"/>
    <w:rsid w:val="002E67BA"/>
    <w:rsid w:val="002E69DF"/>
    <w:rsid w:val="002E6B33"/>
    <w:rsid w:val="002E6FB1"/>
    <w:rsid w:val="002E736D"/>
    <w:rsid w:val="002E7552"/>
    <w:rsid w:val="002E7685"/>
    <w:rsid w:val="002E7D04"/>
    <w:rsid w:val="002E7D0A"/>
    <w:rsid w:val="002F00D1"/>
    <w:rsid w:val="002F00F8"/>
    <w:rsid w:val="002F0167"/>
    <w:rsid w:val="002F02DF"/>
    <w:rsid w:val="002F05B2"/>
    <w:rsid w:val="002F0758"/>
    <w:rsid w:val="002F0DE8"/>
    <w:rsid w:val="002F0E82"/>
    <w:rsid w:val="002F0F03"/>
    <w:rsid w:val="002F0FCC"/>
    <w:rsid w:val="002F1153"/>
    <w:rsid w:val="002F186E"/>
    <w:rsid w:val="002F1A70"/>
    <w:rsid w:val="002F1B43"/>
    <w:rsid w:val="002F1C9A"/>
    <w:rsid w:val="002F1DD9"/>
    <w:rsid w:val="002F20C4"/>
    <w:rsid w:val="002F2150"/>
    <w:rsid w:val="002F228A"/>
    <w:rsid w:val="002F22F6"/>
    <w:rsid w:val="002F2530"/>
    <w:rsid w:val="002F2721"/>
    <w:rsid w:val="002F27AC"/>
    <w:rsid w:val="002F27EC"/>
    <w:rsid w:val="002F28F1"/>
    <w:rsid w:val="002F2A0E"/>
    <w:rsid w:val="002F2C6C"/>
    <w:rsid w:val="002F3553"/>
    <w:rsid w:val="002F3807"/>
    <w:rsid w:val="002F3E49"/>
    <w:rsid w:val="002F4EBB"/>
    <w:rsid w:val="002F51BC"/>
    <w:rsid w:val="002F5454"/>
    <w:rsid w:val="002F5486"/>
    <w:rsid w:val="002F574A"/>
    <w:rsid w:val="002F5D19"/>
    <w:rsid w:val="002F62C4"/>
    <w:rsid w:val="002F6768"/>
    <w:rsid w:val="002F697B"/>
    <w:rsid w:val="002F6B24"/>
    <w:rsid w:val="002F6DCB"/>
    <w:rsid w:val="002F6DF3"/>
    <w:rsid w:val="002F6F84"/>
    <w:rsid w:val="002F733C"/>
    <w:rsid w:val="002F7560"/>
    <w:rsid w:val="002F75BC"/>
    <w:rsid w:val="002F7D6C"/>
    <w:rsid w:val="002F7E62"/>
    <w:rsid w:val="002F7E9A"/>
    <w:rsid w:val="002F7FC2"/>
    <w:rsid w:val="00300052"/>
    <w:rsid w:val="00300254"/>
    <w:rsid w:val="00300785"/>
    <w:rsid w:val="0030095A"/>
    <w:rsid w:val="00300C26"/>
    <w:rsid w:val="003015CE"/>
    <w:rsid w:val="00301688"/>
    <w:rsid w:val="0030231D"/>
    <w:rsid w:val="00302834"/>
    <w:rsid w:val="00302991"/>
    <w:rsid w:val="00302C37"/>
    <w:rsid w:val="00302C50"/>
    <w:rsid w:val="00302DC1"/>
    <w:rsid w:val="00302E65"/>
    <w:rsid w:val="00302F5E"/>
    <w:rsid w:val="003036A1"/>
    <w:rsid w:val="003036C1"/>
    <w:rsid w:val="00303C65"/>
    <w:rsid w:val="00303EB8"/>
    <w:rsid w:val="003041DF"/>
    <w:rsid w:val="003046EF"/>
    <w:rsid w:val="003047D6"/>
    <w:rsid w:val="00304AF0"/>
    <w:rsid w:val="00304FC6"/>
    <w:rsid w:val="00305249"/>
    <w:rsid w:val="003052E3"/>
    <w:rsid w:val="00305390"/>
    <w:rsid w:val="003057E3"/>
    <w:rsid w:val="00305C43"/>
    <w:rsid w:val="00305F28"/>
    <w:rsid w:val="00306059"/>
    <w:rsid w:val="00306732"/>
    <w:rsid w:val="00306964"/>
    <w:rsid w:val="00306A7C"/>
    <w:rsid w:val="00306C78"/>
    <w:rsid w:val="00306E70"/>
    <w:rsid w:val="003076B0"/>
    <w:rsid w:val="00307714"/>
    <w:rsid w:val="00307870"/>
    <w:rsid w:val="00307973"/>
    <w:rsid w:val="00307A1D"/>
    <w:rsid w:val="00307D43"/>
    <w:rsid w:val="00307F56"/>
    <w:rsid w:val="00310897"/>
    <w:rsid w:val="00310A74"/>
    <w:rsid w:val="00310AAE"/>
    <w:rsid w:val="00310FD1"/>
    <w:rsid w:val="00311111"/>
    <w:rsid w:val="003112AB"/>
    <w:rsid w:val="0031132A"/>
    <w:rsid w:val="0031192C"/>
    <w:rsid w:val="0031198F"/>
    <w:rsid w:val="00311BB7"/>
    <w:rsid w:val="00311C5B"/>
    <w:rsid w:val="00311E26"/>
    <w:rsid w:val="00312523"/>
    <w:rsid w:val="00312EF6"/>
    <w:rsid w:val="00313492"/>
    <w:rsid w:val="0031366F"/>
    <w:rsid w:val="00313A72"/>
    <w:rsid w:val="00313ED6"/>
    <w:rsid w:val="00314289"/>
    <w:rsid w:val="00314A0B"/>
    <w:rsid w:val="00314C54"/>
    <w:rsid w:val="00314E85"/>
    <w:rsid w:val="0031528E"/>
    <w:rsid w:val="00315454"/>
    <w:rsid w:val="00315567"/>
    <w:rsid w:val="00315871"/>
    <w:rsid w:val="003158EF"/>
    <w:rsid w:val="0031599D"/>
    <w:rsid w:val="00315C20"/>
    <w:rsid w:val="003164F8"/>
    <w:rsid w:val="003165AE"/>
    <w:rsid w:val="00316633"/>
    <w:rsid w:val="003166E9"/>
    <w:rsid w:val="003168FD"/>
    <w:rsid w:val="00316C47"/>
    <w:rsid w:val="00316CC9"/>
    <w:rsid w:val="003174CA"/>
    <w:rsid w:val="00317629"/>
    <w:rsid w:val="00317F28"/>
    <w:rsid w:val="00320018"/>
    <w:rsid w:val="00320605"/>
    <w:rsid w:val="0032088D"/>
    <w:rsid w:val="0032097C"/>
    <w:rsid w:val="00320ED3"/>
    <w:rsid w:val="00320EF7"/>
    <w:rsid w:val="00320FFD"/>
    <w:rsid w:val="003211CF"/>
    <w:rsid w:val="00321791"/>
    <w:rsid w:val="003218D5"/>
    <w:rsid w:val="00321EFF"/>
    <w:rsid w:val="0032205D"/>
    <w:rsid w:val="00322076"/>
    <w:rsid w:val="0032292D"/>
    <w:rsid w:val="00322B11"/>
    <w:rsid w:val="00322B5D"/>
    <w:rsid w:val="00322CB6"/>
    <w:rsid w:val="003234BB"/>
    <w:rsid w:val="003234D8"/>
    <w:rsid w:val="003235DA"/>
    <w:rsid w:val="0032367D"/>
    <w:rsid w:val="003236CC"/>
    <w:rsid w:val="00323AB3"/>
    <w:rsid w:val="00324167"/>
    <w:rsid w:val="003247CD"/>
    <w:rsid w:val="00324827"/>
    <w:rsid w:val="0032495E"/>
    <w:rsid w:val="00324B9F"/>
    <w:rsid w:val="003252B3"/>
    <w:rsid w:val="00325784"/>
    <w:rsid w:val="00325EF1"/>
    <w:rsid w:val="0032621E"/>
    <w:rsid w:val="0032631C"/>
    <w:rsid w:val="003263C8"/>
    <w:rsid w:val="0032679A"/>
    <w:rsid w:val="00326AFF"/>
    <w:rsid w:val="00326E17"/>
    <w:rsid w:val="00327570"/>
    <w:rsid w:val="00327B66"/>
    <w:rsid w:val="00327C7D"/>
    <w:rsid w:val="00327FAF"/>
    <w:rsid w:val="003305E3"/>
    <w:rsid w:val="003306CF"/>
    <w:rsid w:val="00330C1A"/>
    <w:rsid w:val="00330C87"/>
    <w:rsid w:val="00330F3E"/>
    <w:rsid w:val="003311C2"/>
    <w:rsid w:val="00331953"/>
    <w:rsid w:val="00332EF2"/>
    <w:rsid w:val="00333047"/>
    <w:rsid w:val="00333195"/>
    <w:rsid w:val="0033325C"/>
    <w:rsid w:val="0033383F"/>
    <w:rsid w:val="00333B1F"/>
    <w:rsid w:val="00333F29"/>
    <w:rsid w:val="00334197"/>
    <w:rsid w:val="003341A0"/>
    <w:rsid w:val="00334339"/>
    <w:rsid w:val="003344CE"/>
    <w:rsid w:val="0033454A"/>
    <w:rsid w:val="0033458F"/>
    <w:rsid w:val="0033463B"/>
    <w:rsid w:val="003348CB"/>
    <w:rsid w:val="00334B2D"/>
    <w:rsid w:val="00334C45"/>
    <w:rsid w:val="003351C3"/>
    <w:rsid w:val="003352EB"/>
    <w:rsid w:val="00335348"/>
    <w:rsid w:val="0033584A"/>
    <w:rsid w:val="00335875"/>
    <w:rsid w:val="00335B9F"/>
    <w:rsid w:val="00336018"/>
    <w:rsid w:val="00336218"/>
    <w:rsid w:val="003362C6"/>
    <w:rsid w:val="00336631"/>
    <w:rsid w:val="003368E4"/>
    <w:rsid w:val="00336B05"/>
    <w:rsid w:val="00336C7A"/>
    <w:rsid w:val="00336FCD"/>
    <w:rsid w:val="0033719F"/>
    <w:rsid w:val="003372E6"/>
    <w:rsid w:val="00337650"/>
    <w:rsid w:val="00337906"/>
    <w:rsid w:val="00337B9F"/>
    <w:rsid w:val="003400A6"/>
    <w:rsid w:val="0034017B"/>
    <w:rsid w:val="00340221"/>
    <w:rsid w:val="003406AC"/>
    <w:rsid w:val="0034121E"/>
    <w:rsid w:val="003412BE"/>
    <w:rsid w:val="00341BFE"/>
    <w:rsid w:val="00341E25"/>
    <w:rsid w:val="00341EFD"/>
    <w:rsid w:val="0034202E"/>
    <w:rsid w:val="00342A3E"/>
    <w:rsid w:val="00342ACA"/>
    <w:rsid w:val="00342B4E"/>
    <w:rsid w:val="00342B57"/>
    <w:rsid w:val="00343103"/>
    <w:rsid w:val="0034331E"/>
    <w:rsid w:val="0034336C"/>
    <w:rsid w:val="0034343D"/>
    <w:rsid w:val="00343757"/>
    <w:rsid w:val="00343E90"/>
    <w:rsid w:val="00343FDD"/>
    <w:rsid w:val="0034448F"/>
    <w:rsid w:val="0034467D"/>
    <w:rsid w:val="0034499A"/>
    <w:rsid w:val="00344A1F"/>
    <w:rsid w:val="00344B82"/>
    <w:rsid w:val="00344E9A"/>
    <w:rsid w:val="00344FB6"/>
    <w:rsid w:val="0034565B"/>
    <w:rsid w:val="00345C59"/>
    <w:rsid w:val="00345D14"/>
    <w:rsid w:val="00345F5F"/>
    <w:rsid w:val="00346180"/>
    <w:rsid w:val="00346C15"/>
    <w:rsid w:val="00346C4E"/>
    <w:rsid w:val="003470F3"/>
    <w:rsid w:val="00347191"/>
    <w:rsid w:val="003478D5"/>
    <w:rsid w:val="00347EC7"/>
    <w:rsid w:val="00350025"/>
    <w:rsid w:val="003501EC"/>
    <w:rsid w:val="003504BA"/>
    <w:rsid w:val="003507FC"/>
    <w:rsid w:val="00350FDD"/>
    <w:rsid w:val="003513FC"/>
    <w:rsid w:val="0035153F"/>
    <w:rsid w:val="00351661"/>
    <w:rsid w:val="00351764"/>
    <w:rsid w:val="00351889"/>
    <w:rsid w:val="00351CFE"/>
    <w:rsid w:val="00351D63"/>
    <w:rsid w:val="00351DFA"/>
    <w:rsid w:val="00352B79"/>
    <w:rsid w:val="00352C80"/>
    <w:rsid w:val="00352C98"/>
    <w:rsid w:val="003530B5"/>
    <w:rsid w:val="00353620"/>
    <w:rsid w:val="0035457A"/>
    <w:rsid w:val="0035494B"/>
    <w:rsid w:val="00354AF0"/>
    <w:rsid w:val="00354AF1"/>
    <w:rsid w:val="00354D19"/>
    <w:rsid w:val="00355346"/>
    <w:rsid w:val="0035576D"/>
    <w:rsid w:val="0035579C"/>
    <w:rsid w:val="003557A1"/>
    <w:rsid w:val="00355AE7"/>
    <w:rsid w:val="00355C29"/>
    <w:rsid w:val="00355CF2"/>
    <w:rsid w:val="003569B4"/>
    <w:rsid w:val="00356F3F"/>
    <w:rsid w:val="003572D8"/>
    <w:rsid w:val="003601BE"/>
    <w:rsid w:val="00360214"/>
    <w:rsid w:val="003604B7"/>
    <w:rsid w:val="003604E2"/>
    <w:rsid w:val="0036098D"/>
    <w:rsid w:val="00360A00"/>
    <w:rsid w:val="00360DAD"/>
    <w:rsid w:val="00361686"/>
    <w:rsid w:val="003616E9"/>
    <w:rsid w:val="00361C48"/>
    <w:rsid w:val="00361F9B"/>
    <w:rsid w:val="003621D0"/>
    <w:rsid w:val="00362529"/>
    <w:rsid w:val="003625BB"/>
    <w:rsid w:val="003626F7"/>
    <w:rsid w:val="00362A0B"/>
    <w:rsid w:val="00362AE2"/>
    <w:rsid w:val="00362B02"/>
    <w:rsid w:val="00362B1F"/>
    <w:rsid w:val="00362F2F"/>
    <w:rsid w:val="00362F72"/>
    <w:rsid w:val="003632B3"/>
    <w:rsid w:val="00363708"/>
    <w:rsid w:val="00363AA6"/>
    <w:rsid w:val="00363C63"/>
    <w:rsid w:val="00364789"/>
    <w:rsid w:val="00364A50"/>
    <w:rsid w:val="00364AC2"/>
    <w:rsid w:val="00364B05"/>
    <w:rsid w:val="00364BCC"/>
    <w:rsid w:val="00364DF5"/>
    <w:rsid w:val="00365052"/>
    <w:rsid w:val="003652E6"/>
    <w:rsid w:val="00365309"/>
    <w:rsid w:val="00365401"/>
    <w:rsid w:val="0036547C"/>
    <w:rsid w:val="003658E5"/>
    <w:rsid w:val="00365AB1"/>
    <w:rsid w:val="00365AFE"/>
    <w:rsid w:val="00365FF5"/>
    <w:rsid w:val="0036613B"/>
    <w:rsid w:val="00366334"/>
    <w:rsid w:val="0036644A"/>
    <w:rsid w:val="00366453"/>
    <w:rsid w:val="00366619"/>
    <w:rsid w:val="00366F49"/>
    <w:rsid w:val="00366F63"/>
    <w:rsid w:val="003679FE"/>
    <w:rsid w:val="0037062E"/>
    <w:rsid w:val="003706EE"/>
    <w:rsid w:val="003706FE"/>
    <w:rsid w:val="00370E3D"/>
    <w:rsid w:val="00370F0A"/>
    <w:rsid w:val="00371052"/>
    <w:rsid w:val="0037113B"/>
    <w:rsid w:val="003713A7"/>
    <w:rsid w:val="00371753"/>
    <w:rsid w:val="003717F7"/>
    <w:rsid w:val="00371DE5"/>
    <w:rsid w:val="00371EFF"/>
    <w:rsid w:val="003720C1"/>
    <w:rsid w:val="0037230C"/>
    <w:rsid w:val="003726D2"/>
    <w:rsid w:val="00372922"/>
    <w:rsid w:val="00372D1B"/>
    <w:rsid w:val="00372EC5"/>
    <w:rsid w:val="00373502"/>
    <w:rsid w:val="00373B24"/>
    <w:rsid w:val="0037429B"/>
    <w:rsid w:val="003742A2"/>
    <w:rsid w:val="003742DB"/>
    <w:rsid w:val="00374776"/>
    <w:rsid w:val="0037483C"/>
    <w:rsid w:val="003750C6"/>
    <w:rsid w:val="003754CB"/>
    <w:rsid w:val="00375544"/>
    <w:rsid w:val="003756D6"/>
    <w:rsid w:val="00375DF9"/>
    <w:rsid w:val="003761BA"/>
    <w:rsid w:val="0037650D"/>
    <w:rsid w:val="00376BD2"/>
    <w:rsid w:val="00377342"/>
    <w:rsid w:val="003773F9"/>
    <w:rsid w:val="0037771A"/>
    <w:rsid w:val="00377F07"/>
    <w:rsid w:val="00380205"/>
    <w:rsid w:val="003802AE"/>
    <w:rsid w:val="00380340"/>
    <w:rsid w:val="00380932"/>
    <w:rsid w:val="00380B6A"/>
    <w:rsid w:val="00380F4D"/>
    <w:rsid w:val="003810CF"/>
    <w:rsid w:val="003813B2"/>
    <w:rsid w:val="00381708"/>
    <w:rsid w:val="00381BFE"/>
    <w:rsid w:val="00382072"/>
    <w:rsid w:val="0038269A"/>
    <w:rsid w:val="003827DA"/>
    <w:rsid w:val="0038292C"/>
    <w:rsid w:val="00382B48"/>
    <w:rsid w:val="00382BFF"/>
    <w:rsid w:val="00382EC1"/>
    <w:rsid w:val="00382F9B"/>
    <w:rsid w:val="00383027"/>
    <w:rsid w:val="003830B3"/>
    <w:rsid w:val="00383388"/>
    <w:rsid w:val="0038371D"/>
    <w:rsid w:val="0038371F"/>
    <w:rsid w:val="00383AF4"/>
    <w:rsid w:val="00383B52"/>
    <w:rsid w:val="00383E44"/>
    <w:rsid w:val="00383F69"/>
    <w:rsid w:val="003842E5"/>
    <w:rsid w:val="003844BF"/>
    <w:rsid w:val="00384611"/>
    <w:rsid w:val="003846A0"/>
    <w:rsid w:val="00384744"/>
    <w:rsid w:val="00384AA7"/>
    <w:rsid w:val="00384EF8"/>
    <w:rsid w:val="003850B2"/>
    <w:rsid w:val="003855EA"/>
    <w:rsid w:val="003856CB"/>
    <w:rsid w:val="00385E8D"/>
    <w:rsid w:val="00386038"/>
    <w:rsid w:val="003879F7"/>
    <w:rsid w:val="003879F9"/>
    <w:rsid w:val="00387A6B"/>
    <w:rsid w:val="00387C30"/>
    <w:rsid w:val="00387D17"/>
    <w:rsid w:val="00390077"/>
    <w:rsid w:val="0039030B"/>
    <w:rsid w:val="003903AA"/>
    <w:rsid w:val="003903FD"/>
    <w:rsid w:val="00390B21"/>
    <w:rsid w:val="00390CC3"/>
    <w:rsid w:val="00390F1D"/>
    <w:rsid w:val="00390F79"/>
    <w:rsid w:val="0039102D"/>
    <w:rsid w:val="0039119E"/>
    <w:rsid w:val="003916C6"/>
    <w:rsid w:val="00391AF0"/>
    <w:rsid w:val="00391BB4"/>
    <w:rsid w:val="00391BFB"/>
    <w:rsid w:val="00391F9F"/>
    <w:rsid w:val="00392276"/>
    <w:rsid w:val="0039241A"/>
    <w:rsid w:val="00392659"/>
    <w:rsid w:val="00392E95"/>
    <w:rsid w:val="0039324B"/>
    <w:rsid w:val="00393746"/>
    <w:rsid w:val="003939E2"/>
    <w:rsid w:val="00393A1A"/>
    <w:rsid w:val="00393FB7"/>
    <w:rsid w:val="00394103"/>
    <w:rsid w:val="003941F7"/>
    <w:rsid w:val="00394534"/>
    <w:rsid w:val="003945F5"/>
    <w:rsid w:val="00394A14"/>
    <w:rsid w:val="00394EB2"/>
    <w:rsid w:val="003950E8"/>
    <w:rsid w:val="0039518A"/>
    <w:rsid w:val="00395260"/>
    <w:rsid w:val="00395B6C"/>
    <w:rsid w:val="00396402"/>
    <w:rsid w:val="00396639"/>
    <w:rsid w:val="00396A85"/>
    <w:rsid w:val="00396CFA"/>
    <w:rsid w:val="00396FD3"/>
    <w:rsid w:val="00397088"/>
    <w:rsid w:val="003974F8"/>
    <w:rsid w:val="00397653"/>
    <w:rsid w:val="00397661"/>
    <w:rsid w:val="00397711"/>
    <w:rsid w:val="00397752"/>
    <w:rsid w:val="00397A09"/>
    <w:rsid w:val="003A004D"/>
    <w:rsid w:val="003A0100"/>
    <w:rsid w:val="003A0113"/>
    <w:rsid w:val="003A036F"/>
    <w:rsid w:val="003A0EE1"/>
    <w:rsid w:val="003A1100"/>
    <w:rsid w:val="003A11DB"/>
    <w:rsid w:val="003A165A"/>
    <w:rsid w:val="003A174B"/>
    <w:rsid w:val="003A1BD1"/>
    <w:rsid w:val="003A1DD2"/>
    <w:rsid w:val="003A1E24"/>
    <w:rsid w:val="003A1F32"/>
    <w:rsid w:val="003A2117"/>
    <w:rsid w:val="003A2162"/>
    <w:rsid w:val="003A2268"/>
    <w:rsid w:val="003A2569"/>
    <w:rsid w:val="003A2850"/>
    <w:rsid w:val="003A317D"/>
    <w:rsid w:val="003A32FA"/>
    <w:rsid w:val="003A3533"/>
    <w:rsid w:val="003A355E"/>
    <w:rsid w:val="003A3569"/>
    <w:rsid w:val="003A35DB"/>
    <w:rsid w:val="003A36A6"/>
    <w:rsid w:val="003A39FD"/>
    <w:rsid w:val="003A3A24"/>
    <w:rsid w:val="003A3AD4"/>
    <w:rsid w:val="003A3B22"/>
    <w:rsid w:val="003A3C02"/>
    <w:rsid w:val="003A3F67"/>
    <w:rsid w:val="003A44E3"/>
    <w:rsid w:val="003A46BD"/>
    <w:rsid w:val="003A4CE9"/>
    <w:rsid w:val="003A511F"/>
    <w:rsid w:val="003A52CF"/>
    <w:rsid w:val="003A52E5"/>
    <w:rsid w:val="003A58C6"/>
    <w:rsid w:val="003A5D80"/>
    <w:rsid w:val="003A5E0D"/>
    <w:rsid w:val="003A5EB0"/>
    <w:rsid w:val="003A6068"/>
    <w:rsid w:val="003A62E7"/>
    <w:rsid w:val="003A6DE0"/>
    <w:rsid w:val="003A7603"/>
    <w:rsid w:val="003A7624"/>
    <w:rsid w:val="003A7B9F"/>
    <w:rsid w:val="003A7CBF"/>
    <w:rsid w:val="003A7DDD"/>
    <w:rsid w:val="003B0243"/>
    <w:rsid w:val="003B03FC"/>
    <w:rsid w:val="003B0D7E"/>
    <w:rsid w:val="003B0F54"/>
    <w:rsid w:val="003B14B5"/>
    <w:rsid w:val="003B1B3A"/>
    <w:rsid w:val="003B1C7A"/>
    <w:rsid w:val="003B1CAC"/>
    <w:rsid w:val="003B1D89"/>
    <w:rsid w:val="003B20CD"/>
    <w:rsid w:val="003B223E"/>
    <w:rsid w:val="003B257E"/>
    <w:rsid w:val="003B2633"/>
    <w:rsid w:val="003B2A10"/>
    <w:rsid w:val="003B2DF3"/>
    <w:rsid w:val="003B31AE"/>
    <w:rsid w:val="003B35D1"/>
    <w:rsid w:val="003B3778"/>
    <w:rsid w:val="003B37CB"/>
    <w:rsid w:val="003B3C8D"/>
    <w:rsid w:val="003B3DD5"/>
    <w:rsid w:val="003B421B"/>
    <w:rsid w:val="003B42BE"/>
    <w:rsid w:val="003B4B2A"/>
    <w:rsid w:val="003B4CE5"/>
    <w:rsid w:val="003B508A"/>
    <w:rsid w:val="003B513F"/>
    <w:rsid w:val="003B5309"/>
    <w:rsid w:val="003B5389"/>
    <w:rsid w:val="003B5635"/>
    <w:rsid w:val="003B5755"/>
    <w:rsid w:val="003B5AB3"/>
    <w:rsid w:val="003B5C2D"/>
    <w:rsid w:val="003B5C87"/>
    <w:rsid w:val="003B619F"/>
    <w:rsid w:val="003B6213"/>
    <w:rsid w:val="003B63C0"/>
    <w:rsid w:val="003B6935"/>
    <w:rsid w:val="003B6953"/>
    <w:rsid w:val="003B6B73"/>
    <w:rsid w:val="003B6C6C"/>
    <w:rsid w:val="003B6E7E"/>
    <w:rsid w:val="003B7433"/>
    <w:rsid w:val="003B75CA"/>
    <w:rsid w:val="003B75FE"/>
    <w:rsid w:val="003B763E"/>
    <w:rsid w:val="003B7EBD"/>
    <w:rsid w:val="003C042C"/>
    <w:rsid w:val="003C050C"/>
    <w:rsid w:val="003C096E"/>
    <w:rsid w:val="003C0B7F"/>
    <w:rsid w:val="003C0F76"/>
    <w:rsid w:val="003C115F"/>
    <w:rsid w:val="003C11EA"/>
    <w:rsid w:val="003C124B"/>
    <w:rsid w:val="003C15BC"/>
    <w:rsid w:val="003C1DB3"/>
    <w:rsid w:val="003C1E29"/>
    <w:rsid w:val="003C1EE0"/>
    <w:rsid w:val="003C203E"/>
    <w:rsid w:val="003C240C"/>
    <w:rsid w:val="003C247A"/>
    <w:rsid w:val="003C260F"/>
    <w:rsid w:val="003C27E0"/>
    <w:rsid w:val="003C298E"/>
    <w:rsid w:val="003C29F5"/>
    <w:rsid w:val="003C2AF6"/>
    <w:rsid w:val="003C2F6E"/>
    <w:rsid w:val="003C3931"/>
    <w:rsid w:val="003C4153"/>
    <w:rsid w:val="003C415D"/>
    <w:rsid w:val="003C44C4"/>
    <w:rsid w:val="003C44D6"/>
    <w:rsid w:val="003C4603"/>
    <w:rsid w:val="003C4AD5"/>
    <w:rsid w:val="003C4F26"/>
    <w:rsid w:val="003C50C0"/>
    <w:rsid w:val="003C50E9"/>
    <w:rsid w:val="003C55BD"/>
    <w:rsid w:val="003C5653"/>
    <w:rsid w:val="003C566F"/>
    <w:rsid w:val="003C577B"/>
    <w:rsid w:val="003C622C"/>
    <w:rsid w:val="003C64C6"/>
    <w:rsid w:val="003C66BE"/>
    <w:rsid w:val="003C6884"/>
    <w:rsid w:val="003C6A94"/>
    <w:rsid w:val="003C6CA9"/>
    <w:rsid w:val="003C70EE"/>
    <w:rsid w:val="003C7948"/>
    <w:rsid w:val="003C7953"/>
    <w:rsid w:val="003D033F"/>
    <w:rsid w:val="003D0CD9"/>
    <w:rsid w:val="003D10CD"/>
    <w:rsid w:val="003D1233"/>
    <w:rsid w:val="003D12C2"/>
    <w:rsid w:val="003D1340"/>
    <w:rsid w:val="003D1773"/>
    <w:rsid w:val="003D1A9B"/>
    <w:rsid w:val="003D1BAD"/>
    <w:rsid w:val="003D201E"/>
    <w:rsid w:val="003D21E9"/>
    <w:rsid w:val="003D23AB"/>
    <w:rsid w:val="003D2524"/>
    <w:rsid w:val="003D25C2"/>
    <w:rsid w:val="003D27AF"/>
    <w:rsid w:val="003D28C1"/>
    <w:rsid w:val="003D29A1"/>
    <w:rsid w:val="003D2E47"/>
    <w:rsid w:val="003D3018"/>
    <w:rsid w:val="003D316D"/>
    <w:rsid w:val="003D37B0"/>
    <w:rsid w:val="003D3837"/>
    <w:rsid w:val="003D3F63"/>
    <w:rsid w:val="003D49CC"/>
    <w:rsid w:val="003D4B8F"/>
    <w:rsid w:val="003D4BAE"/>
    <w:rsid w:val="003D4D64"/>
    <w:rsid w:val="003D537D"/>
    <w:rsid w:val="003D57BF"/>
    <w:rsid w:val="003D581F"/>
    <w:rsid w:val="003D59E8"/>
    <w:rsid w:val="003D5AEF"/>
    <w:rsid w:val="003D5D63"/>
    <w:rsid w:val="003D63B1"/>
    <w:rsid w:val="003D676B"/>
    <w:rsid w:val="003D6A01"/>
    <w:rsid w:val="003D6A4D"/>
    <w:rsid w:val="003D6DA3"/>
    <w:rsid w:val="003D7157"/>
    <w:rsid w:val="003D725A"/>
    <w:rsid w:val="003D7319"/>
    <w:rsid w:val="003D73F5"/>
    <w:rsid w:val="003D7418"/>
    <w:rsid w:val="003D74EB"/>
    <w:rsid w:val="003D786A"/>
    <w:rsid w:val="003D79DB"/>
    <w:rsid w:val="003D7B13"/>
    <w:rsid w:val="003D7B33"/>
    <w:rsid w:val="003D7D81"/>
    <w:rsid w:val="003E03FB"/>
    <w:rsid w:val="003E048C"/>
    <w:rsid w:val="003E0663"/>
    <w:rsid w:val="003E07DE"/>
    <w:rsid w:val="003E0C54"/>
    <w:rsid w:val="003E0E9A"/>
    <w:rsid w:val="003E1274"/>
    <w:rsid w:val="003E19BF"/>
    <w:rsid w:val="003E1A79"/>
    <w:rsid w:val="003E1C2F"/>
    <w:rsid w:val="003E1E0D"/>
    <w:rsid w:val="003E1F86"/>
    <w:rsid w:val="003E1FB3"/>
    <w:rsid w:val="003E2160"/>
    <w:rsid w:val="003E2247"/>
    <w:rsid w:val="003E24B1"/>
    <w:rsid w:val="003E2DDC"/>
    <w:rsid w:val="003E2E0B"/>
    <w:rsid w:val="003E2EE9"/>
    <w:rsid w:val="003E4677"/>
    <w:rsid w:val="003E4BC0"/>
    <w:rsid w:val="003E4E3F"/>
    <w:rsid w:val="003E4F14"/>
    <w:rsid w:val="003E50C2"/>
    <w:rsid w:val="003E50E6"/>
    <w:rsid w:val="003E51C2"/>
    <w:rsid w:val="003E5CEC"/>
    <w:rsid w:val="003E5DC2"/>
    <w:rsid w:val="003E5E03"/>
    <w:rsid w:val="003E6090"/>
    <w:rsid w:val="003E6094"/>
    <w:rsid w:val="003E6237"/>
    <w:rsid w:val="003E64AC"/>
    <w:rsid w:val="003E6EC7"/>
    <w:rsid w:val="003E6FB9"/>
    <w:rsid w:val="003E6FE6"/>
    <w:rsid w:val="003E7004"/>
    <w:rsid w:val="003E7294"/>
    <w:rsid w:val="003E7396"/>
    <w:rsid w:val="003E7548"/>
    <w:rsid w:val="003E7635"/>
    <w:rsid w:val="003E7A67"/>
    <w:rsid w:val="003E7B14"/>
    <w:rsid w:val="003E7B5B"/>
    <w:rsid w:val="003E7C36"/>
    <w:rsid w:val="003E7C7E"/>
    <w:rsid w:val="003E7D04"/>
    <w:rsid w:val="003E7D51"/>
    <w:rsid w:val="003F0092"/>
    <w:rsid w:val="003F055B"/>
    <w:rsid w:val="003F0684"/>
    <w:rsid w:val="003F0984"/>
    <w:rsid w:val="003F1270"/>
    <w:rsid w:val="003F1456"/>
    <w:rsid w:val="003F180A"/>
    <w:rsid w:val="003F1863"/>
    <w:rsid w:val="003F1C44"/>
    <w:rsid w:val="003F1D6C"/>
    <w:rsid w:val="003F1D79"/>
    <w:rsid w:val="003F2041"/>
    <w:rsid w:val="003F20CC"/>
    <w:rsid w:val="003F2F70"/>
    <w:rsid w:val="003F2FA5"/>
    <w:rsid w:val="003F32F0"/>
    <w:rsid w:val="003F34B4"/>
    <w:rsid w:val="003F36A8"/>
    <w:rsid w:val="003F3DD7"/>
    <w:rsid w:val="003F44CF"/>
    <w:rsid w:val="003F477A"/>
    <w:rsid w:val="003F4999"/>
    <w:rsid w:val="003F4B58"/>
    <w:rsid w:val="003F4B5C"/>
    <w:rsid w:val="003F4E10"/>
    <w:rsid w:val="003F4FB0"/>
    <w:rsid w:val="003F5018"/>
    <w:rsid w:val="003F5019"/>
    <w:rsid w:val="003F502D"/>
    <w:rsid w:val="003F528B"/>
    <w:rsid w:val="003F5308"/>
    <w:rsid w:val="003F57DC"/>
    <w:rsid w:val="003F5881"/>
    <w:rsid w:val="003F58CC"/>
    <w:rsid w:val="003F5F2F"/>
    <w:rsid w:val="003F615E"/>
    <w:rsid w:val="003F665A"/>
    <w:rsid w:val="003F6ACC"/>
    <w:rsid w:val="003F6B21"/>
    <w:rsid w:val="003F6B29"/>
    <w:rsid w:val="003F72AE"/>
    <w:rsid w:val="003F7355"/>
    <w:rsid w:val="003F77DB"/>
    <w:rsid w:val="003F7834"/>
    <w:rsid w:val="003F78BC"/>
    <w:rsid w:val="003F796A"/>
    <w:rsid w:val="003F7A82"/>
    <w:rsid w:val="003F7CF3"/>
    <w:rsid w:val="003F7D4B"/>
    <w:rsid w:val="003F7DCB"/>
    <w:rsid w:val="004003F6"/>
    <w:rsid w:val="00400B3B"/>
    <w:rsid w:val="00400DB0"/>
    <w:rsid w:val="004010C4"/>
    <w:rsid w:val="0040125E"/>
    <w:rsid w:val="004015A7"/>
    <w:rsid w:val="00401759"/>
    <w:rsid w:val="004019DD"/>
    <w:rsid w:val="0040234C"/>
    <w:rsid w:val="00402B0F"/>
    <w:rsid w:val="00402C58"/>
    <w:rsid w:val="00402E3F"/>
    <w:rsid w:val="00402F75"/>
    <w:rsid w:val="00403123"/>
    <w:rsid w:val="004038B1"/>
    <w:rsid w:val="00403917"/>
    <w:rsid w:val="00403ABE"/>
    <w:rsid w:val="00403C16"/>
    <w:rsid w:val="00403E03"/>
    <w:rsid w:val="0040432E"/>
    <w:rsid w:val="0040440C"/>
    <w:rsid w:val="004048FB"/>
    <w:rsid w:val="00404E34"/>
    <w:rsid w:val="004051BF"/>
    <w:rsid w:val="00405BE0"/>
    <w:rsid w:val="00405C4A"/>
    <w:rsid w:val="00405E1C"/>
    <w:rsid w:val="0040658F"/>
    <w:rsid w:val="004065C9"/>
    <w:rsid w:val="0040667B"/>
    <w:rsid w:val="004072AF"/>
    <w:rsid w:val="00407BBB"/>
    <w:rsid w:val="00407D3F"/>
    <w:rsid w:val="00407DDF"/>
    <w:rsid w:val="004102F7"/>
    <w:rsid w:val="004103B5"/>
    <w:rsid w:val="004105D4"/>
    <w:rsid w:val="00410641"/>
    <w:rsid w:val="0041071A"/>
    <w:rsid w:val="004109B6"/>
    <w:rsid w:val="00410F02"/>
    <w:rsid w:val="00410F62"/>
    <w:rsid w:val="00411029"/>
    <w:rsid w:val="00411144"/>
    <w:rsid w:val="00411173"/>
    <w:rsid w:val="0041140F"/>
    <w:rsid w:val="004118DF"/>
    <w:rsid w:val="0041192E"/>
    <w:rsid w:val="00411938"/>
    <w:rsid w:val="00411E62"/>
    <w:rsid w:val="0041242A"/>
    <w:rsid w:val="00412618"/>
    <w:rsid w:val="0041271D"/>
    <w:rsid w:val="00412871"/>
    <w:rsid w:val="00412BE7"/>
    <w:rsid w:val="00412D0A"/>
    <w:rsid w:val="0041302D"/>
    <w:rsid w:val="00413464"/>
    <w:rsid w:val="00413924"/>
    <w:rsid w:val="00413BEC"/>
    <w:rsid w:val="00414374"/>
    <w:rsid w:val="00414418"/>
    <w:rsid w:val="00414AC9"/>
    <w:rsid w:val="00414BCE"/>
    <w:rsid w:val="00414BDC"/>
    <w:rsid w:val="00414CC2"/>
    <w:rsid w:val="00414DBC"/>
    <w:rsid w:val="00415293"/>
    <w:rsid w:val="00415748"/>
    <w:rsid w:val="00415863"/>
    <w:rsid w:val="00415B28"/>
    <w:rsid w:val="00415D13"/>
    <w:rsid w:val="00415E03"/>
    <w:rsid w:val="004162CA"/>
    <w:rsid w:val="00416351"/>
    <w:rsid w:val="004163CF"/>
    <w:rsid w:val="00416889"/>
    <w:rsid w:val="00416DD3"/>
    <w:rsid w:val="004172A5"/>
    <w:rsid w:val="004172BD"/>
    <w:rsid w:val="00417426"/>
    <w:rsid w:val="00417832"/>
    <w:rsid w:val="0041790D"/>
    <w:rsid w:val="00417BDD"/>
    <w:rsid w:val="00417D96"/>
    <w:rsid w:val="0042007D"/>
    <w:rsid w:val="004203E4"/>
    <w:rsid w:val="00420871"/>
    <w:rsid w:val="00421077"/>
    <w:rsid w:val="00421468"/>
    <w:rsid w:val="004215EE"/>
    <w:rsid w:val="00421D1F"/>
    <w:rsid w:val="00421DFB"/>
    <w:rsid w:val="0042210F"/>
    <w:rsid w:val="0042258B"/>
    <w:rsid w:val="00422639"/>
    <w:rsid w:val="00422680"/>
    <w:rsid w:val="004228B3"/>
    <w:rsid w:val="00422AC9"/>
    <w:rsid w:val="00422E45"/>
    <w:rsid w:val="0042303D"/>
    <w:rsid w:val="0042304A"/>
    <w:rsid w:val="0042320B"/>
    <w:rsid w:val="004236BA"/>
    <w:rsid w:val="0042386D"/>
    <w:rsid w:val="00423B8E"/>
    <w:rsid w:val="00424628"/>
    <w:rsid w:val="0042472A"/>
    <w:rsid w:val="00424E0D"/>
    <w:rsid w:val="00425100"/>
    <w:rsid w:val="004251AC"/>
    <w:rsid w:val="00425444"/>
    <w:rsid w:val="00425645"/>
    <w:rsid w:val="00425DDC"/>
    <w:rsid w:val="00426254"/>
    <w:rsid w:val="004265A5"/>
    <w:rsid w:val="0042680E"/>
    <w:rsid w:val="00426891"/>
    <w:rsid w:val="004268A6"/>
    <w:rsid w:val="00426DC4"/>
    <w:rsid w:val="00426E5A"/>
    <w:rsid w:val="00426F46"/>
    <w:rsid w:val="00426F6A"/>
    <w:rsid w:val="00427050"/>
    <w:rsid w:val="00427AAD"/>
    <w:rsid w:val="00427D3D"/>
    <w:rsid w:val="0043069F"/>
    <w:rsid w:val="00430D98"/>
    <w:rsid w:val="00430F22"/>
    <w:rsid w:val="004311AA"/>
    <w:rsid w:val="00431308"/>
    <w:rsid w:val="00431322"/>
    <w:rsid w:val="0043150F"/>
    <w:rsid w:val="0043165C"/>
    <w:rsid w:val="0043189A"/>
    <w:rsid w:val="00431C74"/>
    <w:rsid w:val="00431E3D"/>
    <w:rsid w:val="00431E9C"/>
    <w:rsid w:val="00432458"/>
    <w:rsid w:val="00432496"/>
    <w:rsid w:val="00432581"/>
    <w:rsid w:val="004325A1"/>
    <w:rsid w:val="004327CD"/>
    <w:rsid w:val="004327CE"/>
    <w:rsid w:val="00432D1C"/>
    <w:rsid w:val="00432F4E"/>
    <w:rsid w:val="004331EB"/>
    <w:rsid w:val="00433277"/>
    <w:rsid w:val="004332BA"/>
    <w:rsid w:val="004336B3"/>
    <w:rsid w:val="00433A89"/>
    <w:rsid w:val="00433C61"/>
    <w:rsid w:val="00433CB1"/>
    <w:rsid w:val="00433CE8"/>
    <w:rsid w:val="00433FBD"/>
    <w:rsid w:val="00434221"/>
    <w:rsid w:val="00434396"/>
    <w:rsid w:val="00434477"/>
    <w:rsid w:val="004344A8"/>
    <w:rsid w:val="00434753"/>
    <w:rsid w:val="00434913"/>
    <w:rsid w:val="00434A56"/>
    <w:rsid w:val="00434AE5"/>
    <w:rsid w:val="00434E6B"/>
    <w:rsid w:val="00434EDB"/>
    <w:rsid w:val="00435461"/>
    <w:rsid w:val="00435466"/>
    <w:rsid w:val="0043553E"/>
    <w:rsid w:val="004356EF"/>
    <w:rsid w:val="004357D9"/>
    <w:rsid w:val="004357F4"/>
    <w:rsid w:val="00435BC7"/>
    <w:rsid w:val="00435D37"/>
    <w:rsid w:val="00435DB7"/>
    <w:rsid w:val="00436079"/>
    <w:rsid w:val="00436122"/>
    <w:rsid w:val="00436173"/>
    <w:rsid w:val="00436210"/>
    <w:rsid w:val="00436369"/>
    <w:rsid w:val="004363B8"/>
    <w:rsid w:val="0043646D"/>
    <w:rsid w:val="0043653A"/>
    <w:rsid w:val="004365B1"/>
    <w:rsid w:val="0043690F"/>
    <w:rsid w:val="00436CFB"/>
    <w:rsid w:val="00436ED6"/>
    <w:rsid w:val="00436F4E"/>
    <w:rsid w:val="004372FB"/>
    <w:rsid w:val="004376AF"/>
    <w:rsid w:val="00437854"/>
    <w:rsid w:val="00437902"/>
    <w:rsid w:val="00437AFE"/>
    <w:rsid w:val="00437D75"/>
    <w:rsid w:val="00437F10"/>
    <w:rsid w:val="00437FCC"/>
    <w:rsid w:val="0044030C"/>
    <w:rsid w:val="0044088E"/>
    <w:rsid w:val="004409CB"/>
    <w:rsid w:val="00440AAF"/>
    <w:rsid w:val="00440C38"/>
    <w:rsid w:val="00440CF2"/>
    <w:rsid w:val="00440E25"/>
    <w:rsid w:val="00440EA0"/>
    <w:rsid w:val="004412DC"/>
    <w:rsid w:val="0044136C"/>
    <w:rsid w:val="00441887"/>
    <w:rsid w:val="00441AF9"/>
    <w:rsid w:val="00441D73"/>
    <w:rsid w:val="00441E30"/>
    <w:rsid w:val="00441F00"/>
    <w:rsid w:val="004421EC"/>
    <w:rsid w:val="00442597"/>
    <w:rsid w:val="00442829"/>
    <w:rsid w:val="004428D8"/>
    <w:rsid w:val="00442EF1"/>
    <w:rsid w:val="00442F4A"/>
    <w:rsid w:val="004430A1"/>
    <w:rsid w:val="004430C7"/>
    <w:rsid w:val="004431F6"/>
    <w:rsid w:val="0044320F"/>
    <w:rsid w:val="00443655"/>
    <w:rsid w:val="00443753"/>
    <w:rsid w:val="00443814"/>
    <w:rsid w:val="00443E90"/>
    <w:rsid w:val="00444021"/>
    <w:rsid w:val="00444173"/>
    <w:rsid w:val="0044440E"/>
    <w:rsid w:val="00444A38"/>
    <w:rsid w:val="00444A48"/>
    <w:rsid w:val="00444A82"/>
    <w:rsid w:val="00444A85"/>
    <w:rsid w:val="00444E40"/>
    <w:rsid w:val="004450BA"/>
    <w:rsid w:val="0044568D"/>
    <w:rsid w:val="004457EB"/>
    <w:rsid w:val="00445D87"/>
    <w:rsid w:val="0044679F"/>
    <w:rsid w:val="004468B0"/>
    <w:rsid w:val="00446DE0"/>
    <w:rsid w:val="00446DEC"/>
    <w:rsid w:val="00446E1A"/>
    <w:rsid w:val="00446E25"/>
    <w:rsid w:val="0044702D"/>
    <w:rsid w:val="004471E8"/>
    <w:rsid w:val="00447400"/>
    <w:rsid w:val="0044799D"/>
    <w:rsid w:val="00447A19"/>
    <w:rsid w:val="00447EFA"/>
    <w:rsid w:val="00447F51"/>
    <w:rsid w:val="00450108"/>
    <w:rsid w:val="00450248"/>
    <w:rsid w:val="004502CF"/>
    <w:rsid w:val="00450946"/>
    <w:rsid w:val="00450A82"/>
    <w:rsid w:val="00450AFF"/>
    <w:rsid w:val="00450D48"/>
    <w:rsid w:val="00450EE4"/>
    <w:rsid w:val="00451354"/>
    <w:rsid w:val="004514E0"/>
    <w:rsid w:val="0045189C"/>
    <w:rsid w:val="00452105"/>
    <w:rsid w:val="0045211C"/>
    <w:rsid w:val="004522A9"/>
    <w:rsid w:val="004527AC"/>
    <w:rsid w:val="00452E48"/>
    <w:rsid w:val="00452E6D"/>
    <w:rsid w:val="00452FBC"/>
    <w:rsid w:val="00453031"/>
    <w:rsid w:val="00453340"/>
    <w:rsid w:val="0045350F"/>
    <w:rsid w:val="00453622"/>
    <w:rsid w:val="00453CC5"/>
    <w:rsid w:val="00453FD3"/>
    <w:rsid w:val="004545CF"/>
    <w:rsid w:val="0045463C"/>
    <w:rsid w:val="00454704"/>
    <w:rsid w:val="00454849"/>
    <w:rsid w:val="00454AD4"/>
    <w:rsid w:val="00454EBB"/>
    <w:rsid w:val="00455466"/>
    <w:rsid w:val="004554B6"/>
    <w:rsid w:val="00455B4F"/>
    <w:rsid w:val="00455EC6"/>
    <w:rsid w:val="004562F7"/>
    <w:rsid w:val="004563DE"/>
    <w:rsid w:val="0045677D"/>
    <w:rsid w:val="0045684F"/>
    <w:rsid w:val="00456E0E"/>
    <w:rsid w:val="00457108"/>
    <w:rsid w:val="00457130"/>
    <w:rsid w:val="0045742C"/>
    <w:rsid w:val="00457874"/>
    <w:rsid w:val="0045788B"/>
    <w:rsid w:val="00460098"/>
    <w:rsid w:val="00460135"/>
    <w:rsid w:val="00460395"/>
    <w:rsid w:val="00460657"/>
    <w:rsid w:val="004609DA"/>
    <w:rsid w:val="00460E07"/>
    <w:rsid w:val="0046113D"/>
    <w:rsid w:val="004611AD"/>
    <w:rsid w:val="004611D6"/>
    <w:rsid w:val="00461BCA"/>
    <w:rsid w:val="00462214"/>
    <w:rsid w:val="004622BD"/>
    <w:rsid w:val="004628ED"/>
    <w:rsid w:val="00462A7E"/>
    <w:rsid w:val="00462A7F"/>
    <w:rsid w:val="00462B45"/>
    <w:rsid w:val="00462D92"/>
    <w:rsid w:val="0046307A"/>
    <w:rsid w:val="004631EF"/>
    <w:rsid w:val="0046327F"/>
    <w:rsid w:val="00463828"/>
    <w:rsid w:val="00463B03"/>
    <w:rsid w:val="00463B71"/>
    <w:rsid w:val="00463EA1"/>
    <w:rsid w:val="00464384"/>
    <w:rsid w:val="0046468D"/>
    <w:rsid w:val="004647E0"/>
    <w:rsid w:val="00464ECB"/>
    <w:rsid w:val="00464FBB"/>
    <w:rsid w:val="0046519B"/>
    <w:rsid w:val="0046525B"/>
    <w:rsid w:val="00465500"/>
    <w:rsid w:val="004657AE"/>
    <w:rsid w:val="0046583B"/>
    <w:rsid w:val="0046598D"/>
    <w:rsid w:val="004660D6"/>
    <w:rsid w:val="004661E4"/>
    <w:rsid w:val="0046627F"/>
    <w:rsid w:val="0046646E"/>
    <w:rsid w:val="004667E5"/>
    <w:rsid w:val="004668E8"/>
    <w:rsid w:val="004669D1"/>
    <w:rsid w:val="00466D46"/>
    <w:rsid w:val="00466FA7"/>
    <w:rsid w:val="004671A8"/>
    <w:rsid w:val="004671AA"/>
    <w:rsid w:val="00467218"/>
    <w:rsid w:val="0046725E"/>
    <w:rsid w:val="00467873"/>
    <w:rsid w:val="004706D1"/>
    <w:rsid w:val="00470A99"/>
    <w:rsid w:val="00470EBD"/>
    <w:rsid w:val="00471001"/>
    <w:rsid w:val="0047119C"/>
    <w:rsid w:val="004715F6"/>
    <w:rsid w:val="004718A6"/>
    <w:rsid w:val="00471B0B"/>
    <w:rsid w:val="00471D21"/>
    <w:rsid w:val="00471E97"/>
    <w:rsid w:val="004722BF"/>
    <w:rsid w:val="00472313"/>
    <w:rsid w:val="00472517"/>
    <w:rsid w:val="004726D4"/>
    <w:rsid w:val="0047278B"/>
    <w:rsid w:val="004727E2"/>
    <w:rsid w:val="00472E51"/>
    <w:rsid w:val="00472EE0"/>
    <w:rsid w:val="00472F55"/>
    <w:rsid w:val="00472F75"/>
    <w:rsid w:val="00473004"/>
    <w:rsid w:val="004732FE"/>
    <w:rsid w:val="00473705"/>
    <w:rsid w:val="00473773"/>
    <w:rsid w:val="00473774"/>
    <w:rsid w:val="00473A47"/>
    <w:rsid w:val="00473CD5"/>
    <w:rsid w:val="00473F7C"/>
    <w:rsid w:val="0047438B"/>
    <w:rsid w:val="00474551"/>
    <w:rsid w:val="00474569"/>
    <w:rsid w:val="00474637"/>
    <w:rsid w:val="00474D7E"/>
    <w:rsid w:val="00474F31"/>
    <w:rsid w:val="0047558E"/>
    <w:rsid w:val="00475758"/>
    <w:rsid w:val="00475DEE"/>
    <w:rsid w:val="00475EA8"/>
    <w:rsid w:val="00475F86"/>
    <w:rsid w:val="00476111"/>
    <w:rsid w:val="00476541"/>
    <w:rsid w:val="00476821"/>
    <w:rsid w:val="00476873"/>
    <w:rsid w:val="00477019"/>
    <w:rsid w:val="00477782"/>
    <w:rsid w:val="00477BA3"/>
    <w:rsid w:val="00477D89"/>
    <w:rsid w:val="00480298"/>
    <w:rsid w:val="0048038B"/>
    <w:rsid w:val="004806B5"/>
    <w:rsid w:val="00480D23"/>
    <w:rsid w:val="00480EF3"/>
    <w:rsid w:val="00480FDD"/>
    <w:rsid w:val="00481054"/>
    <w:rsid w:val="0048105D"/>
    <w:rsid w:val="00481EBF"/>
    <w:rsid w:val="004822C4"/>
    <w:rsid w:val="00482335"/>
    <w:rsid w:val="004824C4"/>
    <w:rsid w:val="00482859"/>
    <w:rsid w:val="0048285C"/>
    <w:rsid w:val="00482A1F"/>
    <w:rsid w:val="00482AA6"/>
    <w:rsid w:val="00482E4B"/>
    <w:rsid w:val="00483266"/>
    <w:rsid w:val="0048353D"/>
    <w:rsid w:val="00483870"/>
    <w:rsid w:val="00483B40"/>
    <w:rsid w:val="00483C2C"/>
    <w:rsid w:val="00483D05"/>
    <w:rsid w:val="00483D29"/>
    <w:rsid w:val="00483D41"/>
    <w:rsid w:val="00483FF2"/>
    <w:rsid w:val="00484118"/>
    <w:rsid w:val="00484331"/>
    <w:rsid w:val="004843E4"/>
    <w:rsid w:val="0048496A"/>
    <w:rsid w:val="00484B17"/>
    <w:rsid w:val="00484D33"/>
    <w:rsid w:val="00484E0C"/>
    <w:rsid w:val="00484E9C"/>
    <w:rsid w:val="00484F4F"/>
    <w:rsid w:val="00484F91"/>
    <w:rsid w:val="00484FD3"/>
    <w:rsid w:val="0048540F"/>
    <w:rsid w:val="0048547D"/>
    <w:rsid w:val="004854DF"/>
    <w:rsid w:val="0048562A"/>
    <w:rsid w:val="004859F2"/>
    <w:rsid w:val="00485BCD"/>
    <w:rsid w:val="00485E47"/>
    <w:rsid w:val="00485FAC"/>
    <w:rsid w:val="00485FFD"/>
    <w:rsid w:val="004861C7"/>
    <w:rsid w:val="00486EE4"/>
    <w:rsid w:val="00486EF5"/>
    <w:rsid w:val="00486F74"/>
    <w:rsid w:val="004874D0"/>
    <w:rsid w:val="00487666"/>
    <w:rsid w:val="0048779B"/>
    <w:rsid w:val="0048788E"/>
    <w:rsid w:val="00487CA4"/>
    <w:rsid w:val="00487F57"/>
    <w:rsid w:val="004900FD"/>
    <w:rsid w:val="00490417"/>
    <w:rsid w:val="00490566"/>
    <w:rsid w:val="00490814"/>
    <w:rsid w:val="00490D35"/>
    <w:rsid w:val="00490DF7"/>
    <w:rsid w:val="00490E02"/>
    <w:rsid w:val="00490FB4"/>
    <w:rsid w:val="004913C2"/>
    <w:rsid w:val="004913F7"/>
    <w:rsid w:val="004914DC"/>
    <w:rsid w:val="0049152E"/>
    <w:rsid w:val="00491647"/>
    <w:rsid w:val="00491967"/>
    <w:rsid w:val="0049198F"/>
    <w:rsid w:val="00491A02"/>
    <w:rsid w:val="00491A74"/>
    <w:rsid w:val="00491C32"/>
    <w:rsid w:val="00491E3C"/>
    <w:rsid w:val="004920D3"/>
    <w:rsid w:val="004922FA"/>
    <w:rsid w:val="00492314"/>
    <w:rsid w:val="00492A91"/>
    <w:rsid w:val="00492F39"/>
    <w:rsid w:val="004930C3"/>
    <w:rsid w:val="0049327E"/>
    <w:rsid w:val="004937DA"/>
    <w:rsid w:val="00493DDB"/>
    <w:rsid w:val="00494356"/>
    <w:rsid w:val="00494DB5"/>
    <w:rsid w:val="00494E06"/>
    <w:rsid w:val="00495121"/>
    <w:rsid w:val="00495134"/>
    <w:rsid w:val="004951A8"/>
    <w:rsid w:val="004952D8"/>
    <w:rsid w:val="00495824"/>
    <w:rsid w:val="00495944"/>
    <w:rsid w:val="00495966"/>
    <w:rsid w:val="00495A03"/>
    <w:rsid w:val="00495A5B"/>
    <w:rsid w:val="00495CCF"/>
    <w:rsid w:val="00495CE2"/>
    <w:rsid w:val="00495E4E"/>
    <w:rsid w:val="004960C8"/>
    <w:rsid w:val="004961C3"/>
    <w:rsid w:val="004968E0"/>
    <w:rsid w:val="00496988"/>
    <w:rsid w:val="0049720A"/>
    <w:rsid w:val="00497750"/>
    <w:rsid w:val="00497792"/>
    <w:rsid w:val="00497B82"/>
    <w:rsid w:val="00497BD0"/>
    <w:rsid w:val="00497D0E"/>
    <w:rsid w:val="00497D77"/>
    <w:rsid w:val="00497F12"/>
    <w:rsid w:val="00497F99"/>
    <w:rsid w:val="004A0391"/>
    <w:rsid w:val="004A0598"/>
    <w:rsid w:val="004A1175"/>
    <w:rsid w:val="004A1322"/>
    <w:rsid w:val="004A160B"/>
    <w:rsid w:val="004A1A52"/>
    <w:rsid w:val="004A1C49"/>
    <w:rsid w:val="004A1CB7"/>
    <w:rsid w:val="004A1D03"/>
    <w:rsid w:val="004A1D5C"/>
    <w:rsid w:val="004A1EC5"/>
    <w:rsid w:val="004A1FFC"/>
    <w:rsid w:val="004A20E8"/>
    <w:rsid w:val="004A2284"/>
    <w:rsid w:val="004A22B5"/>
    <w:rsid w:val="004A22F2"/>
    <w:rsid w:val="004A2C91"/>
    <w:rsid w:val="004A3216"/>
    <w:rsid w:val="004A362D"/>
    <w:rsid w:val="004A381E"/>
    <w:rsid w:val="004A38FE"/>
    <w:rsid w:val="004A4595"/>
    <w:rsid w:val="004A465A"/>
    <w:rsid w:val="004A4947"/>
    <w:rsid w:val="004A4C19"/>
    <w:rsid w:val="004A5284"/>
    <w:rsid w:val="004A5420"/>
    <w:rsid w:val="004A5734"/>
    <w:rsid w:val="004A6026"/>
    <w:rsid w:val="004A69D2"/>
    <w:rsid w:val="004A6A6B"/>
    <w:rsid w:val="004A6ABD"/>
    <w:rsid w:val="004A70DC"/>
    <w:rsid w:val="004A78D4"/>
    <w:rsid w:val="004A7B37"/>
    <w:rsid w:val="004A7E0A"/>
    <w:rsid w:val="004A7E2F"/>
    <w:rsid w:val="004A7E58"/>
    <w:rsid w:val="004A7E82"/>
    <w:rsid w:val="004B007B"/>
    <w:rsid w:val="004B0203"/>
    <w:rsid w:val="004B026B"/>
    <w:rsid w:val="004B05F7"/>
    <w:rsid w:val="004B0716"/>
    <w:rsid w:val="004B07C8"/>
    <w:rsid w:val="004B084F"/>
    <w:rsid w:val="004B093D"/>
    <w:rsid w:val="004B0E9D"/>
    <w:rsid w:val="004B1647"/>
    <w:rsid w:val="004B1721"/>
    <w:rsid w:val="004B207F"/>
    <w:rsid w:val="004B2971"/>
    <w:rsid w:val="004B2BBF"/>
    <w:rsid w:val="004B2E71"/>
    <w:rsid w:val="004B2EAF"/>
    <w:rsid w:val="004B2FC1"/>
    <w:rsid w:val="004B31AA"/>
    <w:rsid w:val="004B3306"/>
    <w:rsid w:val="004B3323"/>
    <w:rsid w:val="004B3A0F"/>
    <w:rsid w:val="004B4481"/>
    <w:rsid w:val="004B44E2"/>
    <w:rsid w:val="004B47DB"/>
    <w:rsid w:val="004B47F0"/>
    <w:rsid w:val="004B4C19"/>
    <w:rsid w:val="004B4C7D"/>
    <w:rsid w:val="004B4CE2"/>
    <w:rsid w:val="004B4D0A"/>
    <w:rsid w:val="004B4D59"/>
    <w:rsid w:val="004B4DC0"/>
    <w:rsid w:val="004B51EB"/>
    <w:rsid w:val="004B54FC"/>
    <w:rsid w:val="004B55D8"/>
    <w:rsid w:val="004B583A"/>
    <w:rsid w:val="004B5A91"/>
    <w:rsid w:val="004B60FB"/>
    <w:rsid w:val="004B6166"/>
    <w:rsid w:val="004B651D"/>
    <w:rsid w:val="004B6703"/>
    <w:rsid w:val="004B67F8"/>
    <w:rsid w:val="004B68CE"/>
    <w:rsid w:val="004B6972"/>
    <w:rsid w:val="004B6997"/>
    <w:rsid w:val="004B6AA9"/>
    <w:rsid w:val="004B6D6F"/>
    <w:rsid w:val="004B7334"/>
    <w:rsid w:val="004B7AF1"/>
    <w:rsid w:val="004C0741"/>
    <w:rsid w:val="004C0C3D"/>
    <w:rsid w:val="004C1504"/>
    <w:rsid w:val="004C166C"/>
    <w:rsid w:val="004C18D8"/>
    <w:rsid w:val="004C1A94"/>
    <w:rsid w:val="004C1C2A"/>
    <w:rsid w:val="004C1C5F"/>
    <w:rsid w:val="004C1E47"/>
    <w:rsid w:val="004C258C"/>
    <w:rsid w:val="004C25A2"/>
    <w:rsid w:val="004C31CE"/>
    <w:rsid w:val="004C33B0"/>
    <w:rsid w:val="004C3622"/>
    <w:rsid w:val="004C3BA8"/>
    <w:rsid w:val="004C4405"/>
    <w:rsid w:val="004C46CA"/>
    <w:rsid w:val="004C512F"/>
    <w:rsid w:val="004C52AA"/>
    <w:rsid w:val="004C5427"/>
    <w:rsid w:val="004C54BB"/>
    <w:rsid w:val="004C5AE9"/>
    <w:rsid w:val="004C5CEC"/>
    <w:rsid w:val="004C5FAA"/>
    <w:rsid w:val="004C69FD"/>
    <w:rsid w:val="004C6B56"/>
    <w:rsid w:val="004C6E34"/>
    <w:rsid w:val="004C7339"/>
    <w:rsid w:val="004C73E1"/>
    <w:rsid w:val="004C7528"/>
    <w:rsid w:val="004C760A"/>
    <w:rsid w:val="004C7A6D"/>
    <w:rsid w:val="004C7A7D"/>
    <w:rsid w:val="004C7B9E"/>
    <w:rsid w:val="004C7D88"/>
    <w:rsid w:val="004C7EF1"/>
    <w:rsid w:val="004D050D"/>
    <w:rsid w:val="004D06EA"/>
    <w:rsid w:val="004D1909"/>
    <w:rsid w:val="004D1C5A"/>
    <w:rsid w:val="004D1F0E"/>
    <w:rsid w:val="004D22C9"/>
    <w:rsid w:val="004D26CD"/>
    <w:rsid w:val="004D2AEA"/>
    <w:rsid w:val="004D2C2E"/>
    <w:rsid w:val="004D2C68"/>
    <w:rsid w:val="004D2DD2"/>
    <w:rsid w:val="004D2DF0"/>
    <w:rsid w:val="004D2E4F"/>
    <w:rsid w:val="004D2E8C"/>
    <w:rsid w:val="004D338F"/>
    <w:rsid w:val="004D35DA"/>
    <w:rsid w:val="004D3C4D"/>
    <w:rsid w:val="004D3E3D"/>
    <w:rsid w:val="004D3F94"/>
    <w:rsid w:val="004D4570"/>
    <w:rsid w:val="004D4760"/>
    <w:rsid w:val="004D4BB5"/>
    <w:rsid w:val="004D50CF"/>
    <w:rsid w:val="004D526B"/>
    <w:rsid w:val="004D544C"/>
    <w:rsid w:val="004D56E8"/>
    <w:rsid w:val="004D5CA7"/>
    <w:rsid w:val="004D5EE6"/>
    <w:rsid w:val="004D6AFA"/>
    <w:rsid w:val="004D7295"/>
    <w:rsid w:val="004D7411"/>
    <w:rsid w:val="004D7672"/>
    <w:rsid w:val="004D7ABA"/>
    <w:rsid w:val="004D7BED"/>
    <w:rsid w:val="004D7DA1"/>
    <w:rsid w:val="004D7F7E"/>
    <w:rsid w:val="004E0E13"/>
    <w:rsid w:val="004E0F57"/>
    <w:rsid w:val="004E11C4"/>
    <w:rsid w:val="004E2106"/>
    <w:rsid w:val="004E2288"/>
    <w:rsid w:val="004E23CE"/>
    <w:rsid w:val="004E23D4"/>
    <w:rsid w:val="004E264C"/>
    <w:rsid w:val="004E2821"/>
    <w:rsid w:val="004E296C"/>
    <w:rsid w:val="004E2B4C"/>
    <w:rsid w:val="004E2B69"/>
    <w:rsid w:val="004E2D97"/>
    <w:rsid w:val="004E30DC"/>
    <w:rsid w:val="004E31DE"/>
    <w:rsid w:val="004E32CC"/>
    <w:rsid w:val="004E348F"/>
    <w:rsid w:val="004E3696"/>
    <w:rsid w:val="004E3B67"/>
    <w:rsid w:val="004E3C5F"/>
    <w:rsid w:val="004E3CEF"/>
    <w:rsid w:val="004E3FA0"/>
    <w:rsid w:val="004E41CC"/>
    <w:rsid w:val="004E49C2"/>
    <w:rsid w:val="004E4C75"/>
    <w:rsid w:val="004E4CAC"/>
    <w:rsid w:val="004E4D25"/>
    <w:rsid w:val="004E528D"/>
    <w:rsid w:val="004E55F3"/>
    <w:rsid w:val="004E561F"/>
    <w:rsid w:val="004E5B0D"/>
    <w:rsid w:val="004E5C06"/>
    <w:rsid w:val="004E5C18"/>
    <w:rsid w:val="004E5C6C"/>
    <w:rsid w:val="004E5D30"/>
    <w:rsid w:val="004E5F49"/>
    <w:rsid w:val="004E698C"/>
    <w:rsid w:val="004E6B44"/>
    <w:rsid w:val="004E6C1F"/>
    <w:rsid w:val="004E6DA4"/>
    <w:rsid w:val="004E6E2A"/>
    <w:rsid w:val="004E747C"/>
    <w:rsid w:val="004E7850"/>
    <w:rsid w:val="004E7C94"/>
    <w:rsid w:val="004E7FED"/>
    <w:rsid w:val="004F01C6"/>
    <w:rsid w:val="004F03B7"/>
    <w:rsid w:val="004F1044"/>
    <w:rsid w:val="004F12B3"/>
    <w:rsid w:val="004F147E"/>
    <w:rsid w:val="004F174B"/>
    <w:rsid w:val="004F17BC"/>
    <w:rsid w:val="004F18F4"/>
    <w:rsid w:val="004F2C55"/>
    <w:rsid w:val="004F2C90"/>
    <w:rsid w:val="004F2CCD"/>
    <w:rsid w:val="004F3499"/>
    <w:rsid w:val="004F36AD"/>
    <w:rsid w:val="004F3791"/>
    <w:rsid w:val="004F3BE3"/>
    <w:rsid w:val="004F3D3D"/>
    <w:rsid w:val="004F3EEE"/>
    <w:rsid w:val="004F3F59"/>
    <w:rsid w:val="004F3FDE"/>
    <w:rsid w:val="004F41B6"/>
    <w:rsid w:val="004F43A3"/>
    <w:rsid w:val="004F47B6"/>
    <w:rsid w:val="004F47E3"/>
    <w:rsid w:val="004F489C"/>
    <w:rsid w:val="004F493A"/>
    <w:rsid w:val="004F4D25"/>
    <w:rsid w:val="004F4EA8"/>
    <w:rsid w:val="004F5028"/>
    <w:rsid w:val="004F5395"/>
    <w:rsid w:val="004F5701"/>
    <w:rsid w:val="004F583B"/>
    <w:rsid w:val="004F64F3"/>
    <w:rsid w:val="004F6533"/>
    <w:rsid w:val="004F67F3"/>
    <w:rsid w:val="004F6856"/>
    <w:rsid w:val="004F6A9F"/>
    <w:rsid w:val="004F6AA8"/>
    <w:rsid w:val="004F6D8A"/>
    <w:rsid w:val="004F6E23"/>
    <w:rsid w:val="004F7871"/>
    <w:rsid w:val="004F79AB"/>
    <w:rsid w:val="004F7D8A"/>
    <w:rsid w:val="004F7D9A"/>
    <w:rsid w:val="00500026"/>
    <w:rsid w:val="0050006A"/>
    <w:rsid w:val="00500428"/>
    <w:rsid w:val="00500525"/>
    <w:rsid w:val="005006D7"/>
    <w:rsid w:val="005007F6"/>
    <w:rsid w:val="00500C1A"/>
    <w:rsid w:val="00500F73"/>
    <w:rsid w:val="005010CA"/>
    <w:rsid w:val="0050157B"/>
    <w:rsid w:val="00501CA0"/>
    <w:rsid w:val="00501EC7"/>
    <w:rsid w:val="00502761"/>
    <w:rsid w:val="00502941"/>
    <w:rsid w:val="00502D03"/>
    <w:rsid w:val="00502EAC"/>
    <w:rsid w:val="005030E2"/>
    <w:rsid w:val="00503162"/>
    <w:rsid w:val="00503249"/>
    <w:rsid w:val="005035E1"/>
    <w:rsid w:val="00503CA5"/>
    <w:rsid w:val="00503CBC"/>
    <w:rsid w:val="00503D8A"/>
    <w:rsid w:val="005042B6"/>
    <w:rsid w:val="005046DF"/>
    <w:rsid w:val="00504D0A"/>
    <w:rsid w:val="00505223"/>
    <w:rsid w:val="00505365"/>
    <w:rsid w:val="00505447"/>
    <w:rsid w:val="005055C4"/>
    <w:rsid w:val="00505607"/>
    <w:rsid w:val="005056BE"/>
    <w:rsid w:val="00505914"/>
    <w:rsid w:val="00505A1F"/>
    <w:rsid w:val="00505D8E"/>
    <w:rsid w:val="0050620C"/>
    <w:rsid w:val="005063B9"/>
    <w:rsid w:val="005063FF"/>
    <w:rsid w:val="0050660F"/>
    <w:rsid w:val="0050673F"/>
    <w:rsid w:val="0050674D"/>
    <w:rsid w:val="00506D89"/>
    <w:rsid w:val="0050748A"/>
    <w:rsid w:val="00507761"/>
    <w:rsid w:val="00507DAA"/>
    <w:rsid w:val="00507FAA"/>
    <w:rsid w:val="00507FF9"/>
    <w:rsid w:val="00510011"/>
    <w:rsid w:val="0051001C"/>
    <w:rsid w:val="005101C9"/>
    <w:rsid w:val="005102A8"/>
    <w:rsid w:val="005104A1"/>
    <w:rsid w:val="00510926"/>
    <w:rsid w:val="00511030"/>
    <w:rsid w:val="005111A3"/>
    <w:rsid w:val="005115BF"/>
    <w:rsid w:val="00511742"/>
    <w:rsid w:val="005117FD"/>
    <w:rsid w:val="00511A13"/>
    <w:rsid w:val="00511A95"/>
    <w:rsid w:val="00511C39"/>
    <w:rsid w:val="00511D63"/>
    <w:rsid w:val="00511F29"/>
    <w:rsid w:val="00511F8A"/>
    <w:rsid w:val="0051210C"/>
    <w:rsid w:val="0051215B"/>
    <w:rsid w:val="0051216E"/>
    <w:rsid w:val="0051246A"/>
    <w:rsid w:val="00513235"/>
    <w:rsid w:val="0051367D"/>
    <w:rsid w:val="005137A0"/>
    <w:rsid w:val="005137E7"/>
    <w:rsid w:val="0051394C"/>
    <w:rsid w:val="00513D59"/>
    <w:rsid w:val="00513DF7"/>
    <w:rsid w:val="005144E0"/>
    <w:rsid w:val="0051468A"/>
    <w:rsid w:val="0051496E"/>
    <w:rsid w:val="005149D8"/>
    <w:rsid w:val="00514D93"/>
    <w:rsid w:val="0051524C"/>
    <w:rsid w:val="00515D23"/>
    <w:rsid w:val="00515F5E"/>
    <w:rsid w:val="00516119"/>
    <w:rsid w:val="00516135"/>
    <w:rsid w:val="00516613"/>
    <w:rsid w:val="005169EC"/>
    <w:rsid w:val="00517049"/>
    <w:rsid w:val="00517065"/>
    <w:rsid w:val="0051732E"/>
    <w:rsid w:val="00517446"/>
    <w:rsid w:val="00517924"/>
    <w:rsid w:val="00517AE9"/>
    <w:rsid w:val="00517BE0"/>
    <w:rsid w:val="00520DCA"/>
    <w:rsid w:val="005210FF"/>
    <w:rsid w:val="0052113D"/>
    <w:rsid w:val="005211B9"/>
    <w:rsid w:val="005212BF"/>
    <w:rsid w:val="005212C4"/>
    <w:rsid w:val="005215D7"/>
    <w:rsid w:val="005219B3"/>
    <w:rsid w:val="005219B7"/>
    <w:rsid w:val="00521A8C"/>
    <w:rsid w:val="005220EC"/>
    <w:rsid w:val="00522134"/>
    <w:rsid w:val="005221E6"/>
    <w:rsid w:val="0052242C"/>
    <w:rsid w:val="005229FB"/>
    <w:rsid w:val="00522C9A"/>
    <w:rsid w:val="00522E32"/>
    <w:rsid w:val="00522E4C"/>
    <w:rsid w:val="00522E70"/>
    <w:rsid w:val="005231B4"/>
    <w:rsid w:val="0052321D"/>
    <w:rsid w:val="005233D4"/>
    <w:rsid w:val="0052358F"/>
    <w:rsid w:val="005237BB"/>
    <w:rsid w:val="0052382C"/>
    <w:rsid w:val="00523913"/>
    <w:rsid w:val="00523914"/>
    <w:rsid w:val="0052395C"/>
    <w:rsid w:val="00523B0D"/>
    <w:rsid w:val="0052454B"/>
    <w:rsid w:val="00524C7F"/>
    <w:rsid w:val="00524CBA"/>
    <w:rsid w:val="00524E2D"/>
    <w:rsid w:val="00525012"/>
    <w:rsid w:val="00525024"/>
    <w:rsid w:val="00525201"/>
    <w:rsid w:val="005252CA"/>
    <w:rsid w:val="005252F9"/>
    <w:rsid w:val="005259EB"/>
    <w:rsid w:val="00525A86"/>
    <w:rsid w:val="00525CD8"/>
    <w:rsid w:val="00525F46"/>
    <w:rsid w:val="0052636C"/>
    <w:rsid w:val="00526431"/>
    <w:rsid w:val="005267DA"/>
    <w:rsid w:val="00526806"/>
    <w:rsid w:val="00526932"/>
    <w:rsid w:val="00526C17"/>
    <w:rsid w:val="00526DD9"/>
    <w:rsid w:val="00526F62"/>
    <w:rsid w:val="005270FD"/>
    <w:rsid w:val="0052741F"/>
    <w:rsid w:val="00527513"/>
    <w:rsid w:val="00527899"/>
    <w:rsid w:val="00527935"/>
    <w:rsid w:val="00527D4B"/>
    <w:rsid w:val="0053054F"/>
    <w:rsid w:val="00530678"/>
    <w:rsid w:val="005308AC"/>
    <w:rsid w:val="00530983"/>
    <w:rsid w:val="00530E0E"/>
    <w:rsid w:val="00530F80"/>
    <w:rsid w:val="00531029"/>
    <w:rsid w:val="00531476"/>
    <w:rsid w:val="00531576"/>
    <w:rsid w:val="00531905"/>
    <w:rsid w:val="00531AE7"/>
    <w:rsid w:val="00531BF6"/>
    <w:rsid w:val="00531DC8"/>
    <w:rsid w:val="00531FAD"/>
    <w:rsid w:val="0053210E"/>
    <w:rsid w:val="005327F1"/>
    <w:rsid w:val="0053288B"/>
    <w:rsid w:val="00532B5B"/>
    <w:rsid w:val="00533068"/>
    <w:rsid w:val="00533175"/>
    <w:rsid w:val="00533407"/>
    <w:rsid w:val="0053371D"/>
    <w:rsid w:val="00533730"/>
    <w:rsid w:val="005337AD"/>
    <w:rsid w:val="00533917"/>
    <w:rsid w:val="00533C9B"/>
    <w:rsid w:val="0053443B"/>
    <w:rsid w:val="0053451F"/>
    <w:rsid w:val="00534D44"/>
    <w:rsid w:val="00534DF8"/>
    <w:rsid w:val="00534FBF"/>
    <w:rsid w:val="00535288"/>
    <w:rsid w:val="005352E3"/>
    <w:rsid w:val="005354CB"/>
    <w:rsid w:val="00535654"/>
    <w:rsid w:val="00535774"/>
    <w:rsid w:val="005357A5"/>
    <w:rsid w:val="00535B00"/>
    <w:rsid w:val="00536059"/>
    <w:rsid w:val="00536206"/>
    <w:rsid w:val="005363D6"/>
    <w:rsid w:val="005364C7"/>
    <w:rsid w:val="005364DB"/>
    <w:rsid w:val="00536BFC"/>
    <w:rsid w:val="00536E19"/>
    <w:rsid w:val="00537019"/>
    <w:rsid w:val="0053717F"/>
    <w:rsid w:val="00537207"/>
    <w:rsid w:val="005372CB"/>
    <w:rsid w:val="0053773E"/>
    <w:rsid w:val="00537917"/>
    <w:rsid w:val="00537ABE"/>
    <w:rsid w:val="00537CA6"/>
    <w:rsid w:val="00537E57"/>
    <w:rsid w:val="00540131"/>
    <w:rsid w:val="00540156"/>
    <w:rsid w:val="00540D52"/>
    <w:rsid w:val="00540D6D"/>
    <w:rsid w:val="0054102E"/>
    <w:rsid w:val="0054113A"/>
    <w:rsid w:val="00541665"/>
    <w:rsid w:val="00541A63"/>
    <w:rsid w:val="00541A92"/>
    <w:rsid w:val="00541D78"/>
    <w:rsid w:val="00542669"/>
    <w:rsid w:val="005426D1"/>
    <w:rsid w:val="00542F00"/>
    <w:rsid w:val="00543399"/>
    <w:rsid w:val="00543B2F"/>
    <w:rsid w:val="00543C4D"/>
    <w:rsid w:val="0054405D"/>
    <w:rsid w:val="00544082"/>
    <w:rsid w:val="0054422F"/>
    <w:rsid w:val="00544370"/>
    <w:rsid w:val="0054458B"/>
    <w:rsid w:val="00544613"/>
    <w:rsid w:val="00544A31"/>
    <w:rsid w:val="00544DDD"/>
    <w:rsid w:val="005450A6"/>
    <w:rsid w:val="00545569"/>
    <w:rsid w:val="00545E6B"/>
    <w:rsid w:val="00545FA5"/>
    <w:rsid w:val="005460AD"/>
    <w:rsid w:val="005460B7"/>
    <w:rsid w:val="005464BD"/>
    <w:rsid w:val="00546820"/>
    <w:rsid w:val="005469D3"/>
    <w:rsid w:val="00546A4C"/>
    <w:rsid w:val="00546CE8"/>
    <w:rsid w:val="00546D6C"/>
    <w:rsid w:val="00546D82"/>
    <w:rsid w:val="00546DCB"/>
    <w:rsid w:val="00546E06"/>
    <w:rsid w:val="00547144"/>
    <w:rsid w:val="00547948"/>
    <w:rsid w:val="005501AE"/>
    <w:rsid w:val="005502BC"/>
    <w:rsid w:val="00550CE3"/>
    <w:rsid w:val="00550E5C"/>
    <w:rsid w:val="005510B7"/>
    <w:rsid w:val="005512F3"/>
    <w:rsid w:val="00551642"/>
    <w:rsid w:val="00551783"/>
    <w:rsid w:val="00551BB6"/>
    <w:rsid w:val="00551BBB"/>
    <w:rsid w:val="00551FA4"/>
    <w:rsid w:val="00552838"/>
    <w:rsid w:val="00552861"/>
    <w:rsid w:val="00552884"/>
    <w:rsid w:val="005528DF"/>
    <w:rsid w:val="00552B3E"/>
    <w:rsid w:val="00553201"/>
    <w:rsid w:val="0055337D"/>
    <w:rsid w:val="00553D29"/>
    <w:rsid w:val="00553DFD"/>
    <w:rsid w:val="0055400E"/>
    <w:rsid w:val="0055413A"/>
    <w:rsid w:val="00554870"/>
    <w:rsid w:val="005549E4"/>
    <w:rsid w:val="00554C30"/>
    <w:rsid w:val="00554E13"/>
    <w:rsid w:val="00554F84"/>
    <w:rsid w:val="005550A5"/>
    <w:rsid w:val="00555961"/>
    <w:rsid w:val="00555A97"/>
    <w:rsid w:val="00555AC8"/>
    <w:rsid w:val="00556273"/>
    <w:rsid w:val="005567A3"/>
    <w:rsid w:val="005569D4"/>
    <w:rsid w:val="00556A98"/>
    <w:rsid w:val="00556CFB"/>
    <w:rsid w:val="00556E55"/>
    <w:rsid w:val="00557595"/>
    <w:rsid w:val="0055795E"/>
    <w:rsid w:val="00557A64"/>
    <w:rsid w:val="00557B81"/>
    <w:rsid w:val="00557F94"/>
    <w:rsid w:val="005602BA"/>
    <w:rsid w:val="005602D6"/>
    <w:rsid w:val="005606A2"/>
    <w:rsid w:val="00560839"/>
    <w:rsid w:val="00560A8D"/>
    <w:rsid w:val="00560AB0"/>
    <w:rsid w:val="00560B78"/>
    <w:rsid w:val="00560CC1"/>
    <w:rsid w:val="00560F8E"/>
    <w:rsid w:val="00560FA3"/>
    <w:rsid w:val="00561568"/>
    <w:rsid w:val="005616B8"/>
    <w:rsid w:val="00561FD4"/>
    <w:rsid w:val="005620E7"/>
    <w:rsid w:val="00562442"/>
    <w:rsid w:val="00562522"/>
    <w:rsid w:val="00562668"/>
    <w:rsid w:val="005627E1"/>
    <w:rsid w:val="0056281B"/>
    <w:rsid w:val="00562A43"/>
    <w:rsid w:val="00562C8E"/>
    <w:rsid w:val="00562E48"/>
    <w:rsid w:val="0056306A"/>
    <w:rsid w:val="005630F7"/>
    <w:rsid w:val="00563429"/>
    <w:rsid w:val="00563908"/>
    <w:rsid w:val="005639BF"/>
    <w:rsid w:val="005639EE"/>
    <w:rsid w:val="00563F90"/>
    <w:rsid w:val="005640FC"/>
    <w:rsid w:val="005647AC"/>
    <w:rsid w:val="00564CEB"/>
    <w:rsid w:val="00564DE6"/>
    <w:rsid w:val="00564F0C"/>
    <w:rsid w:val="00565132"/>
    <w:rsid w:val="005651AF"/>
    <w:rsid w:val="00565BAC"/>
    <w:rsid w:val="00565BC0"/>
    <w:rsid w:val="00565E53"/>
    <w:rsid w:val="005660C8"/>
    <w:rsid w:val="00566791"/>
    <w:rsid w:val="00566A8C"/>
    <w:rsid w:val="00566B7E"/>
    <w:rsid w:val="00566D94"/>
    <w:rsid w:val="00567075"/>
    <w:rsid w:val="00567A71"/>
    <w:rsid w:val="00567CFB"/>
    <w:rsid w:val="00567D1C"/>
    <w:rsid w:val="00567E6D"/>
    <w:rsid w:val="00570057"/>
    <w:rsid w:val="00570317"/>
    <w:rsid w:val="00570332"/>
    <w:rsid w:val="00570550"/>
    <w:rsid w:val="00570BE8"/>
    <w:rsid w:val="00570DCF"/>
    <w:rsid w:val="00570EF1"/>
    <w:rsid w:val="00571247"/>
    <w:rsid w:val="005716C3"/>
    <w:rsid w:val="0057187D"/>
    <w:rsid w:val="00571D9E"/>
    <w:rsid w:val="00571F1A"/>
    <w:rsid w:val="00572045"/>
    <w:rsid w:val="00572162"/>
    <w:rsid w:val="00572414"/>
    <w:rsid w:val="00572684"/>
    <w:rsid w:val="005726AB"/>
    <w:rsid w:val="005726B9"/>
    <w:rsid w:val="005729CA"/>
    <w:rsid w:val="00572B0F"/>
    <w:rsid w:val="00572BC9"/>
    <w:rsid w:val="00572E0E"/>
    <w:rsid w:val="0057307E"/>
    <w:rsid w:val="005730B8"/>
    <w:rsid w:val="005732D4"/>
    <w:rsid w:val="005733AA"/>
    <w:rsid w:val="00573522"/>
    <w:rsid w:val="0057362C"/>
    <w:rsid w:val="00573722"/>
    <w:rsid w:val="00573C05"/>
    <w:rsid w:val="00573FF2"/>
    <w:rsid w:val="00574454"/>
    <w:rsid w:val="0057463D"/>
    <w:rsid w:val="00574A3B"/>
    <w:rsid w:val="00574C09"/>
    <w:rsid w:val="00575278"/>
    <w:rsid w:val="0057538C"/>
    <w:rsid w:val="005753AD"/>
    <w:rsid w:val="005753D7"/>
    <w:rsid w:val="005757FD"/>
    <w:rsid w:val="00575DCA"/>
    <w:rsid w:val="00575F77"/>
    <w:rsid w:val="0057631A"/>
    <w:rsid w:val="00576A02"/>
    <w:rsid w:val="00576B60"/>
    <w:rsid w:val="00576BFB"/>
    <w:rsid w:val="00577129"/>
    <w:rsid w:val="0057762F"/>
    <w:rsid w:val="00577802"/>
    <w:rsid w:val="00577BE9"/>
    <w:rsid w:val="00577C0D"/>
    <w:rsid w:val="00577DD6"/>
    <w:rsid w:val="00577F09"/>
    <w:rsid w:val="00580075"/>
    <w:rsid w:val="00580557"/>
    <w:rsid w:val="00580709"/>
    <w:rsid w:val="00580798"/>
    <w:rsid w:val="00580A1F"/>
    <w:rsid w:val="00580BBF"/>
    <w:rsid w:val="00580D0A"/>
    <w:rsid w:val="00580E75"/>
    <w:rsid w:val="0058113C"/>
    <w:rsid w:val="005811AB"/>
    <w:rsid w:val="00581241"/>
    <w:rsid w:val="005813D5"/>
    <w:rsid w:val="005816A3"/>
    <w:rsid w:val="005818F6"/>
    <w:rsid w:val="00581905"/>
    <w:rsid w:val="0058197D"/>
    <w:rsid w:val="00581CA5"/>
    <w:rsid w:val="00581D9B"/>
    <w:rsid w:val="00582394"/>
    <w:rsid w:val="005825BC"/>
    <w:rsid w:val="00582A44"/>
    <w:rsid w:val="00582AC6"/>
    <w:rsid w:val="00582DD6"/>
    <w:rsid w:val="0058316B"/>
    <w:rsid w:val="00583452"/>
    <w:rsid w:val="0058349C"/>
    <w:rsid w:val="005835C4"/>
    <w:rsid w:val="00583668"/>
    <w:rsid w:val="0058368E"/>
    <w:rsid w:val="00583D1B"/>
    <w:rsid w:val="00583D5C"/>
    <w:rsid w:val="005848CA"/>
    <w:rsid w:val="005848D0"/>
    <w:rsid w:val="00584F60"/>
    <w:rsid w:val="0058504C"/>
    <w:rsid w:val="005850F1"/>
    <w:rsid w:val="005851DD"/>
    <w:rsid w:val="005854DE"/>
    <w:rsid w:val="00585962"/>
    <w:rsid w:val="00585B1D"/>
    <w:rsid w:val="00585D2B"/>
    <w:rsid w:val="00586027"/>
    <w:rsid w:val="00586694"/>
    <w:rsid w:val="00586ADE"/>
    <w:rsid w:val="00586ECE"/>
    <w:rsid w:val="00586FD7"/>
    <w:rsid w:val="00587032"/>
    <w:rsid w:val="0058755E"/>
    <w:rsid w:val="005875FB"/>
    <w:rsid w:val="00587715"/>
    <w:rsid w:val="00587974"/>
    <w:rsid w:val="00587C8C"/>
    <w:rsid w:val="00587D8A"/>
    <w:rsid w:val="00587F65"/>
    <w:rsid w:val="00587FCD"/>
    <w:rsid w:val="00587FD1"/>
    <w:rsid w:val="005903A4"/>
    <w:rsid w:val="005904BB"/>
    <w:rsid w:val="00590680"/>
    <w:rsid w:val="00590B13"/>
    <w:rsid w:val="00590C31"/>
    <w:rsid w:val="00590C58"/>
    <w:rsid w:val="00590DD0"/>
    <w:rsid w:val="0059189D"/>
    <w:rsid w:val="00591BCC"/>
    <w:rsid w:val="00591E04"/>
    <w:rsid w:val="00591EF7"/>
    <w:rsid w:val="00592310"/>
    <w:rsid w:val="0059259E"/>
    <w:rsid w:val="00592707"/>
    <w:rsid w:val="0059271F"/>
    <w:rsid w:val="005927A9"/>
    <w:rsid w:val="00592809"/>
    <w:rsid w:val="0059292A"/>
    <w:rsid w:val="00592B05"/>
    <w:rsid w:val="00592BDC"/>
    <w:rsid w:val="00592BDE"/>
    <w:rsid w:val="00592C9F"/>
    <w:rsid w:val="00592E38"/>
    <w:rsid w:val="00592E5A"/>
    <w:rsid w:val="0059320C"/>
    <w:rsid w:val="00593353"/>
    <w:rsid w:val="00593413"/>
    <w:rsid w:val="00593E8F"/>
    <w:rsid w:val="0059421C"/>
    <w:rsid w:val="00594315"/>
    <w:rsid w:val="0059456C"/>
    <w:rsid w:val="00594771"/>
    <w:rsid w:val="00594A44"/>
    <w:rsid w:val="00594E62"/>
    <w:rsid w:val="00595119"/>
    <w:rsid w:val="00595D23"/>
    <w:rsid w:val="00596507"/>
    <w:rsid w:val="005965AA"/>
    <w:rsid w:val="005966DF"/>
    <w:rsid w:val="00596890"/>
    <w:rsid w:val="0059699C"/>
    <w:rsid w:val="00596B8B"/>
    <w:rsid w:val="00596C97"/>
    <w:rsid w:val="00596EBB"/>
    <w:rsid w:val="005970D6"/>
    <w:rsid w:val="0059721F"/>
    <w:rsid w:val="005973A4"/>
    <w:rsid w:val="005974C7"/>
    <w:rsid w:val="005976D2"/>
    <w:rsid w:val="005979A8"/>
    <w:rsid w:val="005979B0"/>
    <w:rsid w:val="00597A7B"/>
    <w:rsid w:val="00597B9D"/>
    <w:rsid w:val="005A0004"/>
    <w:rsid w:val="005A0515"/>
    <w:rsid w:val="005A0C53"/>
    <w:rsid w:val="005A0FC5"/>
    <w:rsid w:val="005A0FFE"/>
    <w:rsid w:val="005A1124"/>
    <w:rsid w:val="005A1422"/>
    <w:rsid w:val="005A147D"/>
    <w:rsid w:val="005A1A54"/>
    <w:rsid w:val="005A1D4C"/>
    <w:rsid w:val="005A1E4E"/>
    <w:rsid w:val="005A1EAF"/>
    <w:rsid w:val="005A200C"/>
    <w:rsid w:val="005A2241"/>
    <w:rsid w:val="005A2274"/>
    <w:rsid w:val="005A2979"/>
    <w:rsid w:val="005A2A85"/>
    <w:rsid w:val="005A2D7E"/>
    <w:rsid w:val="005A2F41"/>
    <w:rsid w:val="005A3062"/>
    <w:rsid w:val="005A32F2"/>
    <w:rsid w:val="005A343F"/>
    <w:rsid w:val="005A3BA5"/>
    <w:rsid w:val="005A3DB6"/>
    <w:rsid w:val="005A4049"/>
    <w:rsid w:val="005A4112"/>
    <w:rsid w:val="005A47B6"/>
    <w:rsid w:val="005A5334"/>
    <w:rsid w:val="005A5847"/>
    <w:rsid w:val="005A5C12"/>
    <w:rsid w:val="005A5FEB"/>
    <w:rsid w:val="005A600A"/>
    <w:rsid w:val="005A61CC"/>
    <w:rsid w:val="005A61D8"/>
    <w:rsid w:val="005A6233"/>
    <w:rsid w:val="005A67E9"/>
    <w:rsid w:val="005A68A0"/>
    <w:rsid w:val="005A68C3"/>
    <w:rsid w:val="005A6932"/>
    <w:rsid w:val="005A6D2E"/>
    <w:rsid w:val="005A6F92"/>
    <w:rsid w:val="005A7203"/>
    <w:rsid w:val="005A72B9"/>
    <w:rsid w:val="005A77EE"/>
    <w:rsid w:val="005A7CA3"/>
    <w:rsid w:val="005B08DD"/>
    <w:rsid w:val="005B0AB8"/>
    <w:rsid w:val="005B0CBB"/>
    <w:rsid w:val="005B0D29"/>
    <w:rsid w:val="005B0F62"/>
    <w:rsid w:val="005B0FE5"/>
    <w:rsid w:val="005B1011"/>
    <w:rsid w:val="005B160E"/>
    <w:rsid w:val="005B1ABF"/>
    <w:rsid w:val="005B1AC6"/>
    <w:rsid w:val="005B1E15"/>
    <w:rsid w:val="005B1E28"/>
    <w:rsid w:val="005B24B3"/>
    <w:rsid w:val="005B24E2"/>
    <w:rsid w:val="005B2509"/>
    <w:rsid w:val="005B292E"/>
    <w:rsid w:val="005B2AE6"/>
    <w:rsid w:val="005B2C56"/>
    <w:rsid w:val="005B2D58"/>
    <w:rsid w:val="005B33FE"/>
    <w:rsid w:val="005B376E"/>
    <w:rsid w:val="005B379F"/>
    <w:rsid w:val="005B39CB"/>
    <w:rsid w:val="005B3A3B"/>
    <w:rsid w:val="005B3EED"/>
    <w:rsid w:val="005B4324"/>
    <w:rsid w:val="005B4556"/>
    <w:rsid w:val="005B45EF"/>
    <w:rsid w:val="005B46A4"/>
    <w:rsid w:val="005B4901"/>
    <w:rsid w:val="005B4A63"/>
    <w:rsid w:val="005B4BE0"/>
    <w:rsid w:val="005B4D08"/>
    <w:rsid w:val="005B518D"/>
    <w:rsid w:val="005B54A3"/>
    <w:rsid w:val="005B5572"/>
    <w:rsid w:val="005B571C"/>
    <w:rsid w:val="005B57B8"/>
    <w:rsid w:val="005B5D74"/>
    <w:rsid w:val="005B618F"/>
    <w:rsid w:val="005B655A"/>
    <w:rsid w:val="005B6C8D"/>
    <w:rsid w:val="005B6CF0"/>
    <w:rsid w:val="005B72BF"/>
    <w:rsid w:val="005B7610"/>
    <w:rsid w:val="005B7B74"/>
    <w:rsid w:val="005B7DF9"/>
    <w:rsid w:val="005C0078"/>
    <w:rsid w:val="005C04F2"/>
    <w:rsid w:val="005C05F9"/>
    <w:rsid w:val="005C06AE"/>
    <w:rsid w:val="005C0733"/>
    <w:rsid w:val="005C0E7E"/>
    <w:rsid w:val="005C0F37"/>
    <w:rsid w:val="005C1742"/>
    <w:rsid w:val="005C19FF"/>
    <w:rsid w:val="005C1C3F"/>
    <w:rsid w:val="005C1DB6"/>
    <w:rsid w:val="005C1DC4"/>
    <w:rsid w:val="005C1E1E"/>
    <w:rsid w:val="005C20CE"/>
    <w:rsid w:val="005C228D"/>
    <w:rsid w:val="005C2370"/>
    <w:rsid w:val="005C24E9"/>
    <w:rsid w:val="005C2653"/>
    <w:rsid w:val="005C2BC0"/>
    <w:rsid w:val="005C3228"/>
    <w:rsid w:val="005C35D9"/>
    <w:rsid w:val="005C3795"/>
    <w:rsid w:val="005C379E"/>
    <w:rsid w:val="005C3A7A"/>
    <w:rsid w:val="005C3E64"/>
    <w:rsid w:val="005C3F95"/>
    <w:rsid w:val="005C4283"/>
    <w:rsid w:val="005C44E9"/>
    <w:rsid w:val="005C4603"/>
    <w:rsid w:val="005C4691"/>
    <w:rsid w:val="005C4759"/>
    <w:rsid w:val="005C4C77"/>
    <w:rsid w:val="005C4CA6"/>
    <w:rsid w:val="005C4DD3"/>
    <w:rsid w:val="005C53AD"/>
    <w:rsid w:val="005C5B84"/>
    <w:rsid w:val="005C5E5A"/>
    <w:rsid w:val="005C6462"/>
    <w:rsid w:val="005C664E"/>
    <w:rsid w:val="005C68E5"/>
    <w:rsid w:val="005C6969"/>
    <w:rsid w:val="005C69E9"/>
    <w:rsid w:val="005C6C8A"/>
    <w:rsid w:val="005C7563"/>
    <w:rsid w:val="005C790D"/>
    <w:rsid w:val="005C7B7D"/>
    <w:rsid w:val="005C7CAD"/>
    <w:rsid w:val="005C7F43"/>
    <w:rsid w:val="005C7F79"/>
    <w:rsid w:val="005D07AC"/>
    <w:rsid w:val="005D1084"/>
    <w:rsid w:val="005D123B"/>
    <w:rsid w:val="005D159C"/>
    <w:rsid w:val="005D18C8"/>
    <w:rsid w:val="005D1944"/>
    <w:rsid w:val="005D195F"/>
    <w:rsid w:val="005D1A4F"/>
    <w:rsid w:val="005D1DA0"/>
    <w:rsid w:val="005D1DB5"/>
    <w:rsid w:val="005D1E01"/>
    <w:rsid w:val="005D23C5"/>
    <w:rsid w:val="005D265B"/>
    <w:rsid w:val="005D2660"/>
    <w:rsid w:val="005D2734"/>
    <w:rsid w:val="005D2A24"/>
    <w:rsid w:val="005D2ECE"/>
    <w:rsid w:val="005D31A6"/>
    <w:rsid w:val="005D350C"/>
    <w:rsid w:val="005D3569"/>
    <w:rsid w:val="005D3986"/>
    <w:rsid w:val="005D3A88"/>
    <w:rsid w:val="005D3BE7"/>
    <w:rsid w:val="005D3DD3"/>
    <w:rsid w:val="005D3EC3"/>
    <w:rsid w:val="005D4014"/>
    <w:rsid w:val="005D450D"/>
    <w:rsid w:val="005D45DC"/>
    <w:rsid w:val="005D483A"/>
    <w:rsid w:val="005D485B"/>
    <w:rsid w:val="005D4A36"/>
    <w:rsid w:val="005D4D90"/>
    <w:rsid w:val="005D50B5"/>
    <w:rsid w:val="005D50CE"/>
    <w:rsid w:val="005D55FD"/>
    <w:rsid w:val="005D56BB"/>
    <w:rsid w:val="005D597F"/>
    <w:rsid w:val="005D5A82"/>
    <w:rsid w:val="005D5AA7"/>
    <w:rsid w:val="005D5C03"/>
    <w:rsid w:val="005D5CB6"/>
    <w:rsid w:val="005D5F0E"/>
    <w:rsid w:val="005D5F47"/>
    <w:rsid w:val="005D6172"/>
    <w:rsid w:val="005D623F"/>
    <w:rsid w:val="005D63FC"/>
    <w:rsid w:val="005D650B"/>
    <w:rsid w:val="005D653E"/>
    <w:rsid w:val="005D6B0A"/>
    <w:rsid w:val="005D6C0F"/>
    <w:rsid w:val="005D6E36"/>
    <w:rsid w:val="005D6EC3"/>
    <w:rsid w:val="005D6F88"/>
    <w:rsid w:val="005D6F99"/>
    <w:rsid w:val="005D72AD"/>
    <w:rsid w:val="005D748A"/>
    <w:rsid w:val="005D74C6"/>
    <w:rsid w:val="005D76A2"/>
    <w:rsid w:val="005D7707"/>
    <w:rsid w:val="005E02FB"/>
    <w:rsid w:val="005E088D"/>
    <w:rsid w:val="005E089C"/>
    <w:rsid w:val="005E0A5F"/>
    <w:rsid w:val="005E0BA6"/>
    <w:rsid w:val="005E0BEB"/>
    <w:rsid w:val="005E0D4F"/>
    <w:rsid w:val="005E0DED"/>
    <w:rsid w:val="005E0FA9"/>
    <w:rsid w:val="005E10B1"/>
    <w:rsid w:val="005E191F"/>
    <w:rsid w:val="005E1ADD"/>
    <w:rsid w:val="005E1B60"/>
    <w:rsid w:val="005E1B65"/>
    <w:rsid w:val="005E1CA7"/>
    <w:rsid w:val="005E1E56"/>
    <w:rsid w:val="005E2113"/>
    <w:rsid w:val="005E21D6"/>
    <w:rsid w:val="005E2520"/>
    <w:rsid w:val="005E2591"/>
    <w:rsid w:val="005E271A"/>
    <w:rsid w:val="005E2E24"/>
    <w:rsid w:val="005E315B"/>
    <w:rsid w:val="005E3572"/>
    <w:rsid w:val="005E392C"/>
    <w:rsid w:val="005E3F85"/>
    <w:rsid w:val="005E4061"/>
    <w:rsid w:val="005E40A5"/>
    <w:rsid w:val="005E414B"/>
    <w:rsid w:val="005E4986"/>
    <w:rsid w:val="005E4F92"/>
    <w:rsid w:val="005E53E2"/>
    <w:rsid w:val="005E587B"/>
    <w:rsid w:val="005E61BE"/>
    <w:rsid w:val="005E62F9"/>
    <w:rsid w:val="005E6731"/>
    <w:rsid w:val="005E6D65"/>
    <w:rsid w:val="005E6E82"/>
    <w:rsid w:val="005E71D4"/>
    <w:rsid w:val="005E7253"/>
    <w:rsid w:val="005E7301"/>
    <w:rsid w:val="005E74BD"/>
    <w:rsid w:val="005E78F9"/>
    <w:rsid w:val="005E7D5C"/>
    <w:rsid w:val="005E7DB0"/>
    <w:rsid w:val="005F0103"/>
    <w:rsid w:val="005F0413"/>
    <w:rsid w:val="005F0555"/>
    <w:rsid w:val="005F05D2"/>
    <w:rsid w:val="005F0A3C"/>
    <w:rsid w:val="005F0B8A"/>
    <w:rsid w:val="005F0BCC"/>
    <w:rsid w:val="005F122A"/>
    <w:rsid w:val="005F16BA"/>
    <w:rsid w:val="005F1A29"/>
    <w:rsid w:val="005F1D99"/>
    <w:rsid w:val="005F2040"/>
    <w:rsid w:val="005F259A"/>
    <w:rsid w:val="005F25E1"/>
    <w:rsid w:val="005F2680"/>
    <w:rsid w:val="005F272A"/>
    <w:rsid w:val="005F2977"/>
    <w:rsid w:val="005F3116"/>
    <w:rsid w:val="005F316E"/>
    <w:rsid w:val="005F341B"/>
    <w:rsid w:val="005F366F"/>
    <w:rsid w:val="005F3B11"/>
    <w:rsid w:val="005F43CC"/>
    <w:rsid w:val="005F4A67"/>
    <w:rsid w:val="005F5715"/>
    <w:rsid w:val="005F57C5"/>
    <w:rsid w:val="005F57EC"/>
    <w:rsid w:val="005F5AD0"/>
    <w:rsid w:val="005F5EB0"/>
    <w:rsid w:val="005F6087"/>
    <w:rsid w:val="005F623C"/>
    <w:rsid w:val="005F6284"/>
    <w:rsid w:val="005F66E9"/>
    <w:rsid w:val="005F679F"/>
    <w:rsid w:val="005F6A86"/>
    <w:rsid w:val="005F6AA3"/>
    <w:rsid w:val="005F6F27"/>
    <w:rsid w:val="005F6F29"/>
    <w:rsid w:val="005F6FCC"/>
    <w:rsid w:val="005F744E"/>
    <w:rsid w:val="005F7D9E"/>
    <w:rsid w:val="005F7FC2"/>
    <w:rsid w:val="00600194"/>
    <w:rsid w:val="00600938"/>
    <w:rsid w:val="00600A7F"/>
    <w:rsid w:val="00600AF1"/>
    <w:rsid w:val="00600CCB"/>
    <w:rsid w:val="00600FA0"/>
    <w:rsid w:val="00601014"/>
    <w:rsid w:val="006013D6"/>
    <w:rsid w:val="00601483"/>
    <w:rsid w:val="00601614"/>
    <w:rsid w:val="00601D33"/>
    <w:rsid w:val="00601DF8"/>
    <w:rsid w:val="006022F3"/>
    <w:rsid w:val="006025AA"/>
    <w:rsid w:val="006025AE"/>
    <w:rsid w:val="006025CF"/>
    <w:rsid w:val="00602A3A"/>
    <w:rsid w:val="00602AA0"/>
    <w:rsid w:val="00602AB9"/>
    <w:rsid w:val="00602B48"/>
    <w:rsid w:val="00602C68"/>
    <w:rsid w:val="00602D23"/>
    <w:rsid w:val="0060359F"/>
    <w:rsid w:val="0060368D"/>
    <w:rsid w:val="00603748"/>
    <w:rsid w:val="00603A68"/>
    <w:rsid w:val="00603B7A"/>
    <w:rsid w:val="00603BD2"/>
    <w:rsid w:val="00603E35"/>
    <w:rsid w:val="0060418E"/>
    <w:rsid w:val="00604301"/>
    <w:rsid w:val="00604362"/>
    <w:rsid w:val="006043A4"/>
    <w:rsid w:val="006044BC"/>
    <w:rsid w:val="006045B2"/>
    <w:rsid w:val="006046DD"/>
    <w:rsid w:val="006047B8"/>
    <w:rsid w:val="00604A53"/>
    <w:rsid w:val="00604E17"/>
    <w:rsid w:val="00604F15"/>
    <w:rsid w:val="00604FC9"/>
    <w:rsid w:val="00605261"/>
    <w:rsid w:val="00605782"/>
    <w:rsid w:val="006059C1"/>
    <w:rsid w:val="006059F5"/>
    <w:rsid w:val="006061C2"/>
    <w:rsid w:val="006063D0"/>
    <w:rsid w:val="006064C7"/>
    <w:rsid w:val="0060660F"/>
    <w:rsid w:val="00606719"/>
    <w:rsid w:val="00606AFC"/>
    <w:rsid w:val="00606E4F"/>
    <w:rsid w:val="00607166"/>
    <w:rsid w:val="00607249"/>
    <w:rsid w:val="00607496"/>
    <w:rsid w:val="0060760A"/>
    <w:rsid w:val="0060787B"/>
    <w:rsid w:val="00607D68"/>
    <w:rsid w:val="00607F92"/>
    <w:rsid w:val="00610844"/>
    <w:rsid w:val="00610BD7"/>
    <w:rsid w:val="00610D24"/>
    <w:rsid w:val="0061107B"/>
    <w:rsid w:val="0061126C"/>
    <w:rsid w:val="00611A28"/>
    <w:rsid w:val="00611C77"/>
    <w:rsid w:val="0061215B"/>
    <w:rsid w:val="00612281"/>
    <w:rsid w:val="006123B5"/>
    <w:rsid w:val="00612755"/>
    <w:rsid w:val="0061287B"/>
    <w:rsid w:val="00612962"/>
    <w:rsid w:val="00612F81"/>
    <w:rsid w:val="00613236"/>
    <w:rsid w:val="00613291"/>
    <w:rsid w:val="00613305"/>
    <w:rsid w:val="00613480"/>
    <w:rsid w:val="00613B92"/>
    <w:rsid w:val="00613D5C"/>
    <w:rsid w:val="0061401C"/>
    <w:rsid w:val="006140AD"/>
    <w:rsid w:val="00614B65"/>
    <w:rsid w:val="006155B7"/>
    <w:rsid w:val="00615830"/>
    <w:rsid w:val="00615982"/>
    <w:rsid w:val="00615ACD"/>
    <w:rsid w:val="00615C00"/>
    <w:rsid w:val="0061605E"/>
    <w:rsid w:val="006160B0"/>
    <w:rsid w:val="0061657D"/>
    <w:rsid w:val="0061687A"/>
    <w:rsid w:val="00616A3D"/>
    <w:rsid w:val="00616A6B"/>
    <w:rsid w:val="00617B95"/>
    <w:rsid w:val="00620378"/>
    <w:rsid w:val="006204BE"/>
    <w:rsid w:val="006206D1"/>
    <w:rsid w:val="006206E5"/>
    <w:rsid w:val="00620CA9"/>
    <w:rsid w:val="00620EC4"/>
    <w:rsid w:val="00620F2D"/>
    <w:rsid w:val="006212A6"/>
    <w:rsid w:val="0062135B"/>
    <w:rsid w:val="0062158C"/>
    <w:rsid w:val="00621616"/>
    <w:rsid w:val="00621711"/>
    <w:rsid w:val="00621963"/>
    <w:rsid w:val="00621D22"/>
    <w:rsid w:val="00622691"/>
    <w:rsid w:val="006226BA"/>
    <w:rsid w:val="00622FE9"/>
    <w:rsid w:val="006231B7"/>
    <w:rsid w:val="006234FE"/>
    <w:rsid w:val="006236F5"/>
    <w:rsid w:val="006237C9"/>
    <w:rsid w:val="00623D39"/>
    <w:rsid w:val="00623E21"/>
    <w:rsid w:val="00623EC6"/>
    <w:rsid w:val="00623F62"/>
    <w:rsid w:val="00623FEA"/>
    <w:rsid w:val="00624AE9"/>
    <w:rsid w:val="00624B21"/>
    <w:rsid w:val="00624DA5"/>
    <w:rsid w:val="0062501E"/>
    <w:rsid w:val="006258EB"/>
    <w:rsid w:val="00625F4C"/>
    <w:rsid w:val="006263C4"/>
    <w:rsid w:val="00626629"/>
    <w:rsid w:val="006268ED"/>
    <w:rsid w:val="00626961"/>
    <w:rsid w:val="00626B79"/>
    <w:rsid w:val="00626DBC"/>
    <w:rsid w:val="00626E08"/>
    <w:rsid w:val="00626F31"/>
    <w:rsid w:val="006271F5"/>
    <w:rsid w:val="00627231"/>
    <w:rsid w:val="006273B2"/>
    <w:rsid w:val="00627A4A"/>
    <w:rsid w:val="00627EA2"/>
    <w:rsid w:val="006300A7"/>
    <w:rsid w:val="0063033E"/>
    <w:rsid w:val="006307A6"/>
    <w:rsid w:val="00630A9A"/>
    <w:rsid w:val="00630B80"/>
    <w:rsid w:val="00630ECB"/>
    <w:rsid w:val="0063102F"/>
    <w:rsid w:val="00631286"/>
    <w:rsid w:val="0063142E"/>
    <w:rsid w:val="006316E2"/>
    <w:rsid w:val="00631767"/>
    <w:rsid w:val="006319C4"/>
    <w:rsid w:val="00631FB7"/>
    <w:rsid w:val="006321BD"/>
    <w:rsid w:val="0063263A"/>
    <w:rsid w:val="006326A6"/>
    <w:rsid w:val="0063295A"/>
    <w:rsid w:val="00632AED"/>
    <w:rsid w:val="00633197"/>
    <w:rsid w:val="006332EA"/>
    <w:rsid w:val="0063353C"/>
    <w:rsid w:val="00633755"/>
    <w:rsid w:val="006338A5"/>
    <w:rsid w:val="006339C0"/>
    <w:rsid w:val="00633D4B"/>
    <w:rsid w:val="00633ECD"/>
    <w:rsid w:val="00634218"/>
    <w:rsid w:val="00634567"/>
    <w:rsid w:val="00634B52"/>
    <w:rsid w:val="00635166"/>
    <w:rsid w:val="0063529F"/>
    <w:rsid w:val="00635640"/>
    <w:rsid w:val="00635A66"/>
    <w:rsid w:val="00636134"/>
    <w:rsid w:val="00636389"/>
    <w:rsid w:val="006363CA"/>
    <w:rsid w:val="006365DF"/>
    <w:rsid w:val="00636603"/>
    <w:rsid w:val="00636799"/>
    <w:rsid w:val="00636B09"/>
    <w:rsid w:val="00636B8A"/>
    <w:rsid w:val="00636C24"/>
    <w:rsid w:val="00636ECD"/>
    <w:rsid w:val="00637695"/>
    <w:rsid w:val="006376D3"/>
    <w:rsid w:val="00637A03"/>
    <w:rsid w:val="00637D90"/>
    <w:rsid w:val="00637FF8"/>
    <w:rsid w:val="006402AA"/>
    <w:rsid w:val="006403BD"/>
    <w:rsid w:val="006405D2"/>
    <w:rsid w:val="00640743"/>
    <w:rsid w:val="0064074A"/>
    <w:rsid w:val="006410C3"/>
    <w:rsid w:val="0064137B"/>
    <w:rsid w:val="006418AD"/>
    <w:rsid w:val="006419CF"/>
    <w:rsid w:val="00641A54"/>
    <w:rsid w:val="00641A5E"/>
    <w:rsid w:val="00641CB3"/>
    <w:rsid w:val="00641DA2"/>
    <w:rsid w:val="0064201F"/>
    <w:rsid w:val="0064214A"/>
    <w:rsid w:val="00642191"/>
    <w:rsid w:val="00642921"/>
    <w:rsid w:val="00643D36"/>
    <w:rsid w:val="00643E6D"/>
    <w:rsid w:val="006440BC"/>
    <w:rsid w:val="0064412A"/>
    <w:rsid w:val="0064420C"/>
    <w:rsid w:val="006443F5"/>
    <w:rsid w:val="00644DF4"/>
    <w:rsid w:val="00644E3E"/>
    <w:rsid w:val="00645157"/>
    <w:rsid w:val="00645552"/>
    <w:rsid w:val="00645621"/>
    <w:rsid w:val="006458EA"/>
    <w:rsid w:val="00645C0A"/>
    <w:rsid w:val="00645C29"/>
    <w:rsid w:val="00645C37"/>
    <w:rsid w:val="00646229"/>
    <w:rsid w:val="0064648E"/>
    <w:rsid w:val="006467DA"/>
    <w:rsid w:val="006467F8"/>
    <w:rsid w:val="006475FE"/>
    <w:rsid w:val="006476B3"/>
    <w:rsid w:val="00647707"/>
    <w:rsid w:val="00647744"/>
    <w:rsid w:val="006477ED"/>
    <w:rsid w:val="00647ABE"/>
    <w:rsid w:val="00647AD6"/>
    <w:rsid w:val="00647C2A"/>
    <w:rsid w:val="00647C5D"/>
    <w:rsid w:val="00647EFC"/>
    <w:rsid w:val="00650515"/>
    <w:rsid w:val="0065085B"/>
    <w:rsid w:val="00650F85"/>
    <w:rsid w:val="00651131"/>
    <w:rsid w:val="00651A94"/>
    <w:rsid w:val="00651BC8"/>
    <w:rsid w:val="00651F91"/>
    <w:rsid w:val="006523D9"/>
    <w:rsid w:val="0065252D"/>
    <w:rsid w:val="006526CA"/>
    <w:rsid w:val="0065275D"/>
    <w:rsid w:val="00652E0F"/>
    <w:rsid w:val="00653070"/>
    <w:rsid w:val="00653837"/>
    <w:rsid w:val="006538F7"/>
    <w:rsid w:val="00653EC2"/>
    <w:rsid w:val="00653F30"/>
    <w:rsid w:val="00653F34"/>
    <w:rsid w:val="006540EA"/>
    <w:rsid w:val="00654204"/>
    <w:rsid w:val="00654871"/>
    <w:rsid w:val="00655091"/>
    <w:rsid w:val="0065511E"/>
    <w:rsid w:val="0065541B"/>
    <w:rsid w:val="00655521"/>
    <w:rsid w:val="006558F0"/>
    <w:rsid w:val="006558F8"/>
    <w:rsid w:val="00655928"/>
    <w:rsid w:val="00655D7C"/>
    <w:rsid w:val="00655DBE"/>
    <w:rsid w:val="00655EF9"/>
    <w:rsid w:val="006566F7"/>
    <w:rsid w:val="006567C9"/>
    <w:rsid w:val="00656BB8"/>
    <w:rsid w:val="00656C5B"/>
    <w:rsid w:val="0065738B"/>
    <w:rsid w:val="006575C9"/>
    <w:rsid w:val="00657747"/>
    <w:rsid w:val="006577AF"/>
    <w:rsid w:val="006577D8"/>
    <w:rsid w:val="00657954"/>
    <w:rsid w:val="00657D18"/>
    <w:rsid w:val="006601F8"/>
    <w:rsid w:val="006604E1"/>
    <w:rsid w:val="00660597"/>
    <w:rsid w:val="006605BD"/>
    <w:rsid w:val="006609C7"/>
    <w:rsid w:val="00660C07"/>
    <w:rsid w:val="00660E77"/>
    <w:rsid w:val="00660FF6"/>
    <w:rsid w:val="00661210"/>
    <w:rsid w:val="00661462"/>
    <w:rsid w:val="006614BE"/>
    <w:rsid w:val="00661AD2"/>
    <w:rsid w:val="00661AEB"/>
    <w:rsid w:val="00661D5D"/>
    <w:rsid w:val="00661FB2"/>
    <w:rsid w:val="00662173"/>
    <w:rsid w:val="0066226A"/>
    <w:rsid w:val="00662426"/>
    <w:rsid w:val="00662577"/>
    <w:rsid w:val="006626DE"/>
    <w:rsid w:val="00662A03"/>
    <w:rsid w:val="00662C2A"/>
    <w:rsid w:val="00662D4D"/>
    <w:rsid w:val="00663058"/>
    <w:rsid w:val="006631DB"/>
    <w:rsid w:val="00663844"/>
    <w:rsid w:val="006638AE"/>
    <w:rsid w:val="0066392F"/>
    <w:rsid w:val="00663952"/>
    <w:rsid w:val="00663C8B"/>
    <w:rsid w:val="00663CD5"/>
    <w:rsid w:val="00663EF3"/>
    <w:rsid w:val="00664053"/>
    <w:rsid w:val="00664277"/>
    <w:rsid w:val="006643F0"/>
    <w:rsid w:val="0066481F"/>
    <w:rsid w:val="00664837"/>
    <w:rsid w:val="00664B85"/>
    <w:rsid w:val="00665011"/>
    <w:rsid w:val="00665412"/>
    <w:rsid w:val="00665C34"/>
    <w:rsid w:val="0066639B"/>
    <w:rsid w:val="006663D5"/>
    <w:rsid w:val="00666683"/>
    <w:rsid w:val="00666773"/>
    <w:rsid w:val="0066689C"/>
    <w:rsid w:val="00666A74"/>
    <w:rsid w:val="00666AB9"/>
    <w:rsid w:val="00666BE1"/>
    <w:rsid w:val="00666E69"/>
    <w:rsid w:val="006672EB"/>
    <w:rsid w:val="00667767"/>
    <w:rsid w:val="006678D6"/>
    <w:rsid w:val="006679B8"/>
    <w:rsid w:val="00667A14"/>
    <w:rsid w:val="00667B46"/>
    <w:rsid w:val="00667CE6"/>
    <w:rsid w:val="00667D77"/>
    <w:rsid w:val="00667DF0"/>
    <w:rsid w:val="00667FE7"/>
    <w:rsid w:val="006700F1"/>
    <w:rsid w:val="00670625"/>
    <w:rsid w:val="0067079B"/>
    <w:rsid w:val="006709E2"/>
    <w:rsid w:val="00670A21"/>
    <w:rsid w:val="0067126E"/>
    <w:rsid w:val="006716F2"/>
    <w:rsid w:val="00671C7F"/>
    <w:rsid w:val="00671D0F"/>
    <w:rsid w:val="006720B8"/>
    <w:rsid w:val="00672340"/>
    <w:rsid w:val="0067265F"/>
    <w:rsid w:val="00672931"/>
    <w:rsid w:val="00672DB3"/>
    <w:rsid w:val="0067323A"/>
    <w:rsid w:val="0067330A"/>
    <w:rsid w:val="006735D8"/>
    <w:rsid w:val="006735F9"/>
    <w:rsid w:val="006736A6"/>
    <w:rsid w:val="00673CC0"/>
    <w:rsid w:val="00673D16"/>
    <w:rsid w:val="0067413F"/>
    <w:rsid w:val="0067424B"/>
    <w:rsid w:val="00674342"/>
    <w:rsid w:val="00674A06"/>
    <w:rsid w:val="00674A0E"/>
    <w:rsid w:val="00674B35"/>
    <w:rsid w:val="00674B48"/>
    <w:rsid w:val="00674C28"/>
    <w:rsid w:val="00674C8A"/>
    <w:rsid w:val="00674D22"/>
    <w:rsid w:val="006756B4"/>
    <w:rsid w:val="0067676A"/>
    <w:rsid w:val="00676877"/>
    <w:rsid w:val="006768C8"/>
    <w:rsid w:val="00676A82"/>
    <w:rsid w:val="00676C37"/>
    <w:rsid w:val="00677045"/>
    <w:rsid w:val="00677076"/>
    <w:rsid w:val="00677125"/>
    <w:rsid w:val="0067747B"/>
    <w:rsid w:val="00677769"/>
    <w:rsid w:val="00677922"/>
    <w:rsid w:val="00677AF2"/>
    <w:rsid w:val="00677E05"/>
    <w:rsid w:val="0068033D"/>
    <w:rsid w:val="00680668"/>
    <w:rsid w:val="00680677"/>
    <w:rsid w:val="00680A92"/>
    <w:rsid w:val="00680CA6"/>
    <w:rsid w:val="00680E8E"/>
    <w:rsid w:val="00680F0A"/>
    <w:rsid w:val="00680FC6"/>
    <w:rsid w:val="006810F6"/>
    <w:rsid w:val="00681324"/>
    <w:rsid w:val="0068148F"/>
    <w:rsid w:val="006816A4"/>
    <w:rsid w:val="006816DD"/>
    <w:rsid w:val="006819B5"/>
    <w:rsid w:val="0068213F"/>
    <w:rsid w:val="00682599"/>
    <w:rsid w:val="00682684"/>
    <w:rsid w:val="00682924"/>
    <w:rsid w:val="00682B18"/>
    <w:rsid w:val="00682FB7"/>
    <w:rsid w:val="00683A16"/>
    <w:rsid w:val="00683A7F"/>
    <w:rsid w:val="00683C98"/>
    <w:rsid w:val="00683CCD"/>
    <w:rsid w:val="00683E6D"/>
    <w:rsid w:val="00684606"/>
    <w:rsid w:val="006846AD"/>
    <w:rsid w:val="006846CB"/>
    <w:rsid w:val="0068472A"/>
    <w:rsid w:val="00684930"/>
    <w:rsid w:val="00684E8D"/>
    <w:rsid w:val="00685531"/>
    <w:rsid w:val="006856B4"/>
    <w:rsid w:val="0068578E"/>
    <w:rsid w:val="00685B88"/>
    <w:rsid w:val="00685D33"/>
    <w:rsid w:val="00686056"/>
    <w:rsid w:val="006861B4"/>
    <w:rsid w:val="006865E3"/>
    <w:rsid w:val="006869E2"/>
    <w:rsid w:val="00686B41"/>
    <w:rsid w:val="00686C28"/>
    <w:rsid w:val="00686E6E"/>
    <w:rsid w:val="006875B4"/>
    <w:rsid w:val="00687A9F"/>
    <w:rsid w:val="00687DF6"/>
    <w:rsid w:val="006902AA"/>
    <w:rsid w:val="0069080A"/>
    <w:rsid w:val="00690957"/>
    <w:rsid w:val="00690F6C"/>
    <w:rsid w:val="0069140B"/>
    <w:rsid w:val="0069159F"/>
    <w:rsid w:val="006917A0"/>
    <w:rsid w:val="00691838"/>
    <w:rsid w:val="00691D89"/>
    <w:rsid w:val="0069219F"/>
    <w:rsid w:val="006921B6"/>
    <w:rsid w:val="00692204"/>
    <w:rsid w:val="0069227B"/>
    <w:rsid w:val="00692483"/>
    <w:rsid w:val="0069259A"/>
    <w:rsid w:val="006927BA"/>
    <w:rsid w:val="00692E79"/>
    <w:rsid w:val="00693084"/>
    <w:rsid w:val="006933F9"/>
    <w:rsid w:val="006936A3"/>
    <w:rsid w:val="00693753"/>
    <w:rsid w:val="00693F3B"/>
    <w:rsid w:val="00694399"/>
    <w:rsid w:val="00694775"/>
    <w:rsid w:val="00694C17"/>
    <w:rsid w:val="00694C86"/>
    <w:rsid w:val="00694E51"/>
    <w:rsid w:val="00695167"/>
    <w:rsid w:val="00695270"/>
    <w:rsid w:val="006956CB"/>
    <w:rsid w:val="00695982"/>
    <w:rsid w:val="00696295"/>
    <w:rsid w:val="0069636B"/>
    <w:rsid w:val="00696DE8"/>
    <w:rsid w:val="0069748A"/>
    <w:rsid w:val="006974FE"/>
    <w:rsid w:val="006975A2"/>
    <w:rsid w:val="00697D1F"/>
    <w:rsid w:val="006A0473"/>
    <w:rsid w:val="006A06DC"/>
    <w:rsid w:val="006A0B9F"/>
    <w:rsid w:val="006A10C3"/>
    <w:rsid w:val="006A1105"/>
    <w:rsid w:val="006A156A"/>
    <w:rsid w:val="006A1B9E"/>
    <w:rsid w:val="006A1CAD"/>
    <w:rsid w:val="006A23B2"/>
    <w:rsid w:val="006A2769"/>
    <w:rsid w:val="006A2855"/>
    <w:rsid w:val="006A28D5"/>
    <w:rsid w:val="006A2ABD"/>
    <w:rsid w:val="006A2E0E"/>
    <w:rsid w:val="006A2E50"/>
    <w:rsid w:val="006A2FD7"/>
    <w:rsid w:val="006A381E"/>
    <w:rsid w:val="006A3AC3"/>
    <w:rsid w:val="006A4840"/>
    <w:rsid w:val="006A4A5B"/>
    <w:rsid w:val="006A4AAC"/>
    <w:rsid w:val="006A4B56"/>
    <w:rsid w:val="006A4BCF"/>
    <w:rsid w:val="006A4E26"/>
    <w:rsid w:val="006A4F23"/>
    <w:rsid w:val="006A5129"/>
    <w:rsid w:val="006A5241"/>
    <w:rsid w:val="006A5294"/>
    <w:rsid w:val="006A538A"/>
    <w:rsid w:val="006A5738"/>
    <w:rsid w:val="006A5805"/>
    <w:rsid w:val="006A5AF0"/>
    <w:rsid w:val="006A5C9B"/>
    <w:rsid w:val="006A6195"/>
    <w:rsid w:val="006A638D"/>
    <w:rsid w:val="006A6407"/>
    <w:rsid w:val="006A671C"/>
    <w:rsid w:val="006A68DC"/>
    <w:rsid w:val="006A6ACF"/>
    <w:rsid w:val="006A6CE9"/>
    <w:rsid w:val="006A6DEA"/>
    <w:rsid w:val="006A6E66"/>
    <w:rsid w:val="006A6F03"/>
    <w:rsid w:val="006A6F59"/>
    <w:rsid w:val="006A70FF"/>
    <w:rsid w:val="006A75B4"/>
    <w:rsid w:val="006A7780"/>
    <w:rsid w:val="006A7C33"/>
    <w:rsid w:val="006A7D0D"/>
    <w:rsid w:val="006A7F31"/>
    <w:rsid w:val="006B045D"/>
    <w:rsid w:val="006B0534"/>
    <w:rsid w:val="006B06CE"/>
    <w:rsid w:val="006B06EC"/>
    <w:rsid w:val="006B0A1B"/>
    <w:rsid w:val="006B0B1C"/>
    <w:rsid w:val="006B0C21"/>
    <w:rsid w:val="006B0CBB"/>
    <w:rsid w:val="006B0F41"/>
    <w:rsid w:val="006B10DB"/>
    <w:rsid w:val="006B16D9"/>
    <w:rsid w:val="006B19A6"/>
    <w:rsid w:val="006B251E"/>
    <w:rsid w:val="006B2594"/>
    <w:rsid w:val="006B259C"/>
    <w:rsid w:val="006B2C6B"/>
    <w:rsid w:val="006B2CB6"/>
    <w:rsid w:val="006B2FC3"/>
    <w:rsid w:val="006B301B"/>
    <w:rsid w:val="006B31E4"/>
    <w:rsid w:val="006B357A"/>
    <w:rsid w:val="006B35F8"/>
    <w:rsid w:val="006B3BE7"/>
    <w:rsid w:val="006B3C26"/>
    <w:rsid w:val="006B4238"/>
    <w:rsid w:val="006B4489"/>
    <w:rsid w:val="006B47CC"/>
    <w:rsid w:val="006B4922"/>
    <w:rsid w:val="006B4C7D"/>
    <w:rsid w:val="006B4C95"/>
    <w:rsid w:val="006B56E7"/>
    <w:rsid w:val="006B574F"/>
    <w:rsid w:val="006B5864"/>
    <w:rsid w:val="006B5A46"/>
    <w:rsid w:val="006B5E29"/>
    <w:rsid w:val="006B61E3"/>
    <w:rsid w:val="006B63A6"/>
    <w:rsid w:val="006B6F4E"/>
    <w:rsid w:val="006B73F3"/>
    <w:rsid w:val="006B7649"/>
    <w:rsid w:val="006B79C7"/>
    <w:rsid w:val="006B7B6E"/>
    <w:rsid w:val="006B7CC6"/>
    <w:rsid w:val="006B7DBF"/>
    <w:rsid w:val="006C0194"/>
    <w:rsid w:val="006C01E9"/>
    <w:rsid w:val="006C041F"/>
    <w:rsid w:val="006C059F"/>
    <w:rsid w:val="006C0BA7"/>
    <w:rsid w:val="006C0F5B"/>
    <w:rsid w:val="006C0FD5"/>
    <w:rsid w:val="006C12D7"/>
    <w:rsid w:val="006C19A4"/>
    <w:rsid w:val="006C1A63"/>
    <w:rsid w:val="006C1B24"/>
    <w:rsid w:val="006C1D13"/>
    <w:rsid w:val="006C1D5D"/>
    <w:rsid w:val="006C219E"/>
    <w:rsid w:val="006C2336"/>
    <w:rsid w:val="006C26F7"/>
    <w:rsid w:val="006C28E1"/>
    <w:rsid w:val="006C2D6C"/>
    <w:rsid w:val="006C2F50"/>
    <w:rsid w:val="006C335B"/>
    <w:rsid w:val="006C3435"/>
    <w:rsid w:val="006C376B"/>
    <w:rsid w:val="006C3782"/>
    <w:rsid w:val="006C3837"/>
    <w:rsid w:val="006C396D"/>
    <w:rsid w:val="006C3A58"/>
    <w:rsid w:val="006C3FD7"/>
    <w:rsid w:val="006C4189"/>
    <w:rsid w:val="006C42C1"/>
    <w:rsid w:val="006C47BF"/>
    <w:rsid w:val="006C4971"/>
    <w:rsid w:val="006C4D49"/>
    <w:rsid w:val="006C4DD9"/>
    <w:rsid w:val="006C4EBB"/>
    <w:rsid w:val="006C561F"/>
    <w:rsid w:val="006C5865"/>
    <w:rsid w:val="006C5924"/>
    <w:rsid w:val="006C5950"/>
    <w:rsid w:val="006C5CD0"/>
    <w:rsid w:val="006C5EAB"/>
    <w:rsid w:val="006C63FB"/>
    <w:rsid w:val="006C6648"/>
    <w:rsid w:val="006C68B4"/>
    <w:rsid w:val="006C68CF"/>
    <w:rsid w:val="006C75F6"/>
    <w:rsid w:val="006D02BD"/>
    <w:rsid w:val="006D0493"/>
    <w:rsid w:val="006D0570"/>
    <w:rsid w:val="006D0582"/>
    <w:rsid w:val="006D0701"/>
    <w:rsid w:val="006D079D"/>
    <w:rsid w:val="006D08EF"/>
    <w:rsid w:val="006D0A25"/>
    <w:rsid w:val="006D0C5B"/>
    <w:rsid w:val="006D1036"/>
    <w:rsid w:val="006D11EA"/>
    <w:rsid w:val="006D1296"/>
    <w:rsid w:val="006D14BE"/>
    <w:rsid w:val="006D1605"/>
    <w:rsid w:val="006D19DE"/>
    <w:rsid w:val="006D1A8E"/>
    <w:rsid w:val="006D1D8D"/>
    <w:rsid w:val="006D1E7B"/>
    <w:rsid w:val="006D22E2"/>
    <w:rsid w:val="006D283E"/>
    <w:rsid w:val="006D29AC"/>
    <w:rsid w:val="006D3194"/>
    <w:rsid w:val="006D3656"/>
    <w:rsid w:val="006D39C6"/>
    <w:rsid w:val="006D3C31"/>
    <w:rsid w:val="006D3C3B"/>
    <w:rsid w:val="006D3CEA"/>
    <w:rsid w:val="006D3D9A"/>
    <w:rsid w:val="006D4AE7"/>
    <w:rsid w:val="006D4EA2"/>
    <w:rsid w:val="006D5237"/>
    <w:rsid w:val="006D52A0"/>
    <w:rsid w:val="006D5507"/>
    <w:rsid w:val="006D633B"/>
    <w:rsid w:val="006D6646"/>
    <w:rsid w:val="006D6F25"/>
    <w:rsid w:val="006D7278"/>
    <w:rsid w:val="006D73EC"/>
    <w:rsid w:val="006D759D"/>
    <w:rsid w:val="006D769D"/>
    <w:rsid w:val="006D7726"/>
    <w:rsid w:val="006D78B5"/>
    <w:rsid w:val="006D7D38"/>
    <w:rsid w:val="006D7DE9"/>
    <w:rsid w:val="006D7F74"/>
    <w:rsid w:val="006E0450"/>
    <w:rsid w:val="006E0461"/>
    <w:rsid w:val="006E0EA5"/>
    <w:rsid w:val="006E0EAE"/>
    <w:rsid w:val="006E11D7"/>
    <w:rsid w:val="006E126D"/>
    <w:rsid w:val="006E17E0"/>
    <w:rsid w:val="006E1804"/>
    <w:rsid w:val="006E196F"/>
    <w:rsid w:val="006E1ABF"/>
    <w:rsid w:val="006E1C4C"/>
    <w:rsid w:val="006E1EE0"/>
    <w:rsid w:val="006E2805"/>
    <w:rsid w:val="006E28FA"/>
    <w:rsid w:val="006E2B9C"/>
    <w:rsid w:val="006E35A7"/>
    <w:rsid w:val="006E36F0"/>
    <w:rsid w:val="006E3C4E"/>
    <w:rsid w:val="006E3EEC"/>
    <w:rsid w:val="006E3FC6"/>
    <w:rsid w:val="006E4511"/>
    <w:rsid w:val="006E48CC"/>
    <w:rsid w:val="006E4CC9"/>
    <w:rsid w:val="006E4DB0"/>
    <w:rsid w:val="006E4EDB"/>
    <w:rsid w:val="006E505D"/>
    <w:rsid w:val="006E509B"/>
    <w:rsid w:val="006E5158"/>
    <w:rsid w:val="006E5496"/>
    <w:rsid w:val="006E5606"/>
    <w:rsid w:val="006E5787"/>
    <w:rsid w:val="006E5C87"/>
    <w:rsid w:val="006E5C8C"/>
    <w:rsid w:val="006E5D03"/>
    <w:rsid w:val="006E5DA2"/>
    <w:rsid w:val="006E6106"/>
    <w:rsid w:val="006E62D8"/>
    <w:rsid w:val="006E6531"/>
    <w:rsid w:val="006E65B1"/>
    <w:rsid w:val="006E682F"/>
    <w:rsid w:val="006E6860"/>
    <w:rsid w:val="006E6B0C"/>
    <w:rsid w:val="006E6B5E"/>
    <w:rsid w:val="006E7186"/>
    <w:rsid w:val="006E7AB4"/>
    <w:rsid w:val="006E7B0D"/>
    <w:rsid w:val="006F0407"/>
    <w:rsid w:val="006F04E6"/>
    <w:rsid w:val="006F0642"/>
    <w:rsid w:val="006F064E"/>
    <w:rsid w:val="006F0866"/>
    <w:rsid w:val="006F0FBB"/>
    <w:rsid w:val="006F1060"/>
    <w:rsid w:val="006F119C"/>
    <w:rsid w:val="006F12D0"/>
    <w:rsid w:val="006F14FB"/>
    <w:rsid w:val="006F1637"/>
    <w:rsid w:val="006F1868"/>
    <w:rsid w:val="006F1A86"/>
    <w:rsid w:val="006F1D3E"/>
    <w:rsid w:val="006F22FF"/>
    <w:rsid w:val="006F28C3"/>
    <w:rsid w:val="006F2FBC"/>
    <w:rsid w:val="006F311D"/>
    <w:rsid w:val="006F3226"/>
    <w:rsid w:val="006F353F"/>
    <w:rsid w:val="006F380A"/>
    <w:rsid w:val="006F3DA7"/>
    <w:rsid w:val="006F3E20"/>
    <w:rsid w:val="006F439A"/>
    <w:rsid w:val="006F4E74"/>
    <w:rsid w:val="006F4F35"/>
    <w:rsid w:val="006F537D"/>
    <w:rsid w:val="006F56E6"/>
    <w:rsid w:val="006F5E24"/>
    <w:rsid w:val="006F7709"/>
    <w:rsid w:val="006F77DA"/>
    <w:rsid w:val="006F7A69"/>
    <w:rsid w:val="00700021"/>
    <w:rsid w:val="00700167"/>
    <w:rsid w:val="007002DD"/>
    <w:rsid w:val="0070050D"/>
    <w:rsid w:val="0070063D"/>
    <w:rsid w:val="00700678"/>
    <w:rsid w:val="00700E84"/>
    <w:rsid w:val="0070105F"/>
    <w:rsid w:val="0070147C"/>
    <w:rsid w:val="0070194D"/>
    <w:rsid w:val="00701F43"/>
    <w:rsid w:val="007022B2"/>
    <w:rsid w:val="00702452"/>
    <w:rsid w:val="00702781"/>
    <w:rsid w:val="00702CD0"/>
    <w:rsid w:val="00702D8A"/>
    <w:rsid w:val="007030F6"/>
    <w:rsid w:val="0070330F"/>
    <w:rsid w:val="00703719"/>
    <w:rsid w:val="0070386A"/>
    <w:rsid w:val="00703ABE"/>
    <w:rsid w:val="00703DBF"/>
    <w:rsid w:val="00703DC5"/>
    <w:rsid w:val="007040A9"/>
    <w:rsid w:val="00704185"/>
    <w:rsid w:val="00704310"/>
    <w:rsid w:val="007045BB"/>
    <w:rsid w:val="00704A4A"/>
    <w:rsid w:val="00704B49"/>
    <w:rsid w:val="00704B99"/>
    <w:rsid w:val="00704C05"/>
    <w:rsid w:val="00704DD9"/>
    <w:rsid w:val="00704FB2"/>
    <w:rsid w:val="00704FFA"/>
    <w:rsid w:val="007059FB"/>
    <w:rsid w:val="00705A50"/>
    <w:rsid w:val="00705A91"/>
    <w:rsid w:val="00705F3D"/>
    <w:rsid w:val="00706079"/>
    <w:rsid w:val="0070611F"/>
    <w:rsid w:val="00706308"/>
    <w:rsid w:val="007063F6"/>
    <w:rsid w:val="00706804"/>
    <w:rsid w:val="00706F3A"/>
    <w:rsid w:val="007071BB"/>
    <w:rsid w:val="00707483"/>
    <w:rsid w:val="00707A80"/>
    <w:rsid w:val="00707C78"/>
    <w:rsid w:val="00707E9E"/>
    <w:rsid w:val="00710098"/>
    <w:rsid w:val="00710131"/>
    <w:rsid w:val="00710708"/>
    <w:rsid w:val="007114F2"/>
    <w:rsid w:val="007117EF"/>
    <w:rsid w:val="007118D8"/>
    <w:rsid w:val="007120F8"/>
    <w:rsid w:val="00712B18"/>
    <w:rsid w:val="00712BFE"/>
    <w:rsid w:val="00712C52"/>
    <w:rsid w:val="00712CFD"/>
    <w:rsid w:val="00712ED3"/>
    <w:rsid w:val="007134D0"/>
    <w:rsid w:val="007137F9"/>
    <w:rsid w:val="00713A51"/>
    <w:rsid w:val="00713AC0"/>
    <w:rsid w:val="00713B74"/>
    <w:rsid w:val="00713C19"/>
    <w:rsid w:val="00713CF1"/>
    <w:rsid w:val="00713D72"/>
    <w:rsid w:val="00713FA0"/>
    <w:rsid w:val="00713FD6"/>
    <w:rsid w:val="00714219"/>
    <w:rsid w:val="00714468"/>
    <w:rsid w:val="007144E0"/>
    <w:rsid w:val="007145DD"/>
    <w:rsid w:val="00714649"/>
    <w:rsid w:val="007151D6"/>
    <w:rsid w:val="00715633"/>
    <w:rsid w:val="007156F0"/>
    <w:rsid w:val="00715927"/>
    <w:rsid w:val="00715B0F"/>
    <w:rsid w:val="00716191"/>
    <w:rsid w:val="00716213"/>
    <w:rsid w:val="007162D9"/>
    <w:rsid w:val="00716693"/>
    <w:rsid w:val="007168B7"/>
    <w:rsid w:val="00716A9F"/>
    <w:rsid w:val="00716BA7"/>
    <w:rsid w:val="00716EB6"/>
    <w:rsid w:val="00717482"/>
    <w:rsid w:val="00717B58"/>
    <w:rsid w:val="00717B78"/>
    <w:rsid w:val="00717C2B"/>
    <w:rsid w:val="007200E0"/>
    <w:rsid w:val="00720142"/>
    <w:rsid w:val="00720155"/>
    <w:rsid w:val="007206F7"/>
    <w:rsid w:val="00720B89"/>
    <w:rsid w:val="00720C77"/>
    <w:rsid w:val="00720C80"/>
    <w:rsid w:val="00720DE2"/>
    <w:rsid w:val="00721292"/>
    <w:rsid w:val="007212EB"/>
    <w:rsid w:val="0072137B"/>
    <w:rsid w:val="0072196B"/>
    <w:rsid w:val="00721C63"/>
    <w:rsid w:val="00721D0A"/>
    <w:rsid w:val="00721D20"/>
    <w:rsid w:val="00721D5A"/>
    <w:rsid w:val="00722068"/>
    <w:rsid w:val="007222F9"/>
    <w:rsid w:val="00722356"/>
    <w:rsid w:val="00722553"/>
    <w:rsid w:val="007226E0"/>
    <w:rsid w:val="00722808"/>
    <w:rsid w:val="00722A5D"/>
    <w:rsid w:val="00722B5F"/>
    <w:rsid w:val="00722CB6"/>
    <w:rsid w:val="007233B9"/>
    <w:rsid w:val="007236CF"/>
    <w:rsid w:val="00723A4A"/>
    <w:rsid w:val="00723AC3"/>
    <w:rsid w:val="0072431F"/>
    <w:rsid w:val="007244AE"/>
    <w:rsid w:val="00724618"/>
    <w:rsid w:val="00724737"/>
    <w:rsid w:val="007247BB"/>
    <w:rsid w:val="00724B5A"/>
    <w:rsid w:val="00725551"/>
    <w:rsid w:val="00725D34"/>
    <w:rsid w:val="0072614E"/>
    <w:rsid w:val="00726276"/>
    <w:rsid w:val="007263C8"/>
    <w:rsid w:val="00726FEF"/>
    <w:rsid w:val="007271CF"/>
    <w:rsid w:val="007271D9"/>
    <w:rsid w:val="007272DF"/>
    <w:rsid w:val="0072740F"/>
    <w:rsid w:val="00727916"/>
    <w:rsid w:val="007279D9"/>
    <w:rsid w:val="00727B79"/>
    <w:rsid w:val="00727BAA"/>
    <w:rsid w:val="00727BFC"/>
    <w:rsid w:val="00727D2D"/>
    <w:rsid w:val="00727D54"/>
    <w:rsid w:val="00727E3B"/>
    <w:rsid w:val="00727FB5"/>
    <w:rsid w:val="007302B9"/>
    <w:rsid w:val="00730342"/>
    <w:rsid w:val="0073085B"/>
    <w:rsid w:val="007309C1"/>
    <w:rsid w:val="00730A8A"/>
    <w:rsid w:val="00730B5A"/>
    <w:rsid w:val="00730C79"/>
    <w:rsid w:val="00730D35"/>
    <w:rsid w:val="00730E42"/>
    <w:rsid w:val="00730F7A"/>
    <w:rsid w:val="00731257"/>
    <w:rsid w:val="007314B1"/>
    <w:rsid w:val="0073168E"/>
    <w:rsid w:val="00731840"/>
    <w:rsid w:val="00731A5C"/>
    <w:rsid w:val="00731C31"/>
    <w:rsid w:val="00731DC8"/>
    <w:rsid w:val="0073204B"/>
    <w:rsid w:val="00732402"/>
    <w:rsid w:val="007325A3"/>
    <w:rsid w:val="0073281F"/>
    <w:rsid w:val="00732DC7"/>
    <w:rsid w:val="00732E5A"/>
    <w:rsid w:val="007331AE"/>
    <w:rsid w:val="007332B6"/>
    <w:rsid w:val="00733B15"/>
    <w:rsid w:val="00733F61"/>
    <w:rsid w:val="00734178"/>
    <w:rsid w:val="0073427A"/>
    <w:rsid w:val="007342A4"/>
    <w:rsid w:val="0073448D"/>
    <w:rsid w:val="0073496E"/>
    <w:rsid w:val="007350DD"/>
    <w:rsid w:val="00735108"/>
    <w:rsid w:val="0073549D"/>
    <w:rsid w:val="007359C1"/>
    <w:rsid w:val="00735E04"/>
    <w:rsid w:val="00735FE6"/>
    <w:rsid w:val="00736122"/>
    <w:rsid w:val="007361D5"/>
    <w:rsid w:val="0073639D"/>
    <w:rsid w:val="007368E5"/>
    <w:rsid w:val="00736932"/>
    <w:rsid w:val="00736D7F"/>
    <w:rsid w:val="00737056"/>
    <w:rsid w:val="00737174"/>
    <w:rsid w:val="007372B2"/>
    <w:rsid w:val="007373DF"/>
    <w:rsid w:val="00737443"/>
    <w:rsid w:val="00737662"/>
    <w:rsid w:val="00737C7A"/>
    <w:rsid w:val="0074001A"/>
    <w:rsid w:val="00740094"/>
    <w:rsid w:val="00740196"/>
    <w:rsid w:val="0074022D"/>
    <w:rsid w:val="007407D7"/>
    <w:rsid w:val="007407DE"/>
    <w:rsid w:val="007408EC"/>
    <w:rsid w:val="00740D46"/>
    <w:rsid w:val="00740DD4"/>
    <w:rsid w:val="007411EE"/>
    <w:rsid w:val="00741827"/>
    <w:rsid w:val="007418D3"/>
    <w:rsid w:val="00741A0B"/>
    <w:rsid w:val="00741B56"/>
    <w:rsid w:val="00741BAC"/>
    <w:rsid w:val="00741E6F"/>
    <w:rsid w:val="0074206B"/>
    <w:rsid w:val="00742148"/>
    <w:rsid w:val="007421EF"/>
    <w:rsid w:val="0074220A"/>
    <w:rsid w:val="007427DA"/>
    <w:rsid w:val="00742B0C"/>
    <w:rsid w:val="00742D38"/>
    <w:rsid w:val="00742D75"/>
    <w:rsid w:val="00742DE4"/>
    <w:rsid w:val="00742EA3"/>
    <w:rsid w:val="00743646"/>
    <w:rsid w:val="007436F9"/>
    <w:rsid w:val="00743B30"/>
    <w:rsid w:val="00743C2B"/>
    <w:rsid w:val="00743CC5"/>
    <w:rsid w:val="00743E88"/>
    <w:rsid w:val="00743ED6"/>
    <w:rsid w:val="007441F2"/>
    <w:rsid w:val="00744CB2"/>
    <w:rsid w:val="007451F9"/>
    <w:rsid w:val="007454CD"/>
    <w:rsid w:val="00745814"/>
    <w:rsid w:val="00745B97"/>
    <w:rsid w:val="00745FD2"/>
    <w:rsid w:val="007461E5"/>
    <w:rsid w:val="0074654D"/>
    <w:rsid w:val="0074668B"/>
    <w:rsid w:val="00746A16"/>
    <w:rsid w:val="00746A6E"/>
    <w:rsid w:val="00746B6C"/>
    <w:rsid w:val="00746C43"/>
    <w:rsid w:val="00746CE6"/>
    <w:rsid w:val="007476D3"/>
    <w:rsid w:val="00747897"/>
    <w:rsid w:val="00747AE0"/>
    <w:rsid w:val="00747D45"/>
    <w:rsid w:val="00747E7B"/>
    <w:rsid w:val="0075003E"/>
    <w:rsid w:val="0075062A"/>
    <w:rsid w:val="00750A47"/>
    <w:rsid w:val="0075169F"/>
    <w:rsid w:val="00751D48"/>
    <w:rsid w:val="00752425"/>
    <w:rsid w:val="0075253B"/>
    <w:rsid w:val="00752900"/>
    <w:rsid w:val="00752D53"/>
    <w:rsid w:val="00752E63"/>
    <w:rsid w:val="007531AC"/>
    <w:rsid w:val="007533BC"/>
    <w:rsid w:val="007536BA"/>
    <w:rsid w:val="007538CE"/>
    <w:rsid w:val="00753B6B"/>
    <w:rsid w:val="00753EB3"/>
    <w:rsid w:val="00754091"/>
    <w:rsid w:val="0075409F"/>
    <w:rsid w:val="007540C2"/>
    <w:rsid w:val="00754112"/>
    <w:rsid w:val="0075425F"/>
    <w:rsid w:val="00754441"/>
    <w:rsid w:val="00754C4B"/>
    <w:rsid w:val="00754CAE"/>
    <w:rsid w:val="00754CE9"/>
    <w:rsid w:val="0075544E"/>
    <w:rsid w:val="0075574D"/>
    <w:rsid w:val="0075581A"/>
    <w:rsid w:val="00755B14"/>
    <w:rsid w:val="00755BF1"/>
    <w:rsid w:val="00755C77"/>
    <w:rsid w:val="00755E01"/>
    <w:rsid w:val="00755E0C"/>
    <w:rsid w:val="00756182"/>
    <w:rsid w:val="0075665E"/>
    <w:rsid w:val="007569F5"/>
    <w:rsid w:val="00756BE6"/>
    <w:rsid w:val="00756FAC"/>
    <w:rsid w:val="00756FF5"/>
    <w:rsid w:val="007571C6"/>
    <w:rsid w:val="00757878"/>
    <w:rsid w:val="00757943"/>
    <w:rsid w:val="00757DAD"/>
    <w:rsid w:val="0076025E"/>
    <w:rsid w:val="00760281"/>
    <w:rsid w:val="0076067E"/>
    <w:rsid w:val="007611D1"/>
    <w:rsid w:val="007612B4"/>
    <w:rsid w:val="00761341"/>
    <w:rsid w:val="0076153C"/>
    <w:rsid w:val="007617AC"/>
    <w:rsid w:val="00761C6E"/>
    <w:rsid w:val="00761ED4"/>
    <w:rsid w:val="0076224B"/>
    <w:rsid w:val="0076250E"/>
    <w:rsid w:val="00762575"/>
    <w:rsid w:val="007627B7"/>
    <w:rsid w:val="00762DD3"/>
    <w:rsid w:val="00762F91"/>
    <w:rsid w:val="00763045"/>
    <w:rsid w:val="007631CF"/>
    <w:rsid w:val="00763509"/>
    <w:rsid w:val="00763515"/>
    <w:rsid w:val="007635AC"/>
    <w:rsid w:val="007636B6"/>
    <w:rsid w:val="00763D1F"/>
    <w:rsid w:val="00763F88"/>
    <w:rsid w:val="00764511"/>
    <w:rsid w:val="007647D0"/>
    <w:rsid w:val="00764C84"/>
    <w:rsid w:val="0076500E"/>
    <w:rsid w:val="0076547F"/>
    <w:rsid w:val="007655FD"/>
    <w:rsid w:val="007661DE"/>
    <w:rsid w:val="0076644F"/>
    <w:rsid w:val="007665CA"/>
    <w:rsid w:val="007667DC"/>
    <w:rsid w:val="00766B01"/>
    <w:rsid w:val="007670D3"/>
    <w:rsid w:val="0076710A"/>
    <w:rsid w:val="00767950"/>
    <w:rsid w:val="00767B1B"/>
    <w:rsid w:val="00767EA8"/>
    <w:rsid w:val="00767F68"/>
    <w:rsid w:val="00767F87"/>
    <w:rsid w:val="00770A28"/>
    <w:rsid w:val="00770C10"/>
    <w:rsid w:val="00770C25"/>
    <w:rsid w:val="0077131C"/>
    <w:rsid w:val="00771601"/>
    <w:rsid w:val="00771977"/>
    <w:rsid w:val="00771C61"/>
    <w:rsid w:val="00771C76"/>
    <w:rsid w:val="00771CB4"/>
    <w:rsid w:val="00771E13"/>
    <w:rsid w:val="00771E42"/>
    <w:rsid w:val="0077256E"/>
    <w:rsid w:val="00772B4F"/>
    <w:rsid w:val="00772D02"/>
    <w:rsid w:val="00773206"/>
    <w:rsid w:val="007737DB"/>
    <w:rsid w:val="00773A2D"/>
    <w:rsid w:val="00773BA7"/>
    <w:rsid w:val="00773F74"/>
    <w:rsid w:val="00773FAE"/>
    <w:rsid w:val="00773FEF"/>
    <w:rsid w:val="00774239"/>
    <w:rsid w:val="0077436E"/>
    <w:rsid w:val="007746F5"/>
    <w:rsid w:val="00774A35"/>
    <w:rsid w:val="00774B80"/>
    <w:rsid w:val="007752EE"/>
    <w:rsid w:val="00775AA1"/>
    <w:rsid w:val="00775AC2"/>
    <w:rsid w:val="00775ADA"/>
    <w:rsid w:val="00775BC6"/>
    <w:rsid w:val="00775C1C"/>
    <w:rsid w:val="00775C32"/>
    <w:rsid w:val="00776D94"/>
    <w:rsid w:val="00777265"/>
    <w:rsid w:val="007775AC"/>
    <w:rsid w:val="00777B9C"/>
    <w:rsid w:val="00780340"/>
    <w:rsid w:val="00780493"/>
    <w:rsid w:val="007805FA"/>
    <w:rsid w:val="0078071C"/>
    <w:rsid w:val="00780D6B"/>
    <w:rsid w:val="00780E2E"/>
    <w:rsid w:val="00780EA0"/>
    <w:rsid w:val="00780F3B"/>
    <w:rsid w:val="00780F62"/>
    <w:rsid w:val="00780FAE"/>
    <w:rsid w:val="007812AD"/>
    <w:rsid w:val="007813E9"/>
    <w:rsid w:val="00781CC1"/>
    <w:rsid w:val="00781D6B"/>
    <w:rsid w:val="007820D4"/>
    <w:rsid w:val="0078218E"/>
    <w:rsid w:val="007821EC"/>
    <w:rsid w:val="0078224D"/>
    <w:rsid w:val="00782545"/>
    <w:rsid w:val="00782776"/>
    <w:rsid w:val="007828A9"/>
    <w:rsid w:val="0078320A"/>
    <w:rsid w:val="00783699"/>
    <w:rsid w:val="00783E60"/>
    <w:rsid w:val="00783FD2"/>
    <w:rsid w:val="007840A3"/>
    <w:rsid w:val="0078436C"/>
    <w:rsid w:val="0078440E"/>
    <w:rsid w:val="00784446"/>
    <w:rsid w:val="007844E8"/>
    <w:rsid w:val="007847E9"/>
    <w:rsid w:val="007848BD"/>
    <w:rsid w:val="007849D3"/>
    <w:rsid w:val="00784ADD"/>
    <w:rsid w:val="00784F7F"/>
    <w:rsid w:val="007850E9"/>
    <w:rsid w:val="00785385"/>
    <w:rsid w:val="0078545F"/>
    <w:rsid w:val="007856B5"/>
    <w:rsid w:val="00785A87"/>
    <w:rsid w:val="00785AF3"/>
    <w:rsid w:val="00785B60"/>
    <w:rsid w:val="00786102"/>
    <w:rsid w:val="007862E0"/>
    <w:rsid w:val="00786379"/>
    <w:rsid w:val="0078699E"/>
    <w:rsid w:val="00786CCA"/>
    <w:rsid w:val="00786D19"/>
    <w:rsid w:val="00787005"/>
    <w:rsid w:val="00787588"/>
    <w:rsid w:val="00787810"/>
    <w:rsid w:val="00787839"/>
    <w:rsid w:val="00787856"/>
    <w:rsid w:val="0078789A"/>
    <w:rsid w:val="00787994"/>
    <w:rsid w:val="0079004F"/>
    <w:rsid w:val="007902DF"/>
    <w:rsid w:val="007904E0"/>
    <w:rsid w:val="00790745"/>
    <w:rsid w:val="00790858"/>
    <w:rsid w:val="007908A8"/>
    <w:rsid w:val="00791304"/>
    <w:rsid w:val="007916C4"/>
    <w:rsid w:val="007925E7"/>
    <w:rsid w:val="0079267B"/>
    <w:rsid w:val="00792878"/>
    <w:rsid w:val="007929ED"/>
    <w:rsid w:val="00792AA5"/>
    <w:rsid w:val="00792AE4"/>
    <w:rsid w:val="0079303F"/>
    <w:rsid w:val="0079325E"/>
    <w:rsid w:val="0079345C"/>
    <w:rsid w:val="0079358E"/>
    <w:rsid w:val="00793CB2"/>
    <w:rsid w:val="00793D7C"/>
    <w:rsid w:val="00793D8F"/>
    <w:rsid w:val="00793F0F"/>
    <w:rsid w:val="00794394"/>
    <w:rsid w:val="007944F6"/>
    <w:rsid w:val="0079453E"/>
    <w:rsid w:val="007946E7"/>
    <w:rsid w:val="0079479B"/>
    <w:rsid w:val="00794A4E"/>
    <w:rsid w:val="00794B36"/>
    <w:rsid w:val="00794E48"/>
    <w:rsid w:val="007951FF"/>
    <w:rsid w:val="00795519"/>
    <w:rsid w:val="00795ACD"/>
    <w:rsid w:val="00795B90"/>
    <w:rsid w:val="00795C57"/>
    <w:rsid w:val="00795DD4"/>
    <w:rsid w:val="00796358"/>
    <w:rsid w:val="00796399"/>
    <w:rsid w:val="0079647A"/>
    <w:rsid w:val="0079667D"/>
    <w:rsid w:val="007967F1"/>
    <w:rsid w:val="00797200"/>
    <w:rsid w:val="007972C3"/>
    <w:rsid w:val="007974E4"/>
    <w:rsid w:val="007976F9"/>
    <w:rsid w:val="00797C56"/>
    <w:rsid w:val="00797DCA"/>
    <w:rsid w:val="007A0097"/>
    <w:rsid w:val="007A06A0"/>
    <w:rsid w:val="007A0E25"/>
    <w:rsid w:val="007A0E71"/>
    <w:rsid w:val="007A1205"/>
    <w:rsid w:val="007A141F"/>
    <w:rsid w:val="007A154B"/>
    <w:rsid w:val="007A1B25"/>
    <w:rsid w:val="007A1B6D"/>
    <w:rsid w:val="007A2076"/>
    <w:rsid w:val="007A260F"/>
    <w:rsid w:val="007A269C"/>
    <w:rsid w:val="007A27EE"/>
    <w:rsid w:val="007A286B"/>
    <w:rsid w:val="007A2882"/>
    <w:rsid w:val="007A2E35"/>
    <w:rsid w:val="007A3645"/>
    <w:rsid w:val="007A380B"/>
    <w:rsid w:val="007A38E1"/>
    <w:rsid w:val="007A39C6"/>
    <w:rsid w:val="007A3A6D"/>
    <w:rsid w:val="007A3AC7"/>
    <w:rsid w:val="007A3B77"/>
    <w:rsid w:val="007A3E31"/>
    <w:rsid w:val="007A4333"/>
    <w:rsid w:val="007A4363"/>
    <w:rsid w:val="007A4980"/>
    <w:rsid w:val="007A4B7B"/>
    <w:rsid w:val="007A4C09"/>
    <w:rsid w:val="007A4E70"/>
    <w:rsid w:val="007A4EE3"/>
    <w:rsid w:val="007A4EEE"/>
    <w:rsid w:val="007A4F06"/>
    <w:rsid w:val="007A50D9"/>
    <w:rsid w:val="007A5265"/>
    <w:rsid w:val="007A533F"/>
    <w:rsid w:val="007A5833"/>
    <w:rsid w:val="007A5BF2"/>
    <w:rsid w:val="007A5D51"/>
    <w:rsid w:val="007A64AF"/>
    <w:rsid w:val="007A66E8"/>
    <w:rsid w:val="007A6B59"/>
    <w:rsid w:val="007A6CE6"/>
    <w:rsid w:val="007A6FC7"/>
    <w:rsid w:val="007A7060"/>
    <w:rsid w:val="007A7202"/>
    <w:rsid w:val="007A7433"/>
    <w:rsid w:val="007A7890"/>
    <w:rsid w:val="007A7A4D"/>
    <w:rsid w:val="007A7AF8"/>
    <w:rsid w:val="007A7E3A"/>
    <w:rsid w:val="007A7E68"/>
    <w:rsid w:val="007A7FA2"/>
    <w:rsid w:val="007B046D"/>
    <w:rsid w:val="007B0550"/>
    <w:rsid w:val="007B0CB1"/>
    <w:rsid w:val="007B0D8D"/>
    <w:rsid w:val="007B0F3A"/>
    <w:rsid w:val="007B1212"/>
    <w:rsid w:val="007B129D"/>
    <w:rsid w:val="007B1350"/>
    <w:rsid w:val="007B164C"/>
    <w:rsid w:val="007B1866"/>
    <w:rsid w:val="007B1A7C"/>
    <w:rsid w:val="007B1BD5"/>
    <w:rsid w:val="007B1F09"/>
    <w:rsid w:val="007B200F"/>
    <w:rsid w:val="007B230F"/>
    <w:rsid w:val="007B231C"/>
    <w:rsid w:val="007B250A"/>
    <w:rsid w:val="007B2511"/>
    <w:rsid w:val="007B257B"/>
    <w:rsid w:val="007B28B4"/>
    <w:rsid w:val="007B2BAC"/>
    <w:rsid w:val="007B2F9B"/>
    <w:rsid w:val="007B30E3"/>
    <w:rsid w:val="007B33C7"/>
    <w:rsid w:val="007B34FD"/>
    <w:rsid w:val="007B3904"/>
    <w:rsid w:val="007B3F50"/>
    <w:rsid w:val="007B42D5"/>
    <w:rsid w:val="007B4428"/>
    <w:rsid w:val="007B4A5E"/>
    <w:rsid w:val="007B4AFC"/>
    <w:rsid w:val="007B4B2F"/>
    <w:rsid w:val="007B4BDA"/>
    <w:rsid w:val="007B5251"/>
    <w:rsid w:val="007B5A86"/>
    <w:rsid w:val="007B5E8C"/>
    <w:rsid w:val="007B5F63"/>
    <w:rsid w:val="007B60AE"/>
    <w:rsid w:val="007B6322"/>
    <w:rsid w:val="007B66E4"/>
    <w:rsid w:val="007B708D"/>
    <w:rsid w:val="007B7289"/>
    <w:rsid w:val="007C0557"/>
    <w:rsid w:val="007C0A88"/>
    <w:rsid w:val="007C0B04"/>
    <w:rsid w:val="007C0B12"/>
    <w:rsid w:val="007C0F4F"/>
    <w:rsid w:val="007C0F8D"/>
    <w:rsid w:val="007C1079"/>
    <w:rsid w:val="007C11EB"/>
    <w:rsid w:val="007C12B8"/>
    <w:rsid w:val="007C14E1"/>
    <w:rsid w:val="007C157A"/>
    <w:rsid w:val="007C1AA5"/>
    <w:rsid w:val="007C1DC3"/>
    <w:rsid w:val="007C1F82"/>
    <w:rsid w:val="007C2409"/>
    <w:rsid w:val="007C25D0"/>
    <w:rsid w:val="007C260D"/>
    <w:rsid w:val="007C2ABE"/>
    <w:rsid w:val="007C3200"/>
    <w:rsid w:val="007C33B0"/>
    <w:rsid w:val="007C36AD"/>
    <w:rsid w:val="007C3D6A"/>
    <w:rsid w:val="007C3D85"/>
    <w:rsid w:val="007C3F37"/>
    <w:rsid w:val="007C4468"/>
    <w:rsid w:val="007C4517"/>
    <w:rsid w:val="007C4D84"/>
    <w:rsid w:val="007C5163"/>
    <w:rsid w:val="007C53EB"/>
    <w:rsid w:val="007C55D5"/>
    <w:rsid w:val="007C5BBB"/>
    <w:rsid w:val="007C5CE6"/>
    <w:rsid w:val="007C5D9D"/>
    <w:rsid w:val="007C5F31"/>
    <w:rsid w:val="007C6A38"/>
    <w:rsid w:val="007C6B3F"/>
    <w:rsid w:val="007C6E16"/>
    <w:rsid w:val="007C6E39"/>
    <w:rsid w:val="007C6F34"/>
    <w:rsid w:val="007C7266"/>
    <w:rsid w:val="007C72B1"/>
    <w:rsid w:val="007C72D4"/>
    <w:rsid w:val="007C73F9"/>
    <w:rsid w:val="007C7931"/>
    <w:rsid w:val="007C79B9"/>
    <w:rsid w:val="007C7BCB"/>
    <w:rsid w:val="007C7BCC"/>
    <w:rsid w:val="007C7C06"/>
    <w:rsid w:val="007C7C36"/>
    <w:rsid w:val="007D0143"/>
    <w:rsid w:val="007D04D5"/>
    <w:rsid w:val="007D07E7"/>
    <w:rsid w:val="007D0859"/>
    <w:rsid w:val="007D08EE"/>
    <w:rsid w:val="007D0E8B"/>
    <w:rsid w:val="007D132F"/>
    <w:rsid w:val="007D1401"/>
    <w:rsid w:val="007D14F6"/>
    <w:rsid w:val="007D1B89"/>
    <w:rsid w:val="007D1FF1"/>
    <w:rsid w:val="007D26FE"/>
    <w:rsid w:val="007D2779"/>
    <w:rsid w:val="007D284B"/>
    <w:rsid w:val="007D2CC0"/>
    <w:rsid w:val="007D2F12"/>
    <w:rsid w:val="007D305A"/>
    <w:rsid w:val="007D3283"/>
    <w:rsid w:val="007D35F6"/>
    <w:rsid w:val="007D397D"/>
    <w:rsid w:val="007D39A4"/>
    <w:rsid w:val="007D3D1E"/>
    <w:rsid w:val="007D4425"/>
    <w:rsid w:val="007D45AB"/>
    <w:rsid w:val="007D468B"/>
    <w:rsid w:val="007D46B0"/>
    <w:rsid w:val="007D49A6"/>
    <w:rsid w:val="007D4B9C"/>
    <w:rsid w:val="007D4C22"/>
    <w:rsid w:val="007D4D40"/>
    <w:rsid w:val="007D5069"/>
    <w:rsid w:val="007D56A6"/>
    <w:rsid w:val="007D5DDA"/>
    <w:rsid w:val="007D63D2"/>
    <w:rsid w:val="007D664F"/>
    <w:rsid w:val="007D6977"/>
    <w:rsid w:val="007D699C"/>
    <w:rsid w:val="007D6C04"/>
    <w:rsid w:val="007D726C"/>
    <w:rsid w:val="007D73F8"/>
    <w:rsid w:val="007D7423"/>
    <w:rsid w:val="007D7617"/>
    <w:rsid w:val="007D7DB6"/>
    <w:rsid w:val="007E0384"/>
    <w:rsid w:val="007E0E34"/>
    <w:rsid w:val="007E0F0A"/>
    <w:rsid w:val="007E0F94"/>
    <w:rsid w:val="007E0FE9"/>
    <w:rsid w:val="007E1316"/>
    <w:rsid w:val="007E1530"/>
    <w:rsid w:val="007E1883"/>
    <w:rsid w:val="007E1E5E"/>
    <w:rsid w:val="007E1F4D"/>
    <w:rsid w:val="007E24D6"/>
    <w:rsid w:val="007E254E"/>
    <w:rsid w:val="007E2B02"/>
    <w:rsid w:val="007E2C52"/>
    <w:rsid w:val="007E3150"/>
    <w:rsid w:val="007E32E3"/>
    <w:rsid w:val="007E3555"/>
    <w:rsid w:val="007E3B1A"/>
    <w:rsid w:val="007E3B1C"/>
    <w:rsid w:val="007E3C3D"/>
    <w:rsid w:val="007E3E99"/>
    <w:rsid w:val="007E4287"/>
    <w:rsid w:val="007E4827"/>
    <w:rsid w:val="007E4A85"/>
    <w:rsid w:val="007E4EFF"/>
    <w:rsid w:val="007E5022"/>
    <w:rsid w:val="007E58B0"/>
    <w:rsid w:val="007E5D09"/>
    <w:rsid w:val="007E6696"/>
    <w:rsid w:val="007E67E0"/>
    <w:rsid w:val="007E6D85"/>
    <w:rsid w:val="007E6DF9"/>
    <w:rsid w:val="007E6F44"/>
    <w:rsid w:val="007E7270"/>
    <w:rsid w:val="007E72F2"/>
    <w:rsid w:val="007E7612"/>
    <w:rsid w:val="007E77CA"/>
    <w:rsid w:val="007E784C"/>
    <w:rsid w:val="007E7A21"/>
    <w:rsid w:val="007E7E44"/>
    <w:rsid w:val="007F0178"/>
    <w:rsid w:val="007F068A"/>
    <w:rsid w:val="007F085F"/>
    <w:rsid w:val="007F0CB0"/>
    <w:rsid w:val="007F0CCA"/>
    <w:rsid w:val="007F0CFA"/>
    <w:rsid w:val="007F0D3F"/>
    <w:rsid w:val="007F12FB"/>
    <w:rsid w:val="007F1FF4"/>
    <w:rsid w:val="007F1FF9"/>
    <w:rsid w:val="007F24D4"/>
    <w:rsid w:val="007F2DE1"/>
    <w:rsid w:val="007F2DF6"/>
    <w:rsid w:val="007F2F23"/>
    <w:rsid w:val="007F3296"/>
    <w:rsid w:val="007F35BD"/>
    <w:rsid w:val="007F3891"/>
    <w:rsid w:val="007F41D8"/>
    <w:rsid w:val="007F4486"/>
    <w:rsid w:val="007F45C1"/>
    <w:rsid w:val="007F45EA"/>
    <w:rsid w:val="007F47D7"/>
    <w:rsid w:val="007F4AE4"/>
    <w:rsid w:val="007F4C3F"/>
    <w:rsid w:val="007F4D0D"/>
    <w:rsid w:val="007F545E"/>
    <w:rsid w:val="007F54B8"/>
    <w:rsid w:val="007F550C"/>
    <w:rsid w:val="007F572F"/>
    <w:rsid w:val="007F60B6"/>
    <w:rsid w:val="007F62DD"/>
    <w:rsid w:val="007F63AF"/>
    <w:rsid w:val="007F648E"/>
    <w:rsid w:val="007F6D0F"/>
    <w:rsid w:val="007F6D6A"/>
    <w:rsid w:val="007F7440"/>
    <w:rsid w:val="007F75DA"/>
    <w:rsid w:val="007F779A"/>
    <w:rsid w:val="007F7BB3"/>
    <w:rsid w:val="007F7BC4"/>
    <w:rsid w:val="007F7FDD"/>
    <w:rsid w:val="008003E3"/>
    <w:rsid w:val="008008AB"/>
    <w:rsid w:val="00800AD6"/>
    <w:rsid w:val="00800D9E"/>
    <w:rsid w:val="0080106E"/>
    <w:rsid w:val="00801384"/>
    <w:rsid w:val="00801A75"/>
    <w:rsid w:val="00801E0A"/>
    <w:rsid w:val="008021D2"/>
    <w:rsid w:val="008021E1"/>
    <w:rsid w:val="00802357"/>
    <w:rsid w:val="0080268D"/>
    <w:rsid w:val="00802891"/>
    <w:rsid w:val="00802CE3"/>
    <w:rsid w:val="00802E58"/>
    <w:rsid w:val="00802FBB"/>
    <w:rsid w:val="00803122"/>
    <w:rsid w:val="0080315F"/>
    <w:rsid w:val="0080316D"/>
    <w:rsid w:val="008031C3"/>
    <w:rsid w:val="008031E2"/>
    <w:rsid w:val="00803269"/>
    <w:rsid w:val="008036EC"/>
    <w:rsid w:val="0080375C"/>
    <w:rsid w:val="0080375D"/>
    <w:rsid w:val="00803AEB"/>
    <w:rsid w:val="00803C9D"/>
    <w:rsid w:val="00803D58"/>
    <w:rsid w:val="00803DFA"/>
    <w:rsid w:val="00803FE1"/>
    <w:rsid w:val="00804931"/>
    <w:rsid w:val="00804A54"/>
    <w:rsid w:val="00804A86"/>
    <w:rsid w:val="00804AD7"/>
    <w:rsid w:val="0080509D"/>
    <w:rsid w:val="00805261"/>
    <w:rsid w:val="0080533B"/>
    <w:rsid w:val="00805573"/>
    <w:rsid w:val="0080568A"/>
    <w:rsid w:val="008057E9"/>
    <w:rsid w:val="00805810"/>
    <w:rsid w:val="0080588C"/>
    <w:rsid w:val="00805C6B"/>
    <w:rsid w:val="00805D2D"/>
    <w:rsid w:val="00805EAB"/>
    <w:rsid w:val="0080664C"/>
    <w:rsid w:val="00806CBC"/>
    <w:rsid w:val="008071B0"/>
    <w:rsid w:val="0080726A"/>
    <w:rsid w:val="00807316"/>
    <w:rsid w:val="00807C91"/>
    <w:rsid w:val="00810115"/>
    <w:rsid w:val="008103A5"/>
    <w:rsid w:val="008103DE"/>
    <w:rsid w:val="008104A2"/>
    <w:rsid w:val="0081072D"/>
    <w:rsid w:val="00810812"/>
    <w:rsid w:val="00810A3C"/>
    <w:rsid w:val="00810CF0"/>
    <w:rsid w:val="00810D36"/>
    <w:rsid w:val="00810DE2"/>
    <w:rsid w:val="00810E71"/>
    <w:rsid w:val="00810F0D"/>
    <w:rsid w:val="0081178B"/>
    <w:rsid w:val="00811A63"/>
    <w:rsid w:val="00811CC6"/>
    <w:rsid w:val="00812100"/>
    <w:rsid w:val="00812420"/>
    <w:rsid w:val="00812628"/>
    <w:rsid w:val="008126A8"/>
    <w:rsid w:val="008126FA"/>
    <w:rsid w:val="008129A8"/>
    <w:rsid w:val="00812AF2"/>
    <w:rsid w:val="00812C9C"/>
    <w:rsid w:val="00812CB9"/>
    <w:rsid w:val="00812E86"/>
    <w:rsid w:val="00812EB2"/>
    <w:rsid w:val="00812F30"/>
    <w:rsid w:val="008132C8"/>
    <w:rsid w:val="008137E6"/>
    <w:rsid w:val="008137EC"/>
    <w:rsid w:val="0081397F"/>
    <w:rsid w:val="00813A85"/>
    <w:rsid w:val="00813C12"/>
    <w:rsid w:val="00813C89"/>
    <w:rsid w:val="00814642"/>
    <w:rsid w:val="008148E8"/>
    <w:rsid w:val="00814EC0"/>
    <w:rsid w:val="00815106"/>
    <w:rsid w:val="008151C7"/>
    <w:rsid w:val="00815403"/>
    <w:rsid w:val="008155EA"/>
    <w:rsid w:val="00815665"/>
    <w:rsid w:val="00815749"/>
    <w:rsid w:val="008158C7"/>
    <w:rsid w:val="008159A3"/>
    <w:rsid w:val="00815B0C"/>
    <w:rsid w:val="00816136"/>
    <w:rsid w:val="00816149"/>
    <w:rsid w:val="008163CE"/>
    <w:rsid w:val="0081644F"/>
    <w:rsid w:val="0081736A"/>
    <w:rsid w:val="00817380"/>
    <w:rsid w:val="0081760D"/>
    <w:rsid w:val="008179B9"/>
    <w:rsid w:val="00817D3F"/>
    <w:rsid w:val="00817E4F"/>
    <w:rsid w:val="0082017A"/>
    <w:rsid w:val="008208D1"/>
    <w:rsid w:val="00820962"/>
    <w:rsid w:val="008209E7"/>
    <w:rsid w:val="00820A77"/>
    <w:rsid w:val="00820B10"/>
    <w:rsid w:val="008211B5"/>
    <w:rsid w:val="00821A80"/>
    <w:rsid w:val="00821F74"/>
    <w:rsid w:val="008220BA"/>
    <w:rsid w:val="00822653"/>
    <w:rsid w:val="008228EB"/>
    <w:rsid w:val="00822B1F"/>
    <w:rsid w:val="00822BB8"/>
    <w:rsid w:val="00822CEA"/>
    <w:rsid w:val="008237C1"/>
    <w:rsid w:val="00823C83"/>
    <w:rsid w:val="00823D5B"/>
    <w:rsid w:val="00823E87"/>
    <w:rsid w:val="008240E2"/>
    <w:rsid w:val="008241B5"/>
    <w:rsid w:val="008243F3"/>
    <w:rsid w:val="008245E1"/>
    <w:rsid w:val="0082460E"/>
    <w:rsid w:val="00824DE5"/>
    <w:rsid w:val="008251F7"/>
    <w:rsid w:val="00825356"/>
    <w:rsid w:val="00825A8B"/>
    <w:rsid w:val="00825F98"/>
    <w:rsid w:val="00825FA7"/>
    <w:rsid w:val="008266CD"/>
    <w:rsid w:val="00827158"/>
    <w:rsid w:val="0082734E"/>
    <w:rsid w:val="00827470"/>
    <w:rsid w:val="00827E86"/>
    <w:rsid w:val="008301AD"/>
    <w:rsid w:val="00830340"/>
    <w:rsid w:val="0083036A"/>
    <w:rsid w:val="008303A9"/>
    <w:rsid w:val="008306FD"/>
    <w:rsid w:val="008309A6"/>
    <w:rsid w:val="00830B55"/>
    <w:rsid w:val="00830E61"/>
    <w:rsid w:val="00830ED4"/>
    <w:rsid w:val="00830F6D"/>
    <w:rsid w:val="00830FC1"/>
    <w:rsid w:val="0083127D"/>
    <w:rsid w:val="008313F8"/>
    <w:rsid w:val="00831602"/>
    <w:rsid w:val="00831AE9"/>
    <w:rsid w:val="00831B76"/>
    <w:rsid w:val="00831ED8"/>
    <w:rsid w:val="00831F8D"/>
    <w:rsid w:val="008322F8"/>
    <w:rsid w:val="008323C1"/>
    <w:rsid w:val="00832ECC"/>
    <w:rsid w:val="00832F2E"/>
    <w:rsid w:val="00832F9A"/>
    <w:rsid w:val="008330DB"/>
    <w:rsid w:val="008330FA"/>
    <w:rsid w:val="00833FE3"/>
    <w:rsid w:val="0083445B"/>
    <w:rsid w:val="008344F7"/>
    <w:rsid w:val="008347DB"/>
    <w:rsid w:val="00834E19"/>
    <w:rsid w:val="0083515C"/>
    <w:rsid w:val="0083543A"/>
    <w:rsid w:val="0083561E"/>
    <w:rsid w:val="008358E1"/>
    <w:rsid w:val="00835BA4"/>
    <w:rsid w:val="00835C5A"/>
    <w:rsid w:val="00835D82"/>
    <w:rsid w:val="00836412"/>
    <w:rsid w:val="00836413"/>
    <w:rsid w:val="00836765"/>
    <w:rsid w:val="008367A4"/>
    <w:rsid w:val="00836897"/>
    <w:rsid w:val="00836EE6"/>
    <w:rsid w:val="00837038"/>
    <w:rsid w:val="00837535"/>
    <w:rsid w:val="00837781"/>
    <w:rsid w:val="0083782F"/>
    <w:rsid w:val="00837931"/>
    <w:rsid w:val="00837B80"/>
    <w:rsid w:val="00837EDA"/>
    <w:rsid w:val="008400D0"/>
    <w:rsid w:val="00840ACA"/>
    <w:rsid w:val="00840EC9"/>
    <w:rsid w:val="008410E7"/>
    <w:rsid w:val="0084125F"/>
    <w:rsid w:val="00841506"/>
    <w:rsid w:val="008415A7"/>
    <w:rsid w:val="00841972"/>
    <w:rsid w:val="008421AF"/>
    <w:rsid w:val="00842229"/>
    <w:rsid w:val="0084225C"/>
    <w:rsid w:val="00842FA1"/>
    <w:rsid w:val="00842FD5"/>
    <w:rsid w:val="00843319"/>
    <w:rsid w:val="00843433"/>
    <w:rsid w:val="00843651"/>
    <w:rsid w:val="0084374E"/>
    <w:rsid w:val="00843807"/>
    <w:rsid w:val="00843A53"/>
    <w:rsid w:val="00843B11"/>
    <w:rsid w:val="00843D5E"/>
    <w:rsid w:val="00843EB4"/>
    <w:rsid w:val="008440F0"/>
    <w:rsid w:val="008443C6"/>
    <w:rsid w:val="00844431"/>
    <w:rsid w:val="0084464B"/>
    <w:rsid w:val="008447D4"/>
    <w:rsid w:val="00844C6C"/>
    <w:rsid w:val="00844CDE"/>
    <w:rsid w:val="0084549A"/>
    <w:rsid w:val="00845EB0"/>
    <w:rsid w:val="00845FD2"/>
    <w:rsid w:val="008463C9"/>
    <w:rsid w:val="008464EC"/>
    <w:rsid w:val="00846634"/>
    <w:rsid w:val="00846B51"/>
    <w:rsid w:val="00846D2C"/>
    <w:rsid w:val="00846DC5"/>
    <w:rsid w:val="00846F11"/>
    <w:rsid w:val="008475FE"/>
    <w:rsid w:val="008476C6"/>
    <w:rsid w:val="0084773C"/>
    <w:rsid w:val="00847875"/>
    <w:rsid w:val="008478E8"/>
    <w:rsid w:val="00847D84"/>
    <w:rsid w:val="0085013E"/>
    <w:rsid w:val="00850198"/>
    <w:rsid w:val="008504F9"/>
    <w:rsid w:val="00850604"/>
    <w:rsid w:val="00850873"/>
    <w:rsid w:val="008508CE"/>
    <w:rsid w:val="008515AE"/>
    <w:rsid w:val="008518E0"/>
    <w:rsid w:val="0085191B"/>
    <w:rsid w:val="00851B9D"/>
    <w:rsid w:val="00851C9D"/>
    <w:rsid w:val="008520A1"/>
    <w:rsid w:val="00852321"/>
    <w:rsid w:val="0085248A"/>
    <w:rsid w:val="00852729"/>
    <w:rsid w:val="00852852"/>
    <w:rsid w:val="00852AA5"/>
    <w:rsid w:val="00852ABE"/>
    <w:rsid w:val="00853242"/>
    <w:rsid w:val="008535FE"/>
    <w:rsid w:val="00853923"/>
    <w:rsid w:val="00853A1C"/>
    <w:rsid w:val="00853BBA"/>
    <w:rsid w:val="00853EDF"/>
    <w:rsid w:val="00853F84"/>
    <w:rsid w:val="00853F9B"/>
    <w:rsid w:val="00854081"/>
    <w:rsid w:val="0085418E"/>
    <w:rsid w:val="008544C0"/>
    <w:rsid w:val="00854813"/>
    <w:rsid w:val="00854D2A"/>
    <w:rsid w:val="00854F72"/>
    <w:rsid w:val="00855504"/>
    <w:rsid w:val="00855517"/>
    <w:rsid w:val="008555CE"/>
    <w:rsid w:val="00855622"/>
    <w:rsid w:val="0085592C"/>
    <w:rsid w:val="00855B44"/>
    <w:rsid w:val="0085621E"/>
    <w:rsid w:val="00856423"/>
    <w:rsid w:val="00856659"/>
    <w:rsid w:val="00856A2C"/>
    <w:rsid w:val="008572CE"/>
    <w:rsid w:val="00857636"/>
    <w:rsid w:val="00857703"/>
    <w:rsid w:val="0085777F"/>
    <w:rsid w:val="008577EB"/>
    <w:rsid w:val="00857A4A"/>
    <w:rsid w:val="00860311"/>
    <w:rsid w:val="008608A4"/>
    <w:rsid w:val="008608B1"/>
    <w:rsid w:val="00860BE4"/>
    <w:rsid w:val="00860EE0"/>
    <w:rsid w:val="008610B0"/>
    <w:rsid w:val="0086131C"/>
    <w:rsid w:val="00861583"/>
    <w:rsid w:val="0086194B"/>
    <w:rsid w:val="00861AC2"/>
    <w:rsid w:val="0086217B"/>
    <w:rsid w:val="00862240"/>
    <w:rsid w:val="008628F1"/>
    <w:rsid w:val="00862AB2"/>
    <w:rsid w:val="00863050"/>
    <w:rsid w:val="0086369B"/>
    <w:rsid w:val="00863C01"/>
    <w:rsid w:val="00863D45"/>
    <w:rsid w:val="00863DB3"/>
    <w:rsid w:val="00864253"/>
    <w:rsid w:val="00864815"/>
    <w:rsid w:val="008660B8"/>
    <w:rsid w:val="0086611F"/>
    <w:rsid w:val="00866242"/>
    <w:rsid w:val="008662C9"/>
    <w:rsid w:val="008664B8"/>
    <w:rsid w:val="008667DD"/>
    <w:rsid w:val="00866994"/>
    <w:rsid w:val="00866AE7"/>
    <w:rsid w:val="008671AA"/>
    <w:rsid w:val="008671DD"/>
    <w:rsid w:val="00867F5A"/>
    <w:rsid w:val="008700CD"/>
    <w:rsid w:val="008701CF"/>
    <w:rsid w:val="008703E2"/>
    <w:rsid w:val="00870889"/>
    <w:rsid w:val="008709A0"/>
    <w:rsid w:val="008709B9"/>
    <w:rsid w:val="00870A4D"/>
    <w:rsid w:val="00870C10"/>
    <w:rsid w:val="00871063"/>
    <w:rsid w:val="008712E1"/>
    <w:rsid w:val="008713AF"/>
    <w:rsid w:val="00871AF5"/>
    <w:rsid w:val="00871B6C"/>
    <w:rsid w:val="00871CB2"/>
    <w:rsid w:val="00871F91"/>
    <w:rsid w:val="0087204C"/>
    <w:rsid w:val="0087218A"/>
    <w:rsid w:val="00872528"/>
    <w:rsid w:val="00872817"/>
    <w:rsid w:val="00872E12"/>
    <w:rsid w:val="008734B8"/>
    <w:rsid w:val="008734DA"/>
    <w:rsid w:val="008737EE"/>
    <w:rsid w:val="008739AE"/>
    <w:rsid w:val="008739BA"/>
    <w:rsid w:val="00873AB0"/>
    <w:rsid w:val="00873B37"/>
    <w:rsid w:val="00873DE5"/>
    <w:rsid w:val="00873E0B"/>
    <w:rsid w:val="00873E69"/>
    <w:rsid w:val="00873F94"/>
    <w:rsid w:val="00873F9D"/>
    <w:rsid w:val="008741D1"/>
    <w:rsid w:val="0087492C"/>
    <w:rsid w:val="00874BD7"/>
    <w:rsid w:val="00874ED9"/>
    <w:rsid w:val="0087526D"/>
    <w:rsid w:val="008752E3"/>
    <w:rsid w:val="00875337"/>
    <w:rsid w:val="00875719"/>
    <w:rsid w:val="0087573D"/>
    <w:rsid w:val="008757C2"/>
    <w:rsid w:val="008759D4"/>
    <w:rsid w:val="00876080"/>
    <w:rsid w:val="0087655B"/>
    <w:rsid w:val="00876AD4"/>
    <w:rsid w:val="00876B33"/>
    <w:rsid w:val="00876DA7"/>
    <w:rsid w:val="00876E3B"/>
    <w:rsid w:val="00877193"/>
    <w:rsid w:val="00877235"/>
    <w:rsid w:val="00877355"/>
    <w:rsid w:val="00877460"/>
    <w:rsid w:val="008775E6"/>
    <w:rsid w:val="00877C03"/>
    <w:rsid w:val="00877DA6"/>
    <w:rsid w:val="008801BB"/>
    <w:rsid w:val="0088066B"/>
    <w:rsid w:val="00880859"/>
    <w:rsid w:val="00880F60"/>
    <w:rsid w:val="0088160B"/>
    <w:rsid w:val="00882293"/>
    <w:rsid w:val="0088232F"/>
    <w:rsid w:val="008824E3"/>
    <w:rsid w:val="00882A9E"/>
    <w:rsid w:val="00882C73"/>
    <w:rsid w:val="00883147"/>
    <w:rsid w:val="008831E7"/>
    <w:rsid w:val="008837B7"/>
    <w:rsid w:val="00883A89"/>
    <w:rsid w:val="00883BC1"/>
    <w:rsid w:val="00883E07"/>
    <w:rsid w:val="00884046"/>
    <w:rsid w:val="00884073"/>
    <w:rsid w:val="008847D3"/>
    <w:rsid w:val="00884D6B"/>
    <w:rsid w:val="00884EAD"/>
    <w:rsid w:val="00885328"/>
    <w:rsid w:val="0088540A"/>
    <w:rsid w:val="008855BA"/>
    <w:rsid w:val="008855CA"/>
    <w:rsid w:val="00885668"/>
    <w:rsid w:val="00885688"/>
    <w:rsid w:val="00885841"/>
    <w:rsid w:val="008858CD"/>
    <w:rsid w:val="00885B82"/>
    <w:rsid w:val="00885C7D"/>
    <w:rsid w:val="00886587"/>
    <w:rsid w:val="00886B98"/>
    <w:rsid w:val="00887043"/>
    <w:rsid w:val="008872E7"/>
    <w:rsid w:val="00887562"/>
    <w:rsid w:val="008876FF"/>
    <w:rsid w:val="00887B27"/>
    <w:rsid w:val="00887CA4"/>
    <w:rsid w:val="00887E1F"/>
    <w:rsid w:val="00887FB2"/>
    <w:rsid w:val="008905D8"/>
    <w:rsid w:val="008906F3"/>
    <w:rsid w:val="008906FC"/>
    <w:rsid w:val="0089071F"/>
    <w:rsid w:val="00890917"/>
    <w:rsid w:val="008909FF"/>
    <w:rsid w:val="00890A1B"/>
    <w:rsid w:val="00890D54"/>
    <w:rsid w:val="00890D8B"/>
    <w:rsid w:val="008910A9"/>
    <w:rsid w:val="0089121B"/>
    <w:rsid w:val="00891489"/>
    <w:rsid w:val="00891570"/>
    <w:rsid w:val="0089174C"/>
    <w:rsid w:val="00891A7A"/>
    <w:rsid w:val="00891C76"/>
    <w:rsid w:val="00891CA0"/>
    <w:rsid w:val="00891D69"/>
    <w:rsid w:val="00892220"/>
    <w:rsid w:val="008922CC"/>
    <w:rsid w:val="008926EF"/>
    <w:rsid w:val="00892806"/>
    <w:rsid w:val="008928EE"/>
    <w:rsid w:val="00892BC9"/>
    <w:rsid w:val="00892FC8"/>
    <w:rsid w:val="00892FFD"/>
    <w:rsid w:val="00893681"/>
    <w:rsid w:val="008936AF"/>
    <w:rsid w:val="00893773"/>
    <w:rsid w:val="00893E3B"/>
    <w:rsid w:val="00893F04"/>
    <w:rsid w:val="00893F1E"/>
    <w:rsid w:val="008941E7"/>
    <w:rsid w:val="008941F8"/>
    <w:rsid w:val="008942BD"/>
    <w:rsid w:val="008943BE"/>
    <w:rsid w:val="00894421"/>
    <w:rsid w:val="00894578"/>
    <w:rsid w:val="008947A3"/>
    <w:rsid w:val="00894C1D"/>
    <w:rsid w:val="008950AC"/>
    <w:rsid w:val="008950E9"/>
    <w:rsid w:val="00895242"/>
    <w:rsid w:val="008954AB"/>
    <w:rsid w:val="00895549"/>
    <w:rsid w:val="0089575A"/>
    <w:rsid w:val="00895A2B"/>
    <w:rsid w:val="00895B94"/>
    <w:rsid w:val="00895C2C"/>
    <w:rsid w:val="00895E22"/>
    <w:rsid w:val="008963C9"/>
    <w:rsid w:val="0089658F"/>
    <w:rsid w:val="00896671"/>
    <w:rsid w:val="008966AB"/>
    <w:rsid w:val="008966B6"/>
    <w:rsid w:val="00896A80"/>
    <w:rsid w:val="00896C58"/>
    <w:rsid w:val="00896C76"/>
    <w:rsid w:val="00896D00"/>
    <w:rsid w:val="00896D04"/>
    <w:rsid w:val="00896E69"/>
    <w:rsid w:val="00897484"/>
    <w:rsid w:val="00897BB7"/>
    <w:rsid w:val="00897E9B"/>
    <w:rsid w:val="008A0014"/>
    <w:rsid w:val="008A00C9"/>
    <w:rsid w:val="008A0402"/>
    <w:rsid w:val="008A0495"/>
    <w:rsid w:val="008A0A81"/>
    <w:rsid w:val="008A10C7"/>
    <w:rsid w:val="008A1623"/>
    <w:rsid w:val="008A1719"/>
    <w:rsid w:val="008A1B77"/>
    <w:rsid w:val="008A1D15"/>
    <w:rsid w:val="008A1DBC"/>
    <w:rsid w:val="008A1F77"/>
    <w:rsid w:val="008A21AB"/>
    <w:rsid w:val="008A25DA"/>
    <w:rsid w:val="008A26E6"/>
    <w:rsid w:val="008A2BF3"/>
    <w:rsid w:val="008A2CAD"/>
    <w:rsid w:val="008A2D9F"/>
    <w:rsid w:val="008A2F21"/>
    <w:rsid w:val="008A3098"/>
    <w:rsid w:val="008A32FA"/>
    <w:rsid w:val="008A38B9"/>
    <w:rsid w:val="008A3B8F"/>
    <w:rsid w:val="008A3BFB"/>
    <w:rsid w:val="008A3CF2"/>
    <w:rsid w:val="008A4176"/>
    <w:rsid w:val="008A4768"/>
    <w:rsid w:val="008A4937"/>
    <w:rsid w:val="008A49FE"/>
    <w:rsid w:val="008A501A"/>
    <w:rsid w:val="008A504C"/>
    <w:rsid w:val="008A54EE"/>
    <w:rsid w:val="008A556E"/>
    <w:rsid w:val="008A5576"/>
    <w:rsid w:val="008A5B4E"/>
    <w:rsid w:val="008A5B8E"/>
    <w:rsid w:val="008A5E08"/>
    <w:rsid w:val="008A5FD2"/>
    <w:rsid w:val="008A5FE5"/>
    <w:rsid w:val="008A6335"/>
    <w:rsid w:val="008A658A"/>
    <w:rsid w:val="008A678D"/>
    <w:rsid w:val="008A68E1"/>
    <w:rsid w:val="008A6AAE"/>
    <w:rsid w:val="008A76E2"/>
    <w:rsid w:val="008A7CA1"/>
    <w:rsid w:val="008A7CD6"/>
    <w:rsid w:val="008A7E15"/>
    <w:rsid w:val="008A7FB3"/>
    <w:rsid w:val="008B006A"/>
    <w:rsid w:val="008B00FB"/>
    <w:rsid w:val="008B0387"/>
    <w:rsid w:val="008B0450"/>
    <w:rsid w:val="008B058A"/>
    <w:rsid w:val="008B0779"/>
    <w:rsid w:val="008B0A99"/>
    <w:rsid w:val="008B0AD3"/>
    <w:rsid w:val="008B0E11"/>
    <w:rsid w:val="008B0FB1"/>
    <w:rsid w:val="008B282A"/>
    <w:rsid w:val="008B2900"/>
    <w:rsid w:val="008B2949"/>
    <w:rsid w:val="008B2C9E"/>
    <w:rsid w:val="008B2FFA"/>
    <w:rsid w:val="008B3039"/>
    <w:rsid w:val="008B31D8"/>
    <w:rsid w:val="008B3381"/>
    <w:rsid w:val="008B3B13"/>
    <w:rsid w:val="008B3B96"/>
    <w:rsid w:val="008B4264"/>
    <w:rsid w:val="008B44C3"/>
    <w:rsid w:val="008B4587"/>
    <w:rsid w:val="008B4850"/>
    <w:rsid w:val="008B485A"/>
    <w:rsid w:val="008B4A16"/>
    <w:rsid w:val="008B4DE3"/>
    <w:rsid w:val="008B4E0F"/>
    <w:rsid w:val="008B5426"/>
    <w:rsid w:val="008B5817"/>
    <w:rsid w:val="008B5955"/>
    <w:rsid w:val="008B5C5B"/>
    <w:rsid w:val="008B5CBD"/>
    <w:rsid w:val="008B5E6E"/>
    <w:rsid w:val="008B5F5F"/>
    <w:rsid w:val="008B6060"/>
    <w:rsid w:val="008B60F6"/>
    <w:rsid w:val="008B6449"/>
    <w:rsid w:val="008B6484"/>
    <w:rsid w:val="008B6654"/>
    <w:rsid w:val="008B6950"/>
    <w:rsid w:val="008B6D54"/>
    <w:rsid w:val="008B7124"/>
    <w:rsid w:val="008B7181"/>
    <w:rsid w:val="008B76F0"/>
    <w:rsid w:val="008B781A"/>
    <w:rsid w:val="008B7831"/>
    <w:rsid w:val="008B7A73"/>
    <w:rsid w:val="008B7C3A"/>
    <w:rsid w:val="008B7C67"/>
    <w:rsid w:val="008B7FDB"/>
    <w:rsid w:val="008C00B4"/>
    <w:rsid w:val="008C0184"/>
    <w:rsid w:val="008C0331"/>
    <w:rsid w:val="008C0534"/>
    <w:rsid w:val="008C05E1"/>
    <w:rsid w:val="008C0952"/>
    <w:rsid w:val="008C1059"/>
    <w:rsid w:val="008C154F"/>
    <w:rsid w:val="008C1D07"/>
    <w:rsid w:val="008C1DE4"/>
    <w:rsid w:val="008C20D2"/>
    <w:rsid w:val="008C2181"/>
    <w:rsid w:val="008C22BC"/>
    <w:rsid w:val="008C25E5"/>
    <w:rsid w:val="008C26D0"/>
    <w:rsid w:val="008C2842"/>
    <w:rsid w:val="008C3161"/>
    <w:rsid w:val="008C3239"/>
    <w:rsid w:val="008C34FC"/>
    <w:rsid w:val="008C3BFC"/>
    <w:rsid w:val="008C3C13"/>
    <w:rsid w:val="008C3D4A"/>
    <w:rsid w:val="008C40A8"/>
    <w:rsid w:val="008C45C2"/>
    <w:rsid w:val="008C4811"/>
    <w:rsid w:val="008C4B58"/>
    <w:rsid w:val="008C4D2D"/>
    <w:rsid w:val="008C4F91"/>
    <w:rsid w:val="008C5483"/>
    <w:rsid w:val="008C57D5"/>
    <w:rsid w:val="008C57E0"/>
    <w:rsid w:val="008C5AB9"/>
    <w:rsid w:val="008C5B62"/>
    <w:rsid w:val="008C5E8F"/>
    <w:rsid w:val="008C65C2"/>
    <w:rsid w:val="008C6CAE"/>
    <w:rsid w:val="008C6F35"/>
    <w:rsid w:val="008C76E0"/>
    <w:rsid w:val="008C76EF"/>
    <w:rsid w:val="008C7A2F"/>
    <w:rsid w:val="008C7A8C"/>
    <w:rsid w:val="008D0415"/>
    <w:rsid w:val="008D09D5"/>
    <w:rsid w:val="008D0AB5"/>
    <w:rsid w:val="008D0BED"/>
    <w:rsid w:val="008D0D98"/>
    <w:rsid w:val="008D11A8"/>
    <w:rsid w:val="008D1268"/>
    <w:rsid w:val="008D12EB"/>
    <w:rsid w:val="008D1581"/>
    <w:rsid w:val="008D185A"/>
    <w:rsid w:val="008D1A9D"/>
    <w:rsid w:val="008D23C0"/>
    <w:rsid w:val="008D2626"/>
    <w:rsid w:val="008D2977"/>
    <w:rsid w:val="008D29D5"/>
    <w:rsid w:val="008D2EB5"/>
    <w:rsid w:val="008D3201"/>
    <w:rsid w:val="008D32B5"/>
    <w:rsid w:val="008D3598"/>
    <w:rsid w:val="008D3778"/>
    <w:rsid w:val="008D386E"/>
    <w:rsid w:val="008D3A69"/>
    <w:rsid w:val="008D3AA7"/>
    <w:rsid w:val="008D408E"/>
    <w:rsid w:val="008D42C1"/>
    <w:rsid w:val="008D4586"/>
    <w:rsid w:val="008D4BFC"/>
    <w:rsid w:val="008D4DDE"/>
    <w:rsid w:val="008D4ED8"/>
    <w:rsid w:val="008D50F7"/>
    <w:rsid w:val="008D516D"/>
    <w:rsid w:val="008D5351"/>
    <w:rsid w:val="008D53AA"/>
    <w:rsid w:val="008D569B"/>
    <w:rsid w:val="008D5FF7"/>
    <w:rsid w:val="008D6198"/>
    <w:rsid w:val="008D6289"/>
    <w:rsid w:val="008D62DF"/>
    <w:rsid w:val="008D6BF0"/>
    <w:rsid w:val="008D6C27"/>
    <w:rsid w:val="008D6C78"/>
    <w:rsid w:val="008D6DBB"/>
    <w:rsid w:val="008D7229"/>
    <w:rsid w:val="008D74F0"/>
    <w:rsid w:val="008D76ED"/>
    <w:rsid w:val="008D77EB"/>
    <w:rsid w:val="008D79FC"/>
    <w:rsid w:val="008D7BD5"/>
    <w:rsid w:val="008D7ED0"/>
    <w:rsid w:val="008E0059"/>
    <w:rsid w:val="008E0D7C"/>
    <w:rsid w:val="008E0EE1"/>
    <w:rsid w:val="008E170C"/>
    <w:rsid w:val="008E17C0"/>
    <w:rsid w:val="008E1988"/>
    <w:rsid w:val="008E1AF9"/>
    <w:rsid w:val="008E1BA5"/>
    <w:rsid w:val="008E1BA9"/>
    <w:rsid w:val="008E2134"/>
    <w:rsid w:val="008E23B7"/>
    <w:rsid w:val="008E2AF7"/>
    <w:rsid w:val="008E2D1F"/>
    <w:rsid w:val="008E2F94"/>
    <w:rsid w:val="008E2FDB"/>
    <w:rsid w:val="008E3259"/>
    <w:rsid w:val="008E338F"/>
    <w:rsid w:val="008E345A"/>
    <w:rsid w:val="008E35F7"/>
    <w:rsid w:val="008E3A03"/>
    <w:rsid w:val="008E3BE0"/>
    <w:rsid w:val="008E3E2C"/>
    <w:rsid w:val="008E3E95"/>
    <w:rsid w:val="008E411E"/>
    <w:rsid w:val="008E46F4"/>
    <w:rsid w:val="008E50D9"/>
    <w:rsid w:val="008E519E"/>
    <w:rsid w:val="008E56AF"/>
    <w:rsid w:val="008E57FF"/>
    <w:rsid w:val="008E5D9E"/>
    <w:rsid w:val="008E5EEC"/>
    <w:rsid w:val="008E6164"/>
    <w:rsid w:val="008E64D0"/>
    <w:rsid w:val="008E676A"/>
    <w:rsid w:val="008E67EF"/>
    <w:rsid w:val="008E6995"/>
    <w:rsid w:val="008E6C17"/>
    <w:rsid w:val="008E6EC4"/>
    <w:rsid w:val="008E737D"/>
    <w:rsid w:val="008E7A00"/>
    <w:rsid w:val="008E7D5B"/>
    <w:rsid w:val="008E7EB7"/>
    <w:rsid w:val="008F0306"/>
    <w:rsid w:val="008F04E8"/>
    <w:rsid w:val="008F09B5"/>
    <w:rsid w:val="008F0A5B"/>
    <w:rsid w:val="008F0B8A"/>
    <w:rsid w:val="008F0E67"/>
    <w:rsid w:val="008F10AB"/>
    <w:rsid w:val="008F13B0"/>
    <w:rsid w:val="008F1C24"/>
    <w:rsid w:val="008F1CD4"/>
    <w:rsid w:val="008F1D1B"/>
    <w:rsid w:val="008F1E00"/>
    <w:rsid w:val="008F1FDB"/>
    <w:rsid w:val="008F24AD"/>
    <w:rsid w:val="008F24CF"/>
    <w:rsid w:val="008F29B0"/>
    <w:rsid w:val="008F29BC"/>
    <w:rsid w:val="008F308E"/>
    <w:rsid w:val="008F32DF"/>
    <w:rsid w:val="008F33C2"/>
    <w:rsid w:val="008F353C"/>
    <w:rsid w:val="008F357B"/>
    <w:rsid w:val="008F35A1"/>
    <w:rsid w:val="008F39ED"/>
    <w:rsid w:val="008F3A7F"/>
    <w:rsid w:val="008F3BF0"/>
    <w:rsid w:val="008F467C"/>
    <w:rsid w:val="008F4C30"/>
    <w:rsid w:val="008F4CBE"/>
    <w:rsid w:val="008F4D64"/>
    <w:rsid w:val="008F4DFE"/>
    <w:rsid w:val="008F52D9"/>
    <w:rsid w:val="008F59A0"/>
    <w:rsid w:val="008F5B14"/>
    <w:rsid w:val="008F5B2A"/>
    <w:rsid w:val="008F5CE7"/>
    <w:rsid w:val="008F5D5B"/>
    <w:rsid w:val="008F658E"/>
    <w:rsid w:val="008F6629"/>
    <w:rsid w:val="008F6669"/>
    <w:rsid w:val="008F68BC"/>
    <w:rsid w:val="008F6ACA"/>
    <w:rsid w:val="008F6BF2"/>
    <w:rsid w:val="008F6E64"/>
    <w:rsid w:val="008F6F3B"/>
    <w:rsid w:val="008F73C9"/>
    <w:rsid w:val="008F7581"/>
    <w:rsid w:val="008F7650"/>
    <w:rsid w:val="008F79C3"/>
    <w:rsid w:val="009001E5"/>
    <w:rsid w:val="009002CB"/>
    <w:rsid w:val="00900310"/>
    <w:rsid w:val="009003FB"/>
    <w:rsid w:val="00900594"/>
    <w:rsid w:val="00900840"/>
    <w:rsid w:val="00900A21"/>
    <w:rsid w:val="00900C2A"/>
    <w:rsid w:val="00900FDA"/>
    <w:rsid w:val="0090108C"/>
    <w:rsid w:val="0090115E"/>
    <w:rsid w:val="00901234"/>
    <w:rsid w:val="009012B8"/>
    <w:rsid w:val="00901636"/>
    <w:rsid w:val="0090198C"/>
    <w:rsid w:val="009019C0"/>
    <w:rsid w:val="00901B30"/>
    <w:rsid w:val="00901CD4"/>
    <w:rsid w:val="00902091"/>
    <w:rsid w:val="009020D2"/>
    <w:rsid w:val="00902279"/>
    <w:rsid w:val="00902332"/>
    <w:rsid w:val="00902B26"/>
    <w:rsid w:val="00903372"/>
    <w:rsid w:val="00903588"/>
    <w:rsid w:val="009035C2"/>
    <w:rsid w:val="00903744"/>
    <w:rsid w:val="009038BF"/>
    <w:rsid w:val="009038FB"/>
    <w:rsid w:val="009039BA"/>
    <w:rsid w:val="00903A51"/>
    <w:rsid w:val="0090444A"/>
    <w:rsid w:val="00904472"/>
    <w:rsid w:val="00904A4E"/>
    <w:rsid w:val="00905329"/>
    <w:rsid w:val="009056A3"/>
    <w:rsid w:val="009057FC"/>
    <w:rsid w:val="0090583A"/>
    <w:rsid w:val="00905DBF"/>
    <w:rsid w:val="00905E97"/>
    <w:rsid w:val="00905FCC"/>
    <w:rsid w:val="009066AD"/>
    <w:rsid w:val="009067B1"/>
    <w:rsid w:val="00906A3D"/>
    <w:rsid w:val="00906B29"/>
    <w:rsid w:val="00906B42"/>
    <w:rsid w:val="00906C94"/>
    <w:rsid w:val="00906C99"/>
    <w:rsid w:val="00906D68"/>
    <w:rsid w:val="00906E8F"/>
    <w:rsid w:val="009070B9"/>
    <w:rsid w:val="009070CF"/>
    <w:rsid w:val="0090732E"/>
    <w:rsid w:val="00907449"/>
    <w:rsid w:val="00907601"/>
    <w:rsid w:val="00907684"/>
    <w:rsid w:val="00907748"/>
    <w:rsid w:val="0090775D"/>
    <w:rsid w:val="00907918"/>
    <w:rsid w:val="00907AA5"/>
    <w:rsid w:val="00907FEE"/>
    <w:rsid w:val="009102A2"/>
    <w:rsid w:val="00910405"/>
    <w:rsid w:val="00910692"/>
    <w:rsid w:val="00910707"/>
    <w:rsid w:val="00910D0C"/>
    <w:rsid w:val="0091127A"/>
    <w:rsid w:val="009114CA"/>
    <w:rsid w:val="0091163E"/>
    <w:rsid w:val="009118C8"/>
    <w:rsid w:val="0091198A"/>
    <w:rsid w:val="00911E00"/>
    <w:rsid w:val="00912208"/>
    <w:rsid w:val="009122A7"/>
    <w:rsid w:val="00912608"/>
    <w:rsid w:val="00912688"/>
    <w:rsid w:val="009128D4"/>
    <w:rsid w:val="00912BEC"/>
    <w:rsid w:val="00912C4A"/>
    <w:rsid w:val="00912F42"/>
    <w:rsid w:val="00912F70"/>
    <w:rsid w:val="00912FC9"/>
    <w:rsid w:val="009132E9"/>
    <w:rsid w:val="00913912"/>
    <w:rsid w:val="009139D9"/>
    <w:rsid w:val="00913CF9"/>
    <w:rsid w:val="00913D18"/>
    <w:rsid w:val="00913DE8"/>
    <w:rsid w:val="009141E5"/>
    <w:rsid w:val="00914227"/>
    <w:rsid w:val="00914507"/>
    <w:rsid w:val="00914EA3"/>
    <w:rsid w:val="00914F4D"/>
    <w:rsid w:val="00915153"/>
    <w:rsid w:val="00915355"/>
    <w:rsid w:val="00915374"/>
    <w:rsid w:val="0091542A"/>
    <w:rsid w:val="009154B8"/>
    <w:rsid w:val="009155FF"/>
    <w:rsid w:val="009156CB"/>
    <w:rsid w:val="00915757"/>
    <w:rsid w:val="0091628F"/>
    <w:rsid w:val="00916374"/>
    <w:rsid w:val="00916E90"/>
    <w:rsid w:val="00916FBD"/>
    <w:rsid w:val="00917772"/>
    <w:rsid w:val="00917964"/>
    <w:rsid w:val="00917F05"/>
    <w:rsid w:val="00920090"/>
    <w:rsid w:val="00920675"/>
    <w:rsid w:val="009208AD"/>
    <w:rsid w:val="0092092A"/>
    <w:rsid w:val="009210C3"/>
    <w:rsid w:val="009210EA"/>
    <w:rsid w:val="0092111A"/>
    <w:rsid w:val="00921327"/>
    <w:rsid w:val="0092136A"/>
    <w:rsid w:val="009216BB"/>
    <w:rsid w:val="0092192C"/>
    <w:rsid w:val="00921D36"/>
    <w:rsid w:val="00921E98"/>
    <w:rsid w:val="0092234C"/>
    <w:rsid w:val="00922573"/>
    <w:rsid w:val="00922922"/>
    <w:rsid w:val="009229B7"/>
    <w:rsid w:val="00922E6D"/>
    <w:rsid w:val="00922FAC"/>
    <w:rsid w:val="0092326C"/>
    <w:rsid w:val="0092347F"/>
    <w:rsid w:val="009235B2"/>
    <w:rsid w:val="0092361C"/>
    <w:rsid w:val="0092383B"/>
    <w:rsid w:val="0092385F"/>
    <w:rsid w:val="00923939"/>
    <w:rsid w:val="00923B24"/>
    <w:rsid w:val="00923C75"/>
    <w:rsid w:val="00923CDE"/>
    <w:rsid w:val="009240DA"/>
    <w:rsid w:val="009241A0"/>
    <w:rsid w:val="00924668"/>
    <w:rsid w:val="0092468A"/>
    <w:rsid w:val="00924979"/>
    <w:rsid w:val="00924D23"/>
    <w:rsid w:val="00924FD7"/>
    <w:rsid w:val="0092551C"/>
    <w:rsid w:val="0092586E"/>
    <w:rsid w:val="009259E2"/>
    <w:rsid w:val="00925FBA"/>
    <w:rsid w:val="00926210"/>
    <w:rsid w:val="0092636B"/>
    <w:rsid w:val="00926841"/>
    <w:rsid w:val="00926AF7"/>
    <w:rsid w:val="00926BAF"/>
    <w:rsid w:val="00926BFF"/>
    <w:rsid w:val="0092742D"/>
    <w:rsid w:val="00927540"/>
    <w:rsid w:val="009275DD"/>
    <w:rsid w:val="00927ACC"/>
    <w:rsid w:val="00927C94"/>
    <w:rsid w:val="00927CBE"/>
    <w:rsid w:val="00927D52"/>
    <w:rsid w:val="0093066A"/>
    <w:rsid w:val="0093073F"/>
    <w:rsid w:val="009308EB"/>
    <w:rsid w:val="00930CE7"/>
    <w:rsid w:val="009312C2"/>
    <w:rsid w:val="00931386"/>
    <w:rsid w:val="00931527"/>
    <w:rsid w:val="0093154A"/>
    <w:rsid w:val="009318F3"/>
    <w:rsid w:val="00931989"/>
    <w:rsid w:val="00931A5C"/>
    <w:rsid w:val="00932393"/>
    <w:rsid w:val="00932D07"/>
    <w:rsid w:val="00932D63"/>
    <w:rsid w:val="00932EB9"/>
    <w:rsid w:val="009332AF"/>
    <w:rsid w:val="00933527"/>
    <w:rsid w:val="009336A4"/>
    <w:rsid w:val="00933838"/>
    <w:rsid w:val="00934058"/>
    <w:rsid w:val="009341AB"/>
    <w:rsid w:val="009341B8"/>
    <w:rsid w:val="0093469C"/>
    <w:rsid w:val="00934756"/>
    <w:rsid w:val="009347E9"/>
    <w:rsid w:val="009347FB"/>
    <w:rsid w:val="00934C3B"/>
    <w:rsid w:val="00934F0C"/>
    <w:rsid w:val="00934F92"/>
    <w:rsid w:val="00935039"/>
    <w:rsid w:val="009351FD"/>
    <w:rsid w:val="00935638"/>
    <w:rsid w:val="00935771"/>
    <w:rsid w:val="009359B6"/>
    <w:rsid w:val="00935B34"/>
    <w:rsid w:val="00935DE4"/>
    <w:rsid w:val="00935FC1"/>
    <w:rsid w:val="00936402"/>
    <w:rsid w:val="00936477"/>
    <w:rsid w:val="00936692"/>
    <w:rsid w:val="00936DE2"/>
    <w:rsid w:val="00937444"/>
    <w:rsid w:val="009375A6"/>
    <w:rsid w:val="009376CF"/>
    <w:rsid w:val="00937B97"/>
    <w:rsid w:val="00937BA1"/>
    <w:rsid w:val="00937D24"/>
    <w:rsid w:val="009404A0"/>
    <w:rsid w:val="0094079D"/>
    <w:rsid w:val="009407B3"/>
    <w:rsid w:val="00940D79"/>
    <w:rsid w:val="009416B9"/>
    <w:rsid w:val="009416E3"/>
    <w:rsid w:val="0094187A"/>
    <w:rsid w:val="009418E4"/>
    <w:rsid w:val="00941A7C"/>
    <w:rsid w:val="0094210A"/>
    <w:rsid w:val="009422A5"/>
    <w:rsid w:val="00942AC6"/>
    <w:rsid w:val="00942E29"/>
    <w:rsid w:val="00944024"/>
    <w:rsid w:val="009442D1"/>
    <w:rsid w:val="00944741"/>
    <w:rsid w:val="009448B9"/>
    <w:rsid w:val="00944902"/>
    <w:rsid w:val="00944A09"/>
    <w:rsid w:val="00944E30"/>
    <w:rsid w:val="00944F5A"/>
    <w:rsid w:val="009457D3"/>
    <w:rsid w:val="00945C54"/>
    <w:rsid w:val="009460EA"/>
    <w:rsid w:val="0094660F"/>
    <w:rsid w:val="0094672A"/>
    <w:rsid w:val="009468AE"/>
    <w:rsid w:val="00946A54"/>
    <w:rsid w:val="009470B8"/>
    <w:rsid w:val="009472FF"/>
    <w:rsid w:val="0094768A"/>
    <w:rsid w:val="00947923"/>
    <w:rsid w:val="00950162"/>
    <w:rsid w:val="00950418"/>
    <w:rsid w:val="009507D4"/>
    <w:rsid w:val="00950A7B"/>
    <w:rsid w:val="0095106D"/>
    <w:rsid w:val="0095134B"/>
    <w:rsid w:val="0095134E"/>
    <w:rsid w:val="0095157A"/>
    <w:rsid w:val="00951647"/>
    <w:rsid w:val="00951B06"/>
    <w:rsid w:val="00951D27"/>
    <w:rsid w:val="0095218B"/>
    <w:rsid w:val="00952DF8"/>
    <w:rsid w:val="00953233"/>
    <w:rsid w:val="00953243"/>
    <w:rsid w:val="0095334D"/>
    <w:rsid w:val="00953402"/>
    <w:rsid w:val="0095393F"/>
    <w:rsid w:val="00953D7F"/>
    <w:rsid w:val="00953DCC"/>
    <w:rsid w:val="00954006"/>
    <w:rsid w:val="00954203"/>
    <w:rsid w:val="009542A6"/>
    <w:rsid w:val="009545BF"/>
    <w:rsid w:val="00954A3C"/>
    <w:rsid w:val="00954C19"/>
    <w:rsid w:val="00954C5E"/>
    <w:rsid w:val="00954CCC"/>
    <w:rsid w:val="00954FD7"/>
    <w:rsid w:val="00955068"/>
    <w:rsid w:val="0095526F"/>
    <w:rsid w:val="009558E1"/>
    <w:rsid w:val="009561EE"/>
    <w:rsid w:val="00956441"/>
    <w:rsid w:val="0095648B"/>
    <w:rsid w:val="00956616"/>
    <w:rsid w:val="00956784"/>
    <w:rsid w:val="00956F47"/>
    <w:rsid w:val="009605AC"/>
    <w:rsid w:val="0096096D"/>
    <w:rsid w:val="00960B29"/>
    <w:rsid w:val="00961296"/>
    <w:rsid w:val="0096146B"/>
    <w:rsid w:val="009618A7"/>
    <w:rsid w:val="00961B66"/>
    <w:rsid w:val="00961D7D"/>
    <w:rsid w:val="00961DF9"/>
    <w:rsid w:val="009621FC"/>
    <w:rsid w:val="00962724"/>
    <w:rsid w:val="00962784"/>
    <w:rsid w:val="009628F5"/>
    <w:rsid w:val="00962DE8"/>
    <w:rsid w:val="00962E49"/>
    <w:rsid w:val="00962FA4"/>
    <w:rsid w:val="00962FFE"/>
    <w:rsid w:val="0096371F"/>
    <w:rsid w:val="00964038"/>
    <w:rsid w:val="00964412"/>
    <w:rsid w:val="009645A4"/>
    <w:rsid w:val="009646D4"/>
    <w:rsid w:val="009647E7"/>
    <w:rsid w:val="00964858"/>
    <w:rsid w:val="009653FB"/>
    <w:rsid w:val="0096579C"/>
    <w:rsid w:val="00965A07"/>
    <w:rsid w:val="00965C5C"/>
    <w:rsid w:val="009662DB"/>
    <w:rsid w:val="009663A0"/>
    <w:rsid w:val="00966612"/>
    <w:rsid w:val="00966DCF"/>
    <w:rsid w:val="0096714C"/>
    <w:rsid w:val="009672D8"/>
    <w:rsid w:val="009676AD"/>
    <w:rsid w:val="00967755"/>
    <w:rsid w:val="00967C0D"/>
    <w:rsid w:val="00967D16"/>
    <w:rsid w:val="00967D28"/>
    <w:rsid w:val="00967E1E"/>
    <w:rsid w:val="00970316"/>
    <w:rsid w:val="009703C2"/>
    <w:rsid w:val="009706DC"/>
    <w:rsid w:val="00970C88"/>
    <w:rsid w:val="00970E5F"/>
    <w:rsid w:val="0097107A"/>
    <w:rsid w:val="009713E1"/>
    <w:rsid w:val="00971E87"/>
    <w:rsid w:val="00972116"/>
    <w:rsid w:val="00972651"/>
    <w:rsid w:val="00972C7A"/>
    <w:rsid w:val="0097342E"/>
    <w:rsid w:val="0097371E"/>
    <w:rsid w:val="009737FE"/>
    <w:rsid w:val="00973B65"/>
    <w:rsid w:val="00973F8E"/>
    <w:rsid w:val="0097434F"/>
    <w:rsid w:val="009745DD"/>
    <w:rsid w:val="00974752"/>
    <w:rsid w:val="009747C6"/>
    <w:rsid w:val="00974B5B"/>
    <w:rsid w:val="00975095"/>
    <w:rsid w:val="009753B4"/>
    <w:rsid w:val="009755D4"/>
    <w:rsid w:val="00975947"/>
    <w:rsid w:val="00976355"/>
    <w:rsid w:val="009763E9"/>
    <w:rsid w:val="0097655D"/>
    <w:rsid w:val="00976595"/>
    <w:rsid w:val="0097664B"/>
    <w:rsid w:val="0097667A"/>
    <w:rsid w:val="00976694"/>
    <w:rsid w:val="009766BD"/>
    <w:rsid w:val="0097680C"/>
    <w:rsid w:val="0097686B"/>
    <w:rsid w:val="009769E5"/>
    <w:rsid w:val="00976EDE"/>
    <w:rsid w:val="0097716D"/>
    <w:rsid w:val="00977846"/>
    <w:rsid w:val="00977B64"/>
    <w:rsid w:val="00980078"/>
    <w:rsid w:val="0098016A"/>
    <w:rsid w:val="00980308"/>
    <w:rsid w:val="009803EE"/>
    <w:rsid w:val="00980428"/>
    <w:rsid w:val="0098051F"/>
    <w:rsid w:val="009805EC"/>
    <w:rsid w:val="00980A02"/>
    <w:rsid w:val="00980B78"/>
    <w:rsid w:val="00980CE0"/>
    <w:rsid w:val="00980D8F"/>
    <w:rsid w:val="00980F0F"/>
    <w:rsid w:val="00980FB0"/>
    <w:rsid w:val="00981AD0"/>
    <w:rsid w:val="00981DA8"/>
    <w:rsid w:val="00981E86"/>
    <w:rsid w:val="00982186"/>
    <w:rsid w:val="00982A6A"/>
    <w:rsid w:val="00982B60"/>
    <w:rsid w:val="00982CD1"/>
    <w:rsid w:val="00982E88"/>
    <w:rsid w:val="00983277"/>
    <w:rsid w:val="009839E4"/>
    <w:rsid w:val="00983A54"/>
    <w:rsid w:val="00983C22"/>
    <w:rsid w:val="00984023"/>
    <w:rsid w:val="0098437E"/>
    <w:rsid w:val="009845BC"/>
    <w:rsid w:val="00984657"/>
    <w:rsid w:val="009848E8"/>
    <w:rsid w:val="00984BF1"/>
    <w:rsid w:val="00984EEB"/>
    <w:rsid w:val="00985218"/>
    <w:rsid w:val="0098534D"/>
    <w:rsid w:val="00985576"/>
    <w:rsid w:val="00985862"/>
    <w:rsid w:val="00985ABF"/>
    <w:rsid w:val="00985BF4"/>
    <w:rsid w:val="00985C48"/>
    <w:rsid w:val="009862D0"/>
    <w:rsid w:val="0098687C"/>
    <w:rsid w:val="009869F5"/>
    <w:rsid w:val="00986E11"/>
    <w:rsid w:val="0098717F"/>
    <w:rsid w:val="009873AD"/>
    <w:rsid w:val="00987491"/>
    <w:rsid w:val="009876A1"/>
    <w:rsid w:val="0099001F"/>
    <w:rsid w:val="0099009F"/>
    <w:rsid w:val="00990412"/>
    <w:rsid w:val="00990660"/>
    <w:rsid w:val="00990D5A"/>
    <w:rsid w:val="00991130"/>
    <w:rsid w:val="009917E4"/>
    <w:rsid w:val="00991A71"/>
    <w:rsid w:val="00991AF3"/>
    <w:rsid w:val="009929C7"/>
    <w:rsid w:val="00992CCA"/>
    <w:rsid w:val="00993002"/>
    <w:rsid w:val="009930B9"/>
    <w:rsid w:val="009932CB"/>
    <w:rsid w:val="009932D7"/>
    <w:rsid w:val="009933DC"/>
    <w:rsid w:val="00993823"/>
    <w:rsid w:val="00993850"/>
    <w:rsid w:val="00993BBD"/>
    <w:rsid w:val="00993C74"/>
    <w:rsid w:val="00993C75"/>
    <w:rsid w:val="00993DA0"/>
    <w:rsid w:val="009943A1"/>
    <w:rsid w:val="00994593"/>
    <w:rsid w:val="00995099"/>
    <w:rsid w:val="00995110"/>
    <w:rsid w:val="00995178"/>
    <w:rsid w:val="00995591"/>
    <w:rsid w:val="009955DE"/>
    <w:rsid w:val="00995961"/>
    <w:rsid w:val="00995B93"/>
    <w:rsid w:val="00995D74"/>
    <w:rsid w:val="00995E94"/>
    <w:rsid w:val="00995EDE"/>
    <w:rsid w:val="00996277"/>
    <w:rsid w:val="00996D93"/>
    <w:rsid w:val="0099708C"/>
    <w:rsid w:val="0099748D"/>
    <w:rsid w:val="00997522"/>
    <w:rsid w:val="0099790B"/>
    <w:rsid w:val="00997C17"/>
    <w:rsid w:val="00997CC6"/>
    <w:rsid w:val="00997E44"/>
    <w:rsid w:val="009A03D4"/>
    <w:rsid w:val="009A0B75"/>
    <w:rsid w:val="009A0D2B"/>
    <w:rsid w:val="009A0D72"/>
    <w:rsid w:val="009A0E99"/>
    <w:rsid w:val="009A0EFB"/>
    <w:rsid w:val="009A0F0D"/>
    <w:rsid w:val="009A10D6"/>
    <w:rsid w:val="009A11D6"/>
    <w:rsid w:val="009A160B"/>
    <w:rsid w:val="009A1639"/>
    <w:rsid w:val="009A186F"/>
    <w:rsid w:val="009A1B94"/>
    <w:rsid w:val="009A1E56"/>
    <w:rsid w:val="009A20D4"/>
    <w:rsid w:val="009A26C4"/>
    <w:rsid w:val="009A283C"/>
    <w:rsid w:val="009A2A47"/>
    <w:rsid w:val="009A2B21"/>
    <w:rsid w:val="009A30AD"/>
    <w:rsid w:val="009A30B5"/>
    <w:rsid w:val="009A32F1"/>
    <w:rsid w:val="009A3A60"/>
    <w:rsid w:val="009A3C98"/>
    <w:rsid w:val="009A3CA6"/>
    <w:rsid w:val="009A4038"/>
    <w:rsid w:val="009A41EB"/>
    <w:rsid w:val="009A4596"/>
    <w:rsid w:val="009A471C"/>
    <w:rsid w:val="009A4785"/>
    <w:rsid w:val="009A4905"/>
    <w:rsid w:val="009A4AA0"/>
    <w:rsid w:val="009A4B47"/>
    <w:rsid w:val="009A4C0C"/>
    <w:rsid w:val="009A4CFA"/>
    <w:rsid w:val="009A4FA7"/>
    <w:rsid w:val="009A504E"/>
    <w:rsid w:val="009A5818"/>
    <w:rsid w:val="009A5AD7"/>
    <w:rsid w:val="009A600A"/>
    <w:rsid w:val="009A601E"/>
    <w:rsid w:val="009A6122"/>
    <w:rsid w:val="009A6205"/>
    <w:rsid w:val="009A6295"/>
    <w:rsid w:val="009A6544"/>
    <w:rsid w:val="009A65E4"/>
    <w:rsid w:val="009A6AC2"/>
    <w:rsid w:val="009A6BF2"/>
    <w:rsid w:val="009A6C5D"/>
    <w:rsid w:val="009A718D"/>
    <w:rsid w:val="009A76EB"/>
    <w:rsid w:val="009A7B7D"/>
    <w:rsid w:val="009A7C92"/>
    <w:rsid w:val="009A7D93"/>
    <w:rsid w:val="009B0331"/>
    <w:rsid w:val="009B09E7"/>
    <w:rsid w:val="009B0E50"/>
    <w:rsid w:val="009B0E82"/>
    <w:rsid w:val="009B2711"/>
    <w:rsid w:val="009B27A4"/>
    <w:rsid w:val="009B2A1D"/>
    <w:rsid w:val="009B2EC1"/>
    <w:rsid w:val="009B2F95"/>
    <w:rsid w:val="009B315E"/>
    <w:rsid w:val="009B3236"/>
    <w:rsid w:val="009B3309"/>
    <w:rsid w:val="009B33E9"/>
    <w:rsid w:val="009B39D0"/>
    <w:rsid w:val="009B4051"/>
    <w:rsid w:val="009B442F"/>
    <w:rsid w:val="009B464F"/>
    <w:rsid w:val="009B46EA"/>
    <w:rsid w:val="009B4C02"/>
    <w:rsid w:val="009B4C6C"/>
    <w:rsid w:val="009B5074"/>
    <w:rsid w:val="009B644C"/>
    <w:rsid w:val="009B6728"/>
    <w:rsid w:val="009B678B"/>
    <w:rsid w:val="009B6AE3"/>
    <w:rsid w:val="009B6E58"/>
    <w:rsid w:val="009B6EEB"/>
    <w:rsid w:val="009B710B"/>
    <w:rsid w:val="009B7356"/>
    <w:rsid w:val="009B73BA"/>
    <w:rsid w:val="009B7BAA"/>
    <w:rsid w:val="009B7C86"/>
    <w:rsid w:val="009B7E09"/>
    <w:rsid w:val="009B7F2F"/>
    <w:rsid w:val="009C0554"/>
    <w:rsid w:val="009C067D"/>
    <w:rsid w:val="009C096D"/>
    <w:rsid w:val="009C0A43"/>
    <w:rsid w:val="009C111E"/>
    <w:rsid w:val="009C119B"/>
    <w:rsid w:val="009C11B8"/>
    <w:rsid w:val="009C1274"/>
    <w:rsid w:val="009C12A0"/>
    <w:rsid w:val="009C15DC"/>
    <w:rsid w:val="009C2024"/>
    <w:rsid w:val="009C207A"/>
    <w:rsid w:val="009C21B5"/>
    <w:rsid w:val="009C265B"/>
    <w:rsid w:val="009C2748"/>
    <w:rsid w:val="009C28CE"/>
    <w:rsid w:val="009C2E2C"/>
    <w:rsid w:val="009C35C6"/>
    <w:rsid w:val="009C380B"/>
    <w:rsid w:val="009C3B30"/>
    <w:rsid w:val="009C3BF5"/>
    <w:rsid w:val="009C3D6F"/>
    <w:rsid w:val="009C3DAF"/>
    <w:rsid w:val="009C3FF0"/>
    <w:rsid w:val="009C4391"/>
    <w:rsid w:val="009C4701"/>
    <w:rsid w:val="009C4742"/>
    <w:rsid w:val="009C4D66"/>
    <w:rsid w:val="009C4F55"/>
    <w:rsid w:val="009C5286"/>
    <w:rsid w:val="009C5377"/>
    <w:rsid w:val="009C538F"/>
    <w:rsid w:val="009C573C"/>
    <w:rsid w:val="009C5A55"/>
    <w:rsid w:val="009C5A94"/>
    <w:rsid w:val="009C5ADA"/>
    <w:rsid w:val="009C5D79"/>
    <w:rsid w:val="009C5ED0"/>
    <w:rsid w:val="009C6827"/>
    <w:rsid w:val="009C69A7"/>
    <w:rsid w:val="009C6B34"/>
    <w:rsid w:val="009C6E72"/>
    <w:rsid w:val="009C7010"/>
    <w:rsid w:val="009C7031"/>
    <w:rsid w:val="009C710A"/>
    <w:rsid w:val="009C7596"/>
    <w:rsid w:val="009C76A8"/>
    <w:rsid w:val="009C7A61"/>
    <w:rsid w:val="009C7CEE"/>
    <w:rsid w:val="009D03D8"/>
    <w:rsid w:val="009D088C"/>
    <w:rsid w:val="009D0AF5"/>
    <w:rsid w:val="009D0C86"/>
    <w:rsid w:val="009D16C1"/>
    <w:rsid w:val="009D1764"/>
    <w:rsid w:val="009D1801"/>
    <w:rsid w:val="009D2335"/>
    <w:rsid w:val="009D2501"/>
    <w:rsid w:val="009D286C"/>
    <w:rsid w:val="009D2870"/>
    <w:rsid w:val="009D2943"/>
    <w:rsid w:val="009D2AE8"/>
    <w:rsid w:val="009D2D5F"/>
    <w:rsid w:val="009D2F7A"/>
    <w:rsid w:val="009D35A8"/>
    <w:rsid w:val="009D373C"/>
    <w:rsid w:val="009D38EC"/>
    <w:rsid w:val="009D3C2A"/>
    <w:rsid w:val="009D3ECE"/>
    <w:rsid w:val="009D4510"/>
    <w:rsid w:val="009D4C28"/>
    <w:rsid w:val="009D4F8F"/>
    <w:rsid w:val="009D50B0"/>
    <w:rsid w:val="009D6467"/>
    <w:rsid w:val="009D673D"/>
    <w:rsid w:val="009D689E"/>
    <w:rsid w:val="009D6A4A"/>
    <w:rsid w:val="009D6C70"/>
    <w:rsid w:val="009D6FB7"/>
    <w:rsid w:val="009D70D4"/>
    <w:rsid w:val="009D72F6"/>
    <w:rsid w:val="009D76BE"/>
    <w:rsid w:val="009D7AD2"/>
    <w:rsid w:val="009E06C3"/>
    <w:rsid w:val="009E0772"/>
    <w:rsid w:val="009E09B5"/>
    <w:rsid w:val="009E09E5"/>
    <w:rsid w:val="009E0B9A"/>
    <w:rsid w:val="009E0D20"/>
    <w:rsid w:val="009E0F45"/>
    <w:rsid w:val="009E1209"/>
    <w:rsid w:val="009E1646"/>
    <w:rsid w:val="009E16C8"/>
    <w:rsid w:val="009E17DD"/>
    <w:rsid w:val="009E195C"/>
    <w:rsid w:val="009E1C94"/>
    <w:rsid w:val="009E1E08"/>
    <w:rsid w:val="009E20B4"/>
    <w:rsid w:val="009E2368"/>
    <w:rsid w:val="009E262B"/>
    <w:rsid w:val="009E27C4"/>
    <w:rsid w:val="009E2965"/>
    <w:rsid w:val="009E33F6"/>
    <w:rsid w:val="009E395B"/>
    <w:rsid w:val="009E3B04"/>
    <w:rsid w:val="009E3C75"/>
    <w:rsid w:val="009E3DAE"/>
    <w:rsid w:val="009E4923"/>
    <w:rsid w:val="009E4A3C"/>
    <w:rsid w:val="009E4E30"/>
    <w:rsid w:val="009E4FAD"/>
    <w:rsid w:val="009E5513"/>
    <w:rsid w:val="009E5875"/>
    <w:rsid w:val="009E5A96"/>
    <w:rsid w:val="009E5DA9"/>
    <w:rsid w:val="009E5F59"/>
    <w:rsid w:val="009E62EF"/>
    <w:rsid w:val="009E63AD"/>
    <w:rsid w:val="009E649D"/>
    <w:rsid w:val="009E64B6"/>
    <w:rsid w:val="009E64BD"/>
    <w:rsid w:val="009E6D7E"/>
    <w:rsid w:val="009E6D8D"/>
    <w:rsid w:val="009E7030"/>
    <w:rsid w:val="009E70BE"/>
    <w:rsid w:val="009E7106"/>
    <w:rsid w:val="009E7346"/>
    <w:rsid w:val="009E761B"/>
    <w:rsid w:val="009E7710"/>
    <w:rsid w:val="009E7756"/>
    <w:rsid w:val="009E7969"/>
    <w:rsid w:val="009E7F78"/>
    <w:rsid w:val="009F0246"/>
    <w:rsid w:val="009F025B"/>
    <w:rsid w:val="009F0357"/>
    <w:rsid w:val="009F038D"/>
    <w:rsid w:val="009F0AF5"/>
    <w:rsid w:val="009F0CD0"/>
    <w:rsid w:val="009F175C"/>
    <w:rsid w:val="009F1866"/>
    <w:rsid w:val="009F2243"/>
    <w:rsid w:val="009F27F8"/>
    <w:rsid w:val="009F2859"/>
    <w:rsid w:val="009F2A86"/>
    <w:rsid w:val="009F38F5"/>
    <w:rsid w:val="009F3DE7"/>
    <w:rsid w:val="009F4335"/>
    <w:rsid w:val="009F44AA"/>
    <w:rsid w:val="009F4949"/>
    <w:rsid w:val="009F4A50"/>
    <w:rsid w:val="009F4A69"/>
    <w:rsid w:val="009F4CDA"/>
    <w:rsid w:val="009F4F81"/>
    <w:rsid w:val="009F5127"/>
    <w:rsid w:val="009F5338"/>
    <w:rsid w:val="009F587D"/>
    <w:rsid w:val="009F5923"/>
    <w:rsid w:val="009F5966"/>
    <w:rsid w:val="009F5A52"/>
    <w:rsid w:val="009F5EE1"/>
    <w:rsid w:val="009F656B"/>
    <w:rsid w:val="009F690F"/>
    <w:rsid w:val="009F692A"/>
    <w:rsid w:val="009F6BB5"/>
    <w:rsid w:val="009F6C44"/>
    <w:rsid w:val="009F7120"/>
    <w:rsid w:val="009F7702"/>
    <w:rsid w:val="009F799D"/>
    <w:rsid w:val="009F7BAA"/>
    <w:rsid w:val="00A000AD"/>
    <w:rsid w:val="00A001E2"/>
    <w:rsid w:val="00A00620"/>
    <w:rsid w:val="00A00636"/>
    <w:rsid w:val="00A007FB"/>
    <w:rsid w:val="00A01237"/>
    <w:rsid w:val="00A0157A"/>
    <w:rsid w:val="00A017B0"/>
    <w:rsid w:val="00A01A31"/>
    <w:rsid w:val="00A02438"/>
    <w:rsid w:val="00A02D34"/>
    <w:rsid w:val="00A02DAD"/>
    <w:rsid w:val="00A02DDD"/>
    <w:rsid w:val="00A02FBB"/>
    <w:rsid w:val="00A030A6"/>
    <w:rsid w:val="00A03513"/>
    <w:rsid w:val="00A037B8"/>
    <w:rsid w:val="00A037D1"/>
    <w:rsid w:val="00A03B2E"/>
    <w:rsid w:val="00A03D9D"/>
    <w:rsid w:val="00A0408A"/>
    <w:rsid w:val="00A040A8"/>
    <w:rsid w:val="00A0479C"/>
    <w:rsid w:val="00A04917"/>
    <w:rsid w:val="00A04B73"/>
    <w:rsid w:val="00A04E9A"/>
    <w:rsid w:val="00A05598"/>
    <w:rsid w:val="00A05CDB"/>
    <w:rsid w:val="00A0647F"/>
    <w:rsid w:val="00A06D07"/>
    <w:rsid w:val="00A07088"/>
    <w:rsid w:val="00A075BE"/>
    <w:rsid w:val="00A07ADA"/>
    <w:rsid w:val="00A07DFA"/>
    <w:rsid w:val="00A10078"/>
    <w:rsid w:val="00A10717"/>
    <w:rsid w:val="00A10B4F"/>
    <w:rsid w:val="00A10E63"/>
    <w:rsid w:val="00A11973"/>
    <w:rsid w:val="00A11A11"/>
    <w:rsid w:val="00A11B46"/>
    <w:rsid w:val="00A11C09"/>
    <w:rsid w:val="00A1206D"/>
    <w:rsid w:val="00A12371"/>
    <w:rsid w:val="00A1276F"/>
    <w:rsid w:val="00A12800"/>
    <w:rsid w:val="00A12957"/>
    <w:rsid w:val="00A129E8"/>
    <w:rsid w:val="00A12F61"/>
    <w:rsid w:val="00A1300D"/>
    <w:rsid w:val="00A131F8"/>
    <w:rsid w:val="00A13315"/>
    <w:rsid w:val="00A134EB"/>
    <w:rsid w:val="00A135B1"/>
    <w:rsid w:val="00A1367A"/>
    <w:rsid w:val="00A13E31"/>
    <w:rsid w:val="00A1431B"/>
    <w:rsid w:val="00A14337"/>
    <w:rsid w:val="00A14625"/>
    <w:rsid w:val="00A14E6C"/>
    <w:rsid w:val="00A15245"/>
    <w:rsid w:val="00A155C6"/>
    <w:rsid w:val="00A15647"/>
    <w:rsid w:val="00A15CB7"/>
    <w:rsid w:val="00A15E20"/>
    <w:rsid w:val="00A16011"/>
    <w:rsid w:val="00A1620C"/>
    <w:rsid w:val="00A162D9"/>
    <w:rsid w:val="00A16B82"/>
    <w:rsid w:val="00A16BEC"/>
    <w:rsid w:val="00A170AB"/>
    <w:rsid w:val="00A175CA"/>
    <w:rsid w:val="00A178BA"/>
    <w:rsid w:val="00A1790A"/>
    <w:rsid w:val="00A17B62"/>
    <w:rsid w:val="00A17C89"/>
    <w:rsid w:val="00A17EDB"/>
    <w:rsid w:val="00A200A8"/>
    <w:rsid w:val="00A20628"/>
    <w:rsid w:val="00A2074D"/>
    <w:rsid w:val="00A20A5C"/>
    <w:rsid w:val="00A20EBC"/>
    <w:rsid w:val="00A212E9"/>
    <w:rsid w:val="00A21605"/>
    <w:rsid w:val="00A21B4B"/>
    <w:rsid w:val="00A21D10"/>
    <w:rsid w:val="00A21FF9"/>
    <w:rsid w:val="00A220CA"/>
    <w:rsid w:val="00A22449"/>
    <w:rsid w:val="00A225FC"/>
    <w:rsid w:val="00A228E9"/>
    <w:rsid w:val="00A22F44"/>
    <w:rsid w:val="00A230B8"/>
    <w:rsid w:val="00A23208"/>
    <w:rsid w:val="00A233DC"/>
    <w:rsid w:val="00A235C0"/>
    <w:rsid w:val="00A23780"/>
    <w:rsid w:val="00A23847"/>
    <w:rsid w:val="00A2386D"/>
    <w:rsid w:val="00A23B61"/>
    <w:rsid w:val="00A24148"/>
    <w:rsid w:val="00A247D0"/>
    <w:rsid w:val="00A24835"/>
    <w:rsid w:val="00A248E3"/>
    <w:rsid w:val="00A24CDD"/>
    <w:rsid w:val="00A24EBC"/>
    <w:rsid w:val="00A25233"/>
    <w:rsid w:val="00A25534"/>
    <w:rsid w:val="00A25832"/>
    <w:rsid w:val="00A25A25"/>
    <w:rsid w:val="00A25C70"/>
    <w:rsid w:val="00A25D69"/>
    <w:rsid w:val="00A26479"/>
    <w:rsid w:val="00A26655"/>
    <w:rsid w:val="00A266BE"/>
    <w:rsid w:val="00A266F5"/>
    <w:rsid w:val="00A26730"/>
    <w:rsid w:val="00A26A76"/>
    <w:rsid w:val="00A26B02"/>
    <w:rsid w:val="00A26C82"/>
    <w:rsid w:val="00A26E10"/>
    <w:rsid w:val="00A26E4F"/>
    <w:rsid w:val="00A26F1F"/>
    <w:rsid w:val="00A2708C"/>
    <w:rsid w:val="00A2728D"/>
    <w:rsid w:val="00A2777B"/>
    <w:rsid w:val="00A27981"/>
    <w:rsid w:val="00A279D4"/>
    <w:rsid w:val="00A27A07"/>
    <w:rsid w:val="00A27E9C"/>
    <w:rsid w:val="00A27F82"/>
    <w:rsid w:val="00A27FD1"/>
    <w:rsid w:val="00A27FE4"/>
    <w:rsid w:val="00A300CB"/>
    <w:rsid w:val="00A3029F"/>
    <w:rsid w:val="00A304BB"/>
    <w:rsid w:val="00A30515"/>
    <w:rsid w:val="00A30616"/>
    <w:rsid w:val="00A3081C"/>
    <w:rsid w:val="00A3091B"/>
    <w:rsid w:val="00A30D70"/>
    <w:rsid w:val="00A30D79"/>
    <w:rsid w:val="00A30D92"/>
    <w:rsid w:val="00A30EFB"/>
    <w:rsid w:val="00A30F68"/>
    <w:rsid w:val="00A31670"/>
    <w:rsid w:val="00A31982"/>
    <w:rsid w:val="00A31B74"/>
    <w:rsid w:val="00A31E31"/>
    <w:rsid w:val="00A322F6"/>
    <w:rsid w:val="00A3242A"/>
    <w:rsid w:val="00A32453"/>
    <w:rsid w:val="00A3255F"/>
    <w:rsid w:val="00A328E0"/>
    <w:rsid w:val="00A32A2C"/>
    <w:rsid w:val="00A32B93"/>
    <w:rsid w:val="00A32BF7"/>
    <w:rsid w:val="00A32C33"/>
    <w:rsid w:val="00A32F53"/>
    <w:rsid w:val="00A330EA"/>
    <w:rsid w:val="00A33495"/>
    <w:rsid w:val="00A336BA"/>
    <w:rsid w:val="00A33B8E"/>
    <w:rsid w:val="00A33BB3"/>
    <w:rsid w:val="00A33D3E"/>
    <w:rsid w:val="00A34605"/>
    <w:rsid w:val="00A3486A"/>
    <w:rsid w:val="00A34D54"/>
    <w:rsid w:val="00A34EC0"/>
    <w:rsid w:val="00A35069"/>
    <w:rsid w:val="00A35264"/>
    <w:rsid w:val="00A35476"/>
    <w:rsid w:val="00A355DA"/>
    <w:rsid w:val="00A35E01"/>
    <w:rsid w:val="00A35E52"/>
    <w:rsid w:val="00A360C3"/>
    <w:rsid w:val="00A360ED"/>
    <w:rsid w:val="00A3628A"/>
    <w:rsid w:val="00A36D0E"/>
    <w:rsid w:val="00A3744F"/>
    <w:rsid w:val="00A37515"/>
    <w:rsid w:val="00A37871"/>
    <w:rsid w:val="00A378F6"/>
    <w:rsid w:val="00A37B68"/>
    <w:rsid w:val="00A37DD5"/>
    <w:rsid w:val="00A40017"/>
    <w:rsid w:val="00A4056C"/>
    <w:rsid w:val="00A407F6"/>
    <w:rsid w:val="00A41176"/>
    <w:rsid w:val="00A41283"/>
    <w:rsid w:val="00A4142D"/>
    <w:rsid w:val="00A419DF"/>
    <w:rsid w:val="00A41AF1"/>
    <w:rsid w:val="00A41D1B"/>
    <w:rsid w:val="00A41DAE"/>
    <w:rsid w:val="00A42029"/>
    <w:rsid w:val="00A42122"/>
    <w:rsid w:val="00A422B5"/>
    <w:rsid w:val="00A428F9"/>
    <w:rsid w:val="00A42AF1"/>
    <w:rsid w:val="00A42E41"/>
    <w:rsid w:val="00A43283"/>
    <w:rsid w:val="00A4346A"/>
    <w:rsid w:val="00A434AB"/>
    <w:rsid w:val="00A43F44"/>
    <w:rsid w:val="00A43FD8"/>
    <w:rsid w:val="00A4429F"/>
    <w:rsid w:val="00A4458E"/>
    <w:rsid w:val="00A4465B"/>
    <w:rsid w:val="00A4466C"/>
    <w:rsid w:val="00A448E8"/>
    <w:rsid w:val="00A4494D"/>
    <w:rsid w:val="00A450EE"/>
    <w:rsid w:val="00A4539F"/>
    <w:rsid w:val="00A45412"/>
    <w:rsid w:val="00A454C1"/>
    <w:rsid w:val="00A456A6"/>
    <w:rsid w:val="00A45808"/>
    <w:rsid w:val="00A45CC7"/>
    <w:rsid w:val="00A45D61"/>
    <w:rsid w:val="00A46100"/>
    <w:rsid w:val="00A468A2"/>
    <w:rsid w:val="00A46B36"/>
    <w:rsid w:val="00A46CBC"/>
    <w:rsid w:val="00A46F68"/>
    <w:rsid w:val="00A47022"/>
    <w:rsid w:val="00A471CE"/>
    <w:rsid w:val="00A4726D"/>
    <w:rsid w:val="00A4793C"/>
    <w:rsid w:val="00A47A19"/>
    <w:rsid w:val="00A47CDA"/>
    <w:rsid w:val="00A47FF2"/>
    <w:rsid w:val="00A50563"/>
    <w:rsid w:val="00A50682"/>
    <w:rsid w:val="00A506A9"/>
    <w:rsid w:val="00A50E23"/>
    <w:rsid w:val="00A511DF"/>
    <w:rsid w:val="00A515AD"/>
    <w:rsid w:val="00A51670"/>
    <w:rsid w:val="00A51B28"/>
    <w:rsid w:val="00A51DF9"/>
    <w:rsid w:val="00A51E83"/>
    <w:rsid w:val="00A51EF3"/>
    <w:rsid w:val="00A51F51"/>
    <w:rsid w:val="00A51F9C"/>
    <w:rsid w:val="00A52086"/>
    <w:rsid w:val="00A524E1"/>
    <w:rsid w:val="00A527AD"/>
    <w:rsid w:val="00A52F1E"/>
    <w:rsid w:val="00A52F47"/>
    <w:rsid w:val="00A5301A"/>
    <w:rsid w:val="00A5353C"/>
    <w:rsid w:val="00A5383A"/>
    <w:rsid w:val="00A539BC"/>
    <w:rsid w:val="00A53B5F"/>
    <w:rsid w:val="00A53C5E"/>
    <w:rsid w:val="00A53CFC"/>
    <w:rsid w:val="00A53DDB"/>
    <w:rsid w:val="00A53E59"/>
    <w:rsid w:val="00A543B0"/>
    <w:rsid w:val="00A54414"/>
    <w:rsid w:val="00A54495"/>
    <w:rsid w:val="00A544D9"/>
    <w:rsid w:val="00A54AA9"/>
    <w:rsid w:val="00A54E19"/>
    <w:rsid w:val="00A54FD4"/>
    <w:rsid w:val="00A5517B"/>
    <w:rsid w:val="00A55229"/>
    <w:rsid w:val="00A553A4"/>
    <w:rsid w:val="00A553B5"/>
    <w:rsid w:val="00A55511"/>
    <w:rsid w:val="00A55724"/>
    <w:rsid w:val="00A55D11"/>
    <w:rsid w:val="00A56559"/>
    <w:rsid w:val="00A5660E"/>
    <w:rsid w:val="00A5675D"/>
    <w:rsid w:val="00A56BC5"/>
    <w:rsid w:val="00A56C8A"/>
    <w:rsid w:val="00A56C9C"/>
    <w:rsid w:val="00A56CA1"/>
    <w:rsid w:val="00A571D8"/>
    <w:rsid w:val="00A572FD"/>
    <w:rsid w:val="00A57490"/>
    <w:rsid w:val="00A57E52"/>
    <w:rsid w:val="00A57F00"/>
    <w:rsid w:val="00A57F98"/>
    <w:rsid w:val="00A604F6"/>
    <w:rsid w:val="00A60552"/>
    <w:rsid w:val="00A60744"/>
    <w:rsid w:val="00A60778"/>
    <w:rsid w:val="00A60CDC"/>
    <w:rsid w:val="00A61072"/>
    <w:rsid w:val="00A61166"/>
    <w:rsid w:val="00A6141A"/>
    <w:rsid w:val="00A61553"/>
    <w:rsid w:val="00A6168C"/>
    <w:rsid w:val="00A616F5"/>
    <w:rsid w:val="00A61B52"/>
    <w:rsid w:val="00A62182"/>
    <w:rsid w:val="00A6230F"/>
    <w:rsid w:val="00A6273A"/>
    <w:rsid w:val="00A62742"/>
    <w:rsid w:val="00A6298D"/>
    <w:rsid w:val="00A629B6"/>
    <w:rsid w:val="00A62D9B"/>
    <w:rsid w:val="00A63062"/>
    <w:rsid w:val="00A630D0"/>
    <w:rsid w:val="00A636D6"/>
    <w:rsid w:val="00A63982"/>
    <w:rsid w:val="00A639FC"/>
    <w:rsid w:val="00A63AD5"/>
    <w:rsid w:val="00A63E56"/>
    <w:rsid w:val="00A63EC4"/>
    <w:rsid w:val="00A642D4"/>
    <w:rsid w:val="00A6482B"/>
    <w:rsid w:val="00A64A24"/>
    <w:rsid w:val="00A64B7E"/>
    <w:rsid w:val="00A64D70"/>
    <w:rsid w:val="00A65366"/>
    <w:rsid w:val="00A65544"/>
    <w:rsid w:val="00A65901"/>
    <w:rsid w:val="00A65A92"/>
    <w:rsid w:val="00A65B39"/>
    <w:rsid w:val="00A665FD"/>
    <w:rsid w:val="00A66A13"/>
    <w:rsid w:val="00A66A4C"/>
    <w:rsid w:val="00A66BBF"/>
    <w:rsid w:val="00A6744A"/>
    <w:rsid w:val="00A674E2"/>
    <w:rsid w:val="00A67750"/>
    <w:rsid w:val="00A67BC5"/>
    <w:rsid w:val="00A67C55"/>
    <w:rsid w:val="00A67C61"/>
    <w:rsid w:val="00A67D25"/>
    <w:rsid w:val="00A7001E"/>
    <w:rsid w:val="00A70209"/>
    <w:rsid w:val="00A704D7"/>
    <w:rsid w:val="00A70573"/>
    <w:rsid w:val="00A70798"/>
    <w:rsid w:val="00A70E3F"/>
    <w:rsid w:val="00A70F14"/>
    <w:rsid w:val="00A71004"/>
    <w:rsid w:val="00A71B1B"/>
    <w:rsid w:val="00A721AF"/>
    <w:rsid w:val="00A724FC"/>
    <w:rsid w:val="00A726F3"/>
    <w:rsid w:val="00A7275B"/>
    <w:rsid w:val="00A7284D"/>
    <w:rsid w:val="00A72A69"/>
    <w:rsid w:val="00A72DB6"/>
    <w:rsid w:val="00A72EAF"/>
    <w:rsid w:val="00A7306F"/>
    <w:rsid w:val="00A7319C"/>
    <w:rsid w:val="00A73238"/>
    <w:rsid w:val="00A73247"/>
    <w:rsid w:val="00A7370C"/>
    <w:rsid w:val="00A73D43"/>
    <w:rsid w:val="00A7419C"/>
    <w:rsid w:val="00A743BA"/>
    <w:rsid w:val="00A74B01"/>
    <w:rsid w:val="00A74BE3"/>
    <w:rsid w:val="00A7505B"/>
    <w:rsid w:val="00A754AA"/>
    <w:rsid w:val="00A75698"/>
    <w:rsid w:val="00A75727"/>
    <w:rsid w:val="00A757A3"/>
    <w:rsid w:val="00A75DDC"/>
    <w:rsid w:val="00A75F17"/>
    <w:rsid w:val="00A75F37"/>
    <w:rsid w:val="00A761C3"/>
    <w:rsid w:val="00A7640C"/>
    <w:rsid w:val="00A76C6D"/>
    <w:rsid w:val="00A76DE3"/>
    <w:rsid w:val="00A76DFC"/>
    <w:rsid w:val="00A76EA7"/>
    <w:rsid w:val="00A76F3B"/>
    <w:rsid w:val="00A77212"/>
    <w:rsid w:val="00A773E8"/>
    <w:rsid w:val="00A7740C"/>
    <w:rsid w:val="00A775A0"/>
    <w:rsid w:val="00A7776D"/>
    <w:rsid w:val="00A7778F"/>
    <w:rsid w:val="00A77AB5"/>
    <w:rsid w:val="00A77DB8"/>
    <w:rsid w:val="00A77F5A"/>
    <w:rsid w:val="00A80046"/>
    <w:rsid w:val="00A80338"/>
    <w:rsid w:val="00A803D0"/>
    <w:rsid w:val="00A80F73"/>
    <w:rsid w:val="00A80FBE"/>
    <w:rsid w:val="00A81112"/>
    <w:rsid w:val="00A8131F"/>
    <w:rsid w:val="00A8177A"/>
    <w:rsid w:val="00A81AEF"/>
    <w:rsid w:val="00A81CB6"/>
    <w:rsid w:val="00A81CEA"/>
    <w:rsid w:val="00A81F01"/>
    <w:rsid w:val="00A82679"/>
    <w:rsid w:val="00A8297E"/>
    <w:rsid w:val="00A829F7"/>
    <w:rsid w:val="00A82C27"/>
    <w:rsid w:val="00A82D1B"/>
    <w:rsid w:val="00A82FB1"/>
    <w:rsid w:val="00A830F9"/>
    <w:rsid w:val="00A8328E"/>
    <w:rsid w:val="00A83483"/>
    <w:rsid w:val="00A835E4"/>
    <w:rsid w:val="00A836F0"/>
    <w:rsid w:val="00A83DDB"/>
    <w:rsid w:val="00A844FA"/>
    <w:rsid w:val="00A8457C"/>
    <w:rsid w:val="00A849F5"/>
    <w:rsid w:val="00A84BC8"/>
    <w:rsid w:val="00A84D66"/>
    <w:rsid w:val="00A85291"/>
    <w:rsid w:val="00A854EB"/>
    <w:rsid w:val="00A855EE"/>
    <w:rsid w:val="00A8654E"/>
    <w:rsid w:val="00A865AD"/>
    <w:rsid w:val="00A86975"/>
    <w:rsid w:val="00A86B90"/>
    <w:rsid w:val="00A86D19"/>
    <w:rsid w:val="00A86F56"/>
    <w:rsid w:val="00A87137"/>
    <w:rsid w:val="00A878B1"/>
    <w:rsid w:val="00A87A2C"/>
    <w:rsid w:val="00A87C50"/>
    <w:rsid w:val="00A900BF"/>
    <w:rsid w:val="00A90183"/>
    <w:rsid w:val="00A9027E"/>
    <w:rsid w:val="00A9038B"/>
    <w:rsid w:val="00A9075D"/>
    <w:rsid w:val="00A90775"/>
    <w:rsid w:val="00A908A5"/>
    <w:rsid w:val="00A90F39"/>
    <w:rsid w:val="00A9158C"/>
    <w:rsid w:val="00A91745"/>
    <w:rsid w:val="00A9174F"/>
    <w:rsid w:val="00A919A8"/>
    <w:rsid w:val="00A91E0C"/>
    <w:rsid w:val="00A920DF"/>
    <w:rsid w:val="00A921AD"/>
    <w:rsid w:val="00A923A4"/>
    <w:rsid w:val="00A92A39"/>
    <w:rsid w:val="00A932C4"/>
    <w:rsid w:val="00A93425"/>
    <w:rsid w:val="00A9391D"/>
    <w:rsid w:val="00A93B94"/>
    <w:rsid w:val="00A93E81"/>
    <w:rsid w:val="00A93EB8"/>
    <w:rsid w:val="00A94015"/>
    <w:rsid w:val="00A94133"/>
    <w:rsid w:val="00A941E6"/>
    <w:rsid w:val="00A94264"/>
    <w:rsid w:val="00A94369"/>
    <w:rsid w:val="00A94414"/>
    <w:rsid w:val="00A947D0"/>
    <w:rsid w:val="00A94970"/>
    <w:rsid w:val="00A94D63"/>
    <w:rsid w:val="00A9561F"/>
    <w:rsid w:val="00A95D68"/>
    <w:rsid w:val="00A95E57"/>
    <w:rsid w:val="00A96113"/>
    <w:rsid w:val="00A96135"/>
    <w:rsid w:val="00A9613D"/>
    <w:rsid w:val="00A96244"/>
    <w:rsid w:val="00A96576"/>
    <w:rsid w:val="00A96836"/>
    <w:rsid w:val="00A96D67"/>
    <w:rsid w:val="00A96F49"/>
    <w:rsid w:val="00A97024"/>
    <w:rsid w:val="00A97298"/>
    <w:rsid w:val="00A977EE"/>
    <w:rsid w:val="00A979BA"/>
    <w:rsid w:val="00A979E1"/>
    <w:rsid w:val="00A97B24"/>
    <w:rsid w:val="00A97DB7"/>
    <w:rsid w:val="00A97EC0"/>
    <w:rsid w:val="00AA032E"/>
    <w:rsid w:val="00AA089D"/>
    <w:rsid w:val="00AA094B"/>
    <w:rsid w:val="00AA09CC"/>
    <w:rsid w:val="00AA09E9"/>
    <w:rsid w:val="00AA0D8F"/>
    <w:rsid w:val="00AA0F8B"/>
    <w:rsid w:val="00AA1125"/>
    <w:rsid w:val="00AA148A"/>
    <w:rsid w:val="00AA1746"/>
    <w:rsid w:val="00AA1A9E"/>
    <w:rsid w:val="00AA1EFA"/>
    <w:rsid w:val="00AA2298"/>
    <w:rsid w:val="00AA23FD"/>
    <w:rsid w:val="00AA2608"/>
    <w:rsid w:val="00AA2925"/>
    <w:rsid w:val="00AA2A0B"/>
    <w:rsid w:val="00AA2F88"/>
    <w:rsid w:val="00AA31DD"/>
    <w:rsid w:val="00AA3C06"/>
    <w:rsid w:val="00AA3D15"/>
    <w:rsid w:val="00AA3FCF"/>
    <w:rsid w:val="00AA41A0"/>
    <w:rsid w:val="00AA434B"/>
    <w:rsid w:val="00AA43A0"/>
    <w:rsid w:val="00AA4715"/>
    <w:rsid w:val="00AA4C14"/>
    <w:rsid w:val="00AA5040"/>
    <w:rsid w:val="00AA52CE"/>
    <w:rsid w:val="00AA574D"/>
    <w:rsid w:val="00AA6071"/>
    <w:rsid w:val="00AA6231"/>
    <w:rsid w:val="00AA64AA"/>
    <w:rsid w:val="00AA6A72"/>
    <w:rsid w:val="00AA6D85"/>
    <w:rsid w:val="00AA741B"/>
    <w:rsid w:val="00AA74A3"/>
    <w:rsid w:val="00AA74A6"/>
    <w:rsid w:val="00AA74CE"/>
    <w:rsid w:val="00AA765F"/>
    <w:rsid w:val="00AA7669"/>
    <w:rsid w:val="00AB0006"/>
    <w:rsid w:val="00AB02CB"/>
    <w:rsid w:val="00AB077E"/>
    <w:rsid w:val="00AB0EA1"/>
    <w:rsid w:val="00AB0F24"/>
    <w:rsid w:val="00AB10F2"/>
    <w:rsid w:val="00AB17DA"/>
    <w:rsid w:val="00AB1A38"/>
    <w:rsid w:val="00AB1C15"/>
    <w:rsid w:val="00AB1E40"/>
    <w:rsid w:val="00AB1F00"/>
    <w:rsid w:val="00AB20F2"/>
    <w:rsid w:val="00AB2181"/>
    <w:rsid w:val="00AB264B"/>
    <w:rsid w:val="00AB2C84"/>
    <w:rsid w:val="00AB2CA5"/>
    <w:rsid w:val="00AB2D48"/>
    <w:rsid w:val="00AB2E38"/>
    <w:rsid w:val="00AB2E69"/>
    <w:rsid w:val="00AB3008"/>
    <w:rsid w:val="00AB3012"/>
    <w:rsid w:val="00AB3028"/>
    <w:rsid w:val="00AB3073"/>
    <w:rsid w:val="00AB33AF"/>
    <w:rsid w:val="00AB39EF"/>
    <w:rsid w:val="00AB3A10"/>
    <w:rsid w:val="00AB3A75"/>
    <w:rsid w:val="00AB3B08"/>
    <w:rsid w:val="00AB4784"/>
    <w:rsid w:val="00AB48D6"/>
    <w:rsid w:val="00AB4E98"/>
    <w:rsid w:val="00AB535E"/>
    <w:rsid w:val="00AB5434"/>
    <w:rsid w:val="00AB5B20"/>
    <w:rsid w:val="00AB5EF0"/>
    <w:rsid w:val="00AB613C"/>
    <w:rsid w:val="00AB6BA6"/>
    <w:rsid w:val="00AB6C5F"/>
    <w:rsid w:val="00AB6F1A"/>
    <w:rsid w:val="00AB7211"/>
    <w:rsid w:val="00AB7303"/>
    <w:rsid w:val="00AB738D"/>
    <w:rsid w:val="00AB7D61"/>
    <w:rsid w:val="00AC0720"/>
    <w:rsid w:val="00AC0726"/>
    <w:rsid w:val="00AC07BD"/>
    <w:rsid w:val="00AC0C98"/>
    <w:rsid w:val="00AC10BC"/>
    <w:rsid w:val="00AC10E7"/>
    <w:rsid w:val="00AC192B"/>
    <w:rsid w:val="00AC1CA1"/>
    <w:rsid w:val="00AC2175"/>
    <w:rsid w:val="00AC223D"/>
    <w:rsid w:val="00AC22C4"/>
    <w:rsid w:val="00AC24A1"/>
    <w:rsid w:val="00AC26F3"/>
    <w:rsid w:val="00AC2752"/>
    <w:rsid w:val="00AC296C"/>
    <w:rsid w:val="00AC2E6B"/>
    <w:rsid w:val="00AC32C7"/>
    <w:rsid w:val="00AC37C8"/>
    <w:rsid w:val="00AC39B2"/>
    <w:rsid w:val="00AC3BEC"/>
    <w:rsid w:val="00AC3E7E"/>
    <w:rsid w:val="00AC40ED"/>
    <w:rsid w:val="00AC49B0"/>
    <w:rsid w:val="00AC4B1B"/>
    <w:rsid w:val="00AC4EB3"/>
    <w:rsid w:val="00AC5156"/>
    <w:rsid w:val="00AC53CA"/>
    <w:rsid w:val="00AC53F4"/>
    <w:rsid w:val="00AC564A"/>
    <w:rsid w:val="00AC5818"/>
    <w:rsid w:val="00AC586B"/>
    <w:rsid w:val="00AC5AA8"/>
    <w:rsid w:val="00AC5C69"/>
    <w:rsid w:val="00AC66A3"/>
    <w:rsid w:val="00AC6710"/>
    <w:rsid w:val="00AC6A4D"/>
    <w:rsid w:val="00AC6B5F"/>
    <w:rsid w:val="00AC6DD7"/>
    <w:rsid w:val="00AC7282"/>
    <w:rsid w:val="00AC7371"/>
    <w:rsid w:val="00AC73DF"/>
    <w:rsid w:val="00AC7999"/>
    <w:rsid w:val="00AC7D17"/>
    <w:rsid w:val="00AD01BF"/>
    <w:rsid w:val="00AD02D2"/>
    <w:rsid w:val="00AD060F"/>
    <w:rsid w:val="00AD088D"/>
    <w:rsid w:val="00AD08E6"/>
    <w:rsid w:val="00AD0AC9"/>
    <w:rsid w:val="00AD0D67"/>
    <w:rsid w:val="00AD0EDF"/>
    <w:rsid w:val="00AD0FBB"/>
    <w:rsid w:val="00AD15B8"/>
    <w:rsid w:val="00AD250B"/>
    <w:rsid w:val="00AD2741"/>
    <w:rsid w:val="00AD2BCD"/>
    <w:rsid w:val="00AD315E"/>
    <w:rsid w:val="00AD32AC"/>
    <w:rsid w:val="00AD32E3"/>
    <w:rsid w:val="00AD3AA3"/>
    <w:rsid w:val="00AD3BBD"/>
    <w:rsid w:val="00AD3D10"/>
    <w:rsid w:val="00AD3F00"/>
    <w:rsid w:val="00AD3F92"/>
    <w:rsid w:val="00AD3FCE"/>
    <w:rsid w:val="00AD40AC"/>
    <w:rsid w:val="00AD4323"/>
    <w:rsid w:val="00AD4484"/>
    <w:rsid w:val="00AD4597"/>
    <w:rsid w:val="00AD4BEB"/>
    <w:rsid w:val="00AD4DE7"/>
    <w:rsid w:val="00AD4E06"/>
    <w:rsid w:val="00AD4E3A"/>
    <w:rsid w:val="00AD4EE6"/>
    <w:rsid w:val="00AD5178"/>
    <w:rsid w:val="00AD51B1"/>
    <w:rsid w:val="00AD522F"/>
    <w:rsid w:val="00AD541E"/>
    <w:rsid w:val="00AD551B"/>
    <w:rsid w:val="00AD5725"/>
    <w:rsid w:val="00AD5949"/>
    <w:rsid w:val="00AD6F0D"/>
    <w:rsid w:val="00AD6F8C"/>
    <w:rsid w:val="00AD73F9"/>
    <w:rsid w:val="00AD7840"/>
    <w:rsid w:val="00AD7D64"/>
    <w:rsid w:val="00AE02E2"/>
    <w:rsid w:val="00AE0985"/>
    <w:rsid w:val="00AE098D"/>
    <w:rsid w:val="00AE0BCC"/>
    <w:rsid w:val="00AE0FC9"/>
    <w:rsid w:val="00AE1153"/>
    <w:rsid w:val="00AE11B2"/>
    <w:rsid w:val="00AE174C"/>
    <w:rsid w:val="00AE1A4E"/>
    <w:rsid w:val="00AE1BBA"/>
    <w:rsid w:val="00AE1E66"/>
    <w:rsid w:val="00AE2161"/>
    <w:rsid w:val="00AE244B"/>
    <w:rsid w:val="00AE2629"/>
    <w:rsid w:val="00AE2B5E"/>
    <w:rsid w:val="00AE2C70"/>
    <w:rsid w:val="00AE2FDB"/>
    <w:rsid w:val="00AE341F"/>
    <w:rsid w:val="00AE3533"/>
    <w:rsid w:val="00AE3CBB"/>
    <w:rsid w:val="00AE3FE1"/>
    <w:rsid w:val="00AE41E2"/>
    <w:rsid w:val="00AE4246"/>
    <w:rsid w:val="00AE42B9"/>
    <w:rsid w:val="00AE435E"/>
    <w:rsid w:val="00AE4411"/>
    <w:rsid w:val="00AE49F8"/>
    <w:rsid w:val="00AE4CD1"/>
    <w:rsid w:val="00AE5268"/>
    <w:rsid w:val="00AE5270"/>
    <w:rsid w:val="00AE53F3"/>
    <w:rsid w:val="00AE54A2"/>
    <w:rsid w:val="00AE566E"/>
    <w:rsid w:val="00AE5AF0"/>
    <w:rsid w:val="00AE5B06"/>
    <w:rsid w:val="00AE5F32"/>
    <w:rsid w:val="00AE62F5"/>
    <w:rsid w:val="00AE6653"/>
    <w:rsid w:val="00AE6B0E"/>
    <w:rsid w:val="00AE6DBD"/>
    <w:rsid w:val="00AE70CD"/>
    <w:rsid w:val="00AE794C"/>
    <w:rsid w:val="00AE79A6"/>
    <w:rsid w:val="00AE7DCB"/>
    <w:rsid w:val="00AE7F4C"/>
    <w:rsid w:val="00AF00CC"/>
    <w:rsid w:val="00AF017E"/>
    <w:rsid w:val="00AF0428"/>
    <w:rsid w:val="00AF068B"/>
    <w:rsid w:val="00AF09D2"/>
    <w:rsid w:val="00AF0A0C"/>
    <w:rsid w:val="00AF0D21"/>
    <w:rsid w:val="00AF0DA0"/>
    <w:rsid w:val="00AF1503"/>
    <w:rsid w:val="00AF1875"/>
    <w:rsid w:val="00AF1CF5"/>
    <w:rsid w:val="00AF1E57"/>
    <w:rsid w:val="00AF1ED9"/>
    <w:rsid w:val="00AF20F1"/>
    <w:rsid w:val="00AF2104"/>
    <w:rsid w:val="00AF217B"/>
    <w:rsid w:val="00AF2297"/>
    <w:rsid w:val="00AF272C"/>
    <w:rsid w:val="00AF2823"/>
    <w:rsid w:val="00AF2CB0"/>
    <w:rsid w:val="00AF2E51"/>
    <w:rsid w:val="00AF3288"/>
    <w:rsid w:val="00AF3E35"/>
    <w:rsid w:val="00AF40A6"/>
    <w:rsid w:val="00AF47AB"/>
    <w:rsid w:val="00AF4A54"/>
    <w:rsid w:val="00AF4A6D"/>
    <w:rsid w:val="00AF4B18"/>
    <w:rsid w:val="00AF4B74"/>
    <w:rsid w:val="00AF51B6"/>
    <w:rsid w:val="00AF5273"/>
    <w:rsid w:val="00AF538D"/>
    <w:rsid w:val="00AF5555"/>
    <w:rsid w:val="00AF561E"/>
    <w:rsid w:val="00AF5969"/>
    <w:rsid w:val="00AF59C6"/>
    <w:rsid w:val="00AF5B4B"/>
    <w:rsid w:val="00AF5CC7"/>
    <w:rsid w:val="00AF610C"/>
    <w:rsid w:val="00AF62D5"/>
    <w:rsid w:val="00AF646F"/>
    <w:rsid w:val="00AF65C7"/>
    <w:rsid w:val="00AF67A3"/>
    <w:rsid w:val="00AF6F3E"/>
    <w:rsid w:val="00AF7197"/>
    <w:rsid w:val="00AF750C"/>
    <w:rsid w:val="00AF7E61"/>
    <w:rsid w:val="00B00235"/>
    <w:rsid w:val="00B00304"/>
    <w:rsid w:val="00B00463"/>
    <w:rsid w:val="00B005DF"/>
    <w:rsid w:val="00B007AE"/>
    <w:rsid w:val="00B0099D"/>
    <w:rsid w:val="00B00CB4"/>
    <w:rsid w:val="00B00CDB"/>
    <w:rsid w:val="00B00D9E"/>
    <w:rsid w:val="00B00E0C"/>
    <w:rsid w:val="00B00E88"/>
    <w:rsid w:val="00B00F54"/>
    <w:rsid w:val="00B0109F"/>
    <w:rsid w:val="00B0146C"/>
    <w:rsid w:val="00B01657"/>
    <w:rsid w:val="00B0175A"/>
    <w:rsid w:val="00B0177A"/>
    <w:rsid w:val="00B0190D"/>
    <w:rsid w:val="00B01932"/>
    <w:rsid w:val="00B01B11"/>
    <w:rsid w:val="00B01B72"/>
    <w:rsid w:val="00B01E5C"/>
    <w:rsid w:val="00B01FCD"/>
    <w:rsid w:val="00B02246"/>
    <w:rsid w:val="00B024B3"/>
    <w:rsid w:val="00B0277D"/>
    <w:rsid w:val="00B02DAE"/>
    <w:rsid w:val="00B02EBE"/>
    <w:rsid w:val="00B0393B"/>
    <w:rsid w:val="00B03C2F"/>
    <w:rsid w:val="00B03C4C"/>
    <w:rsid w:val="00B0407A"/>
    <w:rsid w:val="00B04356"/>
    <w:rsid w:val="00B044F5"/>
    <w:rsid w:val="00B04501"/>
    <w:rsid w:val="00B045B8"/>
    <w:rsid w:val="00B048E6"/>
    <w:rsid w:val="00B04933"/>
    <w:rsid w:val="00B05162"/>
    <w:rsid w:val="00B051F9"/>
    <w:rsid w:val="00B054D6"/>
    <w:rsid w:val="00B0558E"/>
    <w:rsid w:val="00B059BF"/>
    <w:rsid w:val="00B05A0F"/>
    <w:rsid w:val="00B05C6C"/>
    <w:rsid w:val="00B061DB"/>
    <w:rsid w:val="00B062A1"/>
    <w:rsid w:val="00B06BB8"/>
    <w:rsid w:val="00B06C15"/>
    <w:rsid w:val="00B06F6B"/>
    <w:rsid w:val="00B0774B"/>
    <w:rsid w:val="00B07E7D"/>
    <w:rsid w:val="00B102A1"/>
    <w:rsid w:val="00B1095F"/>
    <w:rsid w:val="00B109C9"/>
    <w:rsid w:val="00B109FC"/>
    <w:rsid w:val="00B10BD4"/>
    <w:rsid w:val="00B10C00"/>
    <w:rsid w:val="00B114BB"/>
    <w:rsid w:val="00B11C4C"/>
    <w:rsid w:val="00B11DCA"/>
    <w:rsid w:val="00B11E68"/>
    <w:rsid w:val="00B1226A"/>
    <w:rsid w:val="00B12CD6"/>
    <w:rsid w:val="00B12DDA"/>
    <w:rsid w:val="00B12EC2"/>
    <w:rsid w:val="00B12F39"/>
    <w:rsid w:val="00B1329E"/>
    <w:rsid w:val="00B134EC"/>
    <w:rsid w:val="00B135FB"/>
    <w:rsid w:val="00B13EAF"/>
    <w:rsid w:val="00B1427C"/>
    <w:rsid w:val="00B14818"/>
    <w:rsid w:val="00B14989"/>
    <w:rsid w:val="00B14D28"/>
    <w:rsid w:val="00B14D75"/>
    <w:rsid w:val="00B14EDE"/>
    <w:rsid w:val="00B150EC"/>
    <w:rsid w:val="00B15161"/>
    <w:rsid w:val="00B15414"/>
    <w:rsid w:val="00B1560C"/>
    <w:rsid w:val="00B156E0"/>
    <w:rsid w:val="00B1595E"/>
    <w:rsid w:val="00B15F1C"/>
    <w:rsid w:val="00B161C3"/>
    <w:rsid w:val="00B165FB"/>
    <w:rsid w:val="00B16881"/>
    <w:rsid w:val="00B1693C"/>
    <w:rsid w:val="00B16AAD"/>
    <w:rsid w:val="00B16B04"/>
    <w:rsid w:val="00B16C5C"/>
    <w:rsid w:val="00B16F9A"/>
    <w:rsid w:val="00B17255"/>
    <w:rsid w:val="00B17570"/>
    <w:rsid w:val="00B17583"/>
    <w:rsid w:val="00B17585"/>
    <w:rsid w:val="00B175AA"/>
    <w:rsid w:val="00B177C1"/>
    <w:rsid w:val="00B17AFF"/>
    <w:rsid w:val="00B17B72"/>
    <w:rsid w:val="00B17C26"/>
    <w:rsid w:val="00B208B9"/>
    <w:rsid w:val="00B20BD0"/>
    <w:rsid w:val="00B20E93"/>
    <w:rsid w:val="00B20F2F"/>
    <w:rsid w:val="00B212F6"/>
    <w:rsid w:val="00B21794"/>
    <w:rsid w:val="00B21C19"/>
    <w:rsid w:val="00B224B8"/>
    <w:rsid w:val="00B22AD5"/>
    <w:rsid w:val="00B22DD8"/>
    <w:rsid w:val="00B22DF9"/>
    <w:rsid w:val="00B2354F"/>
    <w:rsid w:val="00B23617"/>
    <w:rsid w:val="00B23ACB"/>
    <w:rsid w:val="00B24639"/>
    <w:rsid w:val="00B24951"/>
    <w:rsid w:val="00B253AA"/>
    <w:rsid w:val="00B25844"/>
    <w:rsid w:val="00B25AD6"/>
    <w:rsid w:val="00B25E77"/>
    <w:rsid w:val="00B25EE6"/>
    <w:rsid w:val="00B26030"/>
    <w:rsid w:val="00B261DA"/>
    <w:rsid w:val="00B2632A"/>
    <w:rsid w:val="00B2652A"/>
    <w:rsid w:val="00B265A0"/>
    <w:rsid w:val="00B2697C"/>
    <w:rsid w:val="00B26A98"/>
    <w:rsid w:val="00B26B5D"/>
    <w:rsid w:val="00B26BB4"/>
    <w:rsid w:val="00B26C2A"/>
    <w:rsid w:val="00B26DFD"/>
    <w:rsid w:val="00B26E17"/>
    <w:rsid w:val="00B26EFC"/>
    <w:rsid w:val="00B26FFF"/>
    <w:rsid w:val="00B27531"/>
    <w:rsid w:val="00B27A66"/>
    <w:rsid w:val="00B27BAC"/>
    <w:rsid w:val="00B27F51"/>
    <w:rsid w:val="00B300E2"/>
    <w:rsid w:val="00B300F6"/>
    <w:rsid w:val="00B303D2"/>
    <w:rsid w:val="00B30BDD"/>
    <w:rsid w:val="00B314C6"/>
    <w:rsid w:val="00B318C9"/>
    <w:rsid w:val="00B31B08"/>
    <w:rsid w:val="00B31E4C"/>
    <w:rsid w:val="00B325C0"/>
    <w:rsid w:val="00B32642"/>
    <w:rsid w:val="00B32DC6"/>
    <w:rsid w:val="00B32F2A"/>
    <w:rsid w:val="00B33320"/>
    <w:rsid w:val="00B3335D"/>
    <w:rsid w:val="00B335EC"/>
    <w:rsid w:val="00B337BB"/>
    <w:rsid w:val="00B33ABC"/>
    <w:rsid w:val="00B33C56"/>
    <w:rsid w:val="00B33FA2"/>
    <w:rsid w:val="00B34379"/>
    <w:rsid w:val="00B346B2"/>
    <w:rsid w:val="00B34B58"/>
    <w:rsid w:val="00B35685"/>
    <w:rsid w:val="00B356CD"/>
    <w:rsid w:val="00B359EB"/>
    <w:rsid w:val="00B35DC2"/>
    <w:rsid w:val="00B35F49"/>
    <w:rsid w:val="00B3605F"/>
    <w:rsid w:val="00B36186"/>
    <w:rsid w:val="00B361B2"/>
    <w:rsid w:val="00B3674E"/>
    <w:rsid w:val="00B36A83"/>
    <w:rsid w:val="00B36DD7"/>
    <w:rsid w:val="00B37711"/>
    <w:rsid w:val="00B377F9"/>
    <w:rsid w:val="00B3783B"/>
    <w:rsid w:val="00B37890"/>
    <w:rsid w:val="00B37980"/>
    <w:rsid w:val="00B37991"/>
    <w:rsid w:val="00B37A84"/>
    <w:rsid w:val="00B37C9D"/>
    <w:rsid w:val="00B37ED6"/>
    <w:rsid w:val="00B37F33"/>
    <w:rsid w:val="00B37F43"/>
    <w:rsid w:val="00B40022"/>
    <w:rsid w:val="00B4036C"/>
    <w:rsid w:val="00B40857"/>
    <w:rsid w:val="00B40D2E"/>
    <w:rsid w:val="00B4130C"/>
    <w:rsid w:val="00B417AA"/>
    <w:rsid w:val="00B4185D"/>
    <w:rsid w:val="00B41A0B"/>
    <w:rsid w:val="00B425A9"/>
    <w:rsid w:val="00B426AA"/>
    <w:rsid w:val="00B42980"/>
    <w:rsid w:val="00B42A8C"/>
    <w:rsid w:val="00B42AB7"/>
    <w:rsid w:val="00B42CA3"/>
    <w:rsid w:val="00B42D98"/>
    <w:rsid w:val="00B43259"/>
    <w:rsid w:val="00B437B6"/>
    <w:rsid w:val="00B43894"/>
    <w:rsid w:val="00B43F8C"/>
    <w:rsid w:val="00B44157"/>
    <w:rsid w:val="00B44390"/>
    <w:rsid w:val="00B44924"/>
    <w:rsid w:val="00B44C4A"/>
    <w:rsid w:val="00B4511F"/>
    <w:rsid w:val="00B4563A"/>
    <w:rsid w:val="00B45998"/>
    <w:rsid w:val="00B45C92"/>
    <w:rsid w:val="00B45E3F"/>
    <w:rsid w:val="00B46097"/>
    <w:rsid w:val="00B46313"/>
    <w:rsid w:val="00B4640B"/>
    <w:rsid w:val="00B467D9"/>
    <w:rsid w:val="00B46968"/>
    <w:rsid w:val="00B46B22"/>
    <w:rsid w:val="00B46C6A"/>
    <w:rsid w:val="00B46D6F"/>
    <w:rsid w:val="00B46FE6"/>
    <w:rsid w:val="00B4744C"/>
    <w:rsid w:val="00B476E4"/>
    <w:rsid w:val="00B477B0"/>
    <w:rsid w:val="00B47D27"/>
    <w:rsid w:val="00B50429"/>
    <w:rsid w:val="00B504A4"/>
    <w:rsid w:val="00B5056C"/>
    <w:rsid w:val="00B508B0"/>
    <w:rsid w:val="00B50918"/>
    <w:rsid w:val="00B50C15"/>
    <w:rsid w:val="00B51B64"/>
    <w:rsid w:val="00B51F08"/>
    <w:rsid w:val="00B524D7"/>
    <w:rsid w:val="00B52831"/>
    <w:rsid w:val="00B528C5"/>
    <w:rsid w:val="00B52ACC"/>
    <w:rsid w:val="00B52C07"/>
    <w:rsid w:val="00B5338A"/>
    <w:rsid w:val="00B533D4"/>
    <w:rsid w:val="00B53BF6"/>
    <w:rsid w:val="00B53D76"/>
    <w:rsid w:val="00B54569"/>
    <w:rsid w:val="00B54656"/>
    <w:rsid w:val="00B5489C"/>
    <w:rsid w:val="00B54A0D"/>
    <w:rsid w:val="00B54A15"/>
    <w:rsid w:val="00B550F3"/>
    <w:rsid w:val="00B55220"/>
    <w:rsid w:val="00B55518"/>
    <w:rsid w:val="00B5556C"/>
    <w:rsid w:val="00B55907"/>
    <w:rsid w:val="00B55E0F"/>
    <w:rsid w:val="00B563EA"/>
    <w:rsid w:val="00B56F0B"/>
    <w:rsid w:val="00B56FB8"/>
    <w:rsid w:val="00B5716A"/>
    <w:rsid w:val="00B57383"/>
    <w:rsid w:val="00B573A7"/>
    <w:rsid w:val="00B57756"/>
    <w:rsid w:val="00B6016C"/>
    <w:rsid w:val="00B60572"/>
    <w:rsid w:val="00B60755"/>
    <w:rsid w:val="00B608DC"/>
    <w:rsid w:val="00B60989"/>
    <w:rsid w:val="00B60AD0"/>
    <w:rsid w:val="00B60B14"/>
    <w:rsid w:val="00B60D4E"/>
    <w:rsid w:val="00B60E07"/>
    <w:rsid w:val="00B60E1E"/>
    <w:rsid w:val="00B60E8A"/>
    <w:rsid w:val="00B61006"/>
    <w:rsid w:val="00B610BA"/>
    <w:rsid w:val="00B61411"/>
    <w:rsid w:val="00B61459"/>
    <w:rsid w:val="00B61776"/>
    <w:rsid w:val="00B61779"/>
    <w:rsid w:val="00B61B77"/>
    <w:rsid w:val="00B61D63"/>
    <w:rsid w:val="00B6202F"/>
    <w:rsid w:val="00B622D2"/>
    <w:rsid w:val="00B6230C"/>
    <w:rsid w:val="00B62800"/>
    <w:rsid w:val="00B628B1"/>
    <w:rsid w:val="00B62B04"/>
    <w:rsid w:val="00B62B1B"/>
    <w:rsid w:val="00B62CDC"/>
    <w:rsid w:val="00B63121"/>
    <w:rsid w:val="00B63237"/>
    <w:rsid w:val="00B63333"/>
    <w:rsid w:val="00B63418"/>
    <w:rsid w:val="00B63518"/>
    <w:rsid w:val="00B63803"/>
    <w:rsid w:val="00B639D6"/>
    <w:rsid w:val="00B63D57"/>
    <w:rsid w:val="00B64363"/>
    <w:rsid w:val="00B6468E"/>
    <w:rsid w:val="00B6484E"/>
    <w:rsid w:val="00B64A07"/>
    <w:rsid w:val="00B65036"/>
    <w:rsid w:val="00B6509B"/>
    <w:rsid w:val="00B650BF"/>
    <w:rsid w:val="00B65741"/>
    <w:rsid w:val="00B65BE2"/>
    <w:rsid w:val="00B65D35"/>
    <w:rsid w:val="00B65D91"/>
    <w:rsid w:val="00B65E7C"/>
    <w:rsid w:val="00B6615B"/>
    <w:rsid w:val="00B669E3"/>
    <w:rsid w:val="00B66CD5"/>
    <w:rsid w:val="00B66D8E"/>
    <w:rsid w:val="00B66F0F"/>
    <w:rsid w:val="00B673A4"/>
    <w:rsid w:val="00B67798"/>
    <w:rsid w:val="00B6788B"/>
    <w:rsid w:val="00B678D4"/>
    <w:rsid w:val="00B70488"/>
    <w:rsid w:val="00B706D6"/>
    <w:rsid w:val="00B70828"/>
    <w:rsid w:val="00B708D3"/>
    <w:rsid w:val="00B70A66"/>
    <w:rsid w:val="00B70C56"/>
    <w:rsid w:val="00B70F0A"/>
    <w:rsid w:val="00B710A6"/>
    <w:rsid w:val="00B71748"/>
    <w:rsid w:val="00B7193E"/>
    <w:rsid w:val="00B71E45"/>
    <w:rsid w:val="00B71E7A"/>
    <w:rsid w:val="00B72571"/>
    <w:rsid w:val="00B72787"/>
    <w:rsid w:val="00B72E6B"/>
    <w:rsid w:val="00B72EF5"/>
    <w:rsid w:val="00B731C4"/>
    <w:rsid w:val="00B7371C"/>
    <w:rsid w:val="00B73B29"/>
    <w:rsid w:val="00B73BB7"/>
    <w:rsid w:val="00B7404D"/>
    <w:rsid w:val="00B741CA"/>
    <w:rsid w:val="00B74A0E"/>
    <w:rsid w:val="00B757E6"/>
    <w:rsid w:val="00B7594E"/>
    <w:rsid w:val="00B759AA"/>
    <w:rsid w:val="00B759EA"/>
    <w:rsid w:val="00B75CC3"/>
    <w:rsid w:val="00B75FBF"/>
    <w:rsid w:val="00B761EF"/>
    <w:rsid w:val="00B7639B"/>
    <w:rsid w:val="00B763C0"/>
    <w:rsid w:val="00B765F7"/>
    <w:rsid w:val="00B76DCB"/>
    <w:rsid w:val="00B77203"/>
    <w:rsid w:val="00B77467"/>
    <w:rsid w:val="00B77A39"/>
    <w:rsid w:val="00B77C0E"/>
    <w:rsid w:val="00B77C19"/>
    <w:rsid w:val="00B801AD"/>
    <w:rsid w:val="00B80410"/>
    <w:rsid w:val="00B8047F"/>
    <w:rsid w:val="00B8054C"/>
    <w:rsid w:val="00B80552"/>
    <w:rsid w:val="00B806AD"/>
    <w:rsid w:val="00B80AD9"/>
    <w:rsid w:val="00B80DA3"/>
    <w:rsid w:val="00B80F52"/>
    <w:rsid w:val="00B811EA"/>
    <w:rsid w:val="00B813E1"/>
    <w:rsid w:val="00B81A87"/>
    <w:rsid w:val="00B81C16"/>
    <w:rsid w:val="00B8219B"/>
    <w:rsid w:val="00B82204"/>
    <w:rsid w:val="00B82402"/>
    <w:rsid w:val="00B82790"/>
    <w:rsid w:val="00B82CA6"/>
    <w:rsid w:val="00B82CC8"/>
    <w:rsid w:val="00B82E21"/>
    <w:rsid w:val="00B830C3"/>
    <w:rsid w:val="00B8374D"/>
    <w:rsid w:val="00B8376B"/>
    <w:rsid w:val="00B83CBF"/>
    <w:rsid w:val="00B83DFC"/>
    <w:rsid w:val="00B83FFF"/>
    <w:rsid w:val="00B84038"/>
    <w:rsid w:val="00B840D4"/>
    <w:rsid w:val="00B84444"/>
    <w:rsid w:val="00B8464D"/>
    <w:rsid w:val="00B84652"/>
    <w:rsid w:val="00B84881"/>
    <w:rsid w:val="00B84B1E"/>
    <w:rsid w:val="00B84C11"/>
    <w:rsid w:val="00B84D88"/>
    <w:rsid w:val="00B85139"/>
    <w:rsid w:val="00B8550B"/>
    <w:rsid w:val="00B855AF"/>
    <w:rsid w:val="00B856B8"/>
    <w:rsid w:val="00B8580B"/>
    <w:rsid w:val="00B8591E"/>
    <w:rsid w:val="00B85B0A"/>
    <w:rsid w:val="00B85B16"/>
    <w:rsid w:val="00B86057"/>
    <w:rsid w:val="00B8609A"/>
    <w:rsid w:val="00B864D0"/>
    <w:rsid w:val="00B86943"/>
    <w:rsid w:val="00B86ACB"/>
    <w:rsid w:val="00B86B04"/>
    <w:rsid w:val="00B8757B"/>
    <w:rsid w:val="00B876B1"/>
    <w:rsid w:val="00B87AD7"/>
    <w:rsid w:val="00B87CB4"/>
    <w:rsid w:val="00B87CF9"/>
    <w:rsid w:val="00B87F4C"/>
    <w:rsid w:val="00B87FEF"/>
    <w:rsid w:val="00B900C8"/>
    <w:rsid w:val="00B90799"/>
    <w:rsid w:val="00B90936"/>
    <w:rsid w:val="00B90A62"/>
    <w:rsid w:val="00B90DD3"/>
    <w:rsid w:val="00B90E5E"/>
    <w:rsid w:val="00B90F6B"/>
    <w:rsid w:val="00B910AA"/>
    <w:rsid w:val="00B911CA"/>
    <w:rsid w:val="00B911DE"/>
    <w:rsid w:val="00B91348"/>
    <w:rsid w:val="00B91426"/>
    <w:rsid w:val="00B91612"/>
    <w:rsid w:val="00B91887"/>
    <w:rsid w:val="00B918DC"/>
    <w:rsid w:val="00B92374"/>
    <w:rsid w:val="00B92760"/>
    <w:rsid w:val="00B927FE"/>
    <w:rsid w:val="00B929B7"/>
    <w:rsid w:val="00B92CC6"/>
    <w:rsid w:val="00B92F76"/>
    <w:rsid w:val="00B93096"/>
    <w:rsid w:val="00B930CB"/>
    <w:rsid w:val="00B9325E"/>
    <w:rsid w:val="00B9327F"/>
    <w:rsid w:val="00B93484"/>
    <w:rsid w:val="00B9402D"/>
    <w:rsid w:val="00B9457E"/>
    <w:rsid w:val="00B948DE"/>
    <w:rsid w:val="00B94C0D"/>
    <w:rsid w:val="00B94EE7"/>
    <w:rsid w:val="00B94F6A"/>
    <w:rsid w:val="00B9500C"/>
    <w:rsid w:val="00B9528F"/>
    <w:rsid w:val="00B953DB"/>
    <w:rsid w:val="00B95820"/>
    <w:rsid w:val="00B95873"/>
    <w:rsid w:val="00B95A77"/>
    <w:rsid w:val="00B95B3A"/>
    <w:rsid w:val="00B95B99"/>
    <w:rsid w:val="00B95D08"/>
    <w:rsid w:val="00B95E1C"/>
    <w:rsid w:val="00B95FD8"/>
    <w:rsid w:val="00B9602B"/>
    <w:rsid w:val="00B963D8"/>
    <w:rsid w:val="00B9668C"/>
    <w:rsid w:val="00B9669D"/>
    <w:rsid w:val="00B9685B"/>
    <w:rsid w:val="00B96F9B"/>
    <w:rsid w:val="00B970BE"/>
    <w:rsid w:val="00B971CF"/>
    <w:rsid w:val="00B97638"/>
    <w:rsid w:val="00B976B3"/>
    <w:rsid w:val="00B97765"/>
    <w:rsid w:val="00B979C1"/>
    <w:rsid w:val="00B97DF0"/>
    <w:rsid w:val="00B97E50"/>
    <w:rsid w:val="00BA02E4"/>
    <w:rsid w:val="00BA0730"/>
    <w:rsid w:val="00BA09BF"/>
    <w:rsid w:val="00BA0F50"/>
    <w:rsid w:val="00BA1074"/>
    <w:rsid w:val="00BA1307"/>
    <w:rsid w:val="00BA15B8"/>
    <w:rsid w:val="00BA1842"/>
    <w:rsid w:val="00BA1F2E"/>
    <w:rsid w:val="00BA2F62"/>
    <w:rsid w:val="00BA3447"/>
    <w:rsid w:val="00BA3CF3"/>
    <w:rsid w:val="00BA3F48"/>
    <w:rsid w:val="00BA430C"/>
    <w:rsid w:val="00BA4CEC"/>
    <w:rsid w:val="00BA4ECF"/>
    <w:rsid w:val="00BA5104"/>
    <w:rsid w:val="00BA542F"/>
    <w:rsid w:val="00BA55EB"/>
    <w:rsid w:val="00BA5673"/>
    <w:rsid w:val="00BA570B"/>
    <w:rsid w:val="00BA576C"/>
    <w:rsid w:val="00BA57B6"/>
    <w:rsid w:val="00BA5ADC"/>
    <w:rsid w:val="00BA66E1"/>
    <w:rsid w:val="00BA698B"/>
    <w:rsid w:val="00BA6C20"/>
    <w:rsid w:val="00BA6F51"/>
    <w:rsid w:val="00BA73F2"/>
    <w:rsid w:val="00BA768E"/>
    <w:rsid w:val="00BA7C82"/>
    <w:rsid w:val="00BA7DA6"/>
    <w:rsid w:val="00BB0530"/>
    <w:rsid w:val="00BB0598"/>
    <w:rsid w:val="00BB06DC"/>
    <w:rsid w:val="00BB0B20"/>
    <w:rsid w:val="00BB0CAE"/>
    <w:rsid w:val="00BB0D8C"/>
    <w:rsid w:val="00BB0E2D"/>
    <w:rsid w:val="00BB0E39"/>
    <w:rsid w:val="00BB118F"/>
    <w:rsid w:val="00BB11BC"/>
    <w:rsid w:val="00BB1312"/>
    <w:rsid w:val="00BB163D"/>
    <w:rsid w:val="00BB18DC"/>
    <w:rsid w:val="00BB1AE1"/>
    <w:rsid w:val="00BB1B16"/>
    <w:rsid w:val="00BB1BE0"/>
    <w:rsid w:val="00BB1CA4"/>
    <w:rsid w:val="00BB1CEF"/>
    <w:rsid w:val="00BB1D91"/>
    <w:rsid w:val="00BB2359"/>
    <w:rsid w:val="00BB3048"/>
    <w:rsid w:val="00BB3151"/>
    <w:rsid w:val="00BB3F51"/>
    <w:rsid w:val="00BB3FAA"/>
    <w:rsid w:val="00BB409E"/>
    <w:rsid w:val="00BB431E"/>
    <w:rsid w:val="00BB4350"/>
    <w:rsid w:val="00BB4384"/>
    <w:rsid w:val="00BB439D"/>
    <w:rsid w:val="00BB4B50"/>
    <w:rsid w:val="00BB4E47"/>
    <w:rsid w:val="00BB504D"/>
    <w:rsid w:val="00BB5062"/>
    <w:rsid w:val="00BB51FD"/>
    <w:rsid w:val="00BB5508"/>
    <w:rsid w:val="00BB55AF"/>
    <w:rsid w:val="00BB5FEF"/>
    <w:rsid w:val="00BB6074"/>
    <w:rsid w:val="00BB609C"/>
    <w:rsid w:val="00BB6299"/>
    <w:rsid w:val="00BB62C7"/>
    <w:rsid w:val="00BB691C"/>
    <w:rsid w:val="00BB6DB0"/>
    <w:rsid w:val="00BB71B2"/>
    <w:rsid w:val="00BB7B7B"/>
    <w:rsid w:val="00BB7DF7"/>
    <w:rsid w:val="00BB7E28"/>
    <w:rsid w:val="00BB7E96"/>
    <w:rsid w:val="00BB7F4C"/>
    <w:rsid w:val="00BB7F97"/>
    <w:rsid w:val="00BC014D"/>
    <w:rsid w:val="00BC098B"/>
    <w:rsid w:val="00BC0F5D"/>
    <w:rsid w:val="00BC0FD8"/>
    <w:rsid w:val="00BC1022"/>
    <w:rsid w:val="00BC12A6"/>
    <w:rsid w:val="00BC1376"/>
    <w:rsid w:val="00BC1392"/>
    <w:rsid w:val="00BC1668"/>
    <w:rsid w:val="00BC170A"/>
    <w:rsid w:val="00BC1C5C"/>
    <w:rsid w:val="00BC210F"/>
    <w:rsid w:val="00BC22F3"/>
    <w:rsid w:val="00BC231E"/>
    <w:rsid w:val="00BC24D7"/>
    <w:rsid w:val="00BC2858"/>
    <w:rsid w:val="00BC286B"/>
    <w:rsid w:val="00BC29F4"/>
    <w:rsid w:val="00BC2D3C"/>
    <w:rsid w:val="00BC2EBF"/>
    <w:rsid w:val="00BC305E"/>
    <w:rsid w:val="00BC3207"/>
    <w:rsid w:val="00BC348C"/>
    <w:rsid w:val="00BC34F6"/>
    <w:rsid w:val="00BC37A4"/>
    <w:rsid w:val="00BC3E91"/>
    <w:rsid w:val="00BC3EE5"/>
    <w:rsid w:val="00BC4222"/>
    <w:rsid w:val="00BC4746"/>
    <w:rsid w:val="00BC4B5D"/>
    <w:rsid w:val="00BC4B88"/>
    <w:rsid w:val="00BC4E0E"/>
    <w:rsid w:val="00BC4F5A"/>
    <w:rsid w:val="00BC51AE"/>
    <w:rsid w:val="00BC5351"/>
    <w:rsid w:val="00BC599C"/>
    <w:rsid w:val="00BC5EAF"/>
    <w:rsid w:val="00BC5EDC"/>
    <w:rsid w:val="00BC61B6"/>
    <w:rsid w:val="00BC63AC"/>
    <w:rsid w:val="00BC68DE"/>
    <w:rsid w:val="00BC6EE3"/>
    <w:rsid w:val="00BC70DA"/>
    <w:rsid w:val="00BC7260"/>
    <w:rsid w:val="00BC75EB"/>
    <w:rsid w:val="00BC7628"/>
    <w:rsid w:val="00BC7669"/>
    <w:rsid w:val="00BC79FC"/>
    <w:rsid w:val="00BD036C"/>
    <w:rsid w:val="00BD056F"/>
    <w:rsid w:val="00BD0AD0"/>
    <w:rsid w:val="00BD0CCD"/>
    <w:rsid w:val="00BD0D0D"/>
    <w:rsid w:val="00BD11FC"/>
    <w:rsid w:val="00BD16CA"/>
    <w:rsid w:val="00BD17F2"/>
    <w:rsid w:val="00BD183F"/>
    <w:rsid w:val="00BD1AD3"/>
    <w:rsid w:val="00BD1C8B"/>
    <w:rsid w:val="00BD2057"/>
    <w:rsid w:val="00BD2072"/>
    <w:rsid w:val="00BD20EC"/>
    <w:rsid w:val="00BD211C"/>
    <w:rsid w:val="00BD21EC"/>
    <w:rsid w:val="00BD232D"/>
    <w:rsid w:val="00BD2D0B"/>
    <w:rsid w:val="00BD2EC3"/>
    <w:rsid w:val="00BD335C"/>
    <w:rsid w:val="00BD34CD"/>
    <w:rsid w:val="00BD35B1"/>
    <w:rsid w:val="00BD369B"/>
    <w:rsid w:val="00BD3A82"/>
    <w:rsid w:val="00BD3D8E"/>
    <w:rsid w:val="00BD3EA7"/>
    <w:rsid w:val="00BD3FC6"/>
    <w:rsid w:val="00BD4374"/>
    <w:rsid w:val="00BD44E1"/>
    <w:rsid w:val="00BD4A6A"/>
    <w:rsid w:val="00BD5031"/>
    <w:rsid w:val="00BD51B7"/>
    <w:rsid w:val="00BD51D2"/>
    <w:rsid w:val="00BD5355"/>
    <w:rsid w:val="00BD53FE"/>
    <w:rsid w:val="00BD55F9"/>
    <w:rsid w:val="00BD57D9"/>
    <w:rsid w:val="00BD584A"/>
    <w:rsid w:val="00BD5A1B"/>
    <w:rsid w:val="00BD5F39"/>
    <w:rsid w:val="00BD5F53"/>
    <w:rsid w:val="00BD60CB"/>
    <w:rsid w:val="00BD61BF"/>
    <w:rsid w:val="00BD6618"/>
    <w:rsid w:val="00BD6F4A"/>
    <w:rsid w:val="00BD7351"/>
    <w:rsid w:val="00BD78FF"/>
    <w:rsid w:val="00BD7A28"/>
    <w:rsid w:val="00BD7A38"/>
    <w:rsid w:val="00BD7DFB"/>
    <w:rsid w:val="00BD7E9A"/>
    <w:rsid w:val="00BE0274"/>
    <w:rsid w:val="00BE04C8"/>
    <w:rsid w:val="00BE04EC"/>
    <w:rsid w:val="00BE0638"/>
    <w:rsid w:val="00BE0981"/>
    <w:rsid w:val="00BE0A13"/>
    <w:rsid w:val="00BE0B63"/>
    <w:rsid w:val="00BE0D41"/>
    <w:rsid w:val="00BE0F9A"/>
    <w:rsid w:val="00BE1386"/>
    <w:rsid w:val="00BE1534"/>
    <w:rsid w:val="00BE1B36"/>
    <w:rsid w:val="00BE1DEB"/>
    <w:rsid w:val="00BE1FEB"/>
    <w:rsid w:val="00BE2230"/>
    <w:rsid w:val="00BE22DD"/>
    <w:rsid w:val="00BE250A"/>
    <w:rsid w:val="00BE26AA"/>
    <w:rsid w:val="00BE27A7"/>
    <w:rsid w:val="00BE2846"/>
    <w:rsid w:val="00BE295A"/>
    <w:rsid w:val="00BE2AA9"/>
    <w:rsid w:val="00BE2D93"/>
    <w:rsid w:val="00BE2EB3"/>
    <w:rsid w:val="00BE302D"/>
    <w:rsid w:val="00BE39D7"/>
    <w:rsid w:val="00BE3C9A"/>
    <w:rsid w:val="00BE3EB3"/>
    <w:rsid w:val="00BE4238"/>
    <w:rsid w:val="00BE4443"/>
    <w:rsid w:val="00BE470D"/>
    <w:rsid w:val="00BE47A1"/>
    <w:rsid w:val="00BE4F1A"/>
    <w:rsid w:val="00BE5088"/>
    <w:rsid w:val="00BE517F"/>
    <w:rsid w:val="00BE51A3"/>
    <w:rsid w:val="00BE5D51"/>
    <w:rsid w:val="00BE5FD7"/>
    <w:rsid w:val="00BE65E2"/>
    <w:rsid w:val="00BE67D2"/>
    <w:rsid w:val="00BE68DE"/>
    <w:rsid w:val="00BE6A08"/>
    <w:rsid w:val="00BE6D14"/>
    <w:rsid w:val="00BE6EEE"/>
    <w:rsid w:val="00BE6F8C"/>
    <w:rsid w:val="00BE70B8"/>
    <w:rsid w:val="00BE769F"/>
    <w:rsid w:val="00BE77C9"/>
    <w:rsid w:val="00BE7A03"/>
    <w:rsid w:val="00BE7BA9"/>
    <w:rsid w:val="00BE7ED5"/>
    <w:rsid w:val="00BF0212"/>
    <w:rsid w:val="00BF0A61"/>
    <w:rsid w:val="00BF0E6E"/>
    <w:rsid w:val="00BF13E1"/>
    <w:rsid w:val="00BF1B3D"/>
    <w:rsid w:val="00BF1C12"/>
    <w:rsid w:val="00BF22F9"/>
    <w:rsid w:val="00BF24CC"/>
    <w:rsid w:val="00BF2E0B"/>
    <w:rsid w:val="00BF3021"/>
    <w:rsid w:val="00BF3152"/>
    <w:rsid w:val="00BF367D"/>
    <w:rsid w:val="00BF3731"/>
    <w:rsid w:val="00BF3793"/>
    <w:rsid w:val="00BF3968"/>
    <w:rsid w:val="00BF3A4C"/>
    <w:rsid w:val="00BF409C"/>
    <w:rsid w:val="00BF4263"/>
    <w:rsid w:val="00BF439F"/>
    <w:rsid w:val="00BF450C"/>
    <w:rsid w:val="00BF49D4"/>
    <w:rsid w:val="00BF4B88"/>
    <w:rsid w:val="00BF4C2B"/>
    <w:rsid w:val="00BF4F45"/>
    <w:rsid w:val="00BF50E2"/>
    <w:rsid w:val="00BF5191"/>
    <w:rsid w:val="00BF5427"/>
    <w:rsid w:val="00BF5826"/>
    <w:rsid w:val="00BF5A5E"/>
    <w:rsid w:val="00BF5E51"/>
    <w:rsid w:val="00BF5EC9"/>
    <w:rsid w:val="00BF618F"/>
    <w:rsid w:val="00BF61C6"/>
    <w:rsid w:val="00BF64C1"/>
    <w:rsid w:val="00BF64E6"/>
    <w:rsid w:val="00BF697E"/>
    <w:rsid w:val="00BF7597"/>
    <w:rsid w:val="00BF769F"/>
    <w:rsid w:val="00BF77D2"/>
    <w:rsid w:val="00BF77FD"/>
    <w:rsid w:val="00BF7F51"/>
    <w:rsid w:val="00C004A2"/>
    <w:rsid w:val="00C004DC"/>
    <w:rsid w:val="00C00B91"/>
    <w:rsid w:val="00C00CE0"/>
    <w:rsid w:val="00C00D3A"/>
    <w:rsid w:val="00C00EEC"/>
    <w:rsid w:val="00C01444"/>
    <w:rsid w:val="00C017A0"/>
    <w:rsid w:val="00C01884"/>
    <w:rsid w:val="00C01D2F"/>
    <w:rsid w:val="00C020A4"/>
    <w:rsid w:val="00C0226E"/>
    <w:rsid w:val="00C024DB"/>
    <w:rsid w:val="00C025C8"/>
    <w:rsid w:val="00C026E5"/>
    <w:rsid w:val="00C0281B"/>
    <w:rsid w:val="00C028B5"/>
    <w:rsid w:val="00C02965"/>
    <w:rsid w:val="00C02A6E"/>
    <w:rsid w:val="00C02B96"/>
    <w:rsid w:val="00C02D9D"/>
    <w:rsid w:val="00C02DAC"/>
    <w:rsid w:val="00C02DFD"/>
    <w:rsid w:val="00C02E9D"/>
    <w:rsid w:val="00C02F74"/>
    <w:rsid w:val="00C03098"/>
    <w:rsid w:val="00C030A8"/>
    <w:rsid w:val="00C0345F"/>
    <w:rsid w:val="00C0349F"/>
    <w:rsid w:val="00C03728"/>
    <w:rsid w:val="00C03875"/>
    <w:rsid w:val="00C03B36"/>
    <w:rsid w:val="00C03BC4"/>
    <w:rsid w:val="00C03C7A"/>
    <w:rsid w:val="00C04019"/>
    <w:rsid w:val="00C04541"/>
    <w:rsid w:val="00C0464A"/>
    <w:rsid w:val="00C04748"/>
    <w:rsid w:val="00C049D1"/>
    <w:rsid w:val="00C04B7E"/>
    <w:rsid w:val="00C04BD4"/>
    <w:rsid w:val="00C04CFA"/>
    <w:rsid w:val="00C051BB"/>
    <w:rsid w:val="00C053CB"/>
    <w:rsid w:val="00C055C9"/>
    <w:rsid w:val="00C05920"/>
    <w:rsid w:val="00C05ACC"/>
    <w:rsid w:val="00C05ED2"/>
    <w:rsid w:val="00C06021"/>
    <w:rsid w:val="00C063CF"/>
    <w:rsid w:val="00C070A3"/>
    <w:rsid w:val="00C07524"/>
    <w:rsid w:val="00C07553"/>
    <w:rsid w:val="00C07577"/>
    <w:rsid w:val="00C0778C"/>
    <w:rsid w:val="00C07B5D"/>
    <w:rsid w:val="00C10342"/>
    <w:rsid w:val="00C11988"/>
    <w:rsid w:val="00C119AF"/>
    <w:rsid w:val="00C121F2"/>
    <w:rsid w:val="00C1224F"/>
    <w:rsid w:val="00C12628"/>
    <w:rsid w:val="00C12A72"/>
    <w:rsid w:val="00C12BAB"/>
    <w:rsid w:val="00C12F2B"/>
    <w:rsid w:val="00C1324A"/>
    <w:rsid w:val="00C13573"/>
    <w:rsid w:val="00C137D2"/>
    <w:rsid w:val="00C13902"/>
    <w:rsid w:val="00C13B89"/>
    <w:rsid w:val="00C13C43"/>
    <w:rsid w:val="00C13D3D"/>
    <w:rsid w:val="00C14420"/>
    <w:rsid w:val="00C14463"/>
    <w:rsid w:val="00C1452B"/>
    <w:rsid w:val="00C14D86"/>
    <w:rsid w:val="00C14EB1"/>
    <w:rsid w:val="00C14F86"/>
    <w:rsid w:val="00C15518"/>
    <w:rsid w:val="00C1557A"/>
    <w:rsid w:val="00C155B9"/>
    <w:rsid w:val="00C1562B"/>
    <w:rsid w:val="00C158E3"/>
    <w:rsid w:val="00C15A8F"/>
    <w:rsid w:val="00C15CA5"/>
    <w:rsid w:val="00C15CEA"/>
    <w:rsid w:val="00C15DF3"/>
    <w:rsid w:val="00C15FB0"/>
    <w:rsid w:val="00C161FD"/>
    <w:rsid w:val="00C166A5"/>
    <w:rsid w:val="00C166DF"/>
    <w:rsid w:val="00C16819"/>
    <w:rsid w:val="00C16893"/>
    <w:rsid w:val="00C16B92"/>
    <w:rsid w:val="00C16EB7"/>
    <w:rsid w:val="00C17276"/>
    <w:rsid w:val="00C17535"/>
    <w:rsid w:val="00C178FF"/>
    <w:rsid w:val="00C17DD9"/>
    <w:rsid w:val="00C203F3"/>
    <w:rsid w:val="00C2049A"/>
    <w:rsid w:val="00C204A1"/>
    <w:rsid w:val="00C205CE"/>
    <w:rsid w:val="00C20A01"/>
    <w:rsid w:val="00C20A18"/>
    <w:rsid w:val="00C20BE1"/>
    <w:rsid w:val="00C20BEC"/>
    <w:rsid w:val="00C20C9F"/>
    <w:rsid w:val="00C20DDC"/>
    <w:rsid w:val="00C20E28"/>
    <w:rsid w:val="00C219F6"/>
    <w:rsid w:val="00C22121"/>
    <w:rsid w:val="00C223C6"/>
    <w:rsid w:val="00C2253E"/>
    <w:rsid w:val="00C2278E"/>
    <w:rsid w:val="00C22D5F"/>
    <w:rsid w:val="00C2320F"/>
    <w:rsid w:val="00C2336A"/>
    <w:rsid w:val="00C23632"/>
    <w:rsid w:val="00C23C56"/>
    <w:rsid w:val="00C23EC1"/>
    <w:rsid w:val="00C23F62"/>
    <w:rsid w:val="00C2400E"/>
    <w:rsid w:val="00C245C7"/>
    <w:rsid w:val="00C248A3"/>
    <w:rsid w:val="00C24C06"/>
    <w:rsid w:val="00C24D4B"/>
    <w:rsid w:val="00C25198"/>
    <w:rsid w:val="00C25762"/>
    <w:rsid w:val="00C2590C"/>
    <w:rsid w:val="00C25C58"/>
    <w:rsid w:val="00C25D4A"/>
    <w:rsid w:val="00C25F8F"/>
    <w:rsid w:val="00C26343"/>
    <w:rsid w:val="00C26567"/>
    <w:rsid w:val="00C2688A"/>
    <w:rsid w:val="00C26994"/>
    <w:rsid w:val="00C26A11"/>
    <w:rsid w:val="00C26BBE"/>
    <w:rsid w:val="00C26CED"/>
    <w:rsid w:val="00C272AB"/>
    <w:rsid w:val="00C272D6"/>
    <w:rsid w:val="00C2772F"/>
    <w:rsid w:val="00C27960"/>
    <w:rsid w:val="00C279C6"/>
    <w:rsid w:val="00C30041"/>
    <w:rsid w:val="00C303DA"/>
    <w:rsid w:val="00C3105E"/>
    <w:rsid w:val="00C31209"/>
    <w:rsid w:val="00C31C25"/>
    <w:rsid w:val="00C31C91"/>
    <w:rsid w:val="00C31E98"/>
    <w:rsid w:val="00C320BE"/>
    <w:rsid w:val="00C321D5"/>
    <w:rsid w:val="00C325BF"/>
    <w:rsid w:val="00C32E92"/>
    <w:rsid w:val="00C32ECD"/>
    <w:rsid w:val="00C32EDF"/>
    <w:rsid w:val="00C3346C"/>
    <w:rsid w:val="00C334AF"/>
    <w:rsid w:val="00C338B9"/>
    <w:rsid w:val="00C339DB"/>
    <w:rsid w:val="00C341BC"/>
    <w:rsid w:val="00C34B6A"/>
    <w:rsid w:val="00C34F59"/>
    <w:rsid w:val="00C35499"/>
    <w:rsid w:val="00C35911"/>
    <w:rsid w:val="00C35999"/>
    <w:rsid w:val="00C35B96"/>
    <w:rsid w:val="00C35DF0"/>
    <w:rsid w:val="00C35DF6"/>
    <w:rsid w:val="00C35F1F"/>
    <w:rsid w:val="00C3601C"/>
    <w:rsid w:val="00C3623C"/>
    <w:rsid w:val="00C3634A"/>
    <w:rsid w:val="00C366C5"/>
    <w:rsid w:val="00C3690E"/>
    <w:rsid w:val="00C36A1A"/>
    <w:rsid w:val="00C36A56"/>
    <w:rsid w:val="00C36D22"/>
    <w:rsid w:val="00C3724C"/>
    <w:rsid w:val="00C37B7E"/>
    <w:rsid w:val="00C37B94"/>
    <w:rsid w:val="00C37C15"/>
    <w:rsid w:val="00C37C72"/>
    <w:rsid w:val="00C37D64"/>
    <w:rsid w:val="00C37EC3"/>
    <w:rsid w:val="00C37F11"/>
    <w:rsid w:val="00C40F12"/>
    <w:rsid w:val="00C40F1B"/>
    <w:rsid w:val="00C412B9"/>
    <w:rsid w:val="00C41637"/>
    <w:rsid w:val="00C4186C"/>
    <w:rsid w:val="00C41A58"/>
    <w:rsid w:val="00C41AFD"/>
    <w:rsid w:val="00C42270"/>
    <w:rsid w:val="00C42B2A"/>
    <w:rsid w:val="00C42E26"/>
    <w:rsid w:val="00C43058"/>
    <w:rsid w:val="00C4329A"/>
    <w:rsid w:val="00C43445"/>
    <w:rsid w:val="00C438B8"/>
    <w:rsid w:val="00C43C2D"/>
    <w:rsid w:val="00C43D03"/>
    <w:rsid w:val="00C440CA"/>
    <w:rsid w:val="00C442BB"/>
    <w:rsid w:val="00C443CD"/>
    <w:rsid w:val="00C44618"/>
    <w:rsid w:val="00C447A7"/>
    <w:rsid w:val="00C44875"/>
    <w:rsid w:val="00C44F04"/>
    <w:rsid w:val="00C44F0A"/>
    <w:rsid w:val="00C451B5"/>
    <w:rsid w:val="00C4551A"/>
    <w:rsid w:val="00C456D7"/>
    <w:rsid w:val="00C4622A"/>
    <w:rsid w:val="00C466A5"/>
    <w:rsid w:val="00C4691D"/>
    <w:rsid w:val="00C46C77"/>
    <w:rsid w:val="00C470DE"/>
    <w:rsid w:val="00C472EF"/>
    <w:rsid w:val="00C4737F"/>
    <w:rsid w:val="00C478F4"/>
    <w:rsid w:val="00C47AE0"/>
    <w:rsid w:val="00C47BD0"/>
    <w:rsid w:val="00C47DBF"/>
    <w:rsid w:val="00C50174"/>
    <w:rsid w:val="00C5028D"/>
    <w:rsid w:val="00C50450"/>
    <w:rsid w:val="00C50483"/>
    <w:rsid w:val="00C504E1"/>
    <w:rsid w:val="00C505CA"/>
    <w:rsid w:val="00C5062B"/>
    <w:rsid w:val="00C50689"/>
    <w:rsid w:val="00C507AC"/>
    <w:rsid w:val="00C50D4F"/>
    <w:rsid w:val="00C50EF7"/>
    <w:rsid w:val="00C5112D"/>
    <w:rsid w:val="00C511BE"/>
    <w:rsid w:val="00C51707"/>
    <w:rsid w:val="00C51ECD"/>
    <w:rsid w:val="00C52612"/>
    <w:rsid w:val="00C52628"/>
    <w:rsid w:val="00C52C7C"/>
    <w:rsid w:val="00C52FFC"/>
    <w:rsid w:val="00C53344"/>
    <w:rsid w:val="00C534D4"/>
    <w:rsid w:val="00C541E6"/>
    <w:rsid w:val="00C546A2"/>
    <w:rsid w:val="00C5470A"/>
    <w:rsid w:val="00C5486F"/>
    <w:rsid w:val="00C548B5"/>
    <w:rsid w:val="00C552A5"/>
    <w:rsid w:val="00C557F1"/>
    <w:rsid w:val="00C55D9C"/>
    <w:rsid w:val="00C562ED"/>
    <w:rsid w:val="00C56882"/>
    <w:rsid w:val="00C568FD"/>
    <w:rsid w:val="00C56964"/>
    <w:rsid w:val="00C56FF3"/>
    <w:rsid w:val="00C573C4"/>
    <w:rsid w:val="00C574AC"/>
    <w:rsid w:val="00C574BD"/>
    <w:rsid w:val="00C575C7"/>
    <w:rsid w:val="00C575EC"/>
    <w:rsid w:val="00C5767A"/>
    <w:rsid w:val="00C600D4"/>
    <w:rsid w:val="00C600F0"/>
    <w:rsid w:val="00C60514"/>
    <w:rsid w:val="00C6076E"/>
    <w:rsid w:val="00C6077E"/>
    <w:rsid w:val="00C60839"/>
    <w:rsid w:val="00C60A62"/>
    <w:rsid w:val="00C60B90"/>
    <w:rsid w:val="00C60CA4"/>
    <w:rsid w:val="00C60D97"/>
    <w:rsid w:val="00C60DF0"/>
    <w:rsid w:val="00C60ED1"/>
    <w:rsid w:val="00C611F6"/>
    <w:rsid w:val="00C61391"/>
    <w:rsid w:val="00C614E0"/>
    <w:rsid w:val="00C61CC5"/>
    <w:rsid w:val="00C61E54"/>
    <w:rsid w:val="00C6254F"/>
    <w:rsid w:val="00C62828"/>
    <w:rsid w:val="00C62DB4"/>
    <w:rsid w:val="00C630B8"/>
    <w:rsid w:val="00C636EB"/>
    <w:rsid w:val="00C63886"/>
    <w:rsid w:val="00C63BF0"/>
    <w:rsid w:val="00C64015"/>
    <w:rsid w:val="00C645FC"/>
    <w:rsid w:val="00C646D4"/>
    <w:rsid w:val="00C6475E"/>
    <w:rsid w:val="00C649AE"/>
    <w:rsid w:val="00C64E2F"/>
    <w:rsid w:val="00C64F1D"/>
    <w:rsid w:val="00C65060"/>
    <w:rsid w:val="00C650C0"/>
    <w:rsid w:val="00C65587"/>
    <w:rsid w:val="00C65A1E"/>
    <w:rsid w:val="00C65CC1"/>
    <w:rsid w:val="00C65E3D"/>
    <w:rsid w:val="00C65E4C"/>
    <w:rsid w:val="00C6642C"/>
    <w:rsid w:val="00C6645D"/>
    <w:rsid w:val="00C66759"/>
    <w:rsid w:val="00C66849"/>
    <w:rsid w:val="00C66B01"/>
    <w:rsid w:val="00C6716D"/>
    <w:rsid w:val="00C673FF"/>
    <w:rsid w:val="00C67811"/>
    <w:rsid w:val="00C6797B"/>
    <w:rsid w:val="00C67AFD"/>
    <w:rsid w:val="00C67D85"/>
    <w:rsid w:val="00C67EFD"/>
    <w:rsid w:val="00C67F0C"/>
    <w:rsid w:val="00C67FF2"/>
    <w:rsid w:val="00C70084"/>
    <w:rsid w:val="00C7009D"/>
    <w:rsid w:val="00C70482"/>
    <w:rsid w:val="00C706FE"/>
    <w:rsid w:val="00C70789"/>
    <w:rsid w:val="00C7097A"/>
    <w:rsid w:val="00C70D23"/>
    <w:rsid w:val="00C70F17"/>
    <w:rsid w:val="00C7112B"/>
    <w:rsid w:val="00C711C9"/>
    <w:rsid w:val="00C717E2"/>
    <w:rsid w:val="00C7198E"/>
    <w:rsid w:val="00C71A7F"/>
    <w:rsid w:val="00C71C54"/>
    <w:rsid w:val="00C7201C"/>
    <w:rsid w:val="00C721FC"/>
    <w:rsid w:val="00C72708"/>
    <w:rsid w:val="00C72874"/>
    <w:rsid w:val="00C72ACF"/>
    <w:rsid w:val="00C72B49"/>
    <w:rsid w:val="00C731F7"/>
    <w:rsid w:val="00C7386B"/>
    <w:rsid w:val="00C73DC8"/>
    <w:rsid w:val="00C73F73"/>
    <w:rsid w:val="00C740B4"/>
    <w:rsid w:val="00C7411A"/>
    <w:rsid w:val="00C741CF"/>
    <w:rsid w:val="00C74389"/>
    <w:rsid w:val="00C74545"/>
    <w:rsid w:val="00C7461D"/>
    <w:rsid w:val="00C75060"/>
    <w:rsid w:val="00C751F0"/>
    <w:rsid w:val="00C75797"/>
    <w:rsid w:val="00C76394"/>
    <w:rsid w:val="00C76460"/>
    <w:rsid w:val="00C76609"/>
    <w:rsid w:val="00C76F54"/>
    <w:rsid w:val="00C77487"/>
    <w:rsid w:val="00C77772"/>
    <w:rsid w:val="00C77ABE"/>
    <w:rsid w:val="00C77ACA"/>
    <w:rsid w:val="00C80520"/>
    <w:rsid w:val="00C80544"/>
    <w:rsid w:val="00C80699"/>
    <w:rsid w:val="00C80945"/>
    <w:rsid w:val="00C809AB"/>
    <w:rsid w:val="00C80AE0"/>
    <w:rsid w:val="00C81269"/>
    <w:rsid w:val="00C815F9"/>
    <w:rsid w:val="00C819E4"/>
    <w:rsid w:val="00C81A17"/>
    <w:rsid w:val="00C81C78"/>
    <w:rsid w:val="00C81C87"/>
    <w:rsid w:val="00C81EA7"/>
    <w:rsid w:val="00C81EDA"/>
    <w:rsid w:val="00C822A8"/>
    <w:rsid w:val="00C82361"/>
    <w:rsid w:val="00C825CF"/>
    <w:rsid w:val="00C8260D"/>
    <w:rsid w:val="00C82822"/>
    <w:rsid w:val="00C829AD"/>
    <w:rsid w:val="00C82C40"/>
    <w:rsid w:val="00C82E05"/>
    <w:rsid w:val="00C83023"/>
    <w:rsid w:val="00C8318D"/>
    <w:rsid w:val="00C83457"/>
    <w:rsid w:val="00C83624"/>
    <w:rsid w:val="00C8388F"/>
    <w:rsid w:val="00C838CB"/>
    <w:rsid w:val="00C83D2F"/>
    <w:rsid w:val="00C841A6"/>
    <w:rsid w:val="00C849D8"/>
    <w:rsid w:val="00C84ABA"/>
    <w:rsid w:val="00C84B9B"/>
    <w:rsid w:val="00C84CF4"/>
    <w:rsid w:val="00C850E2"/>
    <w:rsid w:val="00C85182"/>
    <w:rsid w:val="00C851CC"/>
    <w:rsid w:val="00C853A5"/>
    <w:rsid w:val="00C853D5"/>
    <w:rsid w:val="00C85577"/>
    <w:rsid w:val="00C85675"/>
    <w:rsid w:val="00C85950"/>
    <w:rsid w:val="00C85A39"/>
    <w:rsid w:val="00C85ADC"/>
    <w:rsid w:val="00C85ED8"/>
    <w:rsid w:val="00C85F3E"/>
    <w:rsid w:val="00C8665E"/>
    <w:rsid w:val="00C869F9"/>
    <w:rsid w:val="00C86BC0"/>
    <w:rsid w:val="00C8734E"/>
    <w:rsid w:val="00C87573"/>
    <w:rsid w:val="00C879BA"/>
    <w:rsid w:val="00C87ED0"/>
    <w:rsid w:val="00C901BB"/>
    <w:rsid w:val="00C909F3"/>
    <w:rsid w:val="00C90AB8"/>
    <w:rsid w:val="00C9106A"/>
    <w:rsid w:val="00C916D9"/>
    <w:rsid w:val="00C91A3A"/>
    <w:rsid w:val="00C91B76"/>
    <w:rsid w:val="00C91D38"/>
    <w:rsid w:val="00C92021"/>
    <w:rsid w:val="00C922E0"/>
    <w:rsid w:val="00C927F9"/>
    <w:rsid w:val="00C9292E"/>
    <w:rsid w:val="00C929FF"/>
    <w:rsid w:val="00C92DCB"/>
    <w:rsid w:val="00C93A15"/>
    <w:rsid w:val="00C93BCD"/>
    <w:rsid w:val="00C93E47"/>
    <w:rsid w:val="00C941A4"/>
    <w:rsid w:val="00C94415"/>
    <w:rsid w:val="00C9450E"/>
    <w:rsid w:val="00C94551"/>
    <w:rsid w:val="00C9457D"/>
    <w:rsid w:val="00C9458A"/>
    <w:rsid w:val="00C9461A"/>
    <w:rsid w:val="00C94722"/>
    <w:rsid w:val="00C948FF"/>
    <w:rsid w:val="00C94EF8"/>
    <w:rsid w:val="00C9537F"/>
    <w:rsid w:val="00C95545"/>
    <w:rsid w:val="00C955B9"/>
    <w:rsid w:val="00C95BD1"/>
    <w:rsid w:val="00C95CF1"/>
    <w:rsid w:val="00C960AE"/>
    <w:rsid w:val="00C964F6"/>
    <w:rsid w:val="00C96600"/>
    <w:rsid w:val="00C96667"/>
    <w:rsid w:val="00C96767"/>
    <w:rsid w:val="00C96799"/>
    <w:rsid w:val="00C96899"/>
    <w:rsid w:val="00C96972"/>
    <w:rsid w:val="00C96BF3"/>
    <w:rsid w:val="00C96CB4"/>
    <w:rsid w:val="00C96DAC"/>
    <w:rsid w:val="00C96E1F"/>
    <w:rsid w:val="00C9700B"/>
    <w:rsid w:val="00C970CB"/>
    <w:rsid w:val="00C97213"/>
    <w:rsid w:val="00C9775A"/>
    <w:rsid w:val="00C9790B"/>
    <w:rsid w:val="00C97FAB"/>
    <w:rsid w:val="00CA0168"/>
    <w:rsid w:val="00CA0521"/>
    <w:rsid w:val="00CA0571"/>
    <w:rsid w:val="00CA057F"/>
    <w:rsid w:val="00CA06B7"/>
    <w:rsid w:val="00CA0DC3"/>
    <w:rsid w:val="00CA0E11"/>
    <w:rsid w:val="00CA0EBB"/>
    <w:rsid w:val="00CA1001"/>
    <w:rsid w:val="00CA1308"/>
    <w:rsid w:val="00CA1C38"/>
    <w:rsid w:val="00CA1FE7"/>
    <w:rsid w:val="00CA20D5"/>
    <w:rsid w:val="00CA2131"/>
    <w:rsid w:val="00CA2161"/>
    <w:rsid w:val="00CA2227"/>
    <w:rsid w:val="00CA26A2"/>
    <w:rsid w:val="00CA2DD4"/>
    <w:rsid w:val="00CA2EB0"/>
    <w:rsid w:val="00CA332A"/>
    <w:rsid w:val="00CA3902"/>
    <w:rsid w:val="00CA39CF"/>
    <w:rsid w:val="00CA3EF0"/>
    <w:rsid w:val="00CA4261"/>
    <w:rsid w:val="00CA4548"/>
    <w:rsid w:val="00CA4C26"/>
    <w:rsid w:val="00CA4C28"/>
    <w:rsid w:val="00CA51CE"/>
    <w:rsid w:val="00CA5566"/>
    <w:rsid w:val="00CA5A3A"/>
    <w:rsid w:val="00CA5DA3"/>
    <w:rsid w:val="00CA5F10"/>
    <w:rsid w:val="00CA62C3"/>
    <w:rsid w:val="00CA64E0"/>
    <w:rsid w:val="00CA66C7"/>
    <w:rsid w:val="00CA6814"/>
    <w:rsid w:val="00CA6D13"/>
    <w:rsid w:val="00CA7213"/>
    <w:rsid w:val="00CA74A6"/>
    <w:rsid w:val="00CA75E3"/>
    <w:rsid w:val="00CA75F8"/>
    <w:rsid w:val="00CA7615"/>
    <w:rsid w:val="00CA7AA2"/>
    <w:rsid w:val="00CA7C04"/>
    <w:rsid w:val="00CA7D17"/>
    <w:rsid w:val="00CA7FD9"/>
    <w:rsid w:val="00CB0576"/>
    <w:rsid w:val="00CB05FD"/>
    <w:rsid w:val="00CB097E"/>
    <w:rsid w:val="00CB0A33"/>
    <w:rsid w:val="00CB0A3F"/>
    <w:rsid w:val="00CB0A88"/>
    <w:rsid w:val="00CB0D0C"/>
    <w:rsid w:val="00CB0D44"/>
    <w:rsid w:val="00CB0F41"/>
    <w:rsid w:val="00CB104E"/>
    <w:rsid w:val="00CB1798"/>
    <w:rsid w:val="00CB1862"/>
    <w:rsid w:val="00CB1956"/>
    <w:rsid w:val="00CB198A"/>
    <w:rsid w:val="00CB1BC7"/>
    <w:rsid w:val="00CB1FB3"/>
    <w:rsid w:val="00CB21CF"/>
    <w:rsid w:val="00CB2410"/>
    <w:rsid w:val="00CB2518"/>
    <w:rsid w:val="00CB280B"/>
    <w:rsid w:val="00CB2865"/>
    <w:rsid w:val="00CB2DB5"/>
    <w:rsid w:val="00CB2FB7"/>
    <w:rsid w:val="00CB335F"/>
    <w:rsid w:val="00CB344A"/>
    <w:rsid w:val="00CB34AD"/>
    <w:rsid w:val="00CB394C"/>
    <w:rsid w:val="00CB3B57"/>
    <w:rsid w:val="00CB3ED6"/>
    <w:rsid w:val="00CB419C"/>
    <w:rsid w:val="00CB4231"/>
    <w:rsid w:val="00CB4CC2"/>
    <w:rsid w:val="00CB4F60"/>
    <w:rsid w:val="00CB5103"/>
    <w:rsid w:val="00CB5E75"/>
    <w:rsid w:val="00CB6084"/>
    <w:rsid w:val="00CB6309"/>
    <w:rsid w:val="00CB6364"/>
    <w:rsid w:val="00CB64F2"/>
    <w:rsid w:val="00CB6610"/>
    <w:rsid w:val="00CB6905"/>
    <w:rsid w:val="00CB6A6C"/>
    <w:rsid w:val="00CB71A5"/>
    <w:rsid w:val="00CB7570"/>
    <w:rsid w:val="00CB7B04"/>
    <w:rsid w:val="00CB7DF9"/>
    <w:rsid w:val="00CC0865"/>
    <w:rsid w:val="00CC0B03"/>
    <w:rsid w:val="00CC0C46"/>
    <w:rsid w:val="00CC0CFB"/>
    <w:rsid w:val="00CC1108"/>
    <w:rsid w:val="00CC1344"/>
    <w:rsid w:val="00CC13D1"/>
    <w:rsid w:val="00CC193D"/>
    <w:rsid w:val="00CC1CBA"/>
    <w:rsid w:val="00CC1E59"/>
    <w:rsid w:val="00CC2347"/>
    <w:rsid w:val="00CC29E8"/>
    <w:rsid w:val="00CC2C2A"/>
    <w:rsid w:val="00CC2D40"/>
    <w:rsid w:val="00CC2EE9"/>
    <w:rsid w:val="00CC30E9"/>
    <w:rsid w:val="00CC3418"/>
    <w:rsid w:val="00CC347E"/>
    <w:rsid w:val="00CC35ED"/>
    <w:rsid w:val="00CC380A"/>
    <w:rsid w:val="00CC3A18"/>
    <w:rsid w:val="00CC3AD7"/>
    <w:rsid w:val="00CC3FA1"/>
    <w:rsid w:val="00CC40F4"/>
    <w:rsid w:val="00CC43A9"/>
    <w:rsid w:val="00CC441B"/>
    <w:rsid w:val="00CC44B4"/>
    <w:rsid w:val="00CC4660"/>
    <w:rsid w:val="00CC4ADD"/>
    <w:rsid w:val="00CC4BC6"/>
    <w:rsid w:val="00CC4D0F"/>
    <w:rsid w:val="00CC5044"/>
    <w:rsid w:val="00CC5364"/>
    <w:rsid w:val="00CC56B7"/>
    <w:rsid w:val="00CC5D82"/>
    <w:rsid w:val="00CC6136"/>
    <w:rsid w:val="00CC6183"/>
    <w:rsid w:val="00CC6364"/>
    <w:rsid w:val="00CC63B4"/>
    <w:rsid w:val="00CC649C"/>
    <w:rsid w:val="00CC6AF1"/>
    <w:rsid w:val="00CC6B32"/>
    <w:rsid w:val="00CC6E47"/>
    <w:rsid w:val="00CC7325"/>
    <w:rsid w:val="00CC7BCD"/>
    <w:rsid w:val="00CC7E03"/>
    <w:rsid w:val="00CC7FAD"/>
    <w:rsid w:val="00CD002F"/>
    <w:rsid w:val="00CD014F"/>
    <w:rsid w:val="00CD04BF"/>
    <w:rsid w:val="00CD064F"/>
    <w:rsid w:val="00CD0C6E"/>
    <w:rsid w:val="00CD0DA8"/>
    <w:rsid w:val="00CD11A2"/>
    <w:rsid w:val="00CD1496"/>
    <w:rsid w:val="00CD15A7"/>
    <w:rsid w:val="00CD1654"/>
    <w:rsid w:val="00CD1D34"/>
    <w:rsid w:val="00CD2018"/>
    <w:rsid w:val="00CD24E1"/>
    <w:rsid w:val="00CD26DA"/>
    <w:rsid w:val="00CD28D2"/>
    <w:rsid w:val="00CD29E4"/>
    <w:rsid w:val="00CD2AAC"/>
    <w:rsid w:val="00CD3B01"/>
    <w:rsid w:val="00CD3B6A"/>
    <w:rsid w:val="00CD3B97"/>
    <w:rsid w:val="00CD468F"/>
    <w:rsid w:val="00CD4ABB"/>
    <w:rsid w:val="00CD4B64"/>
    <w:rsid w:val="00CD4B7F"/>
    <w:rsid w:val="00CD4EF5"/>
    <w:rsid w:val="00CD5128"/>
    <w:rsid w:val="00CD5615"/>
    <w:rsid w:val="00CD5A8B"/>
    <w:rsid w:val="00CD5E5E"/>
    <w:rsid w:val="00CD5EE3"/>
    <w:rsid w:val="00CD61C2"/>
    <w:rsid w:val="00CD655B"/>
    <w:rsid w:val="00CD6890"/>
    <w:rsid w:val="00CD6A5A"/>
    <w:rsid w:val="00CD6C43"/>
    <w:rsid w:val="00CD6C9D"/>
    <w:rsid w:val="00CD6D8B"/>
    <w:rsid w:val="00CD7096"/>
    <w:rsid w:val="00CD7163"/>
    <w:rsid w:val="00CD7282"/>
    <w:rsid w:val="00CD72D5"/>
    <w:rsid w:val="00CD73A4"/>
    <w:rsid w:val="00CD7881"/>
    <w:rsid w:val="00CD7A03"/>
    <w:rsid w:val="00CD7CA2"/>
    <w:rsid w:val="00CD7D4B"/>
    <w:rsid w:val="00CD7EB4"/>
    <w:rsid w:val="00CE0505"/>
    <w:rsid w:val="00CE0C45"/>
    <w:rsid w:val="00CE1096"/>
    <w:rsid w:val="00CE13F3"/>
    <w:rsid w:val="00CE1487"/>
    <w:rsid w:val="00CE14C4"/>
    <w:rsid w:val="00CE155E"/>
    <w:rsid w:val="00CE1639"/>
    <w:rsid w:val="00CE1A15"/>
    <w:rsid w:val="00CE244C"/>
    <w:rsid w:val="00CE2466"/>
    <w:rsid w:val="00CE2732"/>
    <w:rsid w:val="00CE2A0F"/>
    <w:rsid w:val="00CE2A42"/>
    <w:rsid w:val="00CE2E97"/>
    <w:rsid w:val="00CE2F99"/>
    <w:rsid w:val="00CE3433"/>
    <w:rsid w:val="00CE39BC"/>
    <w:rsid w:val="00CE3AB8"/>
    <w:rsid w:val="00CE3ACE"/>
    <w:rsid w:val="00CE3BE7"/>
    <w:rsid w:val="00CE3F8E"/>
    <w:rsid w:val="00CE43C8"/>
    <w:rsid w:val="00CE45B3"/>
    <w:rsid w:val="00CE4741"/>
    <w:rsid w:val="00CE5250"/>
    <w:rsid w:val="00CE598C"/>
    <w:rsid w:val="00CE5A2C"/>
    <w:rsid w:val="00CE5EE8"/>
    <w:rsid w:val="00CE6133"/>
    <w:rsid w:val="00CE61A2"/>
    <w:rsid w:val="00CE6238"/>
    <w:rsid w:val="00CE66EF"/>
    <w:rsid w:val="00CE6AE4"/>
    <w:rsid w:val="00CE6B01"/>
    <w:rsid w:val="00CE6D26"/>
    <w:rsid w:val="00CE6F65"/>
    <w:rsid w:val="00CE6FC6"/>
    <w:rsid w:val="00CE77D5"/>
    <w:rsid w:val="00CF026C"/>
    <w:rsid w:val="00CF048D"/>
    <w:rsid w:val="00CF0568"/>
    <w:rsid w:val="00CF0B17"/>
    <w:rsid w:val="00CF0C3C"/>
    <w:rsid w:val="00CF0C97"/>
    <w:rsid w:val="00CF0DDE"/>
    <w:rsid w:val="00CF1210"/>
    <w:rsid w:val="00CF1468"/>
    <w:rsid w:val="00CF1578"/>
    <w:rsid w:val="00CF1991"/>
    <w:rsid w:val="00CF1C49"/>
    <w:rsid w:val="00CF2034"/>
    <w:rsid w:val="00CF23A9"/>
    <w:rsid w:val="00CF2456"/>
    <w:rsid w:val="00CF27F5"/>
    <w:rsid w:val="00CF2824"/>
    <w:rsid w:val="00CF29DB"/>
    <w:rsid w:val="00CF2FC8"/>
    <w:rsid w:val="00CF3211"/>
    <w:rsid w:val="00CF322C"/>
    <w:rsid w:val="00CF3368"/>
    <w:rsid w:val="00CF3596"/>
    <w:rsid w:val="00CF3744"/>
    <w:rsid w:val="00CF3CBA"/>
    <w:rsid w:val="00CF416C"/>
    <w:rsid w:val="00CF46D9"/>
    <w:rsid w:val="00CF481D"/>
    <w:rsid w:val="00CF4B1C"/>
    <w:rsid w:val="00CF4F06"/>
    <w:rsid w:val="00CF5054"/>
    <w:rsid w:val="00CF5168"/>
    <w:rsid w:val="00CF53ED"/>
    <w:rsid w:val="00CF5470"/>
    <w:rsid w:val="00CF56E7"/>
    <w:rsid w:val="00CF580C"/>
    <w:rsid w:val="00CF59B5"/>
    <w:rsid w:val="00CF5B40"/>
    <w:rsid w:val="00CF5C73"/>
    <w:rsid w:val="00CF5C91"/>
    <w:rsid w:val="00CF5E69"/>
    <w:rsid w:val="00CF5F91"/>
    <w:rsid w:val="00CF63E1"/>
    <w:rsid w:val="00CF69B9"/>
    <w:rsid w:val="00CF6AB8"/>
    <w:rsid w:val="00CF6AC6"/>
    <w:rsid w:val="00CF7004"/>
    <w:rsid w:val="00CF701D"/>
    <w:rsid w:val="00CF711A"/>
    <w:rsid w:val="00CF738F"/>
    <w:rsid w:val="00CF7397"/>
    <w:rsid w:val="00CF76C6"/>
    <w:rsid w:val="00CF7EEF"/>
    <w:rsid w:val="00CF7F5E"/>
    <w:rsid w:val="00D005BB"/>
    <w:rsid w:val="00D0093C"/>
    <w:rsid w:val="00D00A6A"/>
    <w:rsid w:val="00D010D7"/>
    <w:rsid w:val="00D0125F"/>
    <w:rsid w:val="00D01296"/>
    <w:rsid w:val="00D016F3"/>
    <w:rsid w:val="00D018FC"/>
    <w:rsid w:val="00D019ED"/>
    <w:rsid w:val="00D01C48"/>
    <w:rsid w:val="00D01EBE"/>
    <w:rsid w:val="00D02188"/>
    <w:rsid w:val="00D021B3"/>
    <w:rsid w:val="00D0263F"/>
    <w:rsid w:val="00D02745"/>
    <w:rsid w:val="00D028F3"/>
    <w:rsid w:val="00D03231"/>
    <w:rsid w:val="00D03242"/>
    <w:rsid w:val="00D03301"/>
    <w:rsid w:val="00D0339D"/>
    <w:rsid w:val="00D037DB"/>
    <w:rsid w:val="00D03B15"/>
    <w:rsid w:val="00D03DC9"/>
    <w:rsid w:val="00D0401A"/>
    <w:rsid w:val="00D0406C"/>
    <w:rsid w:val="00D042AF"/>
    <w:rsid w:val="00D04512"/>
    <w:rsid w:val="00D045AB"/>
    <w:rsid w:val="00D04642"/>
    <w:rsid w:val="00D046E1"/>
    <w:rsid w:val="00D04CE0"/>
    <w:rsid w:val="00D04D30"/>
    <w:rsid w:val="00D04FED"/>
    <w:rsid w:val="00D052B4"/>
    <w:rsid w:val="00D0532A"/>
    <w:rsid w:val="00D0556C"/>
    <w:rsid w:val="00D05698"/>
    <w:rsid w:val="00D05D6F"/>
    <w:rsid w:val="00D05D75"/>
    <w:rsid w:val="00D05E9E"/>
    <w:rsid w:val="00D05F94"/>
    <w:rsid w:val="00D0604C"/>
    <w:rsid w:val="00D06549"/>
    <w:rsid w:val="00D06768"/>
    <w:rsid w:val="00D068C6"/>
    <w:rsid w:val="00D06A61"/>
    <w:rsid w:val="00D06F61"/>
    <w:rsid w:val="00D07023"/>
    <w:rsid w:val="00D072CE"/>
    <w:rsid w:val="00D07644"/>
    <w:rsid w:val="00D076B2"/>
    <w:rsid w:val="00D0795B"/>
    <w:rsid w:val="00D07AEA"/>
    <w:rsid w:val="00D07B94"/>
    <w:rsid w:val="00D07CCC"/>
    <w:rsid w:val="00D07D2C"/>
    <w:rsid w:val="00D10130"/>
    <w:rsid w:val="00D104FE"/>
    <w:rsid w:val="00D1075F"/>
    <w:rsid w:val="00D1077F"/>
    <w:rsid w:val="00D10AE2"/>
    <w:rsid w:val="00D10B2C"/>
    <w:rsid w:val="00D10C27"/>
    <w:rsid w:val="00D10CF4"/>
    <w:rsid w:val="00D10DBA"/>
    <w:rsid w:val="00D114DA"/>
    <w:rsid w:val="00D11891"/>
    <w:rsid w:val="00D1240A"/>
    <w:rsid w:val="00D12465"/>
    <w:rsid w:val="00D12549"/>
    <w:rsid w:val="00D125B4"/>
    <w:rsid w:val="00D1290B"/>
    <w:rsid w:val="00D12B04"/>
    <w:rsid w:val="00D12C2A"/>
    <w:rsid w:val="00D12CE7"/>
    <w:rsid w:val="00D12ED4"/>
    <w:rsid w:val="00D13051"/>
    <w:rsid w:val="00D13B86"/>
    <w:rsid w:val="00D14383"/>
    <w:rsid w:val="00D1462A"/>
    <w:rsid w:val="00D147BF"/>
    <w:rsid w:val="00D1480D"/>
    <w:rsid w:val="00D14A96"/>
    <w:rsid w:val="00D14AAD"/>
    <w:rsid w:val="00D14EF3"/>
    <w:rsid w:val="00D150FB"/>
    <w:rsid w:val="00D152EF"/>
    <w:rsid w:val="00D15349"/>
    <w:rsid w:val="00D1577D"/>
    <w:rsid w:val="00D15B3D"/>
    <w:rsid w:val="00D15BFD"/>
    <w:rsid w:val="00D16335"/>
    <w:rsid w:val="00D16765"/>
    <w:rsid w:val="00D1697B"/>
    <w:rsid w:val="00D16DAF"/>
    <w:rsid w:val="00D172E5"/>
    <w:rsid w:val="00D17479"/>
    <w:rsid w:val="00D174CB"/>
    <w:rsid w:val="00D175C4"/>
    <w:rsid w:val="00D175D6"/>
    <w:rsid w:val="00D178B3"/>
    <w:rsid w:val="00D17A15"/>
    <w:rsid w:val="00D200D4"/>
    <w:rsid w:val="00D2012A"/>
    <w:rsid w:val="00D20640"/>
    <w:rsid w:val="00D2092C"/>
    <w:rsid w:val="00D20E05"/>
    <w:rsid w:val="00D21014"/>
    <w:rsid w:val="00D2109F"/>
    <w:rsid w:val="00D21206"/>
    <w:rsid w:val="00D212E6"/>
    <w:rsid w:val="00D21735"/>
    <w:rsid w:val="00D2177A"/>
    <w:rsid w:val="00D218C6"/>
    <w:rsid w:val="00D218E1"/>
    <w:rsid w:val="00D21AB9"/>
    <w:rsid w:val="00D21EEA"/>
    <w:rsid w:val="00D21F4F"/>
    <w:rsid w:val="00D22483"/>
    <w:rsid w:val="00D224B0"/>
    <w:rsid w:val="00D234E4"/>
    <w:rsid w:val="00D23C80"/>
    <w:rsid w:val="00D24482"/>
    <w:rsid w:val="00D24791"/>
    <w:rsid w:val="00D247D1"/>
    <w:rsid w:val="00D24AEA"/>
    <w:rsid w:val="00D24BD1"/>
    <w:rsid w:val="00D24D5D"/>
    <w:rsid w:val="00D25262"/>
    <w:rsid w:val="00D253AE"/>
    <w:rsid w:val="00D255B9"/>
    <w:rsid w:val="00D262B4"/>
    <w:rsid w:val="00D262C1"/>
    <w:rsid w:val="00D26708"/>
    <w:rsid w:val="00D26CAA"/>
    <w:rsid w:val="00D2759B"/>
    <w:rsid w:val="00D27756"/>
    <w:rsid w:val="00D27942"/>
    <w:rsid w:val="00D279DC"/>
    <w:rsid w:val="00D27A0E"/>
    <w:rsid w:val="00D27C1A"/>
    <w:rsid w:val="00D27C67"/>
    <w:rsid w:val="00D27F64"/>
    <w:rsid w:val="00D27FA6"/>
    <w:rsid w:val="00D3031A"/>
    <w:rsid w:val="00D304B7"/>
    <w:rsid w:val="00D304E6"/>
    <w:rsid w:val="00D30528"/>
    <w:rsid w:val="00D305B8"/>
    <w:rsid w:val="00D306E4"/>
    <w:rsid w:val="00D30CB2"/>
    <w:rsid w:val="00D30D79"/>
    <w:rsid w:val="00D3101E"/>
    <w:rsid w:val="00D310B0"/>
    <w:rsid w:val="00D31210"/>
    <w:rsid w:val="00D31447"/>
    <w:rsid w:val="00D318E1"/>
    <w:rsid w:val="00D319B1"/>
    <w:rsid w:val="00D31A2C"/>
    <w:rsid w:val="00D31DF5"/>
    <w:rsid w:val="00D31FBC"/>
    <w:rsid w:val="00D32949"/>
    <w:rsid w:val="00D329AF"/>
    <w:rsid w:val="00D32A9D"/>
    <w:rsid w:val="00D32BC2"/>
    <w:rsid w:val="00D32C73"/>
    <w:rsid w:val="00D32F96"/>
    <w:rsid w:val="00D3327F"/>
    <w:rsid w:val="00D33585"/>
    <w:rsid w:val="00D33590"/>
    <w:rsid w:val="00D33A04"/>
    <w:rsid w:val="00D33CBE"/>
    <w:rsid w:val="00D33CF2"/>
    <w:rsid w:val="00D34183"/>
    <w:rsid w:val="00D342A0"/>
    <w:rsid w:val="00D35077"/>
    <w:rsid w:val="00D351A2"/>
    <w:rsid w:val="00D35EB4"/>
    <w:rsid w:val="00D35EC2"/>
    <w:rsid w:val="00D3621F"/>
    <w:rsid w:val="00D36395"/>
    <w:rsid w:val="00D367EE"/>
    <w:rsid w:val="00D3683E"/>
    <w:rsid w:val="00D369D4"/>
    <w:rsid w:val="00D37279"/>
    <w:rsid w:val="00D37403"/>
    <w:rsid w:val="00D37531"/>
    <w:rsid w:val="00D37699"/>
    <w:rsid w:val="00D37950"/>
    <w:rsid w:val="00D37972"/>
    <w:rsid w:val="00D37C1E"/>
    <w:rsid w:val="00D37D2A"/>
    <w:rsid w:val="00D37D2C"/>
    <w:rsid w:val="00D37DF2"/>
    <w:rsid w:val="00D401CE"/>
    <w:rsid w:val="00D40740"/>
    <w:rsid w:val="00D407BC"/>
    <w:rsid w:val="00D407C8"/>
    <w:rsid w:val="00D40ADA"/>
    <w:rsid w:val="00D40BBB"/>
    <w:rsid w:val="00D40E83"/>
    <w:rsid w:val="00D40FC0"/>
    <w:rsid w:val="00D40FC9"/>
    <w:rsid w:val="00D41371"/>
    <w:rsid w:val="00D41639"/>
    <w:rsid w:val="00D4178C"/>
    <w:rsid w:val="00D41867"/>
    <w:rsid w:val="00D41998"/>
    <w:rsid w:val="00D419BE"/>
    <w:rsid w:val="00D419D1"/>
    <w:rsid w:val="00D41B30"/>
    <w:rsid w:val="00D41D62"/>
    <w:rsid w:val="00D41DF2"/>
    <w:rsid w:val="00D41E14"/>
    <w:rsid w:val="00D41E69"/>
    <w:rsid w:val="00D41E7B"/>
    <w:rsid w:val="00D41F81"/>
    <w:rsid w:val="00D4202D"/>
    <w:rsid w:val="00D42050"/>
    <w:rsid w:val="00D42470"/>
    <w:rsid w:val="00D424E6"/>
    <w:rsid w:val="00D42826"/>
    <w:rsid w:val="00D4290F"/>
    <w:rsid w:val="00D42936"/>
    <w:rsid w:val="00D42A25"/>
    <w:rsid w:val="00D42C8D"/>
    <w:rsid w:val="00D42CF8"/>
    <w:rsid w:val="00D42EFF"/>
    <w:rsid w:val="00D43508"/>
    <w:rsid w:val="00D43BA2"/>
    <w:rsid w:val="00D43BBD"/>
    <w:rsid w:val="00D43CC1"/>
    <w:rsid w:val="00D43FB2"/>
    <w:rsid w:val="00D4400C"/>
    <w:rsid w:val="00D44509"/>
    <w:rsid w:val="00D44665"/>
    <w:rsid w:val="00D4469D"/>
    <w:rsid w:val="00D448DA"/>
    <w:rsid w:val="00D451F3"/>
    <w:rsid w:val="00D45889"/>
    <w:rsid w:val="00D4588A"/>
    <w:rsid w:val="00D45953"/>
    <w:rsid w:val="00D461FE"/>
    <w:rsid w:val="00D46EA2"/>
    <w:rsid w:val="00D46F53"/>
    <w:rsid w:val="00D476EA"/>
    <w:rsid w:val="00D47A14"/>
    <w:rsid w:val="00D47B36"/>
    <w:rsid w:val="00D47CF8"/>
    <w:rsid w:val="00D5084E"/>
    <w:rsid w:val="00D50B5B"/>
    <w:rsid w:val="00D50DE5"/>
    <w:rsid w:val="00D51038"/>
    <w:rsid w:val="00D510AE"/>
    <w:rsid w:val="00D51147"/>
    <w:rsid w:val="00D512FA"/>
    <w:rsid w:val="00D51423"/>
    <w:rsid w:val="00D52280"/>
    <w:rsid w:val="00D5288F"/>
    <w:rsid w:val="00D52A36"/>
    <w:rsid w:val="00D52CD9"/>
    <w:rsid w:val="00D5386E"/>
    <w:rsid w:val="00D53A23"/>
    <w:rsid w:val="00D53A77"/>
    <w:rsid w:val="00D54292"/>
    <w:rsid w:val="00D5498E"/>
    <w:rsid w:val="00D54D4A"/>
    <w:rsid w:val="00D5506D"/>
    <w:rsid w:val="00D550D4"/>
    <w:rsid w:val="00D5541C"/>
    <w:rsid w:val="00D55431"/>
    <w:rsid w:val="00D5592E"/>
    <w:rsid w:val="00D55A94"/>
    <w:rsid w:val="00D55B60"/>
    <w:rsid w:val="00D56527"/>
    <w:rsid w:val="00D56762"/>
    <w:rsid w:val="00D56844"/>
    <w:rsid w:val="00D56A16"/>
    <w:rsid w:val="00D571EC"/>
    <w:rsid w:val="00D57659"/>
    <w:rsid w:val="00D57C28"/>
    <w:rsid w:val="00D60253"/>
    <w:rsid w:val="00D60381"/>
    <w:rsid w:val="00D605E2"/>
    <w:rsid w:val="00D60759"/>
    <w:rsid w:val="00D60BFA"/>
    <w:rsid w:val="00D61455"/>
    <w:rsid w:val="00D6196B"/>
    <w:rsid w:val="00D619A5"/>
    <w:rsid w:val="00D61A1D"/>
    <w:rsid w:val="00D61CE5"/>
    <w:rsid w:val="00D61E3F"/>
    <w:rsid w:val="00D62145"/>
    <w:rsid w:val="00D62151"/>
    <w:rsid w:val="00D62221"/>
    <w:rsid w:val="00D62954"/>
    <w:rsid w:val="00D62A8C"/>
    <w:rsid w:val="00D62C77"/>
    <w:rsid w:val="00D63886"/>
    <w:rsid w:val="00D63A46"/>
    <w:rsid w:val="00D63C4B"/>
    <w:rsid w:val="00D63CA5"/>
    <w:rsid w:val="00D63D6B"/>
    <w:rsid w:val="00D63E64"/>
    <w:rsid w:val="00D6435C"/>
    <w:rsid w:val="00D64A33"/>
    <w:rsid w:val="00D64C25"/>
    <w:rsid w:val="00D6501F"/>
    <w:rsid w:val="00D652CD"/>
    <w:rsid w:val="00D652ED"/>
    <w:rsid w:val="00D656CC"/>
    <w:rsid w:val="00D65891"/>
    <w:rsid w:val="00D65A20"/>
    <w:rsid w:val="00D65A8E"/>
    <w:rsid w:val="00D65DB3"/>
    <w:rsid w:val="00D65F10"/>
    <w:rsid w:val="00D65FBE"/>
    <w:rsid w:val="00D66139"/>
    <w:rsid w:val="00D66767"/>
    <w:rsid w:val="00D668D9"/>
    <w:rsid w:val="00D66CF1"/>
    <w:rsid w:val="00D66EEB"/>
    <w:rsid w:val="00D670A3"/>
    <w:rsid w:val="00D6759A"/>
    <w:rsid w:val="00D6788B"/>
    <w:rsid w:val="00D678D0"/>
    <w:rsid w:val="00D67AF3"/>
    <w:rsid w:val="00D67B43"/>
    <w:rsid w:val="00D67EA1"/>
    <w:rsid w:val="00D67F3C"/>
    <w:rsid w:val="00D70453"/>
    <w:rsid w:val="00D707C2"/>
    <w:rsid w:val="00D70DBF"/>
    <w:rsid w:val="00D70FE8"/>
    <w:rsid w:val="00D71071"/>
    <w:rsid w:val="00D7107D"/>
    <w:rsid w:val="00D712EB"/>
    <w:rsid w:val="00D715CB"/>
    <w:rsid w:val="00D719D8"/>
    <w:rsid w:val="00D719F4"/>
    <w:rsid w:val="00D71B8F"/>
    <w:rsid w:val="00D71BD3"/>
    <w:rsid w:val="00D72341"/>
    <w:rsid w:val="00D723EE"/>
    <w:rsid w:val="00D7261D"/>
    <w:rsid w:val="00D7269E"/>
    <w:rsid w:val="00D729C0"/>
    <w:rsid w:val="00D73252"/>
    <w:rsid w:val="00D7339C"/>
    <w:rsid w:val="00D73614"/>
    <w:rsid w:val="00D73AC5"/>
    <w:rsid w:val="00D73B93"/>
    <w:rsid w:val="00D73BF6"/>
    <w:rsid w:val="00D73D43"/>
    <w:rsid w:val="00D74751"/>
    <w:rsid w:val="00D74863"/>
    <w:rsid w:val="00D74B59"/>
    <w:rsid w:val="00D74C3F"/>
    <w:rsid w:val="00D74CA5"/>
    <w:rsid w:val="00D75156"/>
    <w:rsid w:val="00D752F7"/>
    <w:rsid w:val="00D757FF"/>
    <w:rsid w:val="00D7592F"/>
    <w:rsid w:val="00D75B4E"/>
    <w:rsid w:val="00D75D6E"/>
    <w:rsid w:val="00D75E40"/>
    <w:rsid w:val="00D75EF9"/>
    <w:rsid w:val="00D75F76"/>
    <w:rsid w:val="00D76436"/>
    <w:rsid w:val="00D7679B"/>
    <w:rsid w:val="00D768A8"/>
    <w:rsid w:val="00D76D49"/>
    <w:rsid w:val="00D770B1"/>
    <w:rsid w:val="00D7741F"/>
    <w:rsid w:val="00D775C8"/>
    <w:rsid w:val="00D7770C"/>
    <w:rsid w:val="00D7784E"/>
    <w:rsid w:val="00D77CC6"/>
    <w:rsid w:val="00D77FF9"/>
    <w:rsid w:val="00D801BA"/>
    <w:rsid w:val="00D801E3"/>
    <w:rsid w:val="00D8036B"/>
    <w:rsid w:val="00D805A4"/>
    <w:rsid w:val="00D8099D"/>
    <w:rsid w:val="00D80CEC"/>
    <w:rsid w:val="00D80D33"/>
    <w:rsid w:val="00D80FC9"/>
    <w:rsid w:val="00D811E5"/>
    <w:rsid w:val="00D813F4"/>
    <w:rsid w:val="00D8195A"/>
    <w:rsid w:val="00D81B89"/>
    <w:rsid w:val="00D81C33"/>
    <w:rsid w:val="00D82123"/>
    <w:rsid w:val="00D82456"/>
    <w:rsid w:val="00D82587"/>
    <w:rsid w:val="00D826AD"/>
    <w:rsid w:val="00D82B01"/>
    <w:rsid w:val="00D8301E"/>
    <w:rsid w:val="00D832B4"/>
    <w:rsid w:val="00D83CA1"/>
    <w:rsid w:val="00D8426D"/>
    <w:rsid w:val="00D8435C"/>
    <w:rsid w:val="00D843DA"/>
    <w:rsid w:val="00D844D3"/>
    <w:rsid w:val="00D84753"/>
    <w:rsid w:val="00D85313"/>
    <w:rsid w:val="00D854E3"/>
    <w:rsid w:val="00D85612"/>
    <w:rsid w:val="00D85714"/>
    <w:rsid w:val="00D85805"/>
    <w:rsid w:val="00D85912"/>
    <w:rsid w:val="00D85A07"/>
    <w:rsid w:val="00D85C80"/>
    <w:rsid w:val="00D860A2"/>
    <w:rsid w:val="00D86231"/>
    <w:rsid w:val="00D86648"/>
    <w:rsid w:val="00D8672D"/>
    <w:rsid w:val="00D86B68"/>
    <w:rsid w:val="00D8749A"/>
    <w:rsid w:val="00D874DE"/>
    <w:rsid w:val="00D875CD"/>
    <w:rsid w:val="00D8796B"/>
    <w:rsid w:val="00D87C5F"/>
    <w:rsid w:val="00D87F6A"/>
    <w:rsid w:val="00D90094"/>
    <w:rsid w:val="00D9044A"/>
    <w:rsid w:val="00D90BE5"/>
    <w:rsid w:val="00D90F32"/>
    <w:rsid w:val="00D91250"/>
    <w:rsid w:val="00D9155B"/>
    <w:rsid w:val="00D918E5"/>
    <w:rsid w:val="00D91972"/>
    <w:rsid w:val="00D91C69"/>
    <w:rsid w:val="00D91DFE"/>
    <w:rsid w:val="00D920D3"/>
    <w:rsid w:val="00D9210E"/>
    <w:rsid w:val="00D92337"/>
    <w:rsid w:val="00D923DF"/>
    <w:rsid w:val="00D924FE"/>
    <w:rsid w:val="00D92580"/>
    <w:rsid w:val="00D92779"/>
    <w:rsid w:val="00D92BDA"/>
    <w:rsid w:val="00D92CCD"/>
    <w:rsid w:val="00D92E5F"/>
    <w:rsid w:val="00D92F8A"/>
    <w:rsid w:val="00D933D4"/>
    <w:rsid w:val="00D9348A"/>
    <w:rsid w:val="00D93A66"/>
    <w:rsid w:val="00D93C70"/>
    <w:rsid w:val="00D93ECC"/>
    <w:rsid w:val="00D93F5D"/>
    <w:rsid w:val="00D9402B"/>
    <w:rsid w:val="00D94039"/>
    <w:rsid w:val="00D944B0"/>
    <w:rsid w:val="00D94B34"/>
    <w:rsid w:val="00D94E83"/>
    <w:rsid w:val="00D94ED7"/>
    <w:rsid w:val="00D94EE1"/>
    <w:rsid w:val="00D94F02"/>
    <w:rsid w:val="00D95393"/>
    <w:rsid w:val="00D953A5"/>
    <w:rsid w:val="00D95607"/>
    <w:rsid w:val="00D95863"/>
    <w:rsid w:val="00D958E2"/>
    <w:rsid w:val="00D95981"/>
    <w:rsid w:val="00D95A0E"/>
    <w:rsid w:val="00D95A6E"/>
    <w:rsid w:val="00D95F43"/>
    <w:rsid w:val="00D9663C"/>
    <w:rsid w:val="00D96B61"/>
    <w:rsid w:val="00D96F7D"/>
    <w:rsid w:val="00D9723D"/>
    <w:rsid w:val="00D97421"/>
    <w:rsid w:val="00D97FE6"/>
    <w:rsid w:val="00DA0D5B"/>
    <w:rsid w:val="00DA0F60"/>
    <w:rsid w:val="00DA1085"/>
    <w:rsid w:val="00DA10C7"/>
    <w:rsid w:val="00DA12F2"/>
    <w:rsid w:val="00DA1719"/>
    <w:rsid w:val="00DA1935"/>
    <w:rsid w:val="00DA1BE9"/>
    <w:rsid w:val="00DA1D1C"/>
    <w:rsid w:val="00DA1E95"/>
    <w:rsid w:val="00DA23B7"/>
    <w:rsid w:val="00DA2763"/>
    <w:rsid w:val="00DA2845"/>
    <w:rsid w:val="00DA296D"/>
    <w:rsid w:val="00DA2B7B"/>
    <w:rsid w:val="00DA2D2B"/>
    <w:rsid w:val="00DA2D89"/>
    <w:rsid w:val="00DA2EAB"/>
    <w:rsid w:val="00DA2F2A"/>
    <w:rsid w:val="00DA301F"/>
    <w:rsid w:val="00DA36D9"/>
    <w:rsid w:val="00DA3829"/>
    <w:rsid w:val="00DA38F9"/>
    <w:rsid w:val="00DA399F"/>
    <w:rsid w:val="00DA4049"/>
    <w:rsid w:val="00DA4073"/>
    <w:rsid w:val="00DA4218"/>
    <w:rsid w:val="00DA4717"/>
    <w:rsid w:val="00DA4893"/>
    <w:rsid w:val="00DA4DD8"/>
    <w:rsid w:val="00DA524B"/>
    <w:rsid w:val="00DA6174"/>
    <w:rsid w:val="00DA6299"/>
    <w:rsid w:val="00DA66CE"/>
    <w:rsid w:val="00DA679F"/>
    <w:rsid w:val="00DA6A68"/>
    <w:rsid w:val="00DA6F08"/>
    <w:rsid w:val="00DA73F4"/>
    <w:rsid w:val="00DA76FC"/>
    <w:rsid w:val="00DA779E"/>
    <w:rsid w:val="00DA7C51"/>
    <w:rsid w:val="00DA7C72"/>
    <w:rsid w:val="00DA7F88"/>
    <w:rsid w:val="00DB0234"/>
    <w:rsid w:val="00DB061C"/>
    <w:rsid w:val="00DB0707"/>
    <w:rsid w:val="00DB0A33"/>
    <w:rsid w:val="00DB0D12"/>
    <w:rsid w:val="00DB11FF"/>
    <w:rsid w:val="00DB12FF"/>
    <w:rsid w:val="00DB1C07"/>
    <w:rsid w:val="00DB1EE7"/>
    <w:rsid w:val="00DB1F5C"/>
    <w:rsid w:val="00DB2005"/>
    <w:rsid w:val="00DB222F"/>
    <w:rsid w:val="00DB2280"/>
    <w:rsid w:val="00DB26A0"/>
    <w:rsid w:val="00DB2D93"/>
    <w:rsid w:val="00DB2EDC"/>
    <w:rsid w:val="00DB3C3D"/>
    <w:rsid w:val="00DB3D06"/>
    <w:rsid w:val="00DB3EF7"/>
    <w:rsid w:val="00DB3F93"/>
    <w:rsid w:val="00DB5417"/>
    <w:rsid w:val="00DB59E6"/>
    <w:rsid w:val="00DB5AF5"/>
    <w:rsid w:val="00DB5C5C"/>
    <w:rsid w:val="00DB5D7C"/>
    <w:rsid w:val="00DB5E5E"/>
    <w:rsid w:val="00DB604B"/>
    <w:rsid w:val="00DB6506"/>
    <w:rsid w:val="00DB6707"/>
    <w:rsid w:val="00DB687D"/>
    <w:rsid w:val="00DB6A83"/>
    <w:rsid w:val="00DB6F2B"/>
    <w:rsid w:val="00DB736D"/>
    <w:rsid w:val="00DB7850"/>
    <w:rsid w:val="00DB7C21"/>
    <w:rsid w:val="00DB7E2A"/>
    <w:rsid w:val="00DB7E94"/>
    <w:rsid w:val="00DC0059"/>
    <w:rsid w:val="00DC0110"/>
    <w:rsid w:val="00DC01E6"/>
    <w:rsid w:val="00DC0595"/>
    <w:rsid w:val="00DC071A"/>
    <w:rsid w:val="00DC0A05"/>
    <w:rsid w:val="00DC0B75"/>
    <w:rsid w:val="00DC1087"/>
    <w:rsid w:val="00DC1490"/>
    <w:rsid w:val="00DC14FD"/>
    <w:rsid w:val="00DC1500"/>
    <w:rsid w:val="00DC18D3"/>
    <w:rsid w:val="00DC191A"/>
    <w:rsid w:val="00DC1D9B"/>
    <w:rsid w:val="00DC2169"/>
    <w:rsid w:val="00DC2624"/>
    <w:rsid w:val="00DC277A"/>
    <w:rsid w:val="00DC2A74"/>
    <w:rsid w:val="00DC2AFB"/>
    <w:rsid w:val="00DC2C41"/>
    <w:rsid w:val="00DC2DD4"/>
    <w:rsid w:val="00DC2EDD"/>
    <w:rsid w:val="00DC349F"/>
    <w:rsid w:val="00DC3529"/>
    <w:rsid w:val="00DC3838"/>
    <w:rsid w:val="00DC398B"/>
    <w:rsid w:val="00DC3998"/>
    <w:rsid w:val="00DC4206"/>
    <w:rsid w:val="00DC45AC"/>
    <w:rsid w:val="00DC4600"/>
    <w:rsid w:val="00DC46FA"/>
    <w:rsid w:val="00DC4AB2"/>
    <w:rsid w:val="00DC4B3E"/>
    <w:rsid w:val="00DC4BCC"/>
    <w:rsid w:val="00DC4C5D"/>
    <w:rsid w:val="00DC4D15"/>
    <w:rsid w:val="00DC4ECF"/>
    <w:rsid w:val="00DC5330"/>
    <w:rsid w:val="00DC54AD"/>
    <w:rsid w:val="00DC582F"/>
    <w:rsid w:val="00DC59BC"/>
    <w:rsid w:val="00DC5D8D"/>
    <w:rsid w:val="00DC5F10"/>
    <w:rsid w:val="00DC6116"/>
    <w:rsid w:val="00DC6143"/>
    <w:rsid w:val="00DC6156"/>
    <w:rsid w:val="00DC6707"/>
    <w:rsid w:val="00DC784E"/>
    <w:rsid w:val="00DC78AA"/>
    <w:rsid w:val="00DC7914"/>
    <w:rsid w:val="00DC79D2"/>
    <w:rsid w:val="00DC79FC"/>
    <w:rsid w:val="00DC7AD7"/>
    <w:rsid w:val="00DC7E99"/>
    <w:rsid w:val="00DD01E1"/>
    <w:rsid w:val="00DD01E6"/>
    <w:rsid w:val="00DD023D"/>
    <w:rsid w:val="00DD046C"/>
    <w:rsid w:val="00DD0675"/>
    <w:rsid w:val="00DD08E5"/>
    <w:rsid w:val="00DD09BA"/>
    <w:rsid w:val="00DD0B72"/>
    <w:rsid w:val="00DD105A"/>
    <w:rsid w:val="00DD14AA"/>
    <w:rsid w:val="00DD17A5"/>
    <w:rsid w:val="00DD1848"/>
    <w:rsid w:val="00DD197F"/>
    <w:rsid w:val="00DD1986"/>
    <w:rsid w:val="00DD1D0B"/>
    <w:rsid w:val="00DD2384"/>
    <w:rsid w:val="00DD23E3"/>
    <w:rsid w:val="00DD291C"/>
    <w:rsid w:val="00DD2B1C"/>
    <w:rsid w:val="00DD2C18"/>
    <w:rsid w:val="00DD2E94"/>
    <w:rsid w:val="00DD2FC9"/>
    <w:rsid w:val="00DD313E"/>
    <w:rsid w:val="00DD3434"/>
    <w:rsid w:val="00DD351C"/>
    <w:rsid w:val="00DD352C"/>
    <w:rsid w:val="00DD3757"/>
    <w:rsid w:val="00DD3BB6"/>
    <w:rsid w:val="00DD3C18"/>
    <w:rsid w:val="00DD3E6F"/>
    <w:rsid w:val="00DD41CD"/>
    <w:rsid w:val="00DD41E9"/>
    <w:rsid w:val="00DD4698"/>
    <w:rsid w:val="00DD48D1"/>
    <w:rsid w:val="00DD49CB"/>
    <w:rsid w:val="00DD4B58"/>
    <w:rsid w:val="00DD4B7A"/>
    <w:rsid w:val="00DD4D28"/>
    <w:rsid w:val="00DD5098"/>
    <w:rsid w:val="00DD52A9"/>
    <w:rsid w:val="00DD5375"/>
    <w:rsid w:val="00DD5685"/>
    <w:rsid w:val="00DD5785"/>
    <w:rsid w:val="00DD5DA1"/>
    <w:rsid w:val="00DD5E22"/>
    <w:rsid w:val="00DD612A"/>
    <w:rsid w:val="00DD6155"/>
    <w:rsid w:val="00DD61A0"/>
    <w:rsid w:val="00DD6419"/>
    <w:rsid w:val="00DD6460"/>
    <w:rsid w:val="00DD6793"/>
    <w:rsid w:val="00DD6B77"/>
    <w:rsid w:val="00DD7378"/>
    <w:rsid w:val="00DD77E3"/>
    <w:rsid w:val="00DD7D8B"/>
    <w:rsid w:val="00DD7DEA"/>
    <w:rsid w:val="00DE009F"/>
    <w:rsid w:val="00DE04BF"/>
    <w:rsid w:val="00DE0677"/>
    <w:rsid w:val="00DE06E8"/>
    <w:rsid w:val="00DE09D0"/>
    <w:rsid w:val="00DE0D28"/>
    <w:rsid w:val="00DE0DDA"/>
    <w:rsid w:val="00DE1095"/>
    <w:rsid w:val="00DE1659"/>
    <w:rsid w:val="00DE1A34"/>
    <w:rsid w:val="00DE1A86"/>
    <w:rsid w:val="00DE1BA7"/>
    <w:rsid w:val="00DE1D50"/>
    <w:rsid w:val="00DE20FC"/>
    <w:rsid w:val="00DE29A6"/>
    <w:rsid w:val="00DE2D99"/>
    <w:rsid w:val="00DE3292"/>
    <w:rsid w:val="00DE3374"/>
    <w:rsid w:val="00DE3436"/>
    <w:rsid w:val="00DE404C"/>
    <w:rsid w:val="00DE4C56"/>
    <w:rsid w:val="00DE4E78"/>
    <w:rsid w:val="00DE500E"/>
    <w:rsid w:val="00DE5383"/>
    <w:rsid w:val="00DE57DC"/>
    <w:rsid w:val="00DE5D54"/>
    <w:rsid w:val="00DE5D9C"/>
    <w:rsid w:val="00DE5FC6"/>
    <w:rsid w:val="00DE60B6"/>
    <w:rsid w:val="00DE61C7"/>
    <w:rsid w:val="00DE6248"/>
    <w:rsid w:val="00DE625E"/>
    <w:rsid w:val="00DE638D"/>
    <w:rsid w:val="00DE65CC"/>
    <w:rsid w:val="00DE6BE4"/>
    <w:rsid w:val="00DE7191"/>
    <w:rsid w:val="00DE7226"/>
    <w:rsid w:val="00DE7473"/>
    <w:rsid w:val="00DE795B"/>
    <w:rsid w:val="00DE7B70"/>
    <w:rsid w:val="00DE7E1E"/>
    <w:rsid w:val="00DE7ECB"/>
    <w:rsid w:val="00DF0028"/>
    <w:rsid w:val="00DF006F"/>
    <w:rsid w:val="00DF051A"/>
    <w:rsid w:val="00DF058D"/>
    <w:rsid w:val="00DF0B24"/>
    <w:rsid w:val="00DF0ED0"/>
    <w:rsid w:val="00DF1142"/>
    <w:rsid w:val="00DF157D"/>
    <w:rsid w:val="00DF1805"/>
    <w:rsid w:val="00DF19C5"/>
    <w:rsid w:val="00DF1D3F"/>
    <w:rsid w:val="00DF222D"/>
    <w:rsid w:val="00DF22F0"/>
    <w:rsid w:val="00DF30F8"/>
    <w:rsid w:val="00DF310A"/>
    <w:rsid w:val="00DF312B"/>
    <w:rsid w:val="00DF31CC"/>
    <w:rsid w:val="00DF3A14"/>
    <w:rsid w:val="00DF3C02"/>
    <w:rsid w:val="00DF3E9A"/>
    <w:rsid w:val="00DF406F"/>
    <w:rsid w:val="00DF40D0"/>
    <w:rsid w:val="00DF44F9"/>
    <w:rsid w:val="00DF45C5"/>
    <w:rsid w:val="00DF4755"/>
    <w:rsid w:val="00DF48D0"/>
    <w:rsid w:val="00DF544E"/>
    <w:rsid w:val="00DF551D"/>
    <w:rsid w:val="00DF5641"/>
    <w:rsid w:val="00DF586E"/>
    <w:rsid w:val="00DF5B8E"/>
    <w:rsid w:val="00DF5F3E"/>
    <w:rsid w:val="00DF6116"/>
    <w:rsid w:val="00DF641D"/>
    <w:rsid w:val="00DF6AE4"/>
    <w:rsid w:val="00DF6CEE"/>
    <w:rsid w:val="00DF6D96"/>
    <w:rsid w:val="00DF708A"/>
    <w:rsid w:val="00DF70B0"/>
    <w:rsid w:val="00DF77F4"/>
    <w:rsid w:val="00DF794C"/>
    <w:rsid w:val="00E0008C"/>
    <w:rsid w:val="00E00102"/>
    <w:rsid w:val="00E004AA"/>
    <w:rsid w:val="00E006FC"/>
    <w:rsid w:val="00E008B9"/>
    <w:rsid w:val="00E0091E"/>
    <w:rsid w:val="00E00BD1"/>
    <w:rsid w:val="00E00C2F"/>
    <w:rsid w:val="00E00D5F"/>
    <w:rsid w:val="00E00D97"/>
    <w:rsid w:val="00E01185"/>
    <w:rsid w:val="00E01556"/>
    <w:rsid w:val="00E01585"/>
    <w:rsid w:val="00E01749"/>
    <w:rsid w:val="00E017BE"/>
    <w:rsid w:val="00E01C4E"/>
    <w:rsid w:val="00E01F0D"/>
    <w:rsid w:val="00E02155"/>
    <w:rsid w:val="00E02224"/>
    <w:rsid w:val="00E027F6"/>
    <w:rsid w:val="00E02C99"/>
    <w:rsid w:val="00E03290"/>
    <w:rsid w:val="00E03734"/>
    <w:rsid w:val="00E03A6D"/>
    <w:rsid w:val="00E03A98"/>
    <w:rsid w:val="00E03B1B"/>
    <w:rsid w:val="00E03B65"/>
    <w:rsid w:val="00E03C61"/>
    <w:rsid w:val="00E03D89"/>
    <w:rsid w:val="00E04CC5"/>
    <w:rsid w:val="00E04E94"/>
    <w:rsid w:val="00E04F59"/>
    <w:rsid w:val="00E0501B"/>
    <w:rsid w:val="00E05126"/>
    <w:rsid w:val="00E05CC8"/>
    <w:rsid w:val="00E05E2A"/>
    <w:rsid w:val="00E05FA5"/>
    <w:rsid w:val="00E0618E"/>
    <w:rsid w:val="00E0634D"/>
    <w:rsid w:val="00E06365"/>
    <w:rsid w:val="00E06905"/>
    <w:rsid w:val="00E06949"/>
    <w:rsid w:val="00E06F4A"/>
    <w:rsid w:val="00E06F56"/>
    <w:rsid w:val="00E075AF"/>
    <w:rsid w:val="00E0771A"/>
    <w:rsid w:val="00E07735"/>
    <w:rsid w:val="00E0782B"/>
    <w:rsid w:val="00E07DB6"/>
    <w:rsid w:val="00E07E5F"/>
    <w:rsid w:val="00E07EDB"/>
    <w:rsid w:val="00E101A9"/>
    <w:rsid w:val="00E1100D"/>
    <w:rsid w:val="00E112C6"/>
    <w:rsid w:val="00E116FE"/>
    <w:rsid w:val="00E117A3"/>
    <w:rsid w:val="00E11803"/>
    <w:rsid w:val="00E11985"/>
    <w:rsid w:val="00E11F2B"/>
    <w:rsid w:val="00E12033"/>
    <w:rsid w:val="00E120D5"/>
    <w:rsid w:val="00E12101"/>
    <w:rsid w:val="00E12215"/>
    <w:rsid w:val="00E129A7"/>
    <w:rsid w:val="00E12E8F"/>
    <w:rsid w:val="00E12EF6"/>
    <w:rsid w:val="00E12FBC"/>
    <w:rsid w:val="00E131A7"/>
    <w:rsid w:val="00E13201"/>
    <w:rsid w:val="00E1371C"/>
    <w:rsid w:val="00E13805"/>
    <w:rsid w:val="00E13E42"/>
    <w:rsid w:val="00E13FBD"/>
    <w:rsid w:val="00E13FDF"/>
    <w:rsid w:val="00E144B4"/>
    <w:rsid w:val="00E14A03"/>
    <w:rsid w:val="00E14AFE"/>
    <w:rsid w:val="00E14DBB"/>
    <w:rsid w:val="00E1507B"/>
    <w:rsid w:val="00E15129"/>
    <w:rsid w:val="00E152A0"/>
    <w:rsid w:val="00E152AD"/>
    <w:rsid w:val="00E1584D"/>
    <w:rsid w:val="00E15964"/>
    <w:rsid w:val="00E15B9E"/>
    <w:rsid w:val="00E15CE6"/>
    <w:rsid w:val="00E15D97"/>
    <w:rsid w:val="00E1609C"/>
    <w:rsid w:val="00E1656B"/>
    <w:rsid w:val="00E166C1"/>
    <w:rsid w:val="00E16926"/>
    <w:rsid w:val="00E1699F"/>
    <w:rsid w:val="00E16C2F"/>
    <w:rsid w:val="00E1753A"/>
    <w:rsid w:val="00E17B3E"/>
    <w:rsid w:val="00E17C61"/>
    <w:rsid w:val="00E17D56"/>
    <w:rsid w:val="00E20330"/>
    <w:rsid w:val="00E20372"/>
    <w:rsid w:val="00E2042A"/>
    <w:rsid w:val="00E20466"/>
    <w:rsid w:val="00E2054A"/>
    <w:rsid w:val="00E205D6"/>
    <w:rsid w:val="00E20690"/>
    <w:rsid w:val="00E206EE"/>
    <w:rsid w:val="00E20B5C"/>
    <w:rsid w:val="00E212D8"/>
    <w:rsid w:val="00E21AF2"/>
    <w:rsid w:val="00E21BC9"/>
    <w:rsid w:val="00E220C8"/>
    <w:rsid w:val="00E22B04"/>
    <w:rsid w:val="00E22E1E"/>
    <w:rsid w:val="00E2319B"/>
    <w:rsid w:val="00E2337B"/>
    <w:rsid w:val="00E23591"/>
    <w:rsid w:val="00E239E4"/>
    <w:rsid w:val="00E23F53"/>
    <w:rsid w:val="00E2437D"/>
    <w:rsid w:val="00E24A70"/>
    <w:rsid w:val="00E24EAD"/>
    <w:rsid w:val="00E25DE9"/>
    <w:rsid w:val="00E25E5A"/>
    <w:rsid w:val="00E25E7B"/>
    <w:rsid w:val="00E25F40"/>
    <w:rsid w:val="00E26485"/>
    <w:rsid w:val="00E265ED"/>
    <w:rsid w:val="00E26A54"/>
    <w:rsid w:val="00E26A85"/>
    <w:rsid w:val="00E26DE7"/>
    <w:rsid w:val="00E26E6C"/>
    <w:rsid w:val="00E27004"/>
    <w:rsid w:val="00E2748A"/>
    <w:rsid w:val="00E2785D"/>
    <w:rsid w:val="00E27A50"/>
    <w:rsid w:val="00E27B26"/>
    <w:rsid w:val="00E30006"/>
    <w:rsid w:val="00E303E8"/>
    <w:rsid w:val="00E30832"/>
    <w:rsid w:val="00E30BA8"/>
    <w:rsid w:val="00E3114F"/>
    <w:rsid w:val="00E3120E"/>
    <w:rsid w:val="00E3142F"/>
    <w:rsid w:val="00E315B7"/>
    <w:rsid w:val="00E31862"/>
    <w:rsid w:val="00E31B28"/>
    <w:rsid w:val="00E32087"/>
    <w:rsid w:val="00E320BD"/>
    <w:rsid w:val="00E32341"/>
    <w:rsid w:val="00E3240B"/>
    <w:rsid w:val="00E3270F"/>
    <w:rsid w:val="00E32809"/>
    <w:rsid w:val="00E32A88"/>
    <w:rsid w:val="00E32ABD"/>
    <w:rsid w:val="00E32B7D"/>
    <w:rsid w:val="00E32DEE"/>
    <w:rsid w:val="00E33108"/>
    <w:rsid w:val="00E33360"/>
    <w:rsid w:val="00E338C9"/>
    <w:rsid w:val="00E33B78"/>
    <w:rsid w:val="00E33FF9"/>
    <w:rsid w:val="00E344BB"/>
    <w:rsid w:val="00E3487E"/>
    <w:rsid w:val="00E348E3"/>
    <w:rsid w:val="00E34DE7"/>
    <w:rsid w:val="00E34EBC"/>
    <w:rsid w:val="00E34EEE"/>
    <w:rsid w:val="00E34F6A"/>
    <w:rsid w:val="00E354EE"/>
    <w:rsid w:val="00E35518"/>
    <w:rsid w:val="00E35783"/>
    <w:rsid w:val="00E35A1F"/>
    <w:rsid w:val="00E35B98"/>
    <w:rsid w:val="00E35E51"/>
    <w:rsid w:val="00E36909"/>
    <w:rsid w:val="00E36D02"/>
    <w:rsid w:val="00E36D93"/>
    <w:rsid w:val="00E3721C"/>
    <w:rsid w:val="00E3767E"/>
    <w:rsid w:val="00E376E9"/>
    <w:rsid w:val="00E3778C"/>
    <w:rsid w:val="00E37E67"/>
    <w:rsid w:val="00E404C0"/>
    <w:rsid w:val="00E40808"/>
    <w:rsid w:val="00E4088D"/>
    <w:rsid w:val="00E40DD1"/>
    <w:rsid w:val="00E40EB3"/>
    <w:rsid w:val="00E41B4B"/>
    <w:rsid w:val="00E41F94"/>
    <w:rsid w:val="00E42004"/>
    <w:rsid w:val="00E427B3"/>
    <w:rsid w:val="00E42B8A"/>
    <w:rsid w:val="00E42B95"/>
    <w:rsid w:val="00E42C06"/>
    <w:rsid w:val="00E42D90"/>
    <w:rsid w:val="00E42E60"/>
    <w:rsid w:val="00E43552"/>
    <w:rsid w:val="00E4369E"/>
    <w:rsid w:val="00E436E3"/>
    <w:rsid w:val="00E43B69"/>
    <w:rsid w:val="00E43E22"/>
    <w:rsid w:val="00E44141"/>
    <w:rsid w:val="00E44904"/>
    <w:rsid w:val="00E44908"/>
    <w:rsid w:val="00E45389"/>
    <w:rsid w:val="00E455C7"/>
    <w:rsid w:val="00E456C0"/>
    <w:rsid w:val="00E46278"/>
    <w:rsid w:val="00E467F4"/>
    <w:rsid w:val="00E469A5"/>
    <w:rsid w:val="00E46A65"/>
    <w:rsid w:val="00E46B51"/>
    <w:rsid w:val="00E46B60"/>
    <w:rsid w:val="00E46DD7"/>
    <w:rsid w:val="00E47770"/>
    <w:rsid w:val="00E47C1D"/>
    <w:rsid w:val="00E47C91"/>
    <w:rsid w:val="00E47D93"/>
    <w:rsid w:val="00E47D9D"/>
    <w:rsid w:val="00E47FDB"/>
    <w:rsid w:val="00E5029D"/>
    <w:rsid w:val="00E50638"/>
    <w:rsid w:val="00E5064D"/>
    <w:rsid w:val="00E50864"/>
    <w:rsid w:val="00E508F7"/>
    <w:rsid w:val="00E50CBE"/>
    <w:rsid w:val="00E5139E"/>
    <w:rsid w:val="00E5146B"/>
    <w:rsid w:val="00E5163E"/>
    <w:rsid w:val="00E517AC"/>
    <w:rsid w:val="00E51838"/>
    <w:rsid w:val="00E5187D"/>
    <w:rsid w:val="00E51D1C"/>
    <w:rsid w:val="00E51ECC"/>
    <w:rsid w:val="00E525B2"/>
    <w:rsid w:val="00E52950"/>
    <w:rsid w:val="00E52DAE"/>
    <w:rsid w:val="00E52FA3"/>
    <w:rsid w:val="00E53195"/>
    <w:rsid w:val="00E53441"/>
    <w:rsid w:val="00E53466"/>
    <w:rsid w:val="00E53B53"/>
    <w:rsid w:val="00E53D4C"/>
    <w:rsid w:val="00E541B8"/>
    <w:rsid w:val="00E54467"/>
    <w:rsid w:val="00E5476C"/>
    <w:rsid w:val="00E54812"/>
    <w:rsid w:val="00E54D73"/>
    <w:rsid w:val="00E54E78"/>
    <w:rsid w:val="00E55569"/>
    <w:rsid w:val="00E55923"/>
    <w:rsid w:val="00E55A25"/>
    <w:rsid w:val="00E55A7C"/>
    <w:rsid w:val="00E55BC4"/>
    <w:rsid w:val="00E55DB2"/>
    <w:rsid w:val="00E55DCD"/>
    <w:rsid w:val="00E562C7"/>
    <w:rsid w:val="00E563DD"/>
    <w:rsid w:val="00E56534"/>
    <w:rsid w:val="00E56922"/>
    <w:rsid w:val="00E56FB3"/>
    <w:rsid w:val="00E573F9"/>
    <w:rsid w:val="00E5749E"/>
    <w:rsid w:val="00E57589"/>
    <w:rsid w:val="00E5758F"/>
    <w:rsid w:val="00E57D68"/>
    <w:rsid w:val="00E57E0C"/>
    <w:rsid w:val="00E57EFA"/>
    <w:rsid w:val="00E57F2C"/>
    <w:rsid w:val="00E57FCB"/>
    <w:rsid w:val="00E60331"/>
    <w:rsid w:val="00E605D2"/>
    <w:rsid w:val="00E60A6D"/>
    <w:rsid w:val="00E60DCD"/>
    <w:rsid w:val="00E60F18"/>
    <w:rsid w:val="00E60F25"/>
    <w:rsid w:val="00E610FB"/>
    <w:rsid w:val="00E61344"/>
    <w:rsid w:val="00E61598"/>
    <w:rsid w:val="00E6190D"/>
    <w:rsid w:val="00E61A14"/>
    <w:rsid w:val="00E61DA4"/>
    <w:rsid w:val="00E61FFA"/>
    <w:rsid w:val="00E623D9"/>
    <w:rsid w:val="00E62943"/>
    <w:rsid w:val="00E62EFC"/>
    <w:rsid w:val="00E63300"/>
    <w:rsid w:val="00E63395"/>
    <w:rsid w:val="00E63997"/>
    <w:rsid w:val="00E639AF"/>
    <w:rsid w:val="00E63BC7"/>
    <w:rsid w:val="00E63C03"/>
    <w:rsid w:val="00E63CD8"/>
    <w:rsid w:val="00E63D05"/>
    <w:rsid w:val="00E63D25"/>
    <w:rsid w:val="00E63D7E"/>
    <w:rsid w:val="00E64024"/>
    <w:rsid w:val="00E64077"/>
    <w:rsid w:val="00E6455D"/>
    <w:rsid w:val="00E647B1"/>
    <w:rsid w:val="00E64A51"/>
    <w:rsid w:val="00E65000"/>
    <w:rsid w:val="00E65091"/>
    <w:rsid w:val="00E651CA"/>
    <w:rsid w:val="00E6552C"/>
    <w:rsid w:val="00E655C7"/>
    <w:rsid w:val="00E65617"/>
    <w:rsid w:val="00E656D6"/>
    <w:rsid w:val="00E65FDE"/>
    <w:rsid w:val="00E662EE"/>
    <w:rsid w:val="00E675BF"/>
    <w:rsid w:val="00E7028D"/>
    <w:rsid w:val="00E702FB"/>
    <w:rsid w:val="00E70582"/>
    <w:rsid w:val="00E708D2"/>
    <w:rsid w:val="00E70B36"/>
    <w:rsid w:val="00E70B5D"/>
    <w:rsid w:val="00E70C8B"/>
    <w:rsid w:val="00E70DC3"/>
    <w:rsid w:val="00E712A8"/>
    <w:rsid w:val="00E7178D"/>
    <w:rsid w:val="00E71CC9"/>
    <w:rsid w:val="00E71F45"/>
    <w:rsid w:val="00E71FFA"/>
    <w:rsid w:val="00E720B7"/>
    <w:rsid w:val="00E725C7"/>
    <w:rsid w:val="00E7264D"/>
    <w:rsid w:val="00E7299E"/>
    <w:rsid w:val="00E72B25"/>
    <w:rsid w:val="00E72BC9"/>
    <w:rsid w:val="00E7334F"/>
    <w:rsid w:val="00E73C19"/>
    <w:rsid w:val="00E73F27"/>
    <w:rsid w:val="00E740D7"/>
    <w:rsid w:val="00E74426"/>
    <w:rsid w:val="00E747D2"/>
    <w:rsid w:val="00E747EE"/>
    <w:rsid w:val="00E747FB"/>
    <w:rsid w:val="00E74B17"/>
    <w:rsid w:val="00E74E2F"/>
    <w:rsid w:val="00E753B1"/>
    <w:rsid w:val="00E75438"/>
    <w:rsid w:val="00E7552A"/>
    <w:rsid w:val="00E764A2"/>
    <w:rsid w:val="00E765CE"/>
    <w:rsid w:val="00E76853"/>
    <w:rsid w:val="00E76B1E"/>
    <w:rsid w:val="00E76C55"/>
    <w:rsid w:val="00E76DA6"/>
    <w:rsid w:val="00E76F8C"/>
    <w:rsid w:val="00E773E9"/>
    <w:rsid w:val="00E7758F"/>
    <w:rsid w:val="00E777E6"/>
    <w:rsid w:val="00E7788C"/>
    <w:rsid w:val="00E77916"/>
    <w:rsid w:val="00E77A41"/>
    <w:rsid w:val="00E77AD4"/>
    <w:rsid w:val="00E77AD6"/>
    <w:rsid w:val="00E77C99"/>
    <w:rsid w:val="00E77D0C"/>
    <w:rsid w:val="00E77E96"/>
    <w:rsid w:val="00E80187"/>
    <w:rsid w:val="00E80792"/>
    <w:rsid w:val="00E80BA1"/>
    <w:rsid w:val="00E80EC1"/>
    <w:rsid w:val="00E81139"/>
    <w:rsid w:val="00E8138C"/>
    <w:rsid w:val="00E81412"/>
    <w:rsid w:val="00E8148D"/>
    <w:rsid w:val="00E81A58"/>
    <w:rsid w:val="00E81A67"/>
    <w:rsid w:val="00E81D62"/>
    <w:rsid w:val="00E81E39"/>
    <w:rsid w:val="00E8227A"/>
    <w:rsid w:val="00E825D8"/>
    <w:rsid w:val="00E826ED"/>
    <w:rsid w:val="00E82770"/>
    <w:rsid w:val="00E82A93"/>
    <w:rsid w:val="00E82C11"/>
    <w:rsid w:val="00E82C5A"/>
    <w:rsid w:val="00E83937"/>
    <w:rsid w:val="00E83A32"/>
    <w:rsid w:val="00E84172"/>
    <w:rsid w:val="00E8421E"/>
    <w:rsid w:val="00E84902"/>
    <w:rsid w:val="00E84C31"/>
    <w:rsid w:val="00E84C9E"/>
    <w:rsid w:val="00E8501B"/>
    <w:rsid w:val="00E855F6"/>
    <w:rsid w:val="00E85A1F"/>
    <w:rsid w:val="00E85CB1"/>
    <w:rsid w:val="00E8627F"/>
    <w:rsid w:val="00E862DA"/>
    <w:rsid w:val="00E86793"/>
    <w:rsid w:val="00E86BE5"/>
    <w:rsid w:val="00E86DC3"/>
    <w:rsid w:val="00E8714A"/>
    <w:rsid w:val="00E875F0"/>
    <w:rsid w:val="00E878B6"/>
    <w:rsid w:val="00E878F7"/>
    <w:rsid w:val="00E87B82"/>
    <w:rsid w:val="00E90082"/>
    <w:rsid w:val="00E90189"/>
    <w:rsid w:val="00E90460"/>
    <w:rsid w:val="00E9059C"/>
    <w:rsid w:val="00E9123A"/>
    <w:rsid w:val="00E914BF"/>
    <w:rsid w:val="00E91A68"/>
    <w:rsid w:val="00E91F4A"/>
    <w:rsid w:val="00E9265C"/>
    <w:rsid w:val="00E9282F"/>
    <w:rsid w:val="00E93043"/>
    <w:rsid w:val="00E930A0"/>
    <w:rsid w:val="00E93590"/>
    <w:rsid w:val="00E93598"/>
    <w:rsid w:val="00E939A9"/>
    <w:rsid w:val="00E939F8"/>
    <w:rsid w:val="00E93B39"/>
    <w:rsid w:val="00E93B78"/>
    <w:rsid w:val="00E943CA"/>
    <w:rsid w:val="00E945D7"/>
    <w:rsid w:val="00E94681"/>
    <w:rsid w:val="00E946F6"/>
    <w:rsid w:val="00E95186"/>
    <w:rsid w:val="00E95234"/>
    <w:rsid w:val="00E95817"/>
    <w:rsid w:val="00E95A5E"/>
    <w:rsid w:val="00E95B30"/>
    <w:rsid w:val="00E95B81"/>
    <w:rsid w:val="00E95DEE"/>
    <w:rsid w:val="00E95FF7"/>
    <w:rsid w:val="00E96011"/>
    <w:rsid w:val="00E96299"/>
    <w:rsid w:val="00E96869"/>
    <w:rsid w:val="00E973C5"/>
    <w:rsid w:val="00E97981"/>
    <w:rsid w:val="00E97A6C"/>
    <w:rsid w:val="00E97B57"/>
    <w:rsid w:val="00E97BB3"/>
    <w:rsid w:val="00E97DDB"/>
    <w:rsid w:val="00E97F34"/>
    <w:rsid w:val="00E97FC3"/>
    <w:rsid w:val="00EA0360"/>
    <w:rsid w:val="00EA0689"/>
    <w:rsid w:val="00EA098A"/>
    <w:rsid w:val="00EA0E4A"/>
    <w:rsid w:val="00EA0E9B"/>
    <w:rsid w:val="00EA110A"/>
    <w:rsid w:val="00EA1177"/>
    <w:rsid w:val="00EA1252"/>
    <w:rsid w:val="00EA15A4"/>
    <w:rsid w:val="00EA15DA"/>
    <w:rsid w:val="00EA164F"/>
    <w:rsid w:val="00EA1A7B"/>
    <w:rsid w:val="00EA1BF7"/>
    <w:rsid w:val="00EA1C08"/>
    <w:rsid w:val="00EA20C7"/>
    <w:rsid w:val="00EA2149"/>
    <w:rsid w:val="00EA246A"/>
    <w:rsid w:val="00EA29DD"/>
    <w:rsid w:val="00EA300C"/>
    <w:rsid w:val="00EA35C1"/>
    <w:rsid w:val="00EA37C3"/>
    <w:rsid w:val="00EA3BB1"/>
    <w:rsid w:val="00EA3C1E"/>
    <w:rsid w:val="00EA3C56"/>
    <w:rsid w:val="00EA3D34"/>
    <w:rsid w:val="00EA3DB0"/>
    <w:rsid w:val="00EA3F1C"/>
    <w:rsid w:val="00EA4078"/>
    <w:rsid w:val="00EA448F"/>
    <w:rsid w:val="00EA45F2"/>
    <w:rsid w:val="00EA4634"/>
    <w:rsid w:val="00EA46DE"/>
    <w:rsid w:val="00EA48F9"/>
    <w:rsid w:val="00EA4A2E"/>
    <w:rsid w:val="00EA4A5F"/>
    <w:rsid w:val="00EA4C37"/>
    <w:rsid w:val="00EA51D7"/>
    <w:rsid w:val="00EA5231"/>
    <w:rsid w:val="00EA57F3"/>
    <w:rsid w:val="00EA587E"/>
    <w:rsid w:val="00EA5D38"/>
    <w:rsid w:val="00EA5D58"/>
    <w:rsid w:val="00EA5E11"/>
    <w:rsid w:val="00EA607E"/>
    <w:rsid w:val="00EA626C"/>
    <w:rsid w:val="00EA6A38"/>
    <w:rsid w:val="00EA6D0D"/>
    <w:rsid w:val="00EA6DB6"/>
    <w:rsid w:val="00EA6DBF"/>
    <w:rsid w:val="00EA6DFE"/>
    <w:rsid w:val="00EA6E15"/>
    <w:rsid w:val="00EA7421"/>
    <w:rsid w:val="00EA77E7"/>
    <w:rsid w:val="00EA799D"/>
    <w:rsid w:val="00EA7AD8"/>
    <w:rsid w:val="00EA7AF1"/>
    <w:rsid w:val="00EA7D5B"/>
    <w:rsid w:val="00EA7EB7"/>
    <w:rsid w:val="00EB0335"/>
    <w:rsid w:val="00EB04FD"/>
    <w:rsid w:val="00EB0808"/>
    <w:rsid w:val="00EB088B"/>
    <w:rsid w:val="00EB0BC3"/>
    <w:rsid w:val="00EB101D"/>
    <w:rsid w:val="00EB107E"/>
    <w:rsid w:val="00EB10FA"/>
    <w:rsid w:val="00EB141E"/>
    <w:rsid w:val="00EB151C"/>
    <w:rsid w:val="00EB188A"/>
    <w:rsid w:val="00EB1CC1"/>
    <w:rsid w:val="00EB1CF8"/>
    <w:rsid w:val="00EB1FFE"/>
    <w:rsid w:val="00EB2A42"/>
    <w:rsid w:val="00EB2DC1"/>
    <w:rsid w:val="00EB2FEE"/>
    <w:rsid w:val="00EB3185"/>
    <w:rsid w:val="00EB3219"/>
    <w:rsid w:val="00EB3CD4"/>
    <w:rsid w:val="00EB3D8C"/>
    <w:rsid w:val="00EB3EE5"/>
    <w:rsid w:val="00EB4037"/>
    <w:rsid w:val="00EB4282"/>
    <w:rsid w:val="00EB42D8"/>
    <w:rsid w:val="00EB43BB"/>
    <w:rsid w:val="00EB445E"/>
    <w:rsid w:val="00EB4523"/>
    <w:rsid w:val="00EB4793"/>
    <w:rsid w:val="00EB47E5"/>
    <w:rsid w:val="00EB484A"/>
    <w:rsid w:val="00EB4932"/>
    <w:rsid w:val="00EB4B32"/>
    <w:rsid w:val="00EB4B84"/>
    <w:rsid w:val="00EB4D11"/>
    <w:rsid w:val="00EB4ECB"/>
    <w:rsid w:val="00EB522E"/>
    <w:rsid w:val="00EB5447"/>
    <w:rsid w:val="00EB5535"/>
    <w:rsid w:val="00EB5567"/>
    <w:rsid w:val="00EB58F4"/>
    <w:rsid w:val="00EB5EB0"/>
    <w:rsid w:val="00EB634F"/>
    <w:rsid w:val="00EB6401"/>
    <w:rsid w:val="00EB64B1"/>
    <w:rsid w:val="00EB6613"/>
    <w:rsid w:val="00EB69BC"/>
    <w:rsid w:val="00EB6AC3"/>
    <w:rsid w:val="00EB6C68"/>
    <w:rsid w:val="00EB6DEE"/>
    <w:rsid w:val="00EB6E18"/>
    <w:rsid w:val="00EB74EE"/>
    <w:rsid w:val="00EB7910"/>
    <w:rsid w:val="00EB7D79"/>
    <w:rsid w:val="00EB7F03"/>
    <w:rsid w:val="00EC0046"/>
    <w:rsid w:val="00EC00D3"/>
    <w:rsid w:val="00EC05DD"/>
    <w:rsid w:val="00EC06CC"/>
    <w:rsid w:val="00EC0963"/>
    <w:rsid w:val="00EC0B71"/>
    <w:rsid w:val="00EC1191"/>
    <w:rsid w:val="00EC12A7"/>
    <w:rsid w:val="00EC19DD"/>
    <w:rsid w:val="00EC19F0"/>
    <w:rsid w:val="00EC1D41"/>
    <w:rsid w:val="00EC1E00"/>
    <w:rsid w:val="00EC239C"/>
    <w:rsid w:val="00EC26AB"/>
    <w:rsid w:val="00EC3715"/>
    <w:rsid w:val="00EC372B"/>
    <w:rsid w:val="00EC39F1"/>
    <w:rsid w:val="00EC4038"/>
    <w:rsid w:val="00EC4539"/>
    <w:rsid w:val="00EC4612"/>
    <w:rsid w:val="00EC46F7"/>
    <w:rsid w:val="00EC4708"/>
    <w:rsid w:val="00EC47D1"/>
    <w:rsid w:val="00EC488C"/>
    <w:rsid w:val="00EC49E1"/>
    <w:rsid w:val="00EC5300"/>
    <w:rsid w:val="00EC5301"/>
    <w:rsid w:val="00EC53C3"/>
    <w:rsid w:val="00EC5602"/>
    <w:rsid w:val="00EC5A60"/>
    <w:rsid w:val="00EC5DD4"/>
    <w:rsid w:val="00EC5F1B"/>
    <w:rsid w:val="00EC5F52"/>
    <w:rsid w:val="00EC5F83"/>
    <w:rsid w:val="00EC61DA"/>
    <w:rsid w:val="00EC66DE"/>
    <w:rsid w:val="00EC6717"/>
    <w:rsid w:val="00EC69E3"/>
    <w:rsid w:val="00EC6CE3"/>
    <w:rsid w:val="00EC6F82"/>
    <w:rsid w:val="00EC6F9D"/>
    <w:rsid w:val="00EC6F9F"/>
    <w:rsid w:val="00EC7B83"/>
    <w:rsid w:val="00ED03A6"/>
    <w:rsid w:val="00ED0672"/>
    <w:rsid w:val="00ED078B"/>
    <w:rsid w:val="00ED0BAD"/>
    <w:rsid w:val="00ED0D54"/>
    <w:rsid w:val="00ED0EF8"/>
    <w:rsid w:val="00ED103B"/>
    <w:rsid w:val="00ED12C3"/>
    <w:rsid w:val="00ED1C89"/>
    <w:rsid w:val="00ED204C"/>
    <w:rsid w:val="00ED20A8"/>
    <w:rsid w:val="00ED25A3"/>
    <w:rsid w:val="00ED27AD"/>
    <w:rsid w:val="00ED2B2F"/>
    <w:rsid w:val="00ED2C7E"/>
    <w:rsid w:val="00ED30A7"/>
    <w:rsid w:val="00ED32B8"/>
    <w:rsid w:val="00ED3B3C"/>
    <w:rsid w:val="00ED3BB4"/>
    <w:rsid w:val="00ED4B83"/>
    <w:rsid w:val="00ED4C02"/>
    <w:rsid w:val="00ED4E74"/>
    <w:rsid w:val="00ED5656"/>
    <w:rsid w:val="00ED5897"/>
    <w:rsid w:val="00ED59F3"/>
    <w:rsid w:val="00ED5B6A"/>
    <w:rsid w:val="00ED5B92"/>
    <w:rsid w:val="00ED5E20"/>
    <w:rsid w:val="00ED60E4"/>
    <w:rsid w:val="00ED64A2"/>
    <w:rsid w:val="00ED66BF"/>
    <w:rsid w:val="00ED66C8"/>
    <w:rsid w:val="00ED682D"/>
    <w:rsid w:val="00ED6839"/>
    <w:rsid w:val="00ED7267"/>
    <w:rsid w:val="00ED72A7"/>
    <w:rsid w:val="00ED7336"/>
    <w:rsid w:val="00ED749A"/>
    <w:rsid w:val="00ED7887"/>
    <w:rsid w:val="00ED795C"/>
    <w:rsid w:val="00EE0256"/>
    <w:rsid w:val="00EE04AA"/>
    <w:rsid w:val="00EE0750"/>
    <w:rsid w:val="00EE08BC"/>
    <w:rsid w:val="00EE0E26"/>
    <w:rsid w:val="00EE0F8E"/>
    <w:rsid w:val="00EE1110"/>
    <w:rsid w:val="00EE1139"/>
    <w:rsid w:val="00EE157F"/>
    <w:rsid w:val="00EE1612"/>
    <w:rsid w:val="00EE192A"/>
    <w:rsid w:val="00EE2028"/>
    <w:rsid w:val="00EE2497"/>
    <w:rsid w:val="00EE2712"/>
    <w:rsid w:val="00EE27D8"/>
    <w:rsid w:val="00EE27FB"/>
    <w:rsid w:val="00EE2815"/>
    <w:rsid w:val="00EE2889"/>
    <w:rsid w:val="00EE29DD"/>
    <w:rsid w:val="00EE2D59"/>
    <w:rsid w:val="00EE3085"/>
    <w:rsid w:val="00EE35D9"/>
    <w:rsid w:val="00EE37C9"/>
    <w:rsid w:val="00EE385D"/>
    <w:rsid w:val="00EE3A48"/>
    <w:rsid w:val="00EE3A56"/>
    <w:rsid w:val="00EE3AAF"/>
    <w:rsid w:val="00EE3B14"/>
    <w:rsid w:val="00EE4057"/>
    <w:rsid w:val="00EE40AE"/>
    <w:rsid w:val="00EE40B2"/>
    <w:rsid w:val="00EE4207"/>
    <w:rsid w:val="00EE447D"/>
    <w:rsid w:val="00EE44EB"/>
    <w:rsid w:val="00EE4749"/>
    <w:rsid w:val="00EE478B"/>
    <w:rsid w:val="00EE4C5F"/>
    <w:rsid w:val="00EE4FCB"/>
    <w:rsid w:val="00EE5344"/>
    <w:rsid w:val="00EE5778"/>
    <w:rsid w:val="00EE5914"/>
    <w:rsid w:val="00EE603E"/>
    <w:rsid w:val="00EE627A"/>
    <w:rsid w:val="00EE63AD"/>
    <w:rsid w:val="00EE6C20"/>
    <w:rsid w:val="00EE70ED"/>
    <w:rsid w:val="00EE7473"/>
    <w:rsid w:val="00EE750F"/>
    <w:rsid w:val="00EE7824"/>
    <w:rsid w:val="00EE7B90"/>
    <w:rsid w:val="00EE7C6D"/>
    <w:rsid w:val="00EE7CFA"/>
    <w:rsid w:val="00EE7D98"/>
    <w:rsid w:val="00EE7DD1"/>
    <w:rsid w:val="00EE7F82"/>
    <w:rsid w:val="00EE7FE7"/>
    <w:rsid w:val="00EF0068"/>
    <w:rsid w:val="00EF00F4"/>
    <w:rsid w:val="00EF0414"/>
    <w:rsid w:val="00EF06D4"/>
    <w:rsid w:val="00EF09C2"/>
    <w:rsid w:val="00EF0E77"/>
    <w:rsid w:val="00EF0F91"/>
    <w:rsid w:val="00EF1110"/>
    <w:rsid w:val="00EF14A3"/>
    <w:rsid w:val="00EF14B7"/>
    <w:rsid w:val="00EF158A"/>
    <w:rsid w:val="00EF19AB"/>
    <w:rsid w:val="00EF1A10"/>
    <w:rsid w:val="00EF1C7E"/>
    <w:rsid w:val="00EF1CB0"/>
    <w:rsid w:val="00EF1DBC"/>
    <w:rsid w:val="00EF1E25"/>
    <w:rsid w:val="00EF23F8"/>
    <w:rsid w:val="00EF2577"/>
    <w:rsid w:val="00EF2AC8"/>
    <w:rsid w:val="00EF2AE9"/>
    <w:rsid w:val="00EF2B7B"/>
    <w:rsid w:val="00EF2C21"/>
    <w:rsid w:val="00EF2CF8"/>
    <w:rsid w:val="00EF3425"/>
    <w:rsid w:val="00EF34B2"/>
    <w:rsid w:val="00EF35A0"/>
    <w:rsid w:val="00EF387A"/>
    <w:rsid w:val="00EF3946"/>
    <w:rsid w:val="00EF398D"/>
    <w:rsid w:val="00EF424C"/>
    <w:rsid w:val="00EF4254"/>
    <w:rsid w:val="00EF42B0"/>
    <w:rsid w:val="00EF473E"/>
    <w:rsid w:val="00EF4CFE"/>
    <w:rsid w:val="00EF4EAD"/>
    <w:rsid w:val="00EF4F5A"/>
    <w:rsid w:val="00EF504A"/>
    <w:rsid w:val="00EF5511"/>
    <w:rsid w:val="00EF59ED"/>
    <w:rsid w:val="00EF5E3B"/>
    <w:rsid w:val="00EF5F37"/>
    <w:rsid w:val="00EF62E1"/>
    <w:rsid w:val="00EF633A"/>
    <w:rsid w:val="00EF6461"/>
    <w:rsid w:val="00EF694E"/>
    <w:rsid w:val="00EF6A48"/>
    <w:rsid w:val="00EF6C23"/>
    <w:rsid w:val="00EF730F"/>
    <w:rsid w:val="00EF734E"/>
    <w:rsid w:val="00EF7916"/>
    <w:rsid w:val="00EF7FAB"/>
    <w:rsid w:val="00F00002"/>
    <w:rsid w:val="00F00333"/>
    <w:rsid w:val="00F0075F"/>
    <w:rsid w:val="00F00880"/>
    <w:rsid w:val="00F00A0B"/>
    <w:rsid w:val="00F00C8A"/>
    <w:rsid w:val="00F0100F"/>
    <w:rsid w:val="00F011E8"/>
    <w:rsid w:val="00F01258"/>
    <w:rsid w:val="00F0143E"/>
    <w:rsid w:val="00F014B6"/>
    <w:rsid w:val="00F015F7"/>
    <w:rsid w:val="00F01E5B"/>
    <w:rsid w:val="00F01E73"/>
    <w:rsid w:val="00F020BB"/>
    <w:rsid w:val="00F0218C"/>
    <w:rsid w:val="00F02284"/>
    <w:rsid w:val="00F02365"/>
    <w:rsid w:val="00F02A57"/>
    <w:rsid w:val="00F02B02"/>
    <w:rsid w:val="00F02B25"/>
    <w:rsid w:val="00F02BA8"/>
    <w:rsid w:val="00F02BDD"/>
    <w:rsid w:val="00F02EDF"/>
    <w:rsid w:val="00F03460"/>
    <w:rsid w:val="00F03AEE"/>
    <w:rsid w:val="00F03B63"/>
    <w:rsid w:val="00F03FDB"/>
    <w:rsid w:val="00F0460B"/>
    <w:rsid w:val="00F0486E"/>
    <w:rsid w:val="00F048A2"/>
    <w:rsid w:val="00F049DD"/>
    <w:rsid w:val="00F04CC2"/>
    <w:rsid w:val="00F04D9F"/>
    <w:rsid w:val="00F05415"/>
    <w:rsid w:val="00F054D7"/>
    <w:rsid w:val="00F05CF4"/>
    <w:rsid w:val="00F05D8D"/>
    <w:rsid w:val="00F06FCB"/>
    <w:rsid w:val="00F0702F"/>
    <w:rsid w:val="00F072D6"/>
    <w:rsid w:val="00F07C5C"/>
    <w:rsid w:val="00F07E7B"/>
    <w:rsid w:val="00F1078C"/>
    <w:rsid w:val="00F10F16"/>
    <w:rsid w:val="00F1133D"/>
    <w:rsid w:val="00F1171B"/>
    <w:rsid w:val="00F118FD"/>
    <w:rsid w:val="00F11DD9"/>
    <w:rsid w:val="00F11DDC"/>
    <w:rsid w:val="00F11E8F"/>
    <w:rsid w:val="00F1208F"/>
    <w:rsid w:val="00F12434"/>
    <w:rsid w:val="00F1298E"/>
    <w:rsid w:val="00F12A64"/>
    <w:rsid w:val="00F12AD0"/>
    <w:rsid w:val="00F12E43"/>
    <w:rsid w:val="00F12FBA"/>
    <w:rsid w:val="00F130EA"/>
    <w:rsid w:val="00F13282"/>
    <w:rsid w:val="00F135ED"/>
    <w:rsid w:val="00F1369E"/>
    <w:rsid w:val="00F136E5"/>
    <w:rsid w:val="00F142FE"/>
    <w:rsid w:val="00F14306"/>
    <w:rsid w:val="00F14398"/>
    <w:rsid w:val="00F14507"/>
    <w:rsid w:val="00F1473C"/>
    <w:rsid w:val="00F14787"/>
    <w:rsid w:val="00F1481C"/>
    <w:rsid w:val="00F148DF"/>
    <w:rsid w:val="00F149CA"/>
    <w:rsid w:val="00F14AEB"/>
    <w:rsid w:val="00F14E46"/>
    <w:rsid w:val="00F150BC"/>
    <w:rsid w:val="00F1518A"/>
    <w:rsid w:val="00F15220"/>
    <w:rsid w:val="00F153AC"/>
    <w:rsid w:val="00F15B5A"/>
    <w:rsid w:val="00F16058"/>
    <w:rsid w:val="00F161CD"/>
    <w:rsid w:val="00F16359"/>
    <w:rsid w:val="00F1635E"/>
    <w:rsid w:val="00F165AE"/>
    <w:rsid w:val="00F167C8"/>
    <w:rsid w:val="00F169E5"/>
    <w:rsid w:val="00F16A16"/>
    <w:rsid w:val="00F16C6E"/>
    <w:rsid w:val="00F16C78"/>
    <w:rsid w:val="00F16E8D"/>
    <w:rsid w:val="00F16F19"/>
    <w:rsid w:val="00F17080"/>
    <w:rsid w:val="00F170A4"/>
    <w:rsid w:val="00F17178"/>
    <w:rsid w:val="00F1725A"/>
    <w:rsid w:val="00F176E1"/>
    <w:rsid w:val="00F17AAB"/>
    <w:rsid w:val="00F20228"/>
    <w:rsid w:val="00F204D5"/>
    <w:rsid w:val="00F2084A"/>
    <w:rsid w:val="00F20889"/>
    <w:rsid w:val="00F20BDE"/>
    <w:rsid w:val="00F20C78"/>
    <w:rsid w:val="00F2103C"/>
    <w:rsid w:val="00F21162"/>
    <w:rsid w:val="00F213AB"/>
    <w:rsid w:val="00F217E4"/>
    <w:rsid w:val="00F21B1E"/>
    <w:rsid w:val="00F21D49"/>
    <w:rsid w:val="00F2200E"/>
    <w:rsid w:val="00F22047"/>
    <w:rsid w:val="00F2218A"/>
    <w:rsid w:val="00F22968"/>
    <w:rsid w:val="00F22B0A"/>
    <w:rsid w:val="00F22CBA"/>
    <w:rsid w:val="00F23476"/>
    <w:rsid w:val="00F234BC"/>
    <w:rsid w:val="00F234D5"/>
    <w:rsid w:val="00F23930"/>
    <w:rsid w:val="00F23A27"/>
    <w:rsid w:val="00F2410C"/>
    <w:rsid w:val="00F243C0"/>
    <w:rsid w:val="00F24576"/>
    <w:rsid w:val="00F24617"/>
    <w:rsid w:val="00F249FC"/>
    <w:rsid w:val="00F24F3D"/>
    <w:rsid w:val="00F24F41"/>
    <w:rsid w:val="00F250DE"/>
    <w:rsid w:val="00F2516E"/>
    <w:rsid w:val="00F2546F"/>
    <w:rsid w:val="00F2562C"/>
    <w:rsid w:val="00F25E18"/>
    <w:rsid w:val="00F2656E"/>
    <w:rsid w:val="00F26705"/>
    <w:rsid w:val="00F26A24"/>
    <w:rsid w:val="00F26B18"/>
    <w:rsid w:val="00F26C05"/>
    <w:rsid w:val="00F272F0"/>
    <w:rsid w:val="00F27318"/>
    <w:rsid w:val="00F27731"/>
    <w:rsid w:val="00F27BBB"/>
    <w:rsid w:val="00F27C78"/>
    <w:rsid w:val="00F27FAD"/>
    <w:rsid w:val="00F301BB"/>
    <w:rsid w:val="00F306C6"/>
    <w:rsid w:val="00F30A74"/>
    <w:rsid w:val="00F30D53"/>
    <w:rsid w:val="00F31015"/>
    <w:rsid w:val="00F311DD"/>
    <w:rsid w:val="00F315E2"/>
    <w:rsid w:val="00F316A6"/>
    <w:rsid w:val="00F318BF"/>
    <w:rsid w:val="00F3246F"/>
    <w:rsid w:val="00F32479"/>
    <w:rsid w:val="00F32D3C"/>
    <w:rsid w:val="00F3311B"/>
    <w:rsid w:val="00F3371E"/>
    <w:rsid w:val="00F33847"/>
    <w:rsid w:val="00F340BB"/>
    <w:rsid w:val="00F35164"/>
    <w:rsid w:val="00F3551F"/>
    <w:rsid w:val="00F35527"/>
    <w:rsid w:val="00F35A78"/>
    <w:rsid w:val="00F35F00"/>
    <w:rsid w:val="00F35FB2"/>
    <w:rsid w:val="00F36AD6"/>
    <w:rsid w:val="00F36D89"/>
    <w:rsid w:val="00F370F1"/>
    <w:rsid w:val="00F3712C"/>
    <w:rsid w:val="00F37261"/>
    <w:rsid w:val="00F37528"/>
    <w:rsid w:val="00F37BC9"/>
    <w:rsid w:val="00F37D83"/>
    <w:rsid w:val="00F400D5"/>
    <w:rsid w:val="00F403ED"/>
    <w:rsid w:val="00F40AC5"/>
    <w:rsid w:val="00F41309"/>
    <w:rsid w:val="00F4180E"/>
    <w:rsid w:val="00F420B1"/>
    <w:rsid w:val="00F4243A"/>
    <w:rsid w:val="00F4278C"/>
    <w:rsid w:val="00F42830"/>
    <w:rsid w:val="00F43125"/>
    <w:rsid w:val="00F43193"/>
    <w:rsid w:val="00F43223"/>
    <w:rsid w:val="00F433A7"/>
    <w:rsid w:val="00F436F2"/>
    <w:rsid w:val="00F43A78"/>
    <w:rsid w:val="00F43C42"/>
    <w:rsid w:val="00F43E8A"/>
    <w:rsid w:val="00F43EB3"/>
    <w:rsid w:val="00F44014"/>
    <w:rsid w:val="00F4401E"/>
    <w:rsid w:val="00F440BF"/>
    <w:rsid w:val="00F44104"/>
    <w:rsid w:val="00F4471C"/>
    <w:rsid w:val="00F452FC"/>
    <w:rsid w:val="00F454F8"/>
    <w:rsid w:val="00F455B8"/>
    <w:rsid w:val="00F455E6"/>
    <w:rsid w:val="00F45713"/>
    <w:rsid w:val="00F45748"/>
    <w:rsid w:val="00F465D6"/>
    <w:rsid w:val="00F4661A"/>
    <w:rsid w:val="00F4680C"/>
    <w:rsid w:val="00F46CF9"/>
    <w:rsid w:val="00F46D7D"/>
    <w:rsid w:val="00F471EF"/>
    <w:rsid w:val="00F4746F"/>
    <w:rsid w:val="00F47579"/>
    <w:rsid w:val="00F4766C"/>
    <w:rsid w:val="00F47889"/>
    <w:rsid w:val="00F47A74"/>
    <w:rsid w:val="00F47DE7"/>
    <w:rsid w:val="00F47E22"/>
    <w:rsid w:val="00F47E3D"/>
    <w:rsid w:val="00F500B6"/>
    <w:rsid w:val="00F506DE"/>
    <w:rsid w:val="00F5077D"/>
    <w:rsid w:val="00F50953"/>
    <w:rsid w:val="00F50EE8"/>
    <w:rsid w:val="00F50EF1"/>
    <w:rsid w:val="00F50F57"/>
    <w:rsid w:val="00F515FF"/>
    <w:rsid w:val="00F518A2"/>
    <w:rsid w:val="00F52702"/>
    <w:rsid w:val="00F5281C"/>
    <w:rsid w:val="00F52BD9"/>
    <w:rsid w:val="00F52CA2"/>
    <w:rsid w:val="00F530D8"/>
    <w:rsid w:val="00F5368B"/>
    <w:rsid w:val="00F53947"/>
    <w:rsid w:val="00F53E27"/>
    <w:rsid w:val="00F53FD7"/>
    <w:rsid w:val="00F540F0"/>
    <w:rsid w:val="00F541BC"/>
    <w:rsid w:val="00F54275"/>
    <w:rsid w:val="00F546AF"/>
    <w:rsid w:val="00F550FB"/>
    <w:rsid w:val="00F55151"/>
    <w:rsid w:val="00F551DA"/>
    <w:rsid w:val="00F55259"/>
    <w:rsid w:val="00F553DA"/>
    <w:rsid w:val="00F55684"/>
    <w:rsid w:val="00F559F1"/>
    <w:rsid w:val="00F55D33"/>
    <w:rsid w:val="00F56124"/>
    <w:rsid w:val="00F564DA"/>
    <w:rsid w:val="00F565CB"/>
    <w:rsid w:val="00F56650"/>
    <w:rsid w:val="00F56A91"/>
    <w:rsid w:val="00F56DD3"/>
    <w:rsid w:val="00F56EC2"/>
    <w:rsid w:val="00F57674"/>
    <w:rsid w:val="00F57932"/>
    <w:rsid w:val="00F57B27"/>
    <w:rsid w:val="00F57E33"/>
    <w:rsid w:val="00F605C7"/>
    <w:rsid w:val="00F60DCA"/>
    <w:rsid w:val="00F61072"/>
    <w:rsid w:val="00F611FB"/>
    <w:rsid w:val="00F61518"/>
    <w:rsid w:val="00F61651"/>
    <w:rsid w:val="00F6170F"/>
    <w:rsid w:val="00F618B1"/>
    <w:rsid w:val="00F61C8E"/>
    <w:rsid w:val="00F61E3A"/>
    <w:rsid w:val="00F623D9"/>
    <w:rsid w:val="00F624CD"/>
    <w:rsid w:val="00F6292B"/>
    <w:rsid w:val="00F62D0F"/>
    <w:rsid w:val="00F6313E"/>
    <w:rsid w:val="00F6354E"/>
    <w:rsid w:val="00F635F9"/>
    <w:rsid w:val="00F636F4"/>
    <w:rsid w:val="00F63CCD"/>
    <w:rsid w:val="00F63FBC"/>
    <w:rsid w:val="00F640BF"/>
    <w:rsid w:val="00F64637"/>
    <w:rsid w:val="00F64D2A"/>
    <w:rsid w:val="00F65364"/>
    <w:rsid w:val="00F65684"/>
    <w:rsid w:val="00F65DFC"/>
    <w:rsid w:val="00F65EE4"/>
    <w:rsid w:val="00F661EB"/>
    <w:rsid w:val="00F6637E"/>
    <w:rsid w:val="00F66490"/>
    <w:rsid w:val="00F66538"/>
    <w:rsid w:val="00F669DD"/>
    <w:rsid w:val="00F669E7"/>
    <w:rsid w:val="00F66A7D"/>
    <w:rsid w:val="00F66AD5"/>
    <w:rsid w:val="00F66C0A"/>
    <w:rsid w:val="00F67117"/>
    <w:rsid w:val="00F676BB"/>
    <w:rsid w:val="00F6776A"/>
    <w:rsid w:val="00F67BDE"/>
    <w:rsid w:val="00F67F62"/>
    <w:rsid w:val="00F70151"/>
    <w:rsid w:val="00F703A7"/>
    <w:rsid w:val="00F70630"/>
    <w:rsid w:val="00F706AB"/>
    <w:rsid w:val="00F709A3"/>
    <w:rsid w:val="00F7102F"/>
    <w:rsid w:val="00F710F6"/>
    <w:rsid w:val="00F7130D"/>
    <w:rsid w:val="00F7160F"/>
    <w:rsid w:val="00F718CE"/>
    <w:rsid w:val="00F71A49"/>
    <w:rsid w:val="00F71AF4"/>
    <w:rsid w:val="00F71C5A"/>
    <w:rsid w:val="00F72138"/>
    <w:rsid w:val="00F7216B"/>
    <w:rsid w:val="00F7227D"/>
    <w:rsid w:val="00F7256C"/>
    <w:rsid w:val="00F7262B"/>
    <w:rsid w:val="00F72770"/>
    <w:rsid w:val="00F72D8F"/>
    <w:rsid w:val="00F73020"/>
    <w:rsid w:val="00F7313B"/>
    <w:rsid w:val="00F734A8"/>
    <w:rsid w:val="00F73580"/>
    <w:rsid w:val="00F739B7"/>
    <w:rsid w:val="00F73A7D"/>
    <w:rsid w:val="00F73AF2"/>
    <w:rsid w:val="00F73E6B"/>
    <w:rsid w:val="00F74195"/>
    <w:rsid w:val="00F74242"/>
    <w:rsid w:val="00F74388"/>
    <w:rsid w:val="00F74684"/>
    <w:rsid w:val="00F746FD"/>
    <w:rsid w:val="00F74877"/>
    <w:rsid w:val="00F74D16"/>
    <w:rsid w:val="00F7510B"/>
    <w:rsid w:val="00F7630E"/>
    <w:rsid w:val="00F76A25"/>
    <w:rsid w:val="00F770F2"/>
    <w:rsid w:val="00F77284"/>
    <w:rsid w:val="00F772EC"/>
    <w:rsid w:val="00F773F6"/>
    <w:rsid w:val="00F777BE"/>
    <w:rsid w:val="00F77B78"/>
    <w:rsid w:val="00F77D36"/>
    <w:rsid w:val="00F77D7F"/>
    <w:rsid w:val="00F80004"/>
    <w:rsid w:val="00F800B1"/>
    <w:rsid w:val="00F8019F"/>
    <w:rsid w:val="00F801D3"/>
    <w:rsid w:val="00F80C5A"/>
    <w:rsid w:val="00F80C93"/>
    <w:rsid w:val="00F80ED3"/>
    <w:rsid w:val="00F80F64"/>
    <w:rsid w:val="00F811BC"/>
    <w:rsid w:val="00F814E2"/>
    <w:rsid w:val="00F8194B"/>
    <w:rsid w:val="00F8198C"/>
    <w:rsid w:val="00F81C41"/>
    <w:rsid w:val="00F81CCC"/>
    <w:rsid w:val="00F82164"/>
    <w:rsid w:val="00F821B8"/>
    <w:rsid w:val="00F82911"/>
    <w:rsid w:val="00F82994"/>
    <w:rsid w:val="00F82C47"/>
    <w:rsid w:val="00F82CFA"/>
    <w:rsid w:val="00F82EEB"/>
    <w:rsid w:val="00F8322A"/>
    <w:rsid w:val="00F833A8"/>
    <w:rsid w:val="00F8378A"/>
    <w:rsid w:val="00F83933"/>
    <w:rsid w:val="00F83AEC"/>
    <w:rsid w:val="00F83B9E"/>
    <w:rsid w:val="00F84016"/>
    <w:rsid w:val="00F84621"/>
    <w:rsid w:val="00F847E6"/>
    <w:rsid w:val="00F84852"/>
    <w:rsid w:val="00F84A47"/>
    <w:rsid w:val="00F84A48"/>
    <w:rsid w:val="00F84C2E"/>
    <w:rsid w:val="00F84C88"/>
    <w:rsid w:val="00F85290"/>
    <w:rsid w:val="00F855DB"/>
    <w:rsid w:val="00F85FBD"/>
    <w:rsid w:val="00F861C4"/>
    <w:rsid w:val="00F86508"/>
    <w:rsid w:val="00F8687D"/>
    <w:rsid w:val="00F86925"/>
    <w:rsid w:val="00F86A22"/>
    <w:rsid w:val="00F86D76"/>
    <w:rsid w:val="00F87119"/>
    <w:rsid w:val="00F8776D"/>
    <w:rsid w:val="00F87F5E"/>
    <w:rsid w:val="00F90148"/>
    <w:rsid w:val="00F9059A"/>
    <w:rsid w:val="00F906FC"/>
    <w:rsid w:val="00F90707"/>
    <w:rsid w:val="00F90723"/>
    <w:rsid w:val="00F90A34"/>
    <w:rsid w:val="00F90C0E"/>
    <w:rsid w:val="00F90DC1"/>
    <w:rsid w:val="00F90DC2"/>
    <w:rsid w:val="00F91058"/>
    <w:rsid w:val="00F911B5"/>
    <w:rsid w:val="00F91205"/>
    <w:rsid w:val="00F912F4"/>
    <w:rsid w:val="00F914B7"/>
    <w:rsid w:val="00F917EB"/>
    <w:rsid w:val="00F91923"/>
    <w:rsid w:val="00F91BF9"/>
    <w:rsid w:val="00F91EB8"/>
    <w:rsid w:val="00F91F71"/>
    <w:rsid w:val="00F91F8B"/>
    <w:rsid w:val="00F922FC"/>
    <w:rsid w:val="00F92963"/>
    <w:rsid w:val="00F92A8E"/>
    <w:rsid w:val="00F92CF7"/>
    <w:rsid w:val="00F92F55"/>
    <w:rsid w:val="00F931F6"/>
    <w:rsid w:val="00F933FA"/>
    <w:rsid w:val="00F93CF1"/>
    <w:rsid w:val="00F93F94"/>
    <w:rsid w:val="00F9428F"/>
    <w:rsid w:val="00F9438D"/>
    <w:rsid w:val="00F943C3"/>
    <w:rsid w:val="00F949F4"/>
    <w:rsid w:val="00F94F29"/>
    <w:rsid w:val="00F94F86"/>
    <w:rsid w:val="00F951A4"/>
    <w:rsid w:val="00F95492"/>
    <w:rsid w:val="00F95523"/>
    <w:rsid w:val="00F955BF"/>
    <w:rsid w:val="00F956F5"/>
    <w:rsid w:val="00F957E7"/>
    <w:rsid w:val="00F95B84"/>
    <w:rsid w:val="00F95CA5"/>
    <w:rsid w:val="00F95E22"/>
    <w:rsid w:val="00F960D6"/>
    <w:rsid w:val="00F9621D"/>
    <w:rsid w:val="00F96566"/>
    <w:rsid w:val="00F96614"/>
    <w:rsid w:val="00F96A2F"/>
    <w:rsid w:val="00F96F71"/>
    <w:rsid w:val="00F9707F"/>
    <w:rsid w:val="00F973B8"/>
    <w:rsid w:val="00F9745E"/>
    <w:rsid w:val="00F97624"/>
    <w:rsid w:val="00F9764E"/>
    <w:rsid w:val="00F978AB"/>
    <w:rsid w:val="00F97908"/>
    <w:rsid w:val="00F979C7"/>
    <w:rsid w:val="00FA00D3"/>
    <w:rsid w:val="00FA00DD"/>
    <w:rsid w:val="00FA01B3"/>
    <w:rsid w:val="00FA0420"/>
    <w:rsid w:val="00FA0586"/>
    <w:rsid w:val="00FA066E"/>
    <w:rsid w:val="00FA06E7"/>
    <w:rsid w:val="00FA109C"/>
    <w:rsid w:val="00FA1426"/>
    <w:rsid w:val="00FA147E"/>
    <w:rsid w:val="00FA1603"/>
    <w:rsid w:val="00FA193A"/>
    <w:rsid w:val="00FA198B"/>
    <w:rsid w:val="00FA2062"/>
    <w:rsid w:val="00FA224D"/>
    <w:rsid w:val="00FA267C"/>
    <w:rsid w:val="00FA2B7A"/>
    <w:rsid w:val="00FA2C0A"/>
    <w:rsid w:val="00FA2D60"/>
    <w:rsid w:val="00FA2F1D"/>
    <w:rsid w:val="00FA368F"/>
    <w:rsid w:val="00FA37CC"/>
    <w:rsid w:val="00FA3A65"/>
    <w:rsid w:val="00FA3D1F"/>
    <w:rsid w:val="00FA4294"/>
    <w:rsid w:val="00FA4370"/>
    <w:rsid w:val="00FA452B"/>
    <w:rsid w:val="00FA4BA2"/>
    <w:rsid w:val="00FA4F68"/>
    <w:rsid w:val="00FA539C"/>
    <w:rsid w:val="00FA554C"/>
    <w:rsid w:val="00FA5643"/>
    <w:rsid w:val="00FA577E"/>
    <w:rsid w:val="00FA5C9E"/>
    <w:rsid w:val="00FA5DA0"/>
    <w:rsid w:val="00FA5EA0"/>
    <w:rsid w:val="00FA5F1D"/>
    <w:rsid w:val="00FA60A1"/>
    <w:rsid w:val="00FA631A"/>
    <w:rsid w:val="00FA644F"/>
    <w:rsid w:val="00FA6B3E"/>
    <w:rsid w:val="00FA6B6D"/>
    <w:rsid w:val="00FA6C3F"/>
    <w:rsid w:val="00FA6FD8"/>
    <w:rsid w:val="00FA707B"/>
    <w:rsid w:val="00FA70C7"/>
    <w:rsid w:val="00FA79D5"/>
    <w:rsid w:val="00FA7D13"/>
    <w:rsid w:val="00FB006B"/>
    <w:rsid w:val="00FB02B7"/>
    <w:rsid w:val="00FB0350"/>
    <w:rsid w:val="00FB06CE"/>
    <w:rsid w:val="00FB0AEC"/>
    <w:rsid w:val="00FB0B03"/>
    <w:rsid w:val="00FB15F6"/>
    <w:rsid w:val="00FB1C59"/>
    <w:rsid w:val="00FB1FEF"/>
    <w:rsid w:val="00FB2430"/>
    <w:rsid w:val="00FB25B1"/>
    <w:rsid w:val="00FB2747"/>
    <w:rsid w:val="00FB28FD"/>
    <w:rsid w:val="00FB2E64"/>
    <w:rsid w:val="00FB392B"/>
    <w:rsid w:val="00FB395D"/>
    <w:rsid w:val="00FB39C1"/>
    <w:rsid w:val="00FB3DB3"/>
    <w:rsid w:val="00FB3EF6"/>
    <w:rsid w:val="00FB4287"/>
    <w:rsid w:val="00FB4399"/>
    <w:rsid w:val="00FB4701"/>
    <w:rsid w:val="00FB4B70"/>
    <w:rsid w:val="00FB4D45"/>
    <w:rsid w:val="00FB4ED5"/>
    <w:rsid w:val="00FB5892"/>
    <w:rsid w:val="00FB590D"/>
    <w:rsid w:val="00FB5940"/>
    <w:rsid w:val="00FB5AE0"/>
    <w:rsid w:val="00FB5B10"/>
    <w:rsid w:val="00FB5D4F"/>
    <w:rsid w:val="00FB5FEF"/>
    <w:rsid w:val="00FB63E8"/>
    <w:rsid w:val="00FB65C7"/>
    <w:rsid w:val="00FB6A2F"/>
    <w:rsid w:val="00FB751A"/>
    <w:rsid w:val="00FC0099"/>
    <w:rsid w:val="00FC0358"/>
    <w:rsid w:val="00FC03F5"/>
    <w:rsid w:val="00FC05AA"/>
    <w:rsid w:val="00FC0681"/>
    <w:rsid w:val="00FC082F"/>
    <w:rsid w:val="00FC0BAC"/>
    <w:rsid w:val="00FC0C90"/>
    <w:rsid w:val="00FC141A"/>
    <w:rsid w:val="00FC1E04"/>
    <w:rsid w:val="00FC1FE4"/>
    <w:rsid w:val="00FC2119"/>
    <w:rsid w:val="00FC268E"/>
    <w:rsid w:val="00FC2754"/>
    <w:rsid w:val="00FC293B"/>
    <w:rsid w:val="00FC2964"/>
    <w:rsid w:val="00FC2AC1"/>
    <w:rsid w:val="00FC2BBC"/>
    <w:rsid w:val="00FC3007"/>
    <w:rsid w:val="00FC342D"/>
    <w:rsid w:val="00FC364E"/>
    <w:rsid w:val="00FC371D"/>
    <w:rsid w:val="00FC3A56"/>
    <w:rsid w:val="00FC3E5B"/>
    <w:rsid w:val="00FC4114"/>
    <w:rsid w:val="00FC4212"/>
    <w:rsid w:val="00FC42B1"/>
    <w:rsid w:val="00FC441E"/>
    <w:rsid w:val="00FC45E1"/>
    <w:rsid w:val="00FC47AE"/>
    <w:rsid w:val="00FC4BD7"/>
    <w:rsid w:val="00FC4BE2"/>
    <w:rsid w:val="00FC4E37"/>
    <w:rsid w:val="00FC4FA1"/>
    <w:rsid w:val="00FC56BB"/>
    <w:rsid w:val="00FC5963"/>
    <w:rsid w:val="00FC5F1B"/>
    <w:rsid w:val="00FC60FB"/>
    <w:rsid w:val="00FC6A06"/>
    <w:rsid w:val="00FC6A56"/>
    <w:rsid w:val="00FC6AA3"/>
    <w:rsid w:val="00FC6C16"/>
    <w:rsid w:val="00FC6F6F"/>
    <w:rsid w:val="00FC7008"/>
    <w:rsid w:val="00FC743D"/>
    <w:rsid w:val="00FC7498"/>
    <w:rsid w:val="00FC75D5"/>
    <w:rsid w:val="00FC7639"/>
    <w:rsid w:val="00FC765A"/>
    <w:rsid w:val="00FC76CE"/>
    <w:rsid w:val="00FC78E6"/>
    <w:rsid w:val="00FC79BD"/>
    <w:rsid w:val="00FC7D3D"/>
    <w:rsid w:val="00FC7DA1"/>
    <w:rsid w:val="00FC7E0B"/>
    <w:rsid w:val="00FC7FCD"/>
    <w:rsid w:val="00FD0019"/>
    <w:rsid w:val="00FD0065"/>
    <w:rsid w:val="00FD0229"/>
    <w:rsid w:val="00FD083F"/>
    <w:rsid w:val="00FD0B2D"/>
    <w:rsid w:val="00FD0B47"/>
    <w:rsid w:val="00FD0E95"/>
    <w:rsid w:val="00FD0F75"/>
    <w:rsid w:val="00FD11A8"/>
    <w:rsid w:val="00FD1525"/>
    <w:rsid w:val="00FD15BC"/>
    <w:rsid w:val="00FD176B"/>
    <w:rsid w:val="00FD19AC"/>
    <w:rsid w:val="00FD1AFE"/>
    <w:rsid w:val="00FD1DE4"/>
    <w:rsid w:val="00FD230A"/>
    <w:rsid w:val="00FD2435"/>
    <w:rsid w:val="00FD26FE"/>
    <w:rsid w:val="00FD2C8A"/>
    <w:rsid w:val="00FD2F78"/>
    <w:rsid w:val="00FD37F7"/>
    <w:rsid w:val="00FD3AAA"/>
    <w:rsid w:val="00FD3AFB"/>
    <w:rsid w:val="00FD40EC"/>
    <w:rsid w:val="00FD41AF"/>
    <w:rsid w:val="00FD46F7"/>
    <w:rsid w:val="00FD4770"/>
    <w:rsid w:val="00FD496A"/>
    <w:rsid w:val="00FD5667"/>
    <w:rsid w:val="00FD589C"/>
    <w:rsid w:val="00FD5939"/>
    <w:rsid w:val="00FD5A41"/>
    <w:rsid w:val="00FD634A"/>
    <w:rsid w:val="00FD659C"/>
    <w:rsid w:val="00FD66B6"/>
    <w:rsid w:val="00FD6EFE"/>
    <w:rsid w:val="00FD6FA2"/>
    <w:rsid w:val="00FD78DE"/>
    <w:rsid w:val="00FD79D2"/>
    <w:rsid w:val="00FD7AE2"/>
    <w:rsid w:val="00FD7D1A"/>
    <w:rsid w:val="00FE038B"/>
    <w:rsid w:val="00FE03AA"/>
    <w:rsid w:val="00FE04CC"/>
    <w:rsid w:val="00FE0721"/>
    <w:rsid w:val="00FE08DC"/>
    <w:rsid w:val="00FE0C1F"/>
    <w:rsid w:val="00FE1666"/>
    <w:rsid w:val="00FE1EEF"/>
    <w:rsid w:val="00FE1F11"/>
    <w:rsid w:val="00FE22B5"/>
    <w:rsid w:val="00FE2962"/>
    <w:rsid w:val="00FE2C04"/>
    <w:rsid w:val="00FE2CC2"/>
    <w:rsid w:val="00FE2EFA"/>
    <w:rsid w:val="00FE2F7A"/>
    <w:rsid w:val="00FE30F9"/>
    <w:rsid w:val="00FE3BE7"/>
    <w:rsid w:val="00FE431B"/>
    <w:rsid w:val="00FE4901"/>
    <w:rsid w:val="00FE4BF4"/>
    <w:rsid w:val="00FE520E"/>
    <w:rsid w:val="00FE5294"/>
    <w:rsid w:val="00FE5860"/>
    <w:rsid w:val="00FE590A"/>
    <w:rsid w:val="00FE5C20"/>
    <w:rsid w:val="00FE5FF1"/>
    <w:rsid w:val="00FE65D8"/>
    <w:rsid w:val="00FE66FE"/>
    <w:rsid w:val="00FE6711"/>
    <w:rsid w:val="00FE68F3"/>
    <w:rsid w:val="00FE6BA5"/>
    <w:rsid w:val="00FE6C88"/>
    <w:rsid w:val="00FE6FE6"/>
    <w:rsid w:val="00FE7297"/>
    <w:rsid w:val="00FE7866"/>
    <w:rsid w:val="00FE7932"/>
    <w:rsid w:val="00FE7CE9"/>
    <w:rsid w:val="00FE7F41"/>
    <w:rsid w:val="00FF0303"/>
    <w:rsid w:val="00FF05F0"/>
    <w:rsid w:val="00FF0652"/>
    <w:rsid w:val="00FF06C7"/>
    <w:rsid w:val="00FF0891"/>
    <w:rsid w:val="00FF0A87"/>
    <w:rsid w:val="00FF0A89"/>
    <w:rsid w:val="00FF0A96"/>
    <w:rsid w:val="00FF0C39"/>
    <w:rsid w:val="00FF0C76"/>
    <w:rsid w:val="00FF11C7"/>
    <w:rsid w:val="00FF167A"/>
    <w:rsid w:val="00FF176B"/>
    <w:rsid w:val="00FF18B3"/>
    <w:rsid w:val="00FF22FA"/>
    <w:rsid w:val="00FF25AB"/>
    <w:rsid w:val="00FF322E"/>
    <w:rsid w:val="00FF327B"/>
    <w:rsid w:val="00FF36D7"/>
    <w:rsid w:val="00FF3758"/>
    <w:rsid w:val="00FF3913"/>
    <w:rsid w:val="00FF3AA5"/>
    <w:rsid w:val="00FF40F8"/>
    <w:rsid w:val="00FF417C"/>
    <w:rsid w:val="00FF4211"/>
    <w:rsid w:val="00FF449B"/>
    <w:rsid w:val="00FF45F7"/>
    <w:rsid w:val="00FF47CC"/>
    <w:rsid w:val="00FF4977"/>
    <w:rsid w:val="00FF4A11"/>
    <w:rsid w:val="00FF4B27"/>
    <w:rsid w:val="00FF4F9D"/>
    <w:rsid w:val="00FF5361"/>
    <w:rsid w:val="00FF556E"/>
    <w:rsid w:val="00FF5786"/>
    <w:rsid w:val="00FF57F6"/>
    <w:rsid w:val="00FF5C2A"/>
    <w:rsid w:val="00FF5F67"/>
    <w:rsid w:val="00FF604D"/>
    <w:rsid w:val="00FF6343"/>
    <w:rsid w:val="00FF66CD"/>
    <w:rsid w:val="00FF6A03"/>
    <w:rsid w:val="00FF6BAC"/>
    <w:rsid w:val="00FF6E34"/>
    <w:rsid w:val="00FF776A"/>
    <w:rsid w:val="00FF7808"/>
    <w:rsid w:val="00FF7B77"/>
    <w:rsid w:val="00FF7C7D"/>
    <w:rsid w:val="00FF7C9D"/>
    <w:rsid w:val="00FF7E25"/>
    <w:rsid w:val="0D20B338"/>
    <w:rsid w:val="3C6A3093"/>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381A673"/>
  <w15:docId w15:val="{B9B6D239-9FAB-46AE-9F89-CBBDBAFBC3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61779"/>
    <w:rPr>
      <w:sz w:val="24"/>
      <w:szCs w:val="24"/>
    </w:rPr>
  </w:style>
  <w:style w:type="paragraph" w:styleId="Ttulo1">
    <w:name w:val="heading 1"/>
    <w:basedOn w:val="Normal"/>
    <w:next w:val="Normal"/>
    <w:qFormat/>
    <w:rsid w:val="009F025B"/>
    <w:pPr>
      <w:keepNext/>
      <w:spacing w:before="240"/>
      <w:outlineLvl w:val="0"/>
    </w:pPr>
    <w:rPr>
      <w:rFonts w:ascii="Arial" w:hAnsi="Arial"/>
      <w:b/>
      <w:color w:val="000000"/>
      <w:szCs w:val="20"/>
      <w:lang w:val="es-ES_tradnl" w:eastAsia="es-ES"/>
    </w:rPr>
  </w:style>
  <w:style w:type="paragraph" w:styleId="Ttulo2">
    <w:name w:val="heading 2"/>
    <w:basedOn w:val="Normal"/>
    <w:next w:val="Normal"/>
    <w:qFormat/>
    <w:rsid w:val="009F025B"/>
    <w:pPr>
      <w:keepNext/>
      <w:spacing w:before="240"/>
      <w:outlineLvl w:val="1"/>
    </w:pPr>
    <w:rPr>
      <w:rFonts w:ascii="Arial" w:hAnsi="Arial"/>
      <w:color w:val="000000"/>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bullet">
    <w:name w:val="bullet"/>
    <w:basedOn w:val="Normal"/>
    <w:rsid w:val="009F025B"/>
    <w:pPr>
      <w:spacing w:before="180"/>
      <w:ind w:right="1072"/>
      <w:jc w:val="both"/>
    </w:pPr>
    <w:rPr>
      <w:rFonts w:ascii="Arial" w:hAnsi="Arial"/>
      <w:b/>
      <w:color w:val="000080"/>
      <w:sz w:val="22"/>
      <w:szCs w:val="20"/>
      <w:lang w:val="es-ES_tradnl" w:eastAsia="es-ES"/>
    </w:rPr>
  </w:style>
  <w:style w:type="paragraph" w:customStyle="1" w:styleId="Textoindependiente21">
    <w:name w:val="Texto independiente 21"/>
    <w:basedOn w:val="Normal"/>
    <w:rsid w:val="009F025B"/>
    <w:pPr>
      <w:spacing w:after="960"/>
      <w:ind w:firstLine="567"/>
      <w:jc w:val="both"/>
    </w:pPr>
    <w:rPr>
      <w:rFonts w:ascii="Arial" w:hAnsi="Arial"/>
      <w:sz w:val="22"/>
      <w:szCs w:val="20"/>
      <w:lang w:val="es-ES_tradnl" w:eastAsia="es-ES"/>
    </w:rPr>
  </w:style>
  <w:style w:type="paragraph" w:customStyle="1" w:styleId="Sangra2detindependiente1">
    <w:name w:val="Sangría 2 de t. independiente1"/>
    <w:basedOn w:val="Normal"/>
    <w:rsid w:val="009F025B"/>
    <w:pPr>
      <w:spacing w:after="720"/>
      <w:ind w:firstLine="544"/>
      <w:jc w:val="both"/>
    </w:pPr>
    <w:rPr>
      <w:rFonts w:ascii="Arial" w:hAnsi="Arial"/>
      <w:sz w:val="22"/>
      <w:szCs w:val="20"/>
      <w:lang w:val="es-ES_tradnl" w:eastAsia="es-ES"/>
    </w:rPr>
  </w:style>
  <w:style w:type="paragraph" w:customStyle="1" w:styleId="titulo2">
    <w:name w:val="titulo2"/>
    <w:basedOn w:val="Normal"/>
    <w:rsid w:val="009F025B"/>
    <w:pPr>
      <w:widowControl w:val="0"/>
      <w:spacing w:before="480" w:after="120"/>
      <w:jc w:val="both"/>
    </w:pPr>
    <w:rPr>
      <w:rFonts w:ascii="Arial" w:hAnsi="Arial"/>
      <w:b/>
      <w:i/>
      <w:color w:val="0000FF"/>
      <w:szCs w:val="20"/>
      <w:u w:val="single"/>
      <w:lang w:val="es-ES_tradnl" w:eastAsia="es-ES"/>
    </w:rPr>
  </w:style>
  <w:style w:type="paragraph" w:customStyle="1" w:styleId="renglones">
    <w:name w:val="renglones"/>
    <w:basedOn w:val="titulo2"/>
    <w:rsid w:val="009F025B"/>
    <w:pPr>
      <w:spacing w:after="0"/>
    </w:pPr>
    <w:rPr>
      <w:color w:val="auto"/>
    </w:rPr>
  </w:style>
  <w:style w:type="paragraph" w:customStyle="1" w:styleId="rollo">
    <w:name w:val="rollo"/>
    <w:basedOn w:val="Normal"/>
    <w:rsid w:val="009F025B"/>
    <w:pPr>
      <w:keepLines/>
      <w:widowControl w:val="0"/>
      <w:spacing w:before="240"/>
      <w:jc w:val="both"/>
    </w:pPr>
    <w:rPr>
      <w:rFonts w:ascii="Arial" w:hAnsi="Arial"/>
      <w:szCs w:val="20"/>
      <w:lang w:val="es-ES_tradnl" w:eastAsia="es-ES"/>
    </w:rPr>
  </w:style>
  <w:style w:type="paragraph" w:customStyle="1" w:styleId="titulos">
    <w:name w:val="titulos"/>
    <w:basedOn w:val="Sangra2detindependiente1"/>
    <w:rsid w:val="009F025B"/>
    <w:pPr>
      <w:widowControl w:val="0"/>
      <w:spacing w:before="360" w:after="0"/>
      <w:ind w:firstLine="0"/>
    </w:pPr>
    <w:rPr>
      <w:b/>
      <w:i/>
      <w:sz w:val="24"/>
      <w:u w:val="single"/>
    </w:rPr>
  </w:style>
  <w:style w:type="paragraph" w:styleId="Encabezado">
    <w:name w:val="header"/>
    <w:basedOn w:val="Normal"/>
    <w:link w:val="EncabezadoCar"/>
    <w:rsid w:val="009F025B"/>
    <w:pPr>
      <w:tabs>
        <w:tab w:val="center" w:pos="4419"/>
        <w:tab w:val="right" w:pos="8838"/>
      </w:tabs>
    </w:pPr>
    <w:rPr>
      <w:lang w:val="es-ES" w:eastAsia="es-ES"/>
    </w:rPr>
  </w:style>
  <w:style w:type="paragraph" w:styleId="Piedepgina">
    <w:name w:val="footer"/>
    <w:basedOn w:val="Normal"/>
    <w:link w:val="PiedepginaCar"/>
    <w:uiPriority w:val="99"/>
    <w:rsid w:val="009F025B"/>
    <w:pPr>
      <w:tabs>
        <w:tab w:val="center" w:pos="4419"/>
        <w:tab w:val="right" w:pos="8838"/>
      </w:tabs>
    </w:pPr>
    <w:rPr>
      <w:lang w:val="es-ES" w:eastAsia="es-ES"/>
    </w:rPr>
  </w:style>
  <w:style w:type="character" w:styleId="Nmerodepgina">
    <w:name w:val="page number"/>
    <w:basedOn w:val="Fuentedeprrafopredeter"/>
    <w:rsid w:val="009F025B"/>
  </w:style>
  <w:style w:type="paragraph" w:styleId="Sangradetextonormal">
    <w:name w:val="Body Text Indent"/>
    <w:basedOn w:val="Normal"/>
    <w:rsid w:val="009F025B"/>
    <w:pPr>
      <w:numPr>
        <w:ilvl w:val="12"/>
      </w:numPr>
      <w:spacing w:after="360"/>
      <w:ind w:right="-91" w:firstLine="567"/>
      <w:jc w:val="both"/>
    </w:pPr>
    <w:rPr>
      <w:rFonts w:ascii="Arial" w:hAnsi="Arial"/>
      <w:sz w:val="22"/>
      <w:szCs w:val="20"/>
      <w:lang w:val="es-ES" w:eastAsia="es-ES"/>
    </w:rPr>
  </w:style>
  <w:style w:type="paragraph" w:styleId="Sangra2detindependiente">
    <w:name w:val="Body Text Indent 2"/>
    <w:basedOn w:val="Normal"/>
    <w:rsid w:val="009F025B"/>
    <w:pPr>
      <w:spacing w:after="240"/>
      <w:ind w:firstLine="567"/>
      <w:jc w:val="both"/>
    </w:pPr>
    <w:rPr>
      <w:rFonts w:ascii="Arial" w:hAnsi="Arial"/>
      <w:sz w:val="20"/>
      <w:szCs w:val="20"/>
      <w:lang w:val="es-ES" w:eastAsia="es-ES"/>
    </w:rPr>
  </w:style>
  <w:style w:type="paragraph" w:styleId="Textoindependiente2">
    <w:name w:val="Body Text 2"/>
    <w:basedOn w:val="Normal"/>
    <w:rsid w:val="009F025B"/>
    <w:pPr>
      <w:keepNext/>
      <w:spacing w:after="240"/>
      <w:jc w:val="both"/>
    </w:pPr>
    <w:rPr>
      <w:sz w:val="20"/>
      <w:szCs w:val="20"/>
      <w:lang w:val="es-ES" w:eastAsia="es-ES"/>
    </w:rPr>
  </w:style>
  <w:style w:type="paragraph" w:styleId="Textodebloque">
    <w:name w:val="Block Text"/>
    <w:basedOn w:val="Normal"/>
    <w:rsid w:val="009F025B"/>
    <w:pPr>
      <w:numPr>
        <w:ilvl w:val="12"/>
      </w:numPr>
      <w:spacing w:before="360"/>
      <w:ind w:left="567" w:right="902"/>
      <w:jc w:val="both"/>
    </w:pPr>
    <w:rPr>
      <w:rFonts w:ascii="Arial" w:hAnsi="Arial"/>
      <w:b/>
      <w:sz w:val="20"/>
      <w:lang w:val="es-ES" w:eastAsia="es-ES"/>
    </w:rPr>
  </w:style>
  <w:style w:type="paragraph" w:styleId="Textonotapie">
    <w:name w:val="footnote text"/>
    <w:basedOn w:val="Normal"/>
    <w:link w:val="TextonotapieCar"/>
    <w:semiHidden/>
    <w:rsid w:val="009F025B"/>
    <w:rPr>
      <w:sz w:val="20"/>
      <w:szCs w:val="20"/>
      <w:lang w:val="es-ES" w:eastAsia="es-ES"/>
    </w:rPr>
  </w:style>
  <w:style w:type="character" w:styleId="Refdenotaalpie">
    <w:name w:val="footnote reference"/>
    <w:basedOn w:val="Fuentedeprrafopredeter"/>
    <w:semiHidden/>
    <w:rsid w:val="009F025B"/>
    <w:rPr>
      <w:vertAlign w:val="superscript"/>
    </w:rPr>
  </w:style>
  <w:style w:type="paragraph" w:styleId="Textodeglobo">
    <w:name w:val="Balloon Text"/>
    <w:basedOn w:val="Normal"/>
    <w:semiHidden/>
    <w:rsid w:val="00C02D9D"/>
    <w:rPr>
      <w:rFonts w:ascii="Tahoma" w:hAnsi="Tahoma" w:cs="Tahoma"/>
      <w:sz w:val="16"/>
      <w:szCs w:val="16"/>
      <w:lang w:val="es-ES" w:eastAsia="es-ES"/>
    </w:rPr>
  </w:style>
  <w:style w:type="character" w:customStyle="1" w:styleId="EncabezadoCar">
    <w:name w:val="Encabezado Car"/>
    <w:basedOn w:val="Fuentedeprrafopredeter"/>
    <w:link w:val="Encabezado"/>
    <w:rsid w:val="00220852"/>
    <w:rPr>
      <w:sz w:val="24"/>
      <w:szCs w:val="24"/>
    </w:rPr>
  </w:style>
  <w:style w:type="table" w:styleId="Tablaconcuadrcula">
    <w:name w:val="Table Grid"/>
    <w:basedOn w:val="Tablanormal"/>
    <w:rsid w:val="00433F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0">
    <w:name w:val="p0"/>
    <w:basedOn w:val="Normal"/>
    <w:rsid w:val="007E6F44"/>
    <w:pPr>
      <w:keepLines/>
      <w:widowControl w:val="0"/>
      <w:spacing w:before="240"/>
      <w:jc w:val="both"/>
    </w:pPr>
    <w:rPr>
      <w:rFonts w:ascii="Univers" w:hAnsi="Univers"/>
      <w:color w:val="0000FF"/>
      <w:szCs w:val="20"/>
      <w:lang w:val="es-ES_tradnl" w:eastAsia="es-ES"/>
    </w:rPr>
  </w:style>
  <w:style w:type="paragraph" w:customStyle="1" w:styleId="p01">
    <w:name w:val="p01"/>
    <w:basedOn w:val="Normal"/>
    <w:next w:val="p0"/>
    <w:rsid w:val="007E6F44"/>
    <w:pPr>
      <w:keepLines/>
      <w:widowControl w:val="0"/>
      <w:spacing w:before="240"/>
      <w:jc w:val="both"/>
    </w:pPr>
    <w:rPr>
      <w:rFonts w:ascii="Univers" w:hAnsi="Univers"/>
      <w:color w:val="0000FF"/>
      <w:szCs w:val="20"/>
      <w:lang w:val="es-ES_tradnl" w:eastAsia="es-ES"/>
    </w:rPr>
  </w:style>
  <w:style w:type="paragraph" w:customStyle="1" w:styleId="Textoindependiente22">
    <w:name w:val="Texto independiente 22"/>
    <w:basedOn w:val="Normal"/>
    <w:rsid w:val="00F87119"/>
    <w:pPr>
      <w:spacing w:after="960"/>
      <w:ind w:firstLine="567"/>
      <w:jc w:val="both"/>
    </w:pPr>
    <w:rPr>
      <w:rFonts w:ascii="Arial" w:hAnsi="Arial"/>
      <w:sz w:val="22"/>
      <w:szCs w:val="20"/>
      <w:lang w:val="es-ES_tradnl" w:eastAsia="es-ES"/>
    </w:rPr>
  </w:style>
  <w:style w:type="paragraph" w:customStyle="1" w:styleId="Sangra2detindependiente2">
    <w:name w:val="Sangría 2 de t. independiente2"/>
    <w:basedOn w:val="Normal"/>
    <w:rsid w:val="00AA09CC"/>
    <w:pPr>
      <w:spacing w:after="720"/>
      <w:ind w:firstLine="544"/>
      <w:jc w:val="both"/>
    </w:pPr>
    <w:rPr>
      <w:rFonts w:ascii="Arial" w:hAnsi="Arial"/>
      <w:sz w:val="22"/>
      <w:szCs w:val="20"/>
      <w:lang w:val="es-ES_tradnl" w:eastAsia="es-ES"/>
    </w:rPr>
  </w:style>
  <w:style w:type="paragraph" w:customStyle="1" w:styleId="Textoindependiente23">
    <w:name w:val="Texto independiente 23"/>
    <w:basedOn w:val="Normal"/>
    <w:rsid w:val="0068578E"/>
    <w:pPr>
      <w:spacing w:after="960"/>
      <w:ind w:firstLine="567"/>
      <w:jc w:val="both"/>
    </w:pPr>
    <w:rPr>
      <w:rFonts w:ascii="Arial" w:hAnsi="Arial"/>
      <w:sz w:val="22"/>
      <w:szCs w:val="20"/>
      <w:lang w:val="es-ES_tradnl" w:eastAsia="es-ES"/>
    </w:rPr>
  </w:style>
  <w:style w:type="paragraph" w:customStyle="1" w:styleId="Textoindependiente24">
    <w:name w:val="Texto independiente 24"/>
    <w:basedOn w:val="Normal"/>
    <w:rsid w:val="005063B9"/>
    <w:pPr>
      <w:spacing w:after="960"/>
      <w:ind w:firstLine="567"/>
      <w:jc w:val="both"/>
    </w:pPr>
    <w:rPr>
      <w:rFonts w:ascii="Arial" w:hAnsi="Arial"/>
      <w:sz w:val="22"/>
      <w:szCs w:val="20"/>
      <w:lang w:val="es-ES_tradnl" w:eastAsia="es-ES"/>
    </w:rPr>
  </w:style>
  <w:style w:type="paragraph" w:customStyle="1" w:styleId="Sangra2detindependiente3">
    <w:name w:val="Sangría 2 de t. independiente3"/>
    <w:basedOn w:val="Normal"/>
    <w:rsid w:val="005063B9"/>
    <w:pPr>
      <w:spacing w:after="720"/>
      <w:ind w:firstLine="544"/>
      <w:jc w:val="both"/>
    </w:pPr>
    <w:rPr>
      <w:rFonts w:ascii="Arial" w:hAnsi="Arial"/>
      <w:sz w:val="22"/>
      <w:szCs w:val="20"/>
      <w:lang w:val="es-ES_tradnl" w:eastAsia="es-ES"/>
    </w:rPr>
  </w:style>
  <w:style w:type="paragraph" w:customStyle="1" w:styleId="Textoindependiente25">
    <w:name w:val="Texto independiente 25"/>
    <w:basedOn w:val="Normal"/>
    <w:rsid w:val="00CF29DB"/>
    <w:pPr>
      <w:spacing w:after="960"/>
      <w:ind w:firstLine="567"/>
      <w:jc w:val="both"/>
    </w:pPr>
    <w:rPr>
      <w:rFonts w:ascii="Arial" w:hAnsi="Arial"/>
      <w:sz w:val="22"/>
      <w:szCs w:val="20"/>
      <w:lang w:val="es-ES_tradnl" w:eastAsia="es-ES"/>
    </w:rPr>
  </w:style>
  <w:style w:type="paragraph" w:customStyle="1" w:styleId="Sangra2detindependiente4">
    <w:name w:val="Sangría 2 de t. independiente4"/>
    <w:basedOn w:val="Normal"/>
    <w:rsid w:val="00CF29DB"/>
    <w:pPr>
      <w:spacing w:after="720"/>
      <w:ind w:firstLine="544"/>
      <w:jc w:val="both"/>
    </w:pPr>
    <w:rPr>
      <w:rFonts w:ascii="Arial" w:hAnsi="Arial"/>
      <w:sz w:val="22"/>
      <w:szCs w:val="20"/>
      <w:lang w:val="es-ES_tradnl" w:eastAsia="es-ES"/>
    </w:rPr>
  </w:style>
  <w:style w:type="paragraph" w:customStyle="1" w:styleId="Textoindependiente26">
    <w:name w:val="Texto independiente 26"/>
    <w:basedOn w:val="Normal"/>
    <w:rsid w:val="00737443"/>
    <w:pPr>
      <w:spacing w:after="960"/>
      <w:ind w:firstLine="567"/>
      <w:jc w:val="both"/>
    </w:pPr>
    <w:rPr>
      <w:rFonts w:ascii="Arial" w:hAnsi="Arial"/>
      <w:sz w:val="22"/>
      <w:szCs w:val="20"/>
      <w:lang w:val="es-ES_tradnl" w:eastAsia="es-ES"/>
    </w:rPr>
  </w:style>
  <w:style w:type="character" w:customStyle="1" w:styleId="PiedepginaCar">
    <w:name w:val="Pie de página Car"/>
    <w:basedOn w:val="Fuentedeprrafopredeter"/>
    <w:link w:val="Piedepgina"/>
    <w:uiPriority w:val="99"/>
    <w:rsid w:val="00583D5C"/>
    <w:rPr>
      <w:sz w:val="24"/>
      <w:szCs w:val="24"/>
      <w:lang w:val="es-ES" w:eastAsia="es-ES"/>
    </w:rPr>
  </w:style>
  <w:style w:type="paragraph" w:customStyle="1" w:styleId="Textoindependiente27">
    <w:name w:val="Texto independiente 27"/>
    <w:basedOn w:val="Normal"/>
    <w:rsid w:val="00666A74"/>
    <w:pPr>
      <w:spacing w:after="960"/>
      <w:ind w:firstLine="567"/>
      <w:jc w:val="both"/>
    </w:pPr>
    <w:rPr>
      <w:rFonts w:ascii="Arial" w:hAnsi="Arial"/>
      <w:sz w:val="22"/>
      <w:szCs w:val="20"/>
      <w:lang w:val="es-ES_tradnl" w:eastAsia="es-ES"/>
    </w:rPr>
  </w:style>
  <w:style w:type="paragraph" w:customStyle="1" w:styleId="Sangra2detindependiente5">
    <w:name w:val="Sangría 2 de t. independiente5"/>
    <w:basedOn w:val="Normal"/>
    <w:rsid w:val="00712BFE"/>
    <w:pPr>
      <w:spacing w:after="720"/>
      <w:ind w:firstLine="544"/>
      <w:jc w:val="both"/>
    </w:pPr>
    <w:rPr>
      <w:rFonts w:ascii="Arial" w:hAnsi="Arial"/>
      <w:sz w:val="22"/>
      <w:szCs w:val="20"/>
      <w:lang w:val="es-ES_tradnl" w:eastAsia="es-ES"/>
    </w:rPr>
  </w:style>
  <w:style w:type="paragraph" w:customStyle="1" w:styleId="Textoindependiente28">
    <w:name w:val="Texto independiente 28"/>
    <w:basedOn w:val="Normal"/>
    <w:rsid w:val="00C81EDA"/>
    <w:pPr>
      <w:spacing w:after="960"/>
      <w:ind w:firstLine="567"/>
      <w:jc w:val="both"/>
    </w:pPr>
    <w:rPr>
      <w:rFonts w:ascii="Arial" w:hAnsi="Arial"/>
      <w:sz w:val="22"/>
      <w:szCs w:val="20"/>
      <w:lang w:val="es-ES_tradnl" w:eastAsia="es-ES"/>
    </w:rPr>
  </w:style>
  <w:style w:type="paragraph" w:customStyle="1" w:styleId="Textoindependiente29">
    <w:name w:val="Texto independiente 29"/>
    <w:basedOn w:val="Normal"/>
    <w:rsid w:val="00DF6AE4"/>
    <w:pPr>
      <w:spacing w:after="960"/>
      <w:ind w:firstLine="567"/>
      <w:jc w:val="both"/>
    </w:pPr>
    <w:rPr>
      <w:rFonts w:ascii="Arial" w:hAnsi="Arial"/>
      <w:sz w:val="22"/>
      <w:szCs w:val="20"/>
      <w:lang w:val="es-ES_tradnl" w:eastAsia="es-ES"/>
    </w:rPr>
  </w:style>
  <w:style w:type="paragraph" w:customStyle="1" w:styleId="Sangra2detindependiente6">
    <w:name w:val="Sangría 2 de t. independiente6"/>
    <w:basedOn w:val="Normal"/>
    <w:rsid w:val="00C9537F"/>
    <w:pPr>
      <w:spacing w:after="720"/>
      <w:ind w:firstLine="544"/>
      <w:jc w:val="both"/>
    </w:pPr>
    <w:rPr>
      <w:rFonts w:ascii="Arial" w:hAnsi="Arial"/>
      <w:sz w:val="22"/>
      <w:szCs w:val="20"/>
      <w:lang w:val="es-ES_tradnl" w:eastAsia="es-ES"/>
    </w:rPr>
  </w:style>
  <w:style w:type="paragraph" w:customStyle="1" w:styleId="Textoindependiente210">
    <w:name w:val="Texto independiente 210"/>
    <w:basedOn w:val="Normal"/>
    <w:rsid w:val="00173404"/>
    <w:pPr>
      <w:spacing w:after="960"/>
      <w:ind w:firstLine="567"/>
      <w:jc w:val="both"/>
    </w:pPr>
    <w:rPr>
      <w:rFonts w:ascii="Arial" w:hAnsi="Arial"/>
      <w:sz w:val="22"/>
      <w:szCs w:val="20"/>
      <w:lang w:val="es-ES_tradnl" w:eastAsia="es-ES"/>
    </w:rPr>
  </w:style>
  <w:style w:type="paragraph" w:customStyle="1" w:styleId="Textoindependiente211">
    <w:name w:val="Texto independiente 211"/>
    <w:basedOn w:val="Normal"/>
    <w:rsid w:val="00891C76"/>
    <w:pPr>
      <w:spacing w:after="960"/>
      <w:ind w:firstLine="567"/>
      <w:jc w:val="both"/>
    </w:pPr>
    <w:rPr>
      <w:rFonts w:ascii="Arial" w:hAnsi="Arial"/>
      <w:sz w:val="22"/>
      <w:szCs w:val="20"/>
      <w:lang w:val="es-ES_tradnl" w:eastAsia="es-ES"/>
    </w:rPr>
  </w:style>
  <w:style w:type="paragraph" w:customStyle="1" w:styleId="Textoindependiente212">
    <w:name w:val="Texto independiente 212"/>
    <w:basedOn w:val="Normal"/>
    <w:rsid w:val="005F2680"/>
    <w:pPr>
      <w:spacing w:after="960"/>
      <w:ind w:firstLine="567"/>
      <w:jc w:val="both"/>
    </w:pPr>
    <w:rPr>
      <w:rFonts w:ascii="Arial" w:hAnsi="Arial"/>
      <w:sz w:val="22"/>
      <w:szCs w:val="20"/>
      <w:lang w:val="es-ES_tradnl" w:eastAsia="es-ES"/>
    </w:rPr>
  </w:style>
  <w:style w:type="paragraph" w:customStyle="1" w:styleId="Textoindependiente213">
    <w:name w:val="Texto independiente 213"/>
    <w:basedOn w:val="Normal"/>
    <w:rsid w:val="005904BB"/>
    <w:pPr>
      <w:spacing w:after="960"/>
      <w:ind w:firstLine="567"/>
      <w:jc w:val="both"/>
    </w:pPr>
    <w:rPr>
      <w:rFonts w:ascii="Arial" w:hAnsi="Arial"/>
      <w:sz w:val="22"/>
      <w:szCs w:val="20"/>
      <w:lang w:val="es-ES_tradnl" w:eastAsia="es-ES"/>
    </w:rPr>
  </w:style>
  <w:style w:type="paragraph" w:customStyle="1" w:styleId="Sangra2detindependiente7">
    <w:name w:val="Sangría 2 de t. independiente7"/>
    <w:basedOn w:val="Normal"/>
    <w:rsid w:val="0075169F"/>
    <w:pPr>
      <w:spacing w:after="720"/>
      <w:ind w:firstLine="544"/>
      <w:jc w:val="both"/>
    </w:pPr>
    <w:rPr>
      <w:rFonts w:ascii="Arial" w:hAnsi="Arial"/>
      <w:sz w:val="22"/>
      <w:szCs w:val="20"/>
      <w:lang w:val="es-ES_tradnl" w:eastAsia="es-ES"/>
    </w:rPr>
  </w:style>
  <w:style w:type="paragraph" w:customStyle="1" w:styleId="Textoindependiente214">
    <w:name w:val="Texto independiente 214"/>
    <w:basedOn w:val="Normal"/>
    <w:rsid w:val="00BB1AE1"/>
    <w:pPr>
      <w:spacing w:after="960"/>
      <w:ind w:firstLine="567"/>
      <w:jc w:val="both"/>
    </w:pPr>
    <w:rPr>
      <w:rFonts w:ascii="Arial" w:hAnsi="Arial"/>
      <w:sz w:val="22"/>
      <w:szCs w:val="20"/>
      <w:lang w:val="es-ES_tradnl" w:eastAsia="es-ES"/>
    </w:rPr>
  </w:style>
  <w:style w:type="paragraph" w:customStyle="1" w:styleId="Textoindependiente215">
    <w:name w:val="Texto independiente 215"/>
    <w:basedOn w:val="Normal"/>
    <w:rsid w:val="00743646"/>
    <w:pPr>
      <w:spacing w:after="960"/>
      <w:ind w:firstLine="567"/>
      <w:jc w:val="both"/>
    </w:pPr>
    <w:rPr>
      <w:rFonts w:ascii="Arial" w:hAnsi="Arial"/>
      <w:sz w:val="22"/>
      <w:szCs w:val="20"/>
      <w:lang w:val="es-ES_tradnl" w:eastAsia="es-ES"/>
    </w:rPr>
  </w:style>
  <w:style w:type="paragraph" w:customStyle="1" w:styleId="Textoindependiente217">
    <w:name w:val="Texto independiente 217"/>
    <w:basedOn w:val="Normal"/>
    <w:rsid w:val="002305FE"/>
    <w:pPr>
      <w:spacing w:after="960"/>
      <w:ind w:firstLine="567"/>
      <w:jc w:val="both"/>
    </w:pPr>
    <w:rPr>
      <w:rFonts w:ascii="Arial" w:hAnsi="Arial"/>
      <w:sz w:val="22"/>
      <w:szCs w:val="20"/>
      <w:lang w:val="es-ES_tradnl" w:eastAsia="es-ES"/>
    </w:rPr>
  </w:style>
  <w:style w:type="paragraph" w:styleId="Textoindependiente">
    <w:name w:val="Body Text"/>
    <w:basedOn w:val="Normal"/>
    <w:link w:val="TextoindependienteCar"/>
    <w:rsid w:val="00581D9B"/>
    <w:pPr>
      <w:spacing w:after="120"/>
    </w:pPr>
    <w:rPr>
      <w:lang w:val="es-ES" w:eastAsia="es-ES"/>
    </w:rPr>
  </w:style>
  <w:style w:type="character" w:customStyle="1" w:styleId="TextoindependienteCar">
    <w:name w:val="Texto independiente Car"/>
    <w:basedOn w:val="Fuentedeprrafopredeter"/>
    <w:link w:val="Textoindependiente"/>
    <w:rsid w:val="00581D9B"/>
    <w:rPr>
      <w:sz w:val="24"/>
      <w:szCs w:val="24"/>
      <w:lang w:val="es-ES" w:eastAsia="es-ES"/>
    </w:rPr>
  </w:style>
  <w:style w:type="paragraph" w:customStyle="1" w:styleId="Lista">
    <w:name w:val="Lista ()"/>
    <w:basedOn w:val="Normal"/>
    <w:qFormat/>
    <w:rsid w:val="00287ED1"/>
    <w:pPr>
      <w:numPr>
        <w:numId w:val="2"/>
      </w:numPr>
      <w:spacing w:after="120"/>
      <w:jc w:val="both"/>
    </w:pPr>
    <w:rPr>
      <w:rFonts w:ascii="Calibri" w:hAnsi="Calibri"/>
      <w:lang w:val="nl-BE"/>
    </w:rPr>
  </w:style>
  <w:style w:type="paragraph" w:customStyle="1" w:styleId="Default">
    <w:name w:val="Default"/>
    <w:rsid w:val="00287ED1"/>
    <w:pPr>
      <w:autoSpaceDE w:val="0"/>
      <w:autoSpaceDN w:val="0"/>
      <w:adjustRightInd w:val="0"/>
    </w:pPr>
    <w:rPr>
      <w:rFonts w:ascii="Arial" w:hAnsi="Arial" w:cs="Arial"/>
      <w:color w:val="000000"/>
      <w:sz w:val="24"/>
      <w:szCs w:val="24"/>
    </w:rPr>
  </w:style>
  <w:style w:type="paragraph" w:customStyle="1" w:styleId="Cuadro">
    <w:name w:val="Cuadro"/>
    <w:basedOn w:val="Normal"/>
    <w:next w:val="Normal"/>
    <w:qFormat/>
    <w:rsid w:val="00814EC0"/>
    <w:pPr>
      <w:spacing w:after="120"/>
      <w:ind w:left="1418"/>
      <w:jc w:val="both"/>
    </w:pPr>
    <w:rPr>
      <w:rFonts w:ascii="Calibri" w:hAnsi="Calibri"/>
    </w:rPr>
  </w:style>
  <w:style w:type="paragraph" w:customStyle="1" w:styleId="TtuloCuadro">
    <w:name w:val="Título Cuadro"/>
    <w:basedOn w:val="Normal"/>
    <w:next w:val="Normal"/>
    <w:qFormat/>
    <w:rsid w:val="001F4B54"/>
    <w:pPr>
      <w:numPr>
        <w:numId w:val="3"/>
      </w:numPr>
      <w:spacing w:after="120"/>
      <w:jc w:val="both"/>
    </w:pPr>
    <w:rPr>
      <w:rFonts w:ascii="Calibri" w:hAnsi="Calibri"/>
      <w:b/>
      <w:color w:val="000080"/>
      <w:sz w:val="20"/>
      <w:szCs w:val="20"/>
    </w:rPr>
  </w:style>
  <w:style w:type="paragraph" w:styleId="NormalWeb">
    <w:name w:val="Normal (Web)"/>
    <w:basedOn w:val="Normal"/>
    <w:uiPriority w:val="99"/>
    <w:unhideWhenUsed/>
    <w:rsid w:val="00ED59F3"/>
    <w:pPr>
      <w:spacing w:before="100" w:beforeAutospacing="1" w:after="100" w:afterAutospacing="1"/>
    </w:pPr>
    <w:rPr>
      <w:rFonts w:eastAsiaTheme="minorEastAsia"/>
    </w:rPr>
  </w:style>
  <w:style w:type="paragraph" w:customStyle="1" w:styleId="Grfica">
    <w:name w:val="Gráfica"/>
    <w:basedOn w:val="Normal"/>
    <w:next w:val="Normal"/>
    <w:qFormat/>
    <w:rsid w:val="00264E48"/>
    <w:pPr>
      <w:spacing w:after="120"/>
      <w:jc w:val="both"/>
    </w:pPr>
    <w:rPr>
      <w:rFonts w:ascii="Calibri" w:hAnsi="Calibri"/>
    </w:rPr>
  </w:style>
  <w:style w:type="paragraph" w:customStyle="1" w:styleId="n0">
    <w:name w:val="n0"/>
    <w:basedOn w:val="Normal"/>
    <w:rsid w:val="00615830"/>
    <w:pPr>
      <w:keepLines/>
      <w:spacing w:before="240"/>
      <w:ind w:left="709" w:right="-351" w:hanging="709"/>
      <w:jc w:val="both"/>
    </w:pPr>
    <w:rPr>
      <w:rFonts w:ascii="Arial" w:hAnsi="Arial" w:cs="Arial"/>
      <w:color w:val="800080"/>
      <w:lang w:val="es-ES_tradnl" w:eastAsia="es-ES"/>
    </w:rPr>
  </w:style>
  <w:style w:type="paragraph" w:customStyle="1" w:styleId="n01">
    <w:name w:val="n01"/>
    <w:basedOn w:val="Normal"/>
    <w:rsid w:val="00615830"/>
    <w:pPr>
      <w:keepLines/>
      <w:spacing w:before="240"/>
      <w:ind w:left="720" w:hanging="720"/>
      <w:jc w:val="both"/>
    </w:pPr>
    <w:rPr>
      <w:rFonts w:ascii="Univers (W1)" w:hAnsi="Univers (W1)" w:cs="Arial"/>
      <w:color w:val="800080"/>
      <w:lang w:val="es-ES_tradnl" w:eastAsia="es-ES"/>
    </w:rPr>
  </w:style>
  <w:style w:type="paragraph" w:styleId="Revisin">
    <w:name w:val="Revision"/>
    <w:hidden/>
    <w:uiPriority w:val="99"/>
    <w:semiHidden/>
    <w:rsid w:val="00EB141E"/>
    <w:rPr>
      <w:sz w:val="24"/>
      <w:szCs w:val="24"/>
    </w:rPr>
  </w:style>
  <w:style w:type="character" w:styleId="Refdecomentario">
    <w:name w:val="annotation reference"/>
    <w:basedOn w:val="Fuentedeprrafopredeter"/>
    <w:semiHidden/>
    <w:unhideWhenUsed/>
    <w:rsid w:val="0050620C"/>
    <w:rPr>
      <w:sz w:val="16"/>
      <w:szCs w:val="16"/>
    </w:rPr>
  </w:style>
  <w:style w:type="paragraph" w:styleId="Textocomentario">
    <w:name w:val="annotation text"/>
    <w:basedOn w:val="Normal"/>
    <w:link w:val="TextocomentarioCar"/>
    <w:unhideWhenUsed/>
    <w:rsid w:val="0050620C"/>
    <w:rPr>
      <w:sz w:val="20"/>
      <w:szCs w:val="20"/>
    </w:rPr>
  </w:style>
  <w:style w:type="character" w:customStyle="1" w:styleId="TextocomentarioCar">
    <w:name w:val="Texto comentario Car"/>
    <w:basedOn w:val="Fuentedeprrafopredeter"/>
    <w:link w:val="Textocomentario"/>
    <w:rsid w:val="0050620C"/>
  </w:style>
  <w:style w:type="paragraph" w:styleId="Asuntodelcomentario">
    <w:name w:val="annotation subject"/>
    <w:basedOn w:val="Textocomentario"/>
    <w:next w:val="Textocomentario"/>
    <w:link w:val="AsuntodelcomentarioCar"/>
    <w:semiHidden/>
    <w:unhideWhenUsed/>
    <w:rsid w:val="0050620C"/>
    <w:rPr>
      <w:b/>
      <w:bCs/>
    </w:rPr>
  </w:style>
  <w:style w:type="character" w:customStyle="1" w:styleId="AsuntodelcomentarioCar">
    <w:name w:val="Asunto del comentario Car"/>
    <w:basedOn w:val="TextocomentarioCar"/>
    <w:link w:val="Asuntodelcomentario"/>
    <w:semiHidden/>
    <w:rsid w:val="0050620C"/>
    <w:rPr>
      <w:b/>
      <w:bCs/>
    </w:rPr>
  </w:style>
  <w:style w:type="character" w:customStyle="1" w:styleId="TextonotapieCar">
    <w:name w:val="Texto nota pie Car"/>
    <w:basedOn w:val="Fuentedeprrafopredeter"/>
    <w:link w:val="Textonotapie"/>
    <w:semiHidden/>
    <w:rsid w:val="004072AF"/>
    <w:rPr>
      <w:lang w:val="es-ES" w:eastAsia="es-ES"/>
    </w:rPr>
  </w:style>
  <w:style w:type="paragraph" w:customStyle="1" w:styleId="Profesin">
    <w:name w:val="Profesión"/>
    <w:basedOn w:val="Normal"/>
    <w:rsid w:val="00143F5D"/>
    <w:pPr>
      <w:jc w:val="center"/>
    </w:pPr>
    <w:rPr>
      <w:rFonts w:ascii="Arial" w:hAnsi="Arial" w:cs="Arial"/>
      <w:b/>
      <w:bCs/>
      <w:caps/>
      <w:sz w:val="28"/>
      <w:szCs w:val="28"/>
      <w:lang w:val="es-ES_tradnl" w:eastAsia="es-ES"/>
    </w:rPr>
  </w:style>
  <w:style w:type="character" w:styleId="Hipervnculo">
    <w:name w:val="Hyperlink"/>
    <w:basedOn w:val="Fuentedeprrafopredeter"/>
    <w:rsid w:val="00143F5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949483">
      <w:bodyDiv w:val="1"/>
      <w:marLeft w:val="0"/>
      <w:marRight w:val="0"/>
      <w:marTop w:val="0"/>
      <w:marBottom w:val="0"/>
      <w:divBdr>
        <w:top w:val="none" w:sz="0" w:space="0" w:color="auto"/>
        <w:left w:val="none" w:sz="0" w:space="0" w:color="auto"/>
        <w:bottom w:val="none" w:sz="0" w:space="0" w:color="auto"/>
        <w:right w:val="none" w:sz="0" w:space="0" w:color="auto"/>
      </w:divBdr>
    </w:div>
    <w:div w:id="60176268">
      <w:bodyDiv w:val="1"/>
      <w:marLeft w:val="0"/>
      <w:marRight w:val="0"/>
      <w:marTop w:val="0"/>
      <w:marBottom w:val="0"/>
      <w:divBdr>
        <w:top w:val="none" w:sz="0" w:space="0" w:color="auto"/>
        <w:left w:val="none" w:sz="0" w:space="0" w:color="auto"/>
        <w:bottom w:val="none" w:sz="0" w:space="0" w:color="auto"/>
        <w:right w:val="none" w:sz="0" w:space="0" w:color="auto"/>
      </w:divBdr>
    </w:div>
    <w:div w:id="149912450">
      <w:bodyDiv w:val="1"/>
      <w:marLeft w:val="0"/>
      <w:marRight w:val="0"/>
      <w:marTop w:val="0"/>
      <w:marBottom w:val="0"/>
      <w:divBdr>
        <w:top w:val="none" w:sz="0" w:space="0" w:color="auto"/>
        <w:left w:val="none" w:sz="0" w:space="0" w:color="auto"/>
        <w:bottom w:val="none" w:sz="0" w:space="0" w:color="auto"/>
        <w:right w:val="none" w:sz="0" w:space="0" w:color="auto"/>
      </w:divBdr>
    </w:div>
    <w:div w:id="234703165">
      <w:bodyDiv w:val="1"/>
      <w:marLeft w:val="0"/>
      <w:marRight w:val="0"/>
      <w:marTop w:val="0"/>
      <w:marBottom w:val="0"/>
      <w:divBdr>
        <w:top w:val="none" w:sz="0" w:space="0" w:color="auto"/>
        <w:left w:val="none" w:sz="0" w:space="0" w:color="auto"/>
        <w:bottom w:val="none" w:sz="0" w:space="0" w:color="auto"/>
        <w:right w:val="none" w:sz="0" w:space="0" w:color="auto"/>
      </w:divBdr>
    </w:div>
    <w:div w:id="284427268">
      <w:bodyDiv w:val="1"/>
      <w:marLeft w:val="0"/>
      <w:marRight w:val="0"/>
      <w:marTop w:val="0"/>
      <w:marBottom w:val="0"/>
      <w:divBdr>
        <w:top w:val="none" w:sz="0" w:space="0" w:color="auto"/>
        <w:left w:val="none" w:sz="0" w:space="0" w:color="auto"/>
        <w:bottom w:val="none" w:sz="0" w:space="0" w:color="auto"/>
        <w:right w:val="none" w:sz="0" w:space="0" w:color="auto"/>
      </w:divBdr>
    </w:div>
    <w:div w:id="301735111">
      <w:bodyDiv w:val="1"/>
      <w:marLeft w:val="0"/>
      <w:marRight w:val="0"/>
      <w:marTop w:val="0"/>
      <w:marBottom w:val="0"/>
      <w:divBdr>
        <w:top w:val="none" w:sz="0" w:space="0" w:color="auto"/>
        <w:left w:val="none" w:sz="0" w:space="0" w:color="auto"/>
        <w:bottom w:val="none" w:sz="0" w:space="0" w:color="auto"/>
        <w:right w:val="none" w:sz="0" w:space="0" w:color="auto"/>
      </w:divBdr>
    </w:div>
    <w:div w:id="317273673">
      <w:bodyDiv w:val="1"/>
      <w:marLeft w:val="0"/>
      <w:marRight w:val="0"/>
      <w:marTop w:val="0"/>
      <w:marBottom w:val="0"/>
      <w:divBdr>
        <w:top w:val="none" w:sz="0" w:space="0" w:color="auto"/>
        <w:left w:val="none" w:sz="0" w:space="0" w:color="auto"/>
        <w:bottom w:val="none" w:sz="0" w:space="0" w:color="auto"/>
        <w:right w:val="none" w:sz="0" w:space="0" w:color="auto"/>
      </w:divBdr>
    </w:div>
    <w:div w:id="320280662">
      <w:bodyDiv w:val="1"/>
      <w:marLeft w:val="0"/>
      <w:marRight w:val="0"/>
      <w:marTop w:val="0"/>
      <w:marBottom w:val="0"/>
      <w:divBdr>
        <w:top w:val="none" w:sz="0" w:space="0" w:color="auto"/>
        <w:left w:val="none" w:sz="0" w:space="0" w:color="auto"/>
        <w:bottom w:val="none" w:sz="0" w:space="0" w:color="auto"/>
        <w:right w:val="none" w:sz="0" w:space="0" w:color="auto"/>
      </w:divBdr>
    </w:div>
    <w:div w:id="420562176">
      <w:bodyDiv w:val="1"/>
      <w:marLeft w:val="0"/>
      <w:marRight w:val="0"/>
      <w:marTop w:val="0"/>
      <w:marBottom w:val="0"/>
      <w:divBdr>
        <w:top w:val="none" w:sz="0" w:space="0" w:color="auto"/>
        <w:left w:val="none" w:sz="0" w:space="0" w:color="auto"/>
        <w:bottom w:val="none" w:sz="0" w:space="0" w:color="auto"/>
        <w:right w:val="none" w:sz="0" w:space="0" w:color="auto"/>
      </w:divBdr>
    </w:div>
    <w:div w:id="420874565">
      <w:bodyDiv w:val="1"/>
      <w:marLeft w:val="0"/>
      <w:marRight w:val="0"/>
      <w:marTop w:val="0"/>
      <w:marBottom w:val="0"/>
      <w:divBdr>
        <w:top w:val="none" w:sz="0" w:space="0" w:color="auto"/>
        <w:left w:val="none" w:sz="0" w:space="0" w:color="auto"/>
        <w:bottom w:val="none" w:sz="0" w:space="0" w:color="auto"/>
        <w:right w:val="none" w:sz="0" w:space="0" w:color="auto"/>
      </w:divBdr>
    </w:div>
    <w:div w:id="549420463">
      <w:bodyDiv w:val="1"/>
      <w:marLeft w:val="0"/>
      <w:marRight w:val="0"/>
      <w:marTop w:val="0"/>
      <w:marBottom w:val="0"/>
      <w:divBdr>
        <w:top w:val="none" w:sz="0" w:space="0" w:color="auto"/>
        <w:left w:val="none" w:sz="0" w:space="0" w:color="auto"/>
        <w:bottom w:val="none" w:sz="0" w:space="0" w:color="auto"/>
        <w:right w:val="none" w:sz="0" w:space="0" w:color="auto"/>
      </w:divBdr>
    </w:div>
    <w:div w:id="600647739">
      <w:bodyDiv w:val="1"/>
      <w:marLeft w:val="0"/>
      <w:marRight w:val="0"/>
      <w:marTop w:val="0"/>
      <w:marBottom w:val="0"/>
      <w:divBdr>
        <w:top w:val="none" w:sz="0" w:space="0" w:color="auto"/>
        <w:left w:val="none" w:sz="0" w:space="0" w:color="auto"/>
        <w:bottom w:val="none" w:sz="0" w:space="0" w:color="auto"/>
        <w:right w:val="none" w:sz="0" w:space="0" w:color="auto"/>
      </w:divBdr>
    </w:div>
    <w:div w:id="646323012">
      <w:bodyDiv w:val="1"/>
      <w:marLeft w:val="0"/>
      <w:marRight w:val="0"/>
      <w:marTop w:val="0"/>
      <w:marBottom w:val="0"/>
      <w:divBdr>
        <w:top w:val="none" w:sz="0" w:space="0" w:color="auto"/>
        <w:left w:val="none" w:sz="0" w:space="0" w:color="auto"/>
        <w:bottom w:val="none" w:sz="0" w:space="0" w:color="auto"/>
        <w:right w:val="none" w:sz="0" w:space="0" w:color="auto"/>
      </w:divBdr>
    </w:div>
    <w:div w:id="697393147">
      <w:bodyDiv w:val="1"/>
      <w:marLeft w:val="0"/>
      <w:marRight w:val="0"/>
      <w:marTop w:val="0"/>
      <w:marBottom w:val="0"/>
      <w:divBdr>
        <w:top w:val="none" w:sz="0" w:space="0" w:color="auto"/>
        <w:left w:val="none" w:sz="0" w:space="0" w:color="auto"/>
        <w:bottom w:val="none" w:sz="0" w:space="0" w:color="auto"/>
        <w:right w:val="none" w:sz="0" w:space="0" w:color="auto"/>
      </w:divBdr>
    </w:div>
    <w:div w:id="747967316">
      <w:bodyDiv w:val="1"/>
      <w:marLeft w:val="0"/>
      <w:marRight w:val="0"/>
      <w:marTop w:val="0"/>
      <w:marBottom w:val="0"/>
      <w:divBdr>
        <w:top w:val="none" w:sz="0" w:space="0" w:color="auto"/>
        <w:left w:val="none" w:sz="0" w:space="0" w:color="auto"/>
        <w:bottom w:val="none" w:sz="0" w:space="0" w:color="auto"/>
        <w:right w:val="none" w:sz="0" w:space="0" w:color="auto"/>
      </w:divBdr>
    </w:div>
    <w:div w:id="751121824">
      <w:bodyDiv w:val="1"/>
      <w:marLeft w:val="0"/>
      <w:marRight w:val="0"/>
      <w:marTop w:val="0"/>
      <w:marBottom w:val="0"/>
      <w:divBdr>
        <w:top w:val="none" w:sz="0" w:space="0" w:color="auto"/>
        <w:left w:val="none" w:sz="0" w:space="0" w:color="auto"/>
        <w:bottom w:val="none" w:sz="0" w:space="0" w:color="auto"/>
        <w:right w:val="none" w:sz="0" w:space="0" w:color="auto"/>
      </w:divBdr>
    </w:div>
    <w:div w:id="805777430">
      <w:bodyDiv w:val="1"/>
      <w:marLeft w:val="0"/>
      <w:marRight w:val="0"/>
      <w:marTop w:val="0"/>
      <w:marBottom w:val="0"/>
      <w:divBdr>
        <w:top w:val="none" w:sz="0" w:space="0" w:color="auto"/>
        <w:left w:val="none" w:sz="0" w:space="0" w:color="auto"/>
        <w:bottom w:val="none" w:sz="0" w:space="0" w:color="auto"/>
        <w:right w:val="none" w:sz="0" w:space="0" w:color="auto"/>
      </w:divBdr>
    </w:div>
    <w:div w:id="818152476">
      <w:bodyDiv w:val="1"/>
      <w:marLeft w:val="0"/>
      <w:marRight w:val="0"/>
      <w:marTop w:val="0"/>
      <w:marBottom w:val="0"/>
      <w:divBdr>
        <w:top w:val="none" w:sz="0" w:space="0" w:color="auto"/>
        <w:left w:val="none" w:sz="0" w:space="0" w:color="auto"/>
        <w:bottom w:val="none" w:sz="0" w:space="0" w:color="auto"/>
        <w:right w:val="none" w:sz="0" w:space="0" w:color="auto"/>
      </w:divBdr>
    </w:div>
    <w:div w:id="826559667">
      <w:bodyDiv w:val="1"/>
      <w:marLeft w:val="0"/>
      <w:marRight w:val="0"/>
      <w:marTop w:val="0"/>
      <w:marBottom w:val="0"/>
      <w:divBdr>
        <w:top w:val="none" w:sz="0" w:space="0" w:color="auto"/>
        <w:left w:val="none" w:sz="0" w:space="0" w:color="auto"/>
        <w:bottom w:val="none" w:sz="0" w:space="0" w:color="auto"/>
        <w:right w:val="none" w:sz="0" w:space="0" w:color="auto"/>
      </w:divBdr>
    </w:div>
    <w:div w:id="827016150">
      <w:bodyDiv w:val="1"/>
      <w:marLeft w:val="0"/>
      <w:marRight w:val="0"/>
      <w:marTop w:val="0"/>
      <w:marBottom w:val="0"/>
      <w:divBdr>
        <w:top w:val="none" w:sz="0" w:space="0" w:color="auto"/>
        <w:left w:val="none" w:sz="0" w:space="0" w:color="auto"/>
        <w:bottom w:val="none" w:sz="0" w:space="0" w:color="auto"/>
        <w:right w:val="none" w:sz="0" w:space="0" w:color="auto"/>
      </w:divBdr>
    </w:div>
    <w:div w:id="906380952">
      <w:bodyDiv w:val="1"/>
      <w:marLeft w:val="0"/>
      <w:marRight w:val="0"/>
      <w:marTop w:val="0"/>
      <w:marBottom w:val="0"/>
      <w:divBdr>
        <w:top w:val="none" w:sz="0" w:space="0" w:color="auto"/>
        <w:left w:val="none" w:sz="0" w:space="0" w:color="auto"/>
        <w:bottom w:val="none" w:sz="0" w:space="0" w:color="auto"/>
        <w:right w:val="none" w:sz="0" w:space="0" w:color="auto"/>
      </w:divBdr>
    </w:div>
    <w:div w:id="916868780">
      <w:bodyDiv w:val="1"/>
      <w:marLeft w:val="0"/>
      <w:marRight w:val="0"/>
      <w:marTop w:val="0"/>
      <w:marBottom w:val="0"/>
      <w:divBdr>
        <w:top w:val="none" w:sz="0" w:space="0" w:color="auto"/>
        <w:left w:val="none" w:sz="0" w:space="0" w:color="auto"/>
        <w:bottom w:val="none" w:sz="0" w:space="0" w:color="auto"/>
        <w:right w:val="none" w:sz="0" w:space="0" w:color="auto"/>
      </w:divBdr>
    </w:div>
    <w:div w:id="929003941">
      <w:bodyDiv w:val="1"/>
      <w:marLeft w:val="0"/>
      <w:marRight w:val="0"/>
      <w:marTop w:val="0"/>
      <w:marBottom w:val="0"/>
      <w:divBdr>
        <w:top w:val="none" w:sz="0" w:space="0" w:color="auto"/>
        <w:left w:val="none" w:sz="0" w:space="0" w:color="auto"/>
        <w:bottom w:val="none" w:sz="0" w:space="0" w:color="auto"/>
        <w:right w:val="none" w:sz="0" w:space="0" w:color="auto"/>
      </w:divBdr>
    </w:div>
    <w:div w:id="1012149074">
      <w:bodyDiv w:val="1"/>
      <w:marLeft w:val="0"/>
      <w:marRight w:val="0"/>
      <w:marTop w:val="0"/>
      <w:marBottom w:val="0"/>
      <w:divBdr>
        <w:top w:val="none" w:sz="0" w:space="0" w:color="auto"/>
        <w:left w:val="none" w:sz="0" w:space="0" w:color="auto"/>
        <w:bottom w:val="none" w:sz="0" w:space="0" w:color="auto"/>
        <w:right w:val="none" w:sz="0" w:space="0" w:color="auto"/>
      </w:divBdr>
    </w:div>
    <w:div w:id="1159928460">
      <w:bodyDiv w:val="1"/>
      <w:marLeft w:val="0"/>
      <w:marRight w:val="0"/>
      <w:marTop w:val="0"/>
      <w:marBottom w:val="0"/>
      <w:divBdr>
        <w:top w:val="none" w:sz="0" w:space="0" w:color="auto"/>
        <w:left w:val="none" w:sz="0" w:space="0" w:color="auto"/>
        <w:bottom w:val="none" w:sz="0" w:space="0" w:color="auto"/>
        <w:right w:val="none" w:sz="0" w:space="0" w:color="auto"/>
      </w:divBdr>
    </w:div>
    <w:div w:id="1208567317">
      <w:bodyDiv w:val="1"/>
      <w:marLeft w:val="0"/>
      <w:marRight w:val="0"/>
      <w:marTop w:val="0"/>
      <w:marBottom w:val="0"/>
      <w:divBdr>
        <w:top w:val="none" w:sz="0" w:space="0" w:color="auto"/>
        <w:left w:val="none" w:sz="0" w:space="0" w:color="auto"/>
        <w:bottom w:val="none" w:sz="0" w:space="0" w:color="auto"/>
        <w:right w:val="none" w:sz="0" w:space="0" w:color="auto"/>
      </w:divBdr>
    </w:div>
    <w:div w:id="1245460124">
      <w:bodyDiv w:val="1"/>
      <w:marLeft w:val="0"/>
      <w:marRight w:val="0"/>
      <w:marTop w:val="0"/>
      <w:marBottom w:val="0"/>
      <w:divBdr>
        <w:top w:val="none" w:sz="0" w:space="0" w:color="auto"/>
        <w:left w:val="none" w:sz="0" w:space="0" w:color="auto"/>
        <w:bottom w:val="none" w:sz="0" w:space="0" w:color="auto"/>
        <w:right w:val="none" w:sz="0" w:space="0" w:color="auto"/>
      </w:divBdr>
    </w:div>
    <w:div w:id="1288313180">
      <w:bodyDiv w:val="1"/>
      <w:marLeft w:val="0"/>
      <w:marRight w:val="0"/>
      <w:marTop w:val="0"/>
      <w:marBottom w:val="0"/>
      <w:divBdr>
        <w:top w:val="none" w:sz="0" w:space="0" w:color="auto"/>
        <w:left w:val="none" w:sz="0" w:space="0" w:color="auto"/>
        <w:bottom w:val="none" w:sz="0" w:space="0" w:color="auto"/>
        <w:right w:val="none" w:sz="0" w:space="0" w:color="auto"/>
      </w:divBdr>
    </w:div>
    <w:div w:id="1464539029">
      <w:bodyDiv w:val="1"/>
      <w:marLeft w:val="0"/>
      <w:marRight w:val="0"/>
      <w:marTop w:val="0"/>
      <w:marBottom w:val="0"/>
      <w:divBdr>
        <w:top w:val="none" w:sz="0" w:space="0" w:color="auto"/>
        <w:left w:val="none" w:sz="0" w:space="0" w:color="auto"/>
        <w:bottom w:val="none" w:sz="0" w:space="0" w:color="auto"/>
        <w:right w:val="none" w:sz="0" w:space="0" w:color="auto"/>
      </w:divBdr>
    </w:div>
    <w:div w:id="1507330240">
      <w:bodyDiv w:val="1"/>
      <w:marLeft w:val="0"/>
      <w:marRight w:val="0"/>
      <w:marTop w:val="0"/>
      <w:marBottom w:val="0"/>
      <w:divBdr>
        <w:top w:val="none" w:sz="0" w:space="0" w:color="auto"/>
        <w:left w:val="none" w:sz="0" w:space="0" w:color="auto"/>
        <w:bottom w:val="none" w:sz="0" w:space="0" w:color="auto"/>
        <w:right w:val="none" w:sz="0" w:space="0" w:color="auto"/>
      </w:divBdr>
    </w:div>
    <w:div w:id="1541089948">
      <w:bodyDiv w:val="1"/>
      <w:marLeft w:val="0"/>
      <w:marRight w:val="0"/>
      <w:marTop w:val="0"/>
      <w:marBottom w:val="0"/>
      <w:divBdr>
        <w:top w:val="none" w:sz="0" w:space="0" w:color="auto"/>
        <w:left w:val="none" w:sz="0" w:space="0" w:color="auto"/>
        <w:bottom w:val="none" w:sz="0" w:space="0" w:color="auto"/>
        <w:right w:val="none" w:sz="0" w:space="0" w:color="auto"/>
      </w:divBdr>
    </w:div>
    <w:div w:id="1549535483">
      <w:bodyDiv w:val="1"/>
      <w:marLeft w:val="0"/>
      <w:marRight w:val="0"/>
      <w:marTop w:val="0"/>
      <w:marBottom w:val="0"/>
      <w:divBdr>
        <w:top w:val="none" w:sz="0" w:space="0" w:color="auto"/>
        <w:left w:val="none" w:sz="0" w:space="0" w:color="auto"/>
        <w:bottom w:val="none" w:sz="0" w:space="0" w:color="auto"/>
        <w:right w:val="none" w:sz="0" w:space="0" w:color="auto"/>
      </w:divBdr>
    </w:div>
    <w:div w:id="1558937267">
      <w:bodyDiv w:val="1"/>
      <w:marLeft w:val="0"/>
      <w:marRight w:val="0"/>
      <w:marTop w:val="0"/>
      <w:marBottom w:val="0"/>
      <w:divBdr>
        <w:top w:val="none" w:sz="0" w:space="0" w:color="auto"/>
        <w:left w:val="none" w:sz="0" w:space="0" w:color="auto"/>
        <w:bottom w:val="none" w:sz="0" w:space="0" w:color="auto"/>
        <w:right w:val="none" w:sz="0" w:space="0" w:color="auto"/>
      </w:divBdr>
    </w:div>
    <w:div w:id="1631322746">
      <w:bodyDiv w:val="1"/>
      <w:marLeft w:val="0"/>
      <w:marRight w:val="0"/>
      <w:marTop w:val="0"/>
      <w:marBottom w:val="0"/>
      <w:divBdr>
        <w:top w:val="none" w:sz="0" w:space="0" w:color="auto"/>
        <w:left w:val="none" w:sz="0" w:space="0" w:color="auto"/>
        <w:bottom w:val="none" w:sz="0" w:space="0" w:color="auto"/>
        <w:right w:val="none" w:sz="0" w:space="0" w:color="auto"/>
      </w:divBdr>
    </w:div>
    <w:div w:id="1738815808">
      <w:bodyDiv w:val="1"/>
      <w:marLeft w:val="0"/>
      <w:marRight w:val="0"/>
      <w:marTop w:val="0"/>
      <w:marBottom w:val="0"/>
      <w:divBdr>
        <w:top w:val="none" w:sz="0" w:space="0" w:color="auto"/>
        <w:left w:val="none" w:sz="0" w:space="0" w:color="auto"/>
        <w:bottom w:val="none" w:sz="0" w:space="0" w:color="auto"/>
        <w:right w:val="none" w:sz="0" w:space="0" w:color="auto"/>
      </w:divBdr>
    </w:div>
    <w:div w:id="1833370693">
      <w:bodyDiv w:val="1"/>
      <w:marLeft w:val="0"/>
      <w:marRight w:val="0"/>
      <w:marTop w:val="0"/>
      <w:marBottom w:val="0"/>
      <w:divBdr>
        <w:top w:val="none" w:sz="0" w:space="0" w:color="auto"/>
        <w:left w:val="none" w:sz="0" w:space="0" w:color="auto"/>
        <w:bottom w:val="none" w:sz="0" w:space="0" w:color="auto"/>
        <w:right w:val="none" w:sz="0" w:space="0" w:color="auto"/>
      </w:divBdr>
    </w:div>
    <w:div w:id="1853060376">
      <w:bodyDiv w:val="1"/>
      <w:marLeft w:val="0"/>
      <w:marRight w:val="0"/>
      <w:marTop w:val="0"/>
      <w:marBottom w:val="0"/>
      <w:divBdr>
        <w:top w:val="none" w:sz="0" w:space="0" w:color="auto"/>
        <w:left w:val="none" w:sz="0" w:space="0" w:color="auto"/>
        <w:bottom w:val="none" w:sz="0" w:space="0" w:color="auto"/>
        <w:right w:val="none" w:sz="0" w:space="0" w:color="auto"/>
      </w:divBdr>
      <w:divsChild>
        <w:div w:id="809398165">
          <w:marLeft w:val="0"/>
          <w:marRight w:val="0"/>
          <w:marTop w:val="0"/>
          <w:marBottom w:val="0"/>
          <w:divBdr>
            <w:top w:val="none" w:sz="0" w:space="0" w:color="auto"/>
            <w:left w:val="none" w:sz="0" w:space="0" w:color="auto"/>
            <w:bottom w:val="none" w:sz="0" w:space="31" w:color="auto"/>
            <w:right w:val="none" w:sz="0" w:space="0" w:color="auto"/>
          </w:divBdr>
          <w:divsChild>
            <w:div w:id="51314769">
              <w:marLeft w:val="0"/>
              <w:marRight w:val="0"/>
              <w:marTop w:val="240"/>
              <w:marBottom w:val="0"/>
              <w:divBdr>
                <w:top w:val="none" w:sz="0" w:space="0" w:color="auto"/>
                <w:left w:val="none" w:sz="0" w:space="0" w:color="auto"/>
                <w:bottom w:val="none" w:sz="0" w:space="0" w:color="auto"/>
                <w:right w:val="none" w:sz="0" w:space="0" w:color="auto"/>
              </w:divBdr>
              <w:divsChild>
                <w:div w:id="2015062387">
                  <w:marLeft w:val="0"/>
                  <w:marRight w:val="0"/>
                  <w:marTop w:val="0"/>
                  <w:marBottom w:val="0"/>
                  <w:divBdr>
                    <w:top w:val="none" w:sz="0" w:space="0" w:color="auto"/>
                    <w:left w:val="none" w:sz="0" w:space="0" w:color="auto"/>
                    <w:bottom w:val="none" w:sz="0" w:space="0" w:color="auto"/>
                    <w:right w:val="none" w:sz="0" w:space="0" w:color="auto"/>
                  </w:divBdr>
                </w:div>
              </w:divsChild>
            </w:div>
            <w:div w:id="53552661">
              <w:marLeft w:val="0"/>
              <w:marRight w:val="0"/>
              <w:marTop w:val="0"/>
              <w:marBottom w:val="0"/>
              <w:divBdr>
                <w:top w:val="none" w:sz="0" w:space="0" w:color="auto"/>
                <w:left w:val="none" w:sz="0" w:space="0" w:color="auto"/>
                <w:bottom w:val="none" w:sz="0" w:space="0" w:color="auto"/>
                <w:right w:val="none" w:sz="0" w:space="0" w:color="auto"/>
              </w:divBdr>
            </w:div>
          </w:divsChild>
        </w:div>
        <w:div w:id="858083079">
          <w:marLeft w:val="0"/>
          <w:marRight w:val="0"/>
          <w:marTop w:val="0"/>
          <w:marBottom w:val="0"/>
          <w:divBdr>
            <w:top w:val="none" w:sz="0" w:space="0" w:color="auto"/>
            <w:left w:val="none" w:sz="0" w:space="0" w:color="auto"/>
            <w:bottom w:val="none" w:sz="0" w:space="0" w:color="auto"/>
            <w:right w:val="none" w:sz="0" w:space="0" w:color="auto"/>
          </w:divBdr>
          <w:divsChild>
            <w:div w:id="238179369">
              <w:marLeft w:val="0"/>
              <w:marRight w:val="0"/>
              <w:marTop w:val="0"/>
              <w:marBottom w:val="180"/>
              <w:divBdr>
                <w:top w:val="none" w:sz="0" w:space="0" w:color="auto"/>
                <w:left w:val="none" w:sz="0" w:space="0" w:color="auto"/>
                <w:bottom w:val="none" w:sz="0" w:space="0" w:color="auto"/>
                <w:right w:val="none" w:sz="0" w:space="0" w:color="auto"/>
              </w:divBdr>
              <w:divsChild>
                <w:div w:id="1309507119">
                  <w:marLeft w:val="0"/>
                  <w:marRight w:val="0"/>
                  <w:marTop w:val="0"/>
                  <w:marBottom w:val="0"/>
                  <w:divBdr>
                    <w:top w:val="none" w:sz="0" w:space="0" w:color="auto"/>
                    <w:left w:val="none" w:sz="0" w:space="0" w:color="auto"/>
                    <w:bottom w:val="none" w:sz="0" w:space="0" w:color="auto"/>
                    <w:right w:val="none" w:sz="0" w:space="0" w:color="auto"/>
                  </w:divBdr>
                </w:div>
                <w:div w:id="2030911763">
                  <w:marLeft w:val="0"/>
                  <w:marRight w:val="0"/>
                  <w:marTop w:val="45"/>
                  <w:marBottom w:val="0"/>
                  <w:divBdr>
                    <w:top w:val="none" w:sz="0" w:space="0" w:color="auto"/>
                    <w:left w:val="none" w:sz="0" w:space="0" w:color="auto"/>
                    <w:bottom w:val="none" w:sz="0" w:space="0" w:color="auto"/>
                    <w:right w:val="none" w:sz="0" w:space="0" w:color="auto"/>
                  </w:divBdr>
                  <w:divsChild>
                    <w:div w:id="205542170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 w:id="673144183">
              <w:marLeft w:val="0"/>
              <w:marRight w:val="0"/>
              <w:marTop w:val="0"/>
              <w:marBottom w:val="0"/>
              <w:divBdr>
                <w:top w:val="none" w:sz="0" w:space="0" w:color="auto"/>
                <w:left w:val="none" w:sz="0" w:space="0" w:color="auto"/>
                <w:bottom w:val="none" w:sz="0" w:space="0" w:color="auto"/>
                <w:right w:val="none" w:sz="0" w:space="0" w:color="auto"/>
              </w:divBdr>
              <w:divsChild>
                <w:div w:id="660350906">
                  <w:marLeft w:val="0"/>
                  <w:marRight w:val="75"/>
                  <w:marTop w:val="0"/>
                  <w:marBottom w:val="0"/>
                  <w:divBdr>
                    <w:top w:val="single" w:sz="6" w:space="2" w:color="CCCCCC"/>
                    <w:left w:val="single" w:sz="6" w:space="2" w:color="CCCCCC"/>
                    <w:bottom w:val="single" w:sz="6" w:space="2" w:color="CCCCCC"/>
                    <w:right w:val="single" w:sz="6" w:space="2" w:color="CCCCCC"/>
                  </w:divBdr>
                  <w:divsChild>
                    <w:div w:id="435903305">
                      <w:marLeft w:val="0"/>
                      <w:marRight w:val="0"/>
                      <w:marTop w:val="0"/>
                      <w:marBottom w:val="0"/>
                      <w:divBdr>
                        <w:top w:val="none" w:sz="0" w:space="0" w:color="auto"/>
                        <w:left w:val="none" w:sz="0" w:space="0" w:color="auto"/>
                        <w:bottom w:val="none" w:sz="0" w:space="0" w:color="auto"/>
                        <w:right w:val="none" w:sz="0" w:space="0" w:color="auto"/>
                      </w:divBdr>
                      <w:divsChild>
                        <w:div w:id="436297762">
                          <w:marLeft w:val="0"/>
                          <w:marRight w:val="0"/>
                          <w:marTop w:val="0"/>
                          <w:marBottom w:val="0"/>
                          <w:divBdr>
                            <w:top w:val="none" w:sz="0" w:space="0" w:color="auto"/>
                            <w:left w:val="none" w:sz="0" w:space="0" w:color="auto"/>
                            <w:bottom w:val="none" w:sz="0" w:space="0" w:color="auto"/>
                            <w:right w:val="none" w:sz="0" w:space="0" w:color="auto"/>
                          </w:divBdr>
                        </w:div>
                        <w:div w:id="650601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4277577">
                  <w:marLeft w:val="0"/>
                  <w:marRight w:val="0"/>
                  <w:marTop w:val="0"/>
                  <w:marBottom w:val="0"/>
                  <w:divBdr>
                    <w:top w:val="none" w:sz="0" w:space="0" w:color="auto"/>
                    <w:left w:val="none" w:sz="0" w:space="0" w:color="auto"/>
                    <w:bottom w:val="none" w:sz="0" w:space="0" w:color="auto"/>
                    <w:right w:val="none" w:sz="0" w:space="0" w:color="auto"/>
                  </w:divBdr>
                </w:div>
              </w:divsChild>
            </w:div>
            <w:div w:id="1490441413">
              <w:marLeft w:val="0"/>
              <w:marRight w:val="0"/>
              <w:marTop w:val="0"/>
              <w:marBottom w:val="300"/>
              <w:divBdr>
                <w:top w:val="none" w:sz="0" w:space="0" w:color="auto"/>
                <w:left w:val="none" w:sz="0" w:space="0" w:color="auto"/>
                <w:bottom w:val="none" w:sz="0" w:space="0" w:color="auto"/>
                <w:right w:val="none" w:sz="0" w:space="0" w:color="auto"/>
              </w:divBdr>
              <w:divsChild>
                <w:div w:id="1208640138">
                  <w:marLeft w:val="0"/>
                  <w:marRight w:val="75"/>
                  <w:marTop w:val="0"/>
                  <w:marBottom w:val="0"/>
                  <w:divBdr>
                    <w:top w:val="single" w:sz="6" w:space="8" w:color="D1D5D5"/>
                    <w:left w:val="single" w:sz="6" w:space="14" w:color="D1D5D5"/>
                    <w:bottom w:val="single" w:sz="6" w:space="8" w:color="D1D5D5"/>
                    <w:right w:val="single" w:sz="6" w:space="14" w:color="D1D5D5"/>
                  </w:divBdr>
                </w:div>
                <w:div w:id="1463840778">
                  <w:marLeft w:val="0"/>
                  <w:marRight w:val="75"/>
                  <w:marTop w:val="0"/>
                  <w:marBottom w:val="0"/>
                  <w:divBdr>
                    <w:top w:val="single" w:sz="6" w:space="8" w:color="D1D5D5"/>
                    <w:left w:val="single" w:sz="6" w:space="11" w:color="D1D5D5"/>
                    <w:bottom w:val="single" w:sz="6" w:space="8" w:color="D1D5D5"/>
                    <w:right w:val="single" w:sz="6" w:space="11" w:color="D1D5D5"/>
                  </w:divBdr>
                </w:div>
                <w:div w:id="1564677124">
                  <w:marLeft w:val="0"/>
                  <w:marRight w:val="0"/>
                  <w:marTop w:val="0"/>
                  <w:marBottom w:val="0"/>
                  <w:divBdr>
                    <w:top w:val="single" w:sz="6" w:space="5" w:color="D1D5D5"/>
                    <w:left w:val="single" w:sz="6" w:space="5" w:color="D1D5D5"/>
                    <w:bottom w:val="single" w:sz="6" w:space="5" w:color="D1D5D5"/>
                    <w:right w:val="single" w:sz="6" w:space="2" w:color="D1D5D5"/>
                  </w:divBdr>
                  <w:divsChild>
                    <w:div w:id="1352611091">
                      <w:marLeft w:val="0"/>
                      <w:marRight w:val="0"/>
                      <w:marTop w:val="15"/>
                      <w:marBottom w:val="0"/>
                      <w:divBdr>
                        <w:top w:val="none" w:sz="0" w:space="4" w:color="auto"/>
                        <w:left w:val="none" w:sz="0" w:space="0" w:color="auto"/>
                        <w:bottom w:val="none" w:sz="0" w:space="0" w:color="auto"/>
                        <w:right w:val="none" w:sz="0" w:space="3" w:color="auto"/>
                      </w:divBdr>
                    </w:div>
                    <w:div w:id="1778990043">
                      <w:marLeft w:val="225"/>
                      <w:marRight w:val="0"/>
                      <w:marTop w:val="15"/>
                      <w:marBottom w:val="0"/>
                      <w:divBdr>
                        <w:top w:val="none" w:sz="0" w:space="4" w:color="auto"/>
                        <w:left w:val="dotted" w:sz="6" w:space="3" w:color="777777"/>
                        <w:bottom w:val="none" w:sz="0" w:space="0" w:color="auto"/>
                        <w:right w:val="none" w:sz="0" w:space="3" w:color="auto"/>
                      </w:divBdr>
                    </w:div>
                  </w:divsChild>
                </w:div>
              </w:divsChild>
            </w:div>
          </w:divsChild>
        </w:div>
      </w:divsChild>
    </w:div>
    <w:div w:id="1967152783">
      <w:bodyDiv w:val="1"/>
      <w:marLeft w:val="0"/>
      <w:marRight w:val="0"/>
      <w:marTop w:val="0"/>
      <w:marBottom w:val="0"/>
      <w:divBdr>
        <w:top w:val="none" w:sz="0" w:space="0" w:color="auto"/>
        <w:left w:val="none" w:sz="0" w:space="0" w:color="auto"/>
        <w:bottom w:val="none" w:sz="0" w:space="0" w:color="auto"/>
        <w:right w:val="none" w:sz="0" w:space="0" w:color="auto"/>
      </w:divBdr>
    </w:div>
    <w:div w:id="1969507373">
      <w:bodyDiv w:val="1"/>
      <w:marLeft w:val="0"/>
      <w:marRight w:val="0"/>
      <w:marTop w:val="0"/>
      <w:marBottom w:val="0"/>
      <w:divBdr>
        <w:top w:val="none" w:sz="0" w:space="0" w:color="auto"/>
        <w:left w:val="none" w:sz="0" w:space="0" w:color="auto"/>
        <w:bottom w:val="none" w:sz="0" w:space="0" w:color="auto"/>
        <w:right w:val="none" w:sz="0" w:space="0" w:color="auto"/>
      </w:divBdr>
    </w:div>
    <w:div w:id="1992562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https://twitter.com/INEGI_INFORMA" TargetMode="External"/><Relationship Id="rId26" Type="http://schemas.openxmlformats.org/officeDocument/2006/relationships/chart" Target="charts/chart3.xml"/><Relationship Id="rId39" Type="http://schemas.openxmlformats.org/officeDocument/2006/relationships/theme" Target="theme/theme1.xml"/><Relationship Id="rId21" Type="http://schemas.openxmlformats.org/officeDocument/2006/relationships/image" Target="media/image5.jpeg"/><Relationship Id="rId34" Type="http://schemas.openxmlformats.org/officeDocument/2006/relationships/chart" Target="charts/chart1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image" Target="media/image3.jpeg"/><Relationship Id="rId25" Type="http://schemas.openxmlformats.org/officeDocument/2006/relationships/chart" Target="charts/chart2.xml"/><Relationship Id="rId33" Type="http://schemas.openxmlformats.org/officeDocument/2006/relationships/chart" Target="charts/chart10.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instagram.com/inegi_informa/" TargetMode="External"/><Relationship Id="rId20" Type="http://schemas.openxmlformats.org/officeDocument/2006/relationships/hyperlink" Target="https://www.youtube.com/user/INEGIInforma" TargetMode="External"/><Relationship Id="rId29" Type="http://schemas.openxmlformats.org/officeDocument/2006/relationships/chart" Target="charts/chart6.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omunicacionsocial@inegi.org.mx" TargetMode="External"/><Relationship Id="rId24" Type="http://schemas.openxmlformats.org/officeDocument/2006/relationships/chart" Target="charts/chart1.xml"/><Relationship Id="rId32" Type="http://schemas.openxmlformats.org/officeDocument/2006/relationships/chart" Target="charts/chart9.xml"/><Relationship Id="rId37"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image" Target="media/image2.jpeg"/><Relationship Id="rId23" Type="http://schemas.openxmlformats.org/officeDocument/2006/relationships/image" Target="media/image6.png"/><Relationship Id="rId28" Type="http://schemas.openxmlformats.org/officeDocument/2006/relationships/chart" Target="charts/chart5.xml"/><Relationship Id="rId36" Type="http://schemas.openxmlformats.org/officeDocument/2006/relationships/chart" Target="charts/chart13.xml"/><Relationship Id="rId10" Type="http://schemas.openxmlformats.org/officeDocument/2006/relationships/endnotes" Target="endnotes.xml"/><Relationship Id="rId19" Type="http://schemas.openxmlformats.org/officeDocument/2006/relationships/image" Target="media/image4.jpeg"/><Relationship Id="rId31" Type="http://schemas.openxmlformats.org/officeDocument/2006/relationships/chart" Target="charts/chart8.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facebook.com/INEGIInforma/" TargetMode="External"/><Relationship Id="rId22" Type="http://schemas.openxmlformats.org/officeDocument/2006/relationships/hyperlink" Target="http://www.inegi.org.mx/" TargetMode="External"/><Relationship Id="rId27" Type="http://schemas.openxmlformats.org/officeDocument/2006/relationships/chart" Target="charts/chart4.xml"/><Relationship Id="rId30" Type="http://schemas.openxmlformats.org/officeDocument/2006/relationships/chart" Target="charts/chart7.xml"/><Relationship Id="rId35" Type="http://schemas.openxmlformats.org/officeDocument/2006/relationships/chart" Target="charts/chart12.xml"/><Relationship Id="rId8" Type="http://schemas.openxmlformats.org/officeDocument/2006/relationships/webSettings" Target="webSettings.xml"/><Relationship Id="rId3" Type="http://schemas.openxmlformats.org/officeDocument/2006/relationships/customXml" Target="../customXml/item3.xml"/></Relationships>
</file>

<file path=word/_rels/header1.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Plantillas\bbalanza6.dot"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D:\Notas%20Trabajo%202021\Balanza\2023\07-23\graficas%20Bal%20opor%20desestacionalizada-opotunas%20desde%202009%20(Autoguardado).xlsx" TargetMode="Externa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D:\Notas%20Trabajo%202021\Balanza\2023\07-23\graficas%20Bal%20opor%20desestacionalizada-opotunas%20desde%202009%20(Autoguardado).xlsx" TargetMode="External"/></Relationships>
</file>

<file path=word/charts/_rels/chart3.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oleObject" Target="file:///D:\Notas%20Trabajo%202021\Balanza\2023\07-23\graficas%20Bal%20opor%20desestacionalizada-opotunas%20desde%202009%20(Autoguardado).xlsx" TargetMode="External"/></Relationships>
</file>

<file path=word/charts/_rels/chart4.xml.rels><?xml version="1.0" encoding="UTF-8" standalone="yes"?>
<Relationships xmlns="http://schemas.openxmlformats.org/package/2006/relationships"><Relationship Id="rId2" Type="http://schemas.openxmlformats.org/officeDocument/2006/relationships/chartUserShapes" Target="../drawings/drawing4.xml"/><Relationship Id="rId1" Type="http://schemas.openxmlformats.org/officeDocument/2006/relationships/oleObject" Target="file:///D:\Notas%20Trabajo%202021\Balanza\2023\07-23\graficas%20Bal%20opor%20desestacionalizada-opotunas%20desde%202009%20(Autoguardado).xlsx" TargetMode="External"/></Relationships>
</file>

<file path=word/charts/_rels/chart5.xml.rels><?xml version="1.0" encoding="UTF-8" standalone="yes"?>
<Relationships xmlns="http://schemas.openxmlformats.org/package/2006/relationships"><Relationship Id="rId2" Type="http://schemas.openxmlformats.org/officeDocument/2006/relationships/chartUserShapes" Target="../drawings/drawing5.xml"/><Relationship Id="rId1" Type="http://schemas.openxmlformats.org/officeDocument/2006/relationships/oleObject" Target="file:///D:\Notas%20Trabajo%202021\Balanza\2023\07-23\graficas%20Bal%20opor%20desestacionalizada-opotunas%20desde%202009%20(Autoguardado).xlsx" TargetMode="External"/></Relationships>
</file>

<file path=word/charts/_rels/chart6.xml.rels><?xml version="1.0" encoding="UTF-8" standalone="yes"?>
<Relationships xmlns="http://schemas.openxmlformats.org/package/2006/relationships"><Relationship Id="rId2" Type="http://schemas.openxmlformats.org/officeDocument/2006/relationships/chartUserShapes" Target="../drawings/drawing6.xml"/><Relationship Id="rId1" Type="http://schemas.openxmlformats.org/officeDocument/2006/relationships/oleObject" Target="file:///D:\Notas%20Trabajo%202021\Balanza\2023\07-23\graficas%20Bal%20opor%20desestacionalizada-opotunas%20desde%202009%20(Autoguardado).xlsx" TargetMode="External"/></Relationships>
</file>

<file path=word/charts/_rels/chart7.xml.rels><?xml version="1.0" encoding="UTF-8" standalone="yes"?>
<Relationships xmlns="http://schemas.openxmlformats.org/package/2006/relationships"><Relationship Id="rId2" Type="http://schemas.openxmlformats.org/officeDocument/2006/relationships/chartUserShapes" Target="../drawings/drawing7.xml"/><Relationship Id="rId1" Type="http://schemas.openxmlformats.org/officeDocument/2006/relationships/oleObject" Target="file:///D:\Notas%20Trabajo%202021\Balanza\2023\07-23\graficas%20Bal%20opor%20desestacionalizada-opotunas%20desde%202009%20(Autoguardado).xlsx" TargetMode="External"/></Relationships>
</file>

<file path=word/charts/_rels/chart8.xml.rels><?xml version="1.0" encoding="UTF-8" standalone="yes"?>
<Relationships xmlns="http://schemas.openxmlformats.org/package/2006/relationships"><Relationship Id="rId2" Type="http://schemas.openxmlformats.org/officeDocument/2006/relationships/chartUserShapes" Target="../drawings/drawing8.xml"/><Relationship Id="rId1" Type="http://schemas.openxmlformats.org/officeDocument/2006/relationships/oleObject" Target="file:///D:\Notas%20Trabajo%202021\Balanza\2023\07-23\graficas%20Bal%20opor%20desestacionalizada-opotunas%20desde%202009%20(Autoguardado).xlsx" TargetMode="External"/></Relationships>
</file>

<file path=word/charts/_rels/chart9.xml.rels><?xml version="1.0" encoding="UTF-8" standalone="yes"?>
<Relationships xmlns="http://schemas.openxmlformats.org/package/2006/relationships"><Relationship Id="rId2" Type="http://schemas.openxmlformats.org/officeDocument/2006/relationships/chartUserShapes" Target="../drawings/drawing9.xml"/><Relationship Id="rId1" Type="http://schemas.openxmlformats.org/officeDocument/2006/relationships/oleObject" Target="file:///D:\Notas%20Trabajo%202021\Balanza\2023\07-23\graficas%20Bal%20opor%20desestacionalizada-opotunas%20desde%202009%20(Autoguardado).xlsx" TargetMode="External"/></Relationships>
</file>

<file path=word/charts/_rels/chart10.xml.rels><?xml version="1.0" encoding="UTF-8" standalone="yes"?>
<Relationships xmlns="http://schemas.openxmlformats.org/package/2006/relationships"><Relationship Id="rId2" Type="http://schemas.openxmlformats.org/officeDocument/2006/relationships/chartUserShapes" Target="../drawings/drawing10.xml"/><Relationship Id="rId1" Type="http://schemas.openxmlformats.org/officeDocument/2006/relationships/oleObject" Target="file:///D:\Notas%20Trabajo%202021\Balanza\2023\07-23\graficas%20Bal%20opor%20desestacionalizada-opotunas%20desde%202009%20(Autoguardado).xlsx" TargetMode="External"/></Relationships>
</file>

<file path=word/charts/_rels/chart11.xml.rels><?xml version="1.0" encoding="UTF-8" standalone="yes"?>
<Relationships xmlns="http://schemas.openxmlformats.org/package/2006/relationships"><Relationship Id="rId2" Type="http://schemas.openxmlformats.org/officeDocument/2006/relationships/chartUserShapes" Target="../drawings/drawing11.xml"/><Relationship Id="rId1" Type="http://schemas.openxmlformats.org/officeDocument/2006/relationships/oleObject" Target="file:///D:\Notas%20Trabajo%202021\Balanza\2023\07-23\graficas%20Bal%20opor%20desestacionalizada-opotunas%20desde%202009%20(Autoguardado).xlsx" TargetMode="External"/></Relationships>
</file>

<file path=word/charts/_rels/chart12.xml.rels><?xml version="1.0" encoding="UTF-8" standalone="yes"?>
<Relationships xmlns="http://schemas.openxmlformats.org/package/2006/relationships"><Relationship Id="rId2" Type="http://schemas.openxmlformats.org/officeDocument/2006/relationships/chartUserShapes" Target="../drawings/drawing12.xml"/><Relationship Id="rId1" Type="http://schemas.openxmlformats.org/officeDocument/2006/relationships/oleObject" Target="file:///D:\Notas%20Trabajo%202021\Balanza\2023\07-23\graficas%20Bal%20opor%20desestacionalizada-opotunas%20desde%202009%20(Autoguardado).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D:\Notas%20Trabajo%202021\Balanza\2023\07-23\graficas%20Bal%20opor%20desestacionalizada-opotunas%20desde%202009%20(Autoguardado).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2.1751326328910886E-2"/>
          <c:y val="3.9495865891773979E-2"/>
          <c:w val="0.87810900140646975"/>
          <c:h val="0.86464797668043236"/>
        </c:manualLayout>
      </c:layout>
      <c:lineChart>
        <c:grouping val="standard"/>
        <c:varyColors val="0"/>
        <c:ser>
          <c:idx val="1"/>
          <c:order val="0"/>
          <c:tx>
            <c:strRef>
              <c:f>datos!$C$4</c:f>
              <c:strCache>
                <c:ptCount val="1"/>
                <c:pt idx="0">
                  <c:v>Serie desestacionalizada</c:v>
                </c:pt>
              </c:strCache>
            </c:strRef>
          </c:tx>
          <c:spPr>
            <a:ln w="15875" cap="flat">
              <a:solidFill>
                <a:schemeClr val="tx2">
                  <a:lumMod val="75000"/>
                  <a:alpha val="98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datos!$C$5:$C$71</c:f>
              <c:numCache>
                <c:formatCode>#,##0.0</c:formatCode>
                <c:ptCount val="67"/>
                <c:pt idx="0">
                  <c:v>-939.73085384380897</c:v>
                </c:pt>
                <c:pt idx="1">
                  <c:v>-414.89948168647697</c:v>
                </c:pt>
                <c:pt idx="2">
                  <c:v>-609.053046919032</c:v>
                </c:pt>
                <c:pt idx="3">
                  <c:v>-682.07083179281904</c:v>
                </c:pt>
                <c:pt idx="4">
                  <c:v>-2096.6459454599799</c:v>
                </c:pt>
                <c:pt idx="5">
                  <c:v>-1859.78168334155</c:v>
                </c:pt>
                <c:pt idx="6">
                  <c:v>-1777.86526211197</c:v>
                </c:pt>
                <c:pt idx="7">
                  <c:v>-1124.90752511404</c:v>
                </c:pt>
                <c:pt idx="8">
                  <c:v>-206.50330028253899</c:v>
                </c:pt>
                <c:pt idx="9">
                  <c:v>-1361.0468617171</c:v>
                </c:pt>
                <c:pt idx="10">
                  <c:v>-2498.7563441613502</c:v>
                </c:pt>
                <c:pt idx="11">
                  <c:v>68.387430194772605</c:v>
                </c:pt>
                <c:pt idx="12">
                  <c:v>-1304.4909610325001</c:v>
                </c:pt>
                <c:pt idx="13">
                  <c:v>171.844406041859</c:v>
                </c:pt>
                <c:pt idx="14">
                  <c:v>207.92734664524599</c:v>
                </c:pt>
                <c:pt idx="15">
                  <c:v>165.58048460273599</c:v>
                </c:pt>
                <c:pt idx="16">
                  <c:v>789.69261947921495</c:v>
                </c:pt>
                <c:pt idx="17">
                  <c:v>1147.4312535521201</c:v>
                </c:pt>
                <c:pt idx="18">
                  <c:v>412.51691031427498</c:v>
                </c:pt>
                <c:pt idx="19">
                  <c:v>1219.41387983496</c:v>
                </c:pt>
                <c:pt idx="20">
                  <c:v>467.75002723128398</c:v>
                </c:pt>
                <c:pt idx="21">
                  <c:v>103.080977320244</c:v>
                </c:pt>
                <c:pt idx="22">
                  <c:v>824.87549192023096</c:v>
                </c:pt>
                <c:pt idx="23">
                  <c:v>1010.50351769843</c:v>
                </c:pt>
                <c:pt idx="24">
                  <c:v>1418.37367978308</c:v>
                </c:pt>
                <c:pt idx="25">
                  <c:v>1545.4980015348399</c:v>
                </c:pt>
                <c:pt idx="26">
                  <c:v>1954.9906353061599</c:v>
                </c:pt>
                <c:pt idx="27">
                  <c:v>-4186.3615936461301</c:v>
                </c:pt>
                <c:pt idx="28">
                  <c:v>-3602.4371653774801</c:v>
                </c:pt>
                <c:pt idx="29">
                  <c:v>4574.6398008530796</c:v>
                </c:pt>
                <c:pt idx="30">
                  <c:v>6907.0106464145802</c:v>
                </c:pt>
                <c:pt idx="31">
                  <c:v>7019.7277008439296</c:v>
                </c:pt>
                <c:pt idx="32">
                  <c:v>4946.4666979164504</c:v>
                </c:pt>
                <c:pt idx="33">
                  <c:v>6556.9571278019203</c:v>
                </c:pt>
                <c:pt idx="34">
                  <c:v>3113.70228681769</c:v>
                </c:pt>
                <c:pt idx="35">
                  <c:v>3725.093663525</c:v>
                </c:pt>
                <c:pt idx="36">
                  <c:v>2260.66892832946</c:v>
                </c:pt>
                <c:pt idx="37">
                  <c:v>1998.65512613692</c:v>
                </c:pt>
                <c:pt idx="38">
                  <c:v>-3744.9428211292002</c:v>
                </c:pt>
                <c:pt idx="39">
                  <c:v>490.60318628791703</c:v>
                </c:pt>
                <c:pt idx="40">
                  <c:v>-368.41152118507398</c:v>
                </c:pt>
                <c:pt idx="41">
                  <c:v>-225.41724445054399</c:v>
                </c:pt>
                <c:pt idx="42">
                  <c:v>-2767.0781905723902</c:v>
                </c:pt>
                <c:pt idx="43">
                  <c:v>-2554.5727345589098</c:v>
                </c:pt>
                <c:pt idx="44">
                  <c:v>-1647.27487630518</c:v>
                </c:pt>
                <c:pt idx="45">
                  <c:v>-2101.5510878487398</c:v>
                </c:pt>
                <c:pt idx="46">
                  <c:v>-46.061083642816797</c:v>
                </c:pt>
                <c:pt idx="47">
                  <c:v>-1459.27948916331</c:v>
                </c:pt>
                <c:pt idx="48">
                  <c:v>-3689.78823314085</c:v>
                </c:pt>
                <c:pt idx="49">
                  <c:v>457.57953861407702</c:v>
                </c:pt>
                <c:pt idx="50">
                  <c:v>-1564.36956640477</c:v>
                </c:pt>
                <c:pt idx="51">
                  <c:v>-2865.4455100881</c:v>
                </c:pt>
                <c:pt idx="52">
                  <c:v>-2959.21552386147</c:v>
                </c:pt>
                <c:pt idx="53">
                  <c:v>-4972.4492324533103</c:v>
                </c:pt>
                <c:pt idx="54">
                  <c:v>-4656.04322207328</c:v>
                </c:pt>
                <c:pt idx="55">
                  <c:v>-3462.4784507900199</c:v>
                </c:pt>
                <c:pt idx="56">
                  <c:v>-178.08256291790701</c:v>
                </c:pt>
                <c:pt idx="57">
                  <c:v>-1689.08734161652</c:v>
                </c:pt>
                <c:pt idx="58">
                  <c:v>-209.52435253674599</c:v>
                </c:pt>
                <c:pt idx="59">
                  <c:v>-1754.43642131754</c:v>
                </c:pt>
                <c:pt idx="60">
                  <c:v>-491.97233978949902</c:v>
                </c:pt>
                <c:pt idx="61">
                  <c:v>-3100.4153116539201</c:v>
                </c:pt>
                <c:pt idx="62">
                  <c:v>75.296683466791393</c:v>
                </c:pt>
                <c:pt idx="63">
                  <c:v>-3293.34046327238</c:v>
                </c:pt>
                <c:pt idx="64">
                  <c:v>-515.22741362573504</c:v>
                </c:pt>
                <c:pt idx="65">
                  <c:v>-949.345359467555</c:v>
                </c:pt>
                <c:pt idx="66">
                  <c:v>532.14668998937702</c:v>
                </c:pt>
              </c:numCache>
            </c:numRef>
          </c:val>
          <c:smooth val="0"/>
          <c:extLst>
            <c:ext xmlns:c16="http://schemas.microsoft.com/office/drawing/2014/chart" uri="{C3380CC4-5D6E-409C-BE32-E72D297353CC}">
              <c16:uniqueId val="{00000000-C2D4-4BC4-891A-DCF1CA29AF93}"/>
            </c:ext>
          </c:extLst>
        </c:ser>
        <c:dLbls>
          <c:showLegendKey val="0"/>
          <c:showVal val="0"/>
          <c:showCatName val="0"/>
          <c:showSerName val="0"/>
          <c:showPercent val="0"/>
          <c:showBubbleSize val="0"/>
        </c:dLbls>
        <c:smooth val="0"/>
        <c:axId val="441886288"/>
        <c:axId val="616597096"/>
      </c:lineChart>
      <c:catAx>
        <c:axId val="441886288"/>
        <c:scaling>
          <c:orientation val="minMax"/>
        </c:scaling>
        <c:delete val="0"/>
        <c:axPos val="b"/>
        <c:numFmt formatCode="General" sourceLinked="1"/>
        <c:majorTickMark val="cross"/>
        <c:minorTickMark val="none"/>
        <c:tickLblPos val="low"/>
        <c:spPr>
          <a:ln w="3175">
            <a:solidFill>
              <a:srgbClr val="000000"/>
            </a:solidFill>
            <a:prstDash val="solid"/>
          </a:ln>
        </c:spPr>
        <c:txPr>
          <a:bodyPr rot="0" vert="horz"/>
          <a:lstStyle/>
          <a:p>
            <a:pPr>
              <a:defRPr sz="800"/>
            </a:pPr>
            <a:endParaRPr lang="es-MX"/>
          </a:p>
        </c:txPr>
        <c:crossAx val="616597096"/>
        <c:crosses val="autoZero"/>
        <c:auto val="1"/>
        <c:lblAlgn val="ctr"/>
        <c:lblOffset val="0"/>
        <c:tickLblSkip val="1"/>
        <c:tickMarkSkip val="12"/>
        <c:noMultiLvlLbl val="1"/>
      </c:catAx>
      <c:valAx>
        <c:axId val="616597096"/>
        <c:scaling>
          <c:orientation val="minMax"/>
          <c:max val="8000"/>
          <c:min val="-8000"/>
        </c:scaling>
        <c:delete val="0"/>
        <c:axPos val="r"/>
        <c:numFmt formatCode="#\ ##0" sourceLinked="0"/>
        <c:majorTickMark val="out"/>
        <c:minorTickMark val="none"/>
        <c:tickLblPos val="high"/>
        <c:spPr>
          <a:ln w="3175">
            <a:solidFill>
              <a:srgbClr val="000000"/>
            </a:solidFill>
            <a:prstDash val="solid"/>
          </a:ln>
        </c:spPr>
        <c:txPr>
          <a:bodyPr rot="0" vert="horz"/>
          <a:lstStyle/>
          <a:p>
            <a:pPr>
              <a:defRPr sz="800"/>
            </a:pPr>
            <a:endParaRPr lang="es-MX"/>
          </a:p>
        </c:txPr>
        <c:crossAx val="441886288"/>
        <c:crosses val="max"/>
        <c:crossBetween val="midCat"/>
        <c:majorUnit val="2000"/>
        <c:minorUnit val="200"/>
      </c:valAx>
      <c:spPr>
        <a:noFill/>
        <a:ln w="15875">
          <a:noFill/>
          <a:prstDash val="solid"/>
        </a:ln>
      </c:spPr>
    </c:plotArea>
    <c:plotVisOnly val="1"/>
    <c:dispBlanksAs val="zero"/>
    <c:showDLblsOverMax val="0"/>
  </c:chart>
  <c:spPr>
    <a:noFill/>
    <a:ln w="3175">
      <a:solidFill>
        <a:schemeClr val="tx1"/>
      </a:solidFill>
      <a:prstDash val="solid"/>
    </a:ln>
    <a:effectLst>
      <a:outerShdw dist="12700" dir="2700000" algn="tl" rotWithShape="0">
        <a:prstClr val="black"/>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700" b="1"/>
            </a:pPr>
            <a:r>
              <a:rPr lang="es-ES" sz="700" b="1" cap="small" baseline="0"/>
              <a:t>Totales</a:t>
            </a:r>
          </a:p>
        </c:rich>
      </c:tx>
      <c:layout>
        <c:manualLayout>
          <c:xMode val="edge"/>
          <c:yMode val="edge"/>
          <c:x val="0.42851406469762776"/>
          <c:y val="0"/>
        </c:manualLayout>
      </c:layout>
      <c:overlay val="1"/>
    </c:title>
    <c:autoTitleDeleted val="0"/>
    <c:plotArea>
      <c:layout>
        <c:manualLayout>
          <c:layoutTarget val="inner"/>
          <c:xMode val="edge"/>
          <c:yMode val="edge"/>
          <c:x val="2.7150492264416341E-2"/>
          <c:y val="5.4538923182442134E-2"/>
          <c:w val="0.87057255039852288"/>
          <c:h val="0.79496347736625517"/>
        </c:manualLayout>
      </c:layout>
      <c:lineChart>
        <c:grouping val="standard"/>
        <c:varyColors val="0"/>
        <c:ser>
          <c:idx val="1"/>
          <c:order val="0"/>
          <c:tx>
            <c:strRef>
              <c:f>datos!$E$4</c:f>
              <c:strCache>
                <c:ptCount val="1"/>
                <c:pt idx="0">
                  <c:v>Serie desestacionalizada</c:v>
                </c:pt>
              </c:strCache>
            </c:strRef>
          </c:tx>
          <c:spPr>
            <a:ln w="15875" cap="flat">
              <a:solidFill>
                <a:schemeClr val="bg1">
                  <a:lumMod val="6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datos!$E$5:$E$71</c:f>
              <c:numCache>
                <c:formatCode>#,##0.0</c:formatCode>
                <c:ptCount val="67"/>
                <c:pt idx="0">
                  <c:v>35579.349478004697</c:v>
                </c:pt>
                <c:pt idx="1">
                  <c:v>37195.597863690004</c:v>
                </c:pt>
                <c:pt idx="2">
                  <c:v>38196.638306913002</c:v>
                </c:pt>
                <c:pt idx="3">
                  <c:v>37217.8592244631</c:v>
                </c:pt>
                <c:pt idx="4">
                  <c:v>36480.082377212202</c:v>
                </c:pt>
                <c:pt idx="5">
                  <c:v>37215.191754525797</c:v>
                </c:pt>
                <c:pt idx="6">
                  <c:v>37526.953852490202</c:v>
                </c:pt>
                <c:pt idx="7">
                  <c:v>38004.590434273799</c:v>
                </c:pt>
                <c:pt idx="8">
                  <c:v>39316.095097332203</c:v>
                </c:pt>
                <c:pt idx="9">
                  <c:v>38370.117945028796</c:v>
                </c:pt>
                <c:pt idx="10">
                  <c:v>37435.261911242203</c:v>
                </c:pt>
                <c:pt idx="11">
                  <c:v>37948.681835654403</c:v>
                </c:pt>
                <c:pt idx="12">
                  <c:v>37329.376032276698</c:v>
                </c:pt>
                <c:pt idx="13">
                  <c:v>38557.608086615503</c:v>
                </c:pt>
                <c:pt idx="14">
                  <c:v>38332.438973834804</c:v>
                </c:pt>
                <c:pt idx="15">
                  <c:v>38982.714569532502</c:v>
                </c:pt>
                <c:pt idx="16">
                  <c:v>39162.956476700099</c:v>
                </c:pt>
                <c:pt idx="17">
                  <c:v>38820.546661311499</c:v>
                </c:pt>
                <c:pt idx="18">
                  <c:v>38765.862366784502</c:v>
                </c:pt>
                <c:pt idx="19">
                  <c:v>39539.293236384401</c:v>
                </c:pt>
                <c:pt idx="20">
                  <c:v>38077.890228774602</c:v>
                </c:pt>
                <c:pt idx="21">
                  <c:v>37539.331940288903</c:v>
                </c:pt>
                <c:pt idx="22">
                  <c:v>37667.038871783298</c:v>
                </c:pt>
                <c:pt idx="23">
                  <c:v>37623.789376626701</c:v>
                </c:pt>
                <c:pt idx="24">
                  <c:v>38563.754189133098</c:v>
                </c:pt>
                <c:pt idx="25">
                  <c:v>38024.479456464403</c:v>
                </c:pt>
                <c:pt idx="26">
                  <c:v>36493.060039772397</c:v>
                </c:pt>
                <c:pt idx="27">
                  <c:v>22586.768372554499</c:v>
                </c:pt>
                <c:pt idx="28">
                  <c:v>18216.166047606901</c:v>
                </c:pt>
                <c:pt idx="29">
                  <c:v>31883.863216620201</c:v>
                </c:pt>
                <c:pt idx="30">
                  <c:v>35244.2188241779</c:v>
                </c:pt>
                <c:pt idx="31">
                  <c:v>38032.803822100301</c:v>
                </c:pt>
                <c:pt idx="32">
                  <c:v>37866.433458933599</c:v>
                </c:pt>
                <c:pt idx="33">
                  <c:v>40176.058868389402</c:v>
                </c:pt>
                <c:pt idx="34">
                  <c:v>38956.124568166502</c:v>
                </c:pt>
                <c:pt idx="35">
                  <c:v>40227.868410574403</c:v>
                </c:pt>
                <c:pt idx="36">
                  <c:v>39935.477273507502</c:v>
                </c:pt>
                <c:pt idx="37">
                  <c:v>38335.651712899496</c:v>
                </c:pt>
                <c:pt idx="38">
                  <c:v>40038.028014432202</c:v>
                </c:pt>
                <c:pt idx="39">
                  <c:v>39794.455724184401</c:v>
                </c:pt>
                <c:pt idx="40">
                  <c:v>40787.394931155402</c:v>
                </c:pt>
                <c:pt idx="41">
                  <c:v>40865.323276141396</c:v>
                </c:pt>
                <c:pt idx="42">
                  <c:v>41486.206765016999</c:v>
                </c:pt>
                <c:pt idx="43">
                  <c:v>40443.982232558803</c:v>
                </c:pt>
                <c:pt idx="44">
                  <c:v>41084.855498134799</c:v>
                </c:pt>
                <c:pt idx="45">
                  <c:v>41621.272952862302</c:v>
                </c:pt>
                <c:pt idx="46">
                  <c:v>44807.279395620601</c:v>
                </c:pt>
                <c:pt idx="47">
                  <c:v>44981.563408127498</c:v>
                </c:pt>
                <c:pt idx="48">
                  <c:v>41245.993957304701</c:v>
                </c:pt>
                <c:pt idx="49">
                  <c:v>49150.663702324702</c:v>
                </c:pt>
                <c:pt idx="50">
                  <c:v>47568.378424126102</c:v>
                </c:pt>
                <c:pt idx="51">
                  <c:v>48122.577265782202</c:v>
                </c:pt>
                <c:pt idx="52">
                  <c:v>48396.7489642609</c:v>
                </c:pt>
                <c:pt idx="53">
                  <c:v>49037.311990989299</c:v>
                </c:pt>
                <c:pt idx="54">
                  <c:v>48610.188850247701</c:v>
                </c:pt>
                <c:pt idx="55">
                  <c:v>48748.571229317196</c:v>
                </c:pt>
                <c:pt idx="56">
                  <c:v>51539.5618153756</c:v>
                </c:pt>
                <c:pt idx="57">
                  <c:v>48937.471706472403</c:v>
                </c:pt>
                <c:pt idx="58">
                  <c:v>48039.264272474</c:v>
                </c:pt>
                <c:pt idx="59">
                  <c:v>47712.213736130601</c:v>
                </c:pt>
                <c:pt idx="60">
                  <c:v>50165.390944848397</c:v>
                </c:pt>
                <c:pt idx="61">
                  <c:v>47625.853573170301</c:v>
                </c:pt>
                <c:pt idx="62">
                  <c:v>49489.355117938903</c:v>
                </c:pt>
                <c:pt idx="63">
                  <c:v>48023.884988785903</c:v>
                </c:pt>
                <c:pt idx="64">
                  <c:v>49394.886949229302</c:v>
                </c:pt>
                <c:pt idx="65">
                  <c:v>49848.628389434598</c:v>
                </c:pt>
                <c:pt idx="66">
                  <c:v>50337.025338892599</c:v>
                </c:pt>
              </c:numCache>
            </c:numRef>
          </c:val>
          <c:smooth val="0"/>
          <c:extLst>
            <c:ext xmlns:c16="http://schemas.microsoft.com/office/drawing/2014/chart" uri="{C3380CC4-5D6E-409C-BE32-E72D297353CC}">
              <c16:uniqueId val="{00000000-71A0-4971-9BE1-DEDC4F2EADBB}"/>
            </c:ext>
          </c:extLst>
        </c:ser>
        <c:ser>
          <c:idx val="0"/>
          <c:order val="1"/>
          <c:tx>
            <c:strRef>
              <c:f>datos!$F$4</c:f>
              <c:strCache>
                <c:ptCount val="1"/>
                <c:pt idx="0">
                  <c:v>Serie de tendencia-ciclo</c:v>
                </c:pt>
              </c:strCache>
            </c:strRef>
          </c:tx>
          <c:spPr>
            <a:ln w="12700">
              <a:solidFill>
                <a:schemeClr val="tx2">
                  <a:lumMod val="75000"/>
                </a:schemeClr>
              </a:solidFill>
              <a:prstDash val="solid"/>
            </a:ln>
            <a:effectLst/>
          </c:spPr>
          <c:marker>
            <c:symbol val="none"/>
          </c:marker>
          <c:dPt>
            <c:idx val="2"/>
            <c:bubble3D val="0"/>
            <c:extLst>
              <c:ext xmlns:c16="http://schemas.microsoft.com/office/drawing/2014/chart" uri="{C3380CC4-5D6E-409C-BE32-E72D297353CC}">
                <c16:uniqueId val="{00000001-71A0-4971-9BE1-DEDC4F2EADBB}"/>
              </c:ext>
            </c:extLst>
          </c:dPt>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datos!$F$5:$F$71</c:f>
              <c:numCache>
                <c:formatCode>#,##0.0</c:formatCode>
                <c:ptCount val="67"/>
                <c:pt idx="0">
                  <c:v>36749.648325580172</c:v>
                </c:pt>
                <c:pt idx="1">
                  <c:v>37064.848680819756</c:v>
                </c:pt>
                <c:pt idx="2">
                  <c:v>37230.068551245429</c:v>
                </c:pt>
                <c:pt idx="3">
                  <c:v>37316.875642034414</c:v>
                </c:pt>
                <c:pt idx="4">
                  <c:v>37426.752412168113</c:v>
                </c:pt>
                <c:pt idx="5">
                  <c:v>37587.645219558937</c:v>
                </c:pt>
                <c:pt idx="6">
                  <c:v>37782.957198109725</c:v>
                </c:pt>
                <c:pt idx="7">
                  <c:v>37963.766314070555</c:v>
                </c:pt>
                <c:pt idx="8">
                  <c:v>38063.446549332628</c:v>
                </c:pt>
                <c:pt idx="9">
                  <c:v>38051.365324507722</c:v>
                </c:pt>
                <c:pt idx="10">
                  <c:v>37980.303661935075</c:v>
                </c:pt>
                <c:pt idx="11">
                  <c:v>37955.453585304684</c:v>
                </c:pt>
                <c:pt idx="12">
                  <c:v>38048.520221557148</c:v>
                </c:pt>
                <c:pt idx="13">
                  <c:v>38267.048547410879</c:v>
                </c:pt>
                <c:pt idx="14">
                  <c:v>38563.720919868691</c:v>
                </c:pt>
                <c:pt idx="15">
                  <c:v>38846.392821634894</c:v>
                </c:pt>
                <c:pt idx="16">
                  <c:v>39001.021642312604</c:v>
                </c:pt>
                <c:pt idx="17">
                  <c:v>38983.002145702296</c:v>
                </c:pt>
                <c:pt idx="18">
                  <c:v>38805.675053221159</c:v>
                </c:pt>
                <c:pt idx="19">
                  <c:v>38515.815881413313</c:v>
                </c:pt>
                <c:pt idx="20">
                  <c:v>38227.179253529772</c:v>
                </c:pt>
                <c:pt idx="21">
                  <c:v>37995.760595393323</c:v>
                </c:pt>
                <c:pt idx="22">
                  <c:v>37820.768128890326</c:v>
                </c:pt>
                <c:pt idx="23">
                  <c:v>37680.015428039296</c:v>
                </c:pt>
                <c:pt idx="24">
                  <c:v>37527.5355594879</c:v>
                </c:pt>
                <c:pt idx="25">
                  <c:v>37318.613525119639</c:v>
                </c:pt>
                <c:pt idx="26">
                  <c:v>37073.867130747778</c:v>
                </c:pt>
                <c:pt idx="27">
                  <c:v>36842.655337331889</c:v>
                </c:pt>
                <c:pt idx="28">
                  <c:v>36751.971195200538</c:v>
                </c:pt>
                <c:pt idx="29">
                  <c:v>36865.200191392956</c:v>
                </c:pt>
                <c:pt idx="30">
                  <c:v>37200.971672832296</c:v>
                </c:pt>
                <c:pt idx="31">
                  <c:v>37738.043464639166</c:v>
                </c:pt>
                <c:pt idx="32">
                  <c:v>38358.791894436683</c:v>
                </c:pt>
                <c:pt idx="33">
                  <c:v>38913.564116647336</c:v>
                </c:pt>
                <c:pt idx="34">
                  <c:v>39301.116422003877</c:v>
                </c:pt>
                <c:pt idx="35">
                  <c:v>39498.284783486852</c:v>
                </c:pt>
                <c:pt idx="36">
                  <c:v>39571.836931252583</c:v>
                </c:pt>
                <c:pt idx="37">
                  <c:v>39640.900994942567</c:v>
                </c:pt>
                <c:pt idx="38">
                  <c:v>39767.517913256568</c:v>
                </c:pt>
                <c:pt idx="39">
                  <c:v>39973.7346184423</c:v>
                </c:pt>
                <c:pt idx="40">
                  <c:v>40219.763431683205</c:v>
                </c:pt>
                <c:pt idx="41">
                  <c:v>40441.384111515908</c:v>
                </c:pt>
                <c:pt idx="42">
                  <c:v>40659.346112761254</c:v>
                </c:pt>
                <c:pt idx="43">
                  <c:v>40910.41009732995</c:v>
                </c:pt>
                <c:pt idx="44">
                  <c:v>41350.549540318738</c:v>
                </c:pt>
                <c:pt idx="45">
                  <c:v>42110.973897934302</c:v>
                </c:pt>
                <c:pt idx="46">
                  <c:v>43188.174507068252</c:v>
                </c:pt>
                <c:pt idx="47">
                  <c:v>44430.920309280336</c:v>
                </c:pt>
                <c:pt idx="48">
                  <c:v>45651.893435346909</c:v>
                </c:pt>
                <c:pt idx="49">
                  <c:v>46721.039155347069</c:v>
                </c:pt>
                <c:pt idx="50">
                  <c:v>47555.513036632721</c:v>
                </c:pt>
                <c:pt idx="51">
                  <c:v>48179.397480469772</c:v>
                </c:pt>
                <c:pt idx="52">
                  <c:v>48651.849227882485</c:v>
                </c:pt>
                <c:pt idx="53">
                  <c:v>49024.30349390176</c:v>
                </c:pt>
                <c:pt idx="54">
                  <c:v>49247.932100286947</c:v>
                </c:pt>
                <c:pt idx="55">
                  <c:v>49313.403825753325</c:v>
                </c:pt>
                <c:pt idx="56">
                  <c:v>49195.550576991169</c:v>
                </c:pt>
                <c:pt idx="57">
                  <c:v>48917.067319542635</c:v>
                </c:pt>
                <c:pt idx="58">
                  <c:v>48614.811201935365</c:v>
                </c:pt>
                <c:pt idx="59">
                  <c:v>48430.730852348715</c:v>
                </c:pt>
                <c:pt idx="60">
                  <c:v>48436.730120122222</c:v>
                </c:pt>
                <c:pt idx="61">
                  <c:v>48620.410394691979</c:v>
                </c:pt>
                <c:pt idx="62">
                  <c:v>48944.841428107495</c:v>
                </c:pt>
                <c:pt idx="63">
                  <c:v>49345.488030397966</c:v>
                </c:pt>
                <c:pt idx="64">
                  <c:v>49755.173564786994</c:v>
                </c:pt>
                <c:pt idx="65">
                  <c:v>50190.428695608382</c:v>
                </c:pt>
                <c:pt idx="66">
                  <c:v>50655.406514154274</c:v>
                </c:pt>
              </c:numCache>
            </c:numRef>
          </c:val>
          <c:smooth val="0"/>
          <c:extLst>
            <c:ext xmlns:c16="http://schemas.microsoft.com/office/drawing/2014/chart" uri="{C3380CC4-5D6E-409C-BE32-E72D297353CC}">
              <c16:uniqueId val="{00000002-71A0-4971-9BE1-DEDC4F2EADBB}"/>
            </c:ext>
          </c:extLst>
        </c:ser>
        <c:dLbls>
          <c:showLegendKey val="0"/>
          <c:showVal val="0"/>
          <c:showCatName val="0"/>
          <c:showSerName val="0"/>
          <c:showPercent val="0"/>
          <c:showBubbleSize val="0"/>
        </c:dLbls>
        <c:smooth val="0"/>
        <c:axId val="440195736"/>
        <c:axId val="440194168"/>
      </c:lineChart>
      <c:catAx>
        <c:axId val="440195736"/>
        <c:scaling>
          <c:orientation val="minMax"/>
        </c:scaling>
        <c:delete val="0"/>
        <c:axPos val="b"/>
        <c:numFmt formatCode="General" sourceLinked="1"/>
        <c:majorTickMark val="cross"/>
        <c:minorTickMark val="none"/>
        <c:tickLblPos val="low"/>
        <c:spPr>
          <a:ln w="3175">
            <a:solidFill>
              <a:srgbClr val="000000"/>
            </a:solidFill>
            <a:prstDash val="solid"/>
          </a:ln>
        </c:spPr>
        <c:txPr>
          <a:bodyPr rot="0" vert="horz"/>
          <a:lstStyle/>
          <a:p>
            <a:pPr>
              <a:defRPr sz="350"/>
            </a:pPr>
            <a:endParaRPr lang="es-MX"/>
          </a:p>
        </c:txPr>
        <c:crossAx val="440194168"/>
        <c:crosses val="autoZero"/>
        <c:auto val="1"/>
        <c:lblAlgn val="ctr"/>
        <c:lblOffset val="100"/>
        <c:tickLblSkip val="1"/>
        <c:tickMarkSkip val="12"/>
        <c:noMultiLvlLbl val="1"/>
      </c:catAx>
      <c:valAx>
        <c:axId val="440194168"/>
        <c:scaling>
          <c:orientation val="minMax"/>
          <c:max val="58000"/>
          <c:min val="16000"/>
        </c:scaling>
        <c:delete val="0"/>
        <c:axPos val="r"/>
        <c:numFmt formatCode="#\ ##0" sourceLinked="0"/>
        <c:majorTickMark val="out"/>
        <c:minorTickMark val="none"/>
        <c:tickLblPos val="high"/>
        <c:spPr>
          <a:ln w="3175">
            <a:solidFill>
              <a:srgbClr val="000000"/>
            </a:solidFill>
            <a:prstDash val="solid"/>
          </a:ln>
        </c:spPr>
        <c:txPr>
          <a:bodyPr rot="0" vert="horz"/>
          <a:lstStyle/>
          <a:p>
            <a:pPr>
              <a:defRPr/>
            </a:pPr>
            <a:endParaRPr lang="es-MX"/>
          </a:p>
        </c:txPr>
        <c:crossAx val="440195736"/>
        <c:crosses val="max"/>
        <c:crossBetween val="between"/>
        <c:majorUnit val="8400"/>
        <c:minorUnit val="400"/>
      </c:valAx>
      <c:spPr>
        <a:noFill/>
        <a:ln w="3175">
          <a:noFill/>
          <a:prstDash val="solid"/>
        </a:ln>
      </c:spPr>
    </c:plotArea>
    <c:legend>
      <c:legendPos val="b"/>
      <c:layout>
        <c:manualLayout>
          <c:xMode val="edge"/>
          <c:yMode val="edge"/>
          <c:x val="0"/>
          <c:y val="0.93397297808012092"/>
          <c:w val="0.99432857405669794"/>
          <c:h val="4.9672325102880673E-2"/>
        </c:manualLayout>
      </c:layout>
      <c:overlay val="0"/>
      <c:spPr>
        <a:noFill/>
        <a:ln w="25400">
          <a:noFill/>
        </a:ln>
      </c:spPr>
    </c:legend>
    <c:plotVisOnly val="1"/>
    <c:dispBlanksAs val="zero"/>
    <c:showDLblsOverMax val="0"/>
  </c:chart>
  <c:spPr>
    <a:noFill/>
    <a:ln w="3175">
      <a:solidFill>
        <a:schemeClr val="tx1"/>
      </a:solidFill>
      <a:prstDash val="solid"/>
    </a:ln>
    <a:effectLst/>
  </c:spPr>
  <c:txPr>
    <a:bodyPr/>
    <a:lstStyle/>
    <a:p>
      <a:pPr>
        <a:defRPr sz="5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lgn="ctr">
              <a:defRPr lang="es-MX" sz="700" b="1" i="0" cap="small" baseline="0"/>
            </a:pPr>
            <a:r>
              <a:rPr lang="es-ES" sz="700" b="1" i="0" cap="small" baseline="0"/>
              <a:t>Petroleras</a:t>
            </a:r>
          </a:p>
        </c:rich>
      </c:tx>
      <c:layout>
        <c:manualLayout>
          <c:xMode val="edge"/>
          <c:yMode val="edge"/>
          <c:x val="0.37839580403188638"/>
          <c:y val="6.5329218106995914E-3"/>
        </c:manualLayout>
      </c:layout>
      <c:overlay val="1"/>
    </c:title>
    <c:autoTitleDeleted val="0"/>
    <c:plotArea>
      <c:layout>
        <c:manualLayout>
          <c:layoutTarget val="inner"/>
          <c:xMode val="edge"/>
          <c:yMode val="edge"/>
          <c:x val="3.9390166028097064E-2"/>
          <c:y val="5.4538999734452885E-2"/>
          <c:w val="0.88382032348804562"/>
          <c:h val="0.79278583676269065"/>
        </c:manualLayout>
      </c:layout>
      <c:lineChart>
        <c:grouping val="standard"/>
        <c:varyColors val="0"/>
        <c:ser>
          <c:idx val="1"/>
          <c:order val="0"/>
          <c:tx>
            <c:strRef>
              <c:f>datos!$G$4</c:f>
              <c:strCache>
                <c:ptCount val="1"/>
                <c:pt idx="0">
                  <c:v>Serie desestacionalizada</c:v>
                </c:pt>
              </c:strCache>
            </c:strRef>
          </c:tx>
          <c:spPr>
            <a:ln w="15875" cap="flat">
              <a:solidFill>
                <a:schemeClr val="bg1">
                  <a:lumMod val="6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datos!$G$5:$G$71</c:f>
              <c:numCache>
                <c:formatCode>#,##0.0</c:formatCode>
                <c:ptCount val="67"/>
                <c:pt idx="0">
                  <c:v>2528.4926710591099</c:v>
                </c:pt>
                <c:pt idx="1">
                  <c:v>2733.7338842240702</c:v>
                </c:pt>
                <c:pt idx="2">
                  <c:v>2583.90401455152</c:v>
                </c:pt>
                <c:pt idx="3">
                  <c:v>2763.1892346771001</c:v>
                </c:pt>
                <c:pt idx="4">
                  <c:v>2653.2640558113098</c:v>
                </c:pt>
                <c:pt idx="5">
                  <c:v>2497.2821607932701</c:v>
                </c:pt>
                <c:pt idx="6">
                  <c:v>2425.86555636916</c:v>
                </c:pt>
                <c:pt idx="7">
                  <c:v>2661.9281457430202</c:v>
                </c:pt>
                <c:pt idx="8">
                  <c:v>2774.8647834752901</c:v>
                </c:pt>
                <c:pt idx="9">
                  <c:v>2534.0366751736001</c:v>
                </c:pt>
                <c:pt idx="10">
                  <c:v>2306.4083308938302</c:v>
                </c:pt>
                <c:pt idx="11">
                  <c:v>2181.2938198824299</c:v>
                </c:pt>
                <c:pt idx="12">
                  <c:v>2276.2507889224898</c:v>
                </c:pt>
                <c:pt idx="13">
                  <c:v>2769.25897997624</c:v>
                </c:pt>
                <c:pt idx="14">
                  <c:v>2474.8611994001999</c:v>
                </c:pt>
                <c:pt idx="15">
                  <c:v>2331.98062750089</c:v>
                </c:pt>
                <c:pt idx="16">
                  <c:v>2449.5327173874898</c:v>
                </c:pt>
                <c:pt idx="17">
                  <c:v>1931.3861710502199</c:v>
                </c:pt>
                <c:pt idx="18">
                  <c:v>2029.61405402733</c:v>
                </c:pt>
                <c:pt idx="19">
                  <c:v>1872.54060817544</c:v>
                </c:pt>
                <c:pt idx="20">
                  <c:v>1912.1886440651001</c:v>
                </c:pt>
                <c:pt idx="21">
                  <c:v>1806.9921641374301</c:v>
                </c:pt>
                <c:pt idx="22">
                  <c:v>1885.4024099071701</c:v>
                </c:pt>
                <c:pt idx="23">
                  <c:v>2130.48248235346</c:v>
                </c:pt>
                <c:pt idx="24">
                  <c:v>2394.12864042709</c:v>
                </c:pt>
                <c:pt idx="25">
                  <c:v>1622.9217345647901</c:v>
                </c:pt>
                <c:pt idx="26">
                  <c:v>1270.0983256320101</c:v>
                </c:pt>
                <c:pt idx="27">
                  <c:v>853.029356247024</c:v>
                </c:pt>
                <c:pt idx="28">
                  <c:v>938.66083831082801</c:v>
                </c:pt>
                <c:pt idx="29">
                  <c:v>1229.2803968652099</c:v>
                </c:pt>
                <c:pt idx="30">
                  <c:v>1280.3064766571099</c:v>
                </c:pt>
                <c:pt idx="31">
                  <c:v>1662.7155035962601</c:v>
                </c:pt>
                <c:pt idx="32">
                  <c:v>1496.3038516034001</c:v>
                </c:pt>
                <c:pt idx="33">
                  <c:v>1351.36908726356</c:v>
                </c:pt>
                <c:pt idx="34">
                  <c:v>1656.34575158386</c:v>
                </c:pt>
                <c:pt idx="35">
                  <c:v>1984.6755640102299</c:v>
                </c:pt>
                <c:pt idx="36">
                  <c:v>2004.5695566629699</c:v>
                </c:pt>
                <c:pt idx="37">
                  <c:v>2046.5910161837501</c:v>
                </c:pt>
                <c:pt idx="38">
                  <c:v>2167.3353600356299</c:v>
                </c:pt>
                <c:pt idx="39">
                  <c:v>2110.0805330804501</c:v>
                </c:pt>
                <c:pt idx="40">
                  <c:v>2278.8321120311998</c:v>
                </c:pt>
                <c:pt idx="41">
                  <c:v>2430.8973070065799</c:v>
                </c:pt>
                <c:pt idx="42">
                  <c:v>2628.7771337303302</c:v>
                </c:pt>
                <c:pt idx="43">
                  <c:v>2635.0108525947098</c:v>
                </c:pt>
                <c:pt idx="44">
                  <c:v>2515.5281347875798</c:v>
                </c:pt>
                <c:pt idx="45">
                  <c:v>2749.5650015134602</c:v>
                </c:pt>
                <c:pt idx="46">
                  <c:v>2893.7024348590999</c:v>
                </c:pt>
                <c:pt idx="47">
                  <c:v>2853.0522531696502</c:v>
                </c:pt>
                <c:pt idx="48">
                  <c:v>2705.31221993083</c:v>
                </c:pt>
                <c:pt idx="49">
                  <c:v>3150.9712497135301</c:v>
                </c:pt>
                <c:pt idx="50">
                  <c:v>3602.2839687921301</c:v>
                </c:pt>
                <c:pt idx="51">
                  <c:v>3896.7573610454201</c:v>
                </c:pt>
                <c:pt idx="52">
                  <c:v>3690.02585831643</c:v>
                </c:pt>
                <c:pt idx="53">
                  <c:v>3670.5899157593099</c:v>
                </c:pt>
                <c:pt idx="54">
                  <c:v>3514.56609178707</c:v>
                </c:pt>
                <c:pt idx="55">
                  <c:v>3104.3879362985899</c:v>
                </c:pt>
                <c:pt idx="56">
                  <c:v>3309.0099522462701</c:v>
                </c:pt>
                <c:pt idx="57">
                  <c:v>2859.6955349935101</c:v>
                </c:pt>
                <c:pt idx="58">
                  <c:v>2536.0701088344699</c:v>
                </c:pt>
                <c:pt idx="59">
                  <c:v>2812.10087267677</c:v>
                </c:pt>
                <c:pt idx="60">
                  <c:v>2907.638682064</c:v>
                </c:pt>
                <c:pt idx="61">
                  <c:v>2539.3323532488098</c:v>
                </c:pt>
                <c:pt idx="62">
                  <c:v>2592.6935784034399</c:v>
                </c:pt>
                <c:pt idx="63">
                  <c:v>2612.6977723785899</c:v>
                </c:pt>
                <c:pt idx="64">
                  <c:v>2622.0738550937099</c:v>
                </c:pt>
                <c:pt idx="65">
                  <c:v>2588.7962997160398</c:v>
                </c:pt>
                <c:pt idx="66">
                  <c:v>2495.8230219976399</c:v>
                </c:pt>
              </c:numCache>
            </c:numRef>
          </c:val>
          <c:smooth val="0"/>
          <c:extLst>
            <c:ext xmlns:c16="http://schemas.microsoft.com/office/drawing/2014/chart" uri="{C3380CC4-5D6E-409C-BE32-E72D297353CC}">
              <c16:uniqueId val="{00000000-3D84-43D3-A38B-1305BCDF87EC}"/>
            </c:ext>
          </c:extLst>
        </c:ser>
        <c:ser>
          <c:idx val="0"/>
          <c:order val="1"/>
          <c:tx>
            <c:strRef>
              <c:f>datos!$H$4</c:f>
              <c:strCache>
                <c:ptCount val="1"/>
                <c:pt idx="0">
                  <c:v>Serie de tendencia-ciclo</c:v>
                </c:pt>
              </c:strCache>
            </c:strRef>
          </c:tx>
          <c:spPr>
            <a:ln w="12700">
              <a:solidFill>
                <a:schemeClr val="tx2">
                  <a:lumMod val="7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datos!$H$5:$H$71</c:f>
              <c:numCache>
                <c:formatCode>#,##0.0</c:formatCode>
                <c:ptCount val="67"/>
                <c:pt idx="0">
                  <c:v>2623.2341513111296</c:v>
                </c:pt>
                <c:pt idx="1">
                  <c:v>2675.918168868352</c:v>
                </c:pt>
                <c:pt idx="2">
                  <c:v>2674.8253256556077</c:v>
                </c:pt>
                <c:pt idx="3">
                  <c:v>2651.5874135438521</c:v>
                </c:pt>
                <c:pt idx="4">
                  <c:v>2635.40602380972</c:v>
                </c:pt>
                <c:pt idx="5">
                  <c:v>2633.5601191532219</c:v>
                </c:pt>
                <c:pt idx="6">
                  <c:v>2631.2492436271941</c:v>
                </c:pt>
                <c:pt idx="7">
                  <c:v>2608.6785660326282</c:v>
                </c:pt>
                <c:pt idx="8">
                  <c:v>2558.02173868302</c:v>
                </c:pt>
                <c:pt idx="9">
                  <c:v>2484.72157352259</c:v>
                </c:pt>
                <c:pt idx="10">
                  <c:v>2406.5719451372979</c:v>
                </c:pt>
                <c:pt idx="11">
                  <c:v>2351.49283410523</c:v>
                </c:pt>
                <c:pt idx="12">
                  <c:v>2334.3225594490982</c:v>
                </c:pt>
                <c:pt idx="13">
                  <c:v>2348.312855142045</c:v>
                </c:pt>
                <c:pt idx="14">
                  <c:v>2359.6203979388192</c:v>
                </c:pt>
                <c:pt idx="15">
                  <c:v>2333.333363710919</c:v>
                </c:pt>
                <c:pt idx="16">
                  <c:v>2251.143177665605</c:v>
                </c:pt>
                <c:pt idx="17">
                  <c:v>2130.678754064088</c:v>
                </c:pt>
                <c:pt idx="18">
                  <c:v>2013.830158923535</c:v>
                </c:pt>
                <c:pt idx="19">
                  <c:v>1937.580146929547</c:v>
                </c:pt>
                <c:pt idx="20">
                  <c:v>1909.364304682658</c:v>
                </c:pt>
                <c:pt idx="21">
                  <c:v>1910.7220983311229</c:v>
                </c:pt>
                <c:pt idx="22">
                  <c:v>1909.0843140324969</c:v>
                </c:pt>
                <c:pt idx="23">
                  <c:v>1869.118231102246</c:v>
                </c:pt>
                <c:pt idx="24">
                  <c:v>1779.8099373003799</c:v>
                </c:pt>
                <c:pt idx="25">
                  <c:v>1663.0535790900051</c:v>
                </c:pt>
                <c:pt idx="26">
                  <c:v>1550.3827125438588</c:v>
                </c:pt>
                <c:pt idx="27">
                  <c:v>1473.924812597518</c:v>
                </c:pt>
                <c:pt idx="28">
                  <c:v>1451.0590117329841</c:v>
                </c:pt>
                <c:pt idx="29">
                  <c:v>1475.045991969231</c:v>
                </c:pt>
                <c:pt idx="30">
                  <c:v>1525.3730093711329</c:v>
                </c:pt>
                <c:pt idx="31">
                  <c:v>1587.8850065354241</c:v>
                </c:pt>
                <c:pt idx="32">
                  <c:v>1659.6189494127809</c:v>
                </c:pt>
                <c:pt idx="33">
                  <c:v>1741.0602018607979</c:v>
                </c:pt>
                <c:pt idx="34">
                  <c:v>1828.3796423220811</c:v>
                </c:pt>
                <c:pt idx="35">
                  <c:v>1916.67489010241</c:v>
                </c:pt>
                <c:pt idx="36">
                  <c:v>1997.4195561849879</c:v>
                </c:pt>
                <c:pt idx="37">
                  <c:v>2067.2020571196631</c:v>
                </c:pt>
                <c:pt idx="38">
                  <c:v>2140.4073274018629</c:v>
                </c:pt>
                <c:pt idx="39">
                  <c:v>2224.050042803558</c:v>
                </c:pt>
                <c:pt idx="40">
                  <c:v>2317.7794793747789</c:v>
                </c:pt>
                <c:pt idx="41">
                  <c:v>2414.709328759147</c:v>
                </c:pt>
                <c:pt idx="42">
                  <c:v>2510.8434902681879</c:v>
                </c:pt>
                <c:pt idx="43">
                  <c:v>2588.0025131876341</c:v>
                </c:pt>
                <c:pt idx="44">
                  <c:v>2638.4997086711724</c:v>
                </c:pt>
                <c:pt idx="45">
                  <c:v>2674.9436521231401</c:v>
                </c:pt>
                <c:pt idx="46">
                  <c:v>2736.9843857575847</c:v>
                </c:pt>
                <c:pt idx="47">
                  <c:v>2857.7436857674857</c:v>
                </c:pt>
                <c:pt idx="48">
                  <c:v>3042.0936494220041</c:v>
                </c:pt>
                <c:pt idx="49">
                  <c:v>3268.9818224195133</c:v>
                </c:pt>
                <c:pt idx="50">
                  <c:v>3482.0848995726551</c:v>
                </c:pt>
                <c:pt idx="51">
                  <c:v>3631.8380776285248</c:v>
                </c:pt>
                <c:pt idx="52">
                  <c:v>3689.9475682760039</c:v>
                </c:pt>
                <c:pt idx="53">
                  <c:v>3648.0674154824519</c:v>
                </c:pt>
                <c:pt idx="54">
                  <c:v>3514.6707184206211</c:v>
                </c:pt>
                <c:pt idx="55">
                  <c:v>3338.9628609897477</c:v>
                </c:pt>
                <c:pt idx="56">
                  <c:v>3168.4787139797113</c:v>
                </c:pt>
                <c:pt idx="57">
                  <c:v>3020.6754182129043</c:v>
                </c:pt>
                <c:pt idx="58">
                  <c:v>2895.0523162653208</c:v>
                </c:pt>
                <c:pt idx="59">
                  <c:v>2790.5095096746977</c:v>
                </c:pt>
                <c:pt idx="60">
                  <c:v>2713.175582306937</c:v>
                </c:pt>
                <c:pt idx="61">
                  <c:v>2656.7012520244957</c:v>
                </c:pt>
                <c:pt idx="62">
                  <c:v>2616.5579346484369</c:v>
                </c:pt>
                <c:pt idx="63">
                  <c:v>2593.903684189268</c:v>
                </c:pt>
                <c:pt idx="64">
                  <c:v>2582.2158390913664</c:v>
                </c:pt>
                <c:pt idx="65">
                  <c:v>2588.2454203529296</c:v>
                </c:pt>
                <c:pt idx="66">
                  <c:v>2613.1110154393882</c:v>
                </c:pt>
              </c:numCache>
            </c:numRef>
          </c:val>
          <c:smooth val="0"/>
          <c:extLst>
            <c:ext xmlns:c16="http://schemas.microsoft.com/office/drawing/2014/chart" uri="{C3380CC4-5D6E-409C-BE32-E72D297353CC}">
              <c16:uniqueId val="{00000001-3D84-43D3-A38B-1305BCDF87EC}"/>
            </c:ext>
          </c:extLst>
        </c:ser>
        <c:dLbls>
          <c:showLegendKey val="0"/>
          <c:showVal val="0"/>
          <c:showCatName val="0"/>
          <c:showSerName val="0"/>
          <c:showPercent val="0"/>
          <c:showBubbleSize val="0"/>
        </c:dLbls>
        <c:smooth val="0"/>
        <c:axId val="787179504"/>
        <c:axId val="787178720"/>
      </c:lineChart>
      <c:catAx>
        <c:axId val="787179504"/>
        <c:scaling>
          <c:orientation val="minMax"/>
        </c:scaling>
        <c:delete val="0"/>
        <c:axPos val="b"/>
        <c:numFmt formatCode="General" sourceLinked="1"/>
        <c:majorTickMark val="cross"/>
        <c:minorTickMark val="none"/>
        <c:tickLblPos val="low"/>
        <c:spPr>
          <a:ln w="3175">
            <a:solidFill>
              <a:srgbClr val="000000"/>
            </a:solidFill>
            <a:prstDash val="solid"/>
          </a:ln>
        </c:spPr>
        <c:txPr>
          <a:bodyPr rot="0" vert="horz"/>
          <a:lstStyle/>
          <a:p>
            <a:pPr>
              <a:defRPr lang="es-MX" sz="350" b="0" i="0" u="none" strike="noStrike" baseline="0">
                <a:solidFill>
                  <a:sysClr val="windowText" lastClr="000000"/>
                </a:solidFill>
                <a:latin typeface="Arial"/>
                <a:ea typeface="Arial"/>
                <a:cs typeface="Arial"/>
              </a:defRPr>
            </a:pPr>
            <a:endParaRPr lang="es-MX"/>
          </a:p>
        </c:txPr>
        <c:crossAx val="787178720"/>
        <c:crosses val="autoZero"/>
        <c:auto val="1"/>
        <c:lblAlgn val="ctr"/>
        <c:lblOffset val="100"/>
        <c:tickLblSkip val="1"/>
        <c:tickMarkSkip val="12"/>
        <c:noMultiLvlLbl val="1"/>
      </c:catAx>
      <c:valAx>
        <c:axId val="787178720"/>
        <c:scaling>
          <c:orientation val="minMax"/>
          <c:max val="4500"/>
          <c:min val="500"/>
        </c:scaling>
        <c:delete val="0"/>
        <c:axPos val="r"/>
        <c:numFmt formatCode="#\ ##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ysClr val="windowText" lastClr="000000"/>
                </a:solidFill>
                <a:latin typeface="Arial"/>
                <a:ea typeface="Arial"/>
                <a:cs typeface="Arial"/>
              </a:defRPr>
            </a:pPr>
            <a:endParaRPr lang="es-MX"/>
          </a:p>
        </c:txPr>
        <c:crossAx val="787179504"/>
        <c:crosses val="max"/>
        <c:crossBetween val="between"/>
        <c:majorUnit val="800"/>
        <c:minorUnit val="400"/>
      </c:valAx>
      <c:spPr>
        <a:noFill/>
        <a:ln w="3175">
          <a:noFill/>
          <a:prstDash val="solid"/>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0"/>
          <c:y val="0.93015109461252066"/>
          <c:w val="0.99432857405669794"/>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s-MX" sz="700" b="1" cap="small" baseline="0"/>
            </a:pPr>
            <a:r>
              <a:rPr lang="es-ES" sz="700" b="1" cap="small" baseline="0"/>
              <a:t>No Petroleras</a:t>
            </a:r>
          </a:p>
        </c:rich>
      </c:tx>
      <c:layout>
        <c:manualLayout>
          <c:xMode val="edge"/>
          <c:yMode val="edge"/>
          <c:x val="0.3759026019690882"/>
          <c:y val="4.3552812071330589E-3"/>
        </c:manualLayout>
      </c:layout>
      <c:overlay val="1"/>
    </c:title>
    <c:autoTitleDeleted val="0"/>
    <c:plotArea>
      <c:layout>
        <c:manualLayout>
          <c:layoutTarget val="inner"/>
          <c:xMode val="edge"/>
          <c:yMode val="edge"/>
          <c:x val="2.7150492264416341E-2"/>
          <c:y val="6.1071844993141312E-2"/>
          <c:w val="0.87057255039852288"/>
          <c:h val="0.78843055555555552"/>
        </c:manualLayout>
      </c:layout>
      <c:lineChart>
        <c:grouping val="standard"/>
        <c:varyColors val="0"/>
        <c:ser>
          <c:idx val="1"/>
          <c:order val="0"/>
          <c:tx>
            <c:strRef>
              <c:f>datos!$I$4</c:f>
              <c:strCache>
                <c:ptCount val="1"/>
                <c:pt idx="0">
                  <c:v>Serie desestacionalizada</c:v>
                </c:pt>
              </c:strCache>
            </c:strRef>
          </c:tx>
          <c:spPr>
            <a:ln w="15875" cap="flat">
              <a:solidFill>
                <a:schemeClr val="bg1">
                  <a:lumMod val="6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datos!$I$5:$I$71</c:f>
              <c:numCache>
                <c:formatCode>#,##0.0</c:formatCode>
                <c:ptCount val="67"/>
                <c:pt idx="0">
                  <c:v>33050.856806945601</c:v>
                </c:pt>
                <c:pt idx="1">
                  <c:v>34461.863979465903</c:v>
                </c:pt>
                <c:pt idx="2">
                  <c:v>35612.7342923615</c:v>
                </c:pt>
                <c:pt idx="3">
                  <c:v>34454.669989786002</c:v>
                </c:pt>
                <c:pt idx="4">
                  <c:v>33826.818321400897</c:v>
                </c:pt>
                <c:pt idx="5">
                  <c:v>34717.909593732496</c:v>
                </c:pt>
                <c:pt idx="6">
                  <c:v>35101.088296121001</c:v>
                </c:pt>
                <c:pt idx="7">
                  <c:v>35342.662288530802</c:v>
                </c:pt>
                <c:pt idx="8">
                  <c:v>36541.230313856999</c:v>
                </c:pt>
                <c:pt idx="9">
                  <c:v>35836.081269855204</c:v>
                </c:pt>
                <c:pt idx="10">
                  <c:v>35128.853580348397</c:v>
                </c:pt>
                <c:pt idx="11">
                  <c:v>35767.388015771998</c:v>
                </c:pt>
                <c:pt idx="12">
                  <c:v>35053.125243354203</c:v>
                </c:pt>
                <c:pt idx="13">
                  <c:v>35788.349106639202</c:v>
                </c:pt>
                <c:pt idx="14">
                  <c:v>35857.577774434598</c:v>
                </c:pt>
                <c:pt idx="15">
                  <c:v>36650.733942031598</c:v>
                </c:pt>
                <c:pt idx="16">
                  <c:v>36713.423759312602</c:v>
                </c:pt>
                <c:pt idx="17">
                  <c:v>36889.160490261303</c:v>
                </c:pt>
                <c:pt idx="18">
                  <c:v>36736.248312757198</c:v>
                </c:pt>
                <c:pt idx="19">
                  <c:v>37666.752628208902</c:v>
                </c:pt>
                <c:pt idx="20">
                  <c:v>36165.701584709503</c:v>
                </c:pt>
                <c:pt idx="21">
                  <c:v>35732.339776151501</c:v>
                </c:pt>
                <c:pt idx="22">
                  <c:v>35781.636461876202</c:v>
                </c:pt>
                <c:pt idx="23">
                  <c:v>35493.306894273199</c:v>
                </c:pt>
                <c:pt idx="24">
                  <c:v>36169.625548706099</c:v>
                </c:pt>
                <c:pt idx="25">
                  <c:v>36401.557721899597</c:v>
                </c:pt>
                <c:pt idx="26">
                  <c:v>35222.961714140401</c:v>
                </c:pt>
                <c:pt idx="27">
                  <c:v>21733.7390163075</c:v>
                </c:pt>
                <c:pt idx="28">
                  <c:v>17277.505209296101</c:v>
                </c:pt>
                <c:pt idx="29">
                  <c:v>30654.582819755</c:v>
                </c:pt>
                <c:pt idx="30">
                  <c:v>33963.912347520803</c:v>
                </c:pt>
                <c:pt idx="31">
                  <c:v>36370.088318504</c:v>
                </c:pt>
                <c:pt idx="32">
                  <c:v>36370.1296073302</c:v>
                </c:pt>
                <c:pt idx="33">
                  <c:v>38824.689781125897</c:v>
                </c:pt>
                <c:pt idx="34">
                  <c:v>37299.778816582599</c:v>
                </c:pt>
                <c:pt idx="35">
                  <c:v>38243.192846564103</c:v>
                </c:pt>
                <c:pt idx="36">
                  <c:v>37930.907716844602</c:v>
                </c:pt>
                <c:pt idx="37">
                  <c:v>36289.060696715802</c:v>
                </c:pt>
                <c:pt idx="38">
                  <c:v>37870.692654396502</c:v>
                </c:pt>
                <c:pt idx="39">
                  <c:v>37684.375191104002</c:v>
                </c:pt>
                <c:pt idx="40">
                  <c:v>38508.562819124199</c:v>
                </c:pt>
                <c:pt idx="41">
                  <c:v>38434.425969134798</c:v>
                </c:pt>
                <c:pt idx="42">
                  <c:v>38857.429631286701</c:v>
                </c:pt>
                <c:pt idx="43">
                  <c:v>37808.971379964103</c:v>
                </c:pt>
                <c:pt idx="44">
                  <c:v>38569.327363347198</c:v>
                </c:pt>
                <c:pt idx="45">
                  <c:v>38871.707951348799</c:v>
                </c:pt>
                <c:pt idx="46">
                  <c:v>41913.5769607615</c:v>
                </c:pt>
                <c:pt idx="47">
                  <c:v>42128.5111549578</c:v>
                </c:pt>
                <c:pt idx="48">
                  <c:v>38540.681737373903</c:v>
                </c:pt>
                <c:pt idx="49">
                  <c:v>45999.692452611103</c:v>
                </c:pt>
                <c:pt idx="50">
                  <c:v>43966.094455334001</c:v>
                </c:pt>
                <c:pt idx="51">
                  <c:v>44225.819904736803</c:v>
                </c:pt>
                <c:pt idx="52">
                  <c:v>44706.723105944497</c:v>
                </c:pt>
                <c:pt idx="53">
                  <c:v>45366.722075229998</c:v>
                </c:pt>
                <c:pt idx="54">
                  <c:v>45095.622758460602</c:v>
                </c:pt>
                <c:pt idx="55">
                  <c:v>45644.183293018599</c:v>
                </c:pt>
                <c:pt idx="56">
                  <c:v>48230.551863129404</c:v>
                </c:pt>
                <c:pt idx="57">
                  <c:v>46077.776171478901</c:v>
                </c:pt>
                <c:pt idx="58">
                  <c:v>45503.194163639499</c:v>
                </c:pt>
                <c:pt idx="59">
                  <c:v>44900.112863453804</c:v>
                </c:pt>
                <c:pt idx="60">
                  <c:v>47257.752262784401</c:v>
                </c:pt>
                <c:pt idx="61">
                  <c:v>45086.521219921502</c:v>
                </c:pt>
                <c:pt idx="62">
                  <c:v>46896.661539535497</c:v>
                </c:pt>
                <c:pt idx="63">
                  <c:v>45411.187216407299</c:v>
                </c:pt>
                <c:pt idx="64">
                  <c:v>46772.813094135599</c:v>
                </c:pt>
                <c:pt idx="65">
                  <c:v>47259.832089718599</c:v>
                </c:pt>
                <c:pt idx="66">
                  <c:v>47841.202316895004</c:v>
                </c:pt>
              </c:numCache>
            </c:numRef>
          </c:val>
          <c:smooth val="0"/>
          <c:extLst>
            <c:ext xmlns:c16="http://schemas.microsoft.com/office/drawing/2014/chart" uri="{C3380CC4-5D6E-409C-BE32-E72D297353CC}">
              <c16:uniqueId val="{00000000-1337-4845-AEE5-CD5A93BDEEAC}"/>
            </c:ext>
          </c:extLst>
        </c:ser>
        <c:ser>
          <c:idx val="0"/>
          <c:order val="1"/>
          <c:tx>
            <c:strRef>
              <c:f>datos!$J$4</c:f>
              <c:strCache>
                <c:ptCount val="1"/>
                <c:pt idx="0">
                  <c:v>Serie de tendencia-ciclo</c:v>
                </c:pt>
              </c:strCache>
            </c:strRef>
          </c:tx>
          <c:spPr>
            <a:ln w="12700">
              <a:solidFill>
                <a:schemeClr val="tx2">
                  <a:lumMod val="7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datos!$J$5:$J$71</c:f>
              <c:numCache>
                <c:formatCode>#,##0.0</c:formatCode>
                <c:ptCount val="67"/>
                <c:pt idx="0">
                  <c:v>34126.414174269041</c:v>
                </c:pt>
                <c:pt idx="1">
                  <c:v>34388.930511951403</c:v>
                </c:pt>
                <c:pt idx="2">
                  <c:v>34555.243225589824</c:v>
                </c:pt>
                <c:pt idx="3">
                  <c:v>34665.288228490565</c:v>
                </c:pt>
                <c:pt idx="4">
                  <c:v>34791.34638835839</c:v>
                </c:pt>
                <c:pt idx="5">
                  <c:v>34954.085100405719</c:v>
                </c:pt>
                <c:pt idx="6">
                  <c:v>35151.707954482532</c:v>
                </c:pt>
                <c:pt idx="7">
                  <c:v>35355.087748037928</c:v>
                </c:pt>
                <c:pt idx="8">
                  <c:v>35505.424810649609</c:v>
                </c:pt>
                <c:pt idx="9">
                  <c:v>35566.643750985131</c:v>
                </c:pt>
                <c:pt idx="10">
                  <c:v>35573.731716797774</c:v>
                </c:pt>
                <c:pt idx="11">
                  <c:v>35603.960751199455</c:v>
                </c:pt>
                <c:pt idx="12">
                  <c:v>35714.197662108047</c:v>
                </c:pt>
                <c:pt idx="13">
                  <c:v>35918.735692268834</c:v>
                </c:pt>
                <c:pt idx="14">
                  <c:v>36204.100521929875</c:v>
                </c:pt>
                <c:pt idx="15">
                  <c:v>36513.059457923977</c:v>
                </c:pt>
                <c:pt idx="16">
                  <c:v>36749.878464647001</c:v>
                </c:pt>
                <c:pt idx="17">
                  <c:v>36852.323391638209</c:v>
                </c:pt>
                <c:pt idx="18">
                  <c:v>36791.844894297625</c:v>
                </c:pt>
                <c:pt idx="19">
                  <c:v>36578.235734483766</c:v>
                </c:pt>
                <c:pt idx="20">
                  <c:v>36317.814948847117</c:v>
                </c:pt>
                <c:pt idx="21">
                  <c:v>36085.038497062204</c:v>
                </c:pt>
                <c:pt idx="22">
                  <c:v>35911.683814857832</c:v>
                </c:pt>
                <c:pt idx="23">
                  <c:v>35810.897196937047</c:v>
                </c:pt>
                <c:pt idx="24">
                  <c:v>35747.725622187521</c:v>
                </c:pt>
                <c:pt idx="25">
                  <c:v>35655.559946029636</c:v>
                </c:pt>
                <c:pt idx="26">
                  <c:v>35523.484418203916</c:v>
                </c:pt>
                <c:pt idx="27">
                  <c:v>35368.730524734368</c:v>
                </c:pt>
                <c:pt idx="28">
                  <c:v>35300.912183467553</c:v>
                </c:pt>
                <c:pt idx="29">
                  <c:v>35390.154199423727</c:v>
                </c:pt>
                <c:pt idx="30">
                  <c:v>35675.598663461162</c:v>
                </c:pt>
                <c:pt idx="31">
                  <c:v>36150.158458103739</c:v>
                </c:pt>
                <c:pt idx="32">
                  <c:v>36699.1729450239</c:v>
                </c:pt>
                <c:pt idx="33">
                  <c:v>37172.503914786539</c:v>
                </c:pt>
                <c:pt idx="34">
                  <c:v>37472.7367796818</c:v>
                </c:pt>
                <c:pt idx="35">
                  <c:v>37581.609893384441</c:v>
                </c:pt>
                <c:pt idx="36">
                  <c:v>37574.417375067598</c:v>
                </c:pt>
                <c:pt idx="37">
                  <c:v>37573.698937822905</c:v>
                </c:pt>
                <c:pt idx="38">
                  <c:v>37627.110585854702</c:v>
                </c:pt>
                <c:pt idx="39">
                  <c:v>37749.684575638741</c:v>
                </c:pt>
                <c:pt idx="40">
                  <c:v>37901.983952308423</c:v>
                </c:pt>
                <c:pt idx="41">
                  <c:v>38026.67478275676</c:v>
                </c:pt>
                <c:pt idx="42">
                  <c:v>38148.502622493063</c:v>
                </c:pt>
                <c:pt idx="43">
                  <c:v>38322.407584142318</c:v>
                </c:pt>
                <c:pt idx="44">
                  <c:v>38712.049831647564</c:v>
                </c:pt>
                <c:pt idx="45">
                  <c:v>39436.030245811162</c:v>
                </c:pt>
                <c:pt idx="46">
                  <c:v>40451.190121310668</c:v>
                </c:pt>
                <c:pt idx="47">
                  <c:v>41573.176623512853</c:v>
                </c:pt>
                <c:pt idx="48">
                  <c:v>42609.799785924901</c:v>
                </c:pt>
                <c:pt idx="49">
                  <c:v>43452.057332927558</c:v>
                </c:pt>
                <c:pt idx="50">
                  <c:v>44073.428137060066</c:v>
                </c:pt>
                <c:pt idx="51">
                  <c:v>44547.559402841245</c:v>
                </c:pt>
                <c:pt idx="52">
                  <c:v>44961.901659606483</c:v>
                </c:pt>
                <c:pt idx="53">
                  <c:v>45376.236078419308</c:v>
                </c:pt>
                <c:pt idx="54">
                  <c:v>45733.261381866323</c:v>
                </c:pt>
                <c:pt idx="55">
                  <c:v>45974.440964763577</c:v>
                </c:pt>
                <c:pt idx="56">
                  <c:v>46027.071863011457</c:v>
                </c:pt>
                <c:pt idx="57">
                  <c:v>45896.391901329735</c:v>
                </c:pt>
                <c:pt idx="58">
                  <c:v>45719.758885670046</c:v>
                </c:pt>
                <c:pt idx="59">
                  <c:v>45640.22134267402</c:v>
                </c:pt>
                <c:pt idx="60">
                  <c:v>45723.554537815282</c:v>
                </c:pt>
                <c:pt idx="61">
                  <c:v>45963.709142667482</c:v>
                </c:pt>
                <c:pt idx="62">
                  <c:v>46328.283493459057</c:v>
                </c:pt>
                <c:pt idx="63">
                  <c:v>46751.5843462087</c:v>
                </c:pt>
                <c:pt idx="64">
                  <c:v>47172.957725695625</c:v>
                </c:pt>
                <c:pt idx="65">
                  <c:v>47602.183275255455</c:v>
                </c:pt>
                <c:pt idx="66">
                  <c:v>48042.295498714884</c:v>
                </c:pt>
              </c:numCache>
            </c:numRef>
          </c:val>
          <c:smooth val="0"/>
          <c:extLst>
            <c:ext xmlns:c16="http://schemas.microsoft.com/office/drawing/2014/chart" uri="{C3380CC4-5D6E-409C-BE32-E72D297353CC}">
              <c16:uniqueId val="{00000001-1337-4845-AEE5-CD5A93BDEEAC}"/>
            </c:ext>
          </c:extLst>
        </c:ser>
        <c:dLbls>
          <c:showLegendKey val="0"/>
          <c:showVal val="0"/>
          <c:showCatName val="0"/>
          <c:showSerName val="0"/>
          <c:showPercent val="0"/>
          <c:showBubbleSize val="0"/>
        </c:dLbls>
        <c:smooth val="0"/>
        <c:axId val="787179896"/>
        <c:axId val="787180680"/>
      </c:lineChart>
      <c:catAx>
        <c:axId val="787179896"/>
        <c:scaling>
          <c:orientation val="minMax"/>
        </c:scaling>
        <c:delete val="0"/>
        <c:axPos val="b"/>
        <c:numFmt formatCode="General" sourceLinked="1"/>
        <c:majorTickMark val="cross"/>
        <c:minorTickMark val="none"/>
        <c:tickLblPos val="low"/>
        <c:spPr>
          <a:ln w="3175">
            <a:solidFill>
              <a:srgbClr val="000000"/>
            </a:solidFill>
            <a:prstDash val="solid"/>
          </a:ln>
        </c:spPr>
        <c:txPr>
          <a:bodyPr rot="0" vert="horz"/>
          <a:lstStyle/>
          <a:p>
            <a:pPr>
              <a:defRPr lang="es-MX" sz="350" b="0" i="0" u="none" strike="noStrike" baseline="0">
                <a:solidFill>
                  <a:srgbClr val="000000"/>
                </a:solidFill>
                <a:latin typeface="Arial"/>
                <a:ea typeface="Arial"/>
                <a:cs typeface="Arial"/>
              </a:defRPr>
            </a:pPr>
            <a:endParaRPr lang="es-MX"/>
          </a:p>
        </c:txPr>
        <c:crossAx val="787180680"/>
        <c:crosses val="autoZero"/>
        <c:auto val="1"/>
        <c:lblAlgn val="ctr"/>
        <c:lblOffset val="100"/>
        <c:tickLblSkip val="1"/>
        <c:tickMarkSkip val="12"/>
        <c:noMultiLvlLbl val="1"/>
      </c:catAx>
      <c:valAx>
        <c:axId val="787180680"/>
        <c:scaling>
          <c:orientation val="minMax"/>
          <c:max val="54500"/>
          <c:min val="16000"/>
        </c:scaling>
        <c:delete val="0"/>
        <c:axPos val="r"/>
        <c:numFmt formatCode="#\ ##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rgbClr val="000000"/>
                </a:solidFill>
                <a:latin typeface="Arial"/>
                <a:ea typeface="Arial"/>
                <a:cs typeface="Arial"/>
              </a:defRPr>
            </a:pPr>
            <a:endParaRPr lang="es-MX"/>
          </a:p>
        </c:txPr>
        <c:crossAx val="787179896"/>
        <c:crosses val="max"/>
        <c:crossBetween val="between"/>
        <c:majorUnit val="7700"/>
        <c:minorUnit val="1000"/>
      </c:valAx>
      <c:spPr>
        <a:noFill/>
        <a:ln w="25400">
          <a:noFill/>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0"/>
          <c:y val="0.93397297808012092"/>
          <c:w val="0.99895333679852516"/>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s-MX" sz="700" b="1" cap="small" baseline="0"/>
            </a:pPr>
            <a:r>
              <a:rPr lang="es-ES" sz="700" b="1" cap="small" baseline="0"/>
              <a:t>Manufactureras</a:t>
            </a:r>
          </a:p>
        </c:rich>
      </c:tx>
      <c:layout>
        <c:manualLayout>
          <c:xMode val="edge"/>
          <c:yMode val="edge"/>
          <c:x val="0.33520663384905747"/>
          <c:y val="1.5243484224966269E-2"/>
        </c:manualLayout>
      </c:layout>
      <c:overlay val="1"/>
    </c:title>
    <c:autoTitleDeleted val="0"/>
    <c:plotArea>
      <c:layout>
        <c:manualLayout>
          <c:layoutTarget val="inner"/>
          <c:xMode val="edge"/>
          <c:yMode val="edge"/>
          <c:x val="2.7150492264416341E-2"/>
          <c:y val="5.6716563786008332E-2"/>
          <c:w val="0.87057255039852288"/>
          <c:h val="0.78843055555555552"/>
        </c:manualLayout>
      </c:layout>
      <c:lineChart>
        <c:grouping val="standard"/>
        <c:varyColors val="0"/>
        <c:ser>
          <c:idx val="1"/>
          <c:order val="0"/>
          <c:tx>
            <c:strRef>
              <c:f>datos!$K$4</c:f>
              <c:strCache>
                <c:ptCount val="1"/>
                <c:pt idx="0">
                  <c:v>Serie desestacionalizada</c:v>
                </c:pt>
              </c:strCache>
            </c:strRef>
          </c:tx>
          <c:spPr>
            <a:ln w="15875" cap="flat">
              <a:solidFill>
                <a:schemeClr val="bg1">
                  <a:lumMod val="6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datos!$K$5:$K$71</c:f>
              <c:numCache>
                <c:formatCode>#,##0.0</c:formatCode>
                <c:ptCount val="67"/>
                <c:pt idx="0">
                  <c:v>31084.986733590998</c:v>
                </c:pt>
                <c:pt idx="1">
                  <c:v>32596.601123803899</c:v>
                </c:pt>
                <c:pt idx="2">
                  <c:v>33694.593804253003</c:v>
                </c:pt>
                <c:pt idx="3">
                  <c:v>32510.5050946066</c:v>
                </c:pt>
                <c:pt idx="4">
                  <c:v>31829.996590646799</c:v>
                </c:pt>
                <c:pt idx="5">
                  <c:v>32870.244917697601</c:v>
                </c:pt>
                <c:pt idx="6">
                  <c:v>33255.556481618398</c:v>
                </c:pt>
                <c:pt idx="7">
                  <c:v>33430.639268057501</c:v>
                </c:pt>
                <c:pt idx="8">
                  <c:v>34683.9985467527</c:v>
                </c:pt>
                <c:pt idx="9">
                  <c:v>34076.877629237999</c:v>
                </c:pt>
                <c:pt idx="10">
                  <c:v>33357.492556625497</c:v>
                </c:pt>
                <c:pt idx="11">
                  <c:v>33786.898647202397</c:v>
                </c:pt>
                <c:pt idx="12">
                  <c:v>33164.791200256397</c:v>
                </c:pt>
                <c:pt idx="13">
                  <c:v>33854.382568745903</c:v>
                </c:pt>
                <c:pt idx="14">
                  <c:v>33947.0362124686</c:v>
                </c:pt>
                <c:pt idx="15">
                  <c:v>34646.915142801001</c:v>
                </c:pt>
                <c:pt idx="16">
                  <c:v>34609.025866309901</c:v>
                </c:pt>
                <c:pt idx="17">
                  <c:v>34932.200317718998</c:v>
                </c:pt>
                <c:pt idx="18">
                  <c:v>34660.716645381202</c:v>
                </c:pt>
                <c:pt idx="19">
                  <c:v>35692.8540883647</c:v>
                </c:pt>
                <c:pt idx="20">
                  <c:v>34246.273273273</c:v>
                </c:pt>
                <c:pt idx="21">
                  <c:v>33704.027715669399</c:v>
                </c:pt>
                <c:pt idx="22">
                  <c:v>33703.169342697198</c:v>
                </c:pt>
                <c:pt idx="23">
                  <c:v>33401.546329582598</c:v>
                </c:pt>
                <c:pt idx="24">
                  <c:v>33940.574946111599</c:v>
                </c:pt>
                <c:pt idx="25">
                  <c:v>34341.566240587403</c:v>
                </c:pt>
                <c:pt idx="26">
                  <c:v>33084.041723629998</c:v>
                </c:pt>
                <c:pt idx="27">
                  <c:v>19852.0948749985</c:v>
                </c:pt>
                <c:pt idx="28">
                  <c:v>15404.542771889001</c:v>
                </c:pt>
                <c:pt idx="29">
                  <c:v>28469.401341279699</c:v>
                </c:pt>
                <c:pt idx="30">
                  <c:v>32014.253062640601</c:v>
                </c:pt>
                <c:pt idx="31">
                  <c:v>34169.248957404699</c:v>
                </c:pt>
                <c:pt idx="32">
                  <c:v>34081.467659446098</c:v>
                </c:pt>
                <c:pt idx="33">
                  <c:v>36361.447331329298</c:v>
                </c:pt>
                <c:pt idx="34">
                  <c:v>35035.3948516952</c:v>
                </c:pt>
                <c:pt idx="35">
                  <c:v>36081.397512356001</c:v>
                </c:pt>
                <c:pt idx="36">
                  <c:v>35585.185568615103</c:v>
                </c:pt>
                <c:pt idx="37">
                  <c:v>33963.276423049298</c:v>
                </c:pt>
                <c:pt idx="38">
                  <c:v>35437.588056583802</c:v>
                </c:pt>
                <c:pt idx="39">
                  <c:v>35509.232766195797</c:v>
                </c:pt>
                <c:pt idx="40">
                  <c:v>36099.0999134023</c:v>
                </c:pt>
                <c:pt idx="41">
                  <c:v>35823.692173381802</c:v>
                </c:pt>
                <c:pt idx="42">
                  <c:v>36335.247726191199</c:v>
                </c:pt>
                <c:pt idx="43">
                  <c:v>35177.062137287299</c:v>
                </c:pt>
                <c:pt idx="44">
                  <c:v>36119.189365117301</c:v>
                </c:pt>
                <c:pt idx="45">
                  <c:v>36266.0721015483</c:v>
                </c:pt>
                <c:pt idx="46">
                  <c:v>39368.143166266898</c:v>
                </c:pt>
                <c:pt idx="47">
                  <c:v>39675.513845146903</c:v>
                </c:pt>
                <c:pt idx="48">
                  <c:v>36136.4344705064</c:v>
                </c:pt>
                <c:pt idx="49">
                  <c:v>43405.955437312499</c:v>
                </c:pt>
                <c:pt idx="50">
                  <c:v>41498.121146834303</c:v>
                </c:pt>
                <c:pt idx="51">
                  <c:v>41672.687262341897</c:v>
                </c:pt>
                <c:pt idx="52">
                  <c:v>42076.520562004502</c:v>
                </c:pt>
                <c:pt idx="53">
                  <c:v>42933.533509719702</c:v>
                </c:pt>
                <c:pt idx="54">
                  <c:v>42338.214510058802</c:v>
                </c:pt>
                <c:pt idx="55">
                  <c:v>43178.997519411503</c:v>
                </c:pt>
                <c:pt idx="56">
                  <c:v>45930.000429180902</c:v>
                </c:pt>
                <c:pt idx="57">
                  <c:v>43550.736435457897</c:v>
                </c:pt>
                <c:pt idx="58">
                  <c:v>42968.742444914998</c:v>
                </c:pt>
                <c:pt idx="59">
                  <c:v>42187.434718819197</c:v>
                </c:pt>
                <c:pt idx="60">
                  <c:v>44703.624371277103</c:v>
                </c:pt>
                <c:pt idx="61">
                  <c:v>42471.567707108603</c:v>
                </c:pt>
                <c:pt idx="62">
                  <c:v>44228.754827836499</c:v>
                </c:pt>
                <c:pt idx="63">
                  <c:v>42683.020721002998</c:v>
                </c:pt>
                <c:pt idx="64">
                  <c:v>44354.361109106801</c:v>
                </c:pt>
                <c:pt idx="65">
                  <c:v>44382.631990921902</c:v>
                </c:pt>
                <c:pt idx="66">
                  <c:v>45449.646725333499</c:v>
                </c:pt>
              </c:numCache>
            </c:numRef>
          </c:val>
          <c:smooth val="0"/>
          <c:extLst>
            <c:ext xmlns:c16="http://schemas.microsoft.com/office/drawing/2014/chart" uri="{C3380CC4-5D6E-409C-BE32-E72D297353CC}">
              <c16:uniqueId val="{00000000-D347-4F6B-9E63-89E255CD6795}"/>
            </c:ext>
          </c:extLst>
        </c:ser>
        <c:ser>
          <c:idx val="0"/>
          <c:order val="1"/>
          <c:tx>
            <c:strRef>
              <c:f>datos!$J$4</c:f>
              <c:strCache>
                <c:ptCount val="1"/>
                <c:pt idx="0">
                  <c:v>Serie de tendencia-ciclo</c:v>
                </c:pt>
              </c:strCache>
            </c:strRef>
          </c:tx>
          <c:spPr>
            <a:ln w="12700">
              <a:solidFill>
                <a:schemeClr val="tx2">
                  <a:lumMod val="7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datos!$L$5:$L$71</c:f>
              <c:numCache>
                <c:formatCode>#,##0.0</c:formatCode>
                <c:ptCount val="67"/>
                <c:pt idx="0">
                  <c:v>32215.473277366698</c:v>
                </c:pt>
                <c:pt idx="1">
                  <c:v>32474.1015058099</c:v>
                </c:pt>
                <c:pt idx="2">
                  <c:v>32640.1993908679</c:v>
                </c:pt>
                <c:pt idx="3">
                  <c:v>32753.813027206699</c:v>
                </c:pt>
                <c:pt idx="4">
                  <c:v>32887.470470540502</c:v>
                </c:pt>
                <c:pt idx="5">
                  <c:v>33062.6504889344</c:v>
                </c:pt>
                <c:pt idx="6">
                  <c:v>33277.410253608905</c:v>
                </c:pt>
                <c:pt idx="7">
                  <c:v>33496.530947017003</c:v>
                </c:pt>
                <c:pt idx="8">
                  <c:v>33654.802577959097</c:v>
                </c:pt>
                <c:pt idx="9">
                  <c:v>33716.261723911703</c:v>
                </c:pt>
                <c:pt idx="10">
                  <c:v>33714.921726169203</c:v>
                </c:pt>
                <c:pt idx="11">
                  <c:v>33728.291423416202</c:v>
                </c:pt>
                <c:pt idx="12">
                  <c:v>33817.724439440797</c:v>
                </c:pt>
                <c:pt idx="13">
                  <c:v>33998.603038444897</c:v>
                </c:pt>
                <c:pt idx="14">
                  <c:v>34259.877973788301</c:v>
                </c:pt>
                <c:pt idx="15">
                  <c:v>34550.215785606197</c:v>
                </c:pt>
                <c:pt idx="16">
                  <c:v>34774.846202195702</c:v>
                </c:pt>
                <c:pt idx="17">
                  <c:v>34869.203550825499</c:v>
                </c:pt>
                <c:pt idx="18">
                  <c:v>34802.871338839701</c:v>
                </c:pt>
                <c:pt idx="19">
                  <c:v>34582.681476875099</c:v>
                </c:pt>
                <c:pt idx="20">
                  <c:v>34310.007013055896</c:v>
                </c:pt>
                <c:pt idx="21">
                  <c:v>34055.420337085103</c:v>
                </c:pt>
                <c:pt idx="22">
                  <c:v>33853.946340095899</c:v>
                </c:pt>
                <c:pt idx="23">
                  <c:v>33729.817518034499</c:v>
                </c:pt>
                <c:pt idx="24">
                  <c:v>33654.096594960298</c:v>
                </c:pt>
                <c:pt idx="25">
                  <c:v>33563.246627702501</c:v>
                </c:pt>
                <c:pt idx="26">
                  <c:v>33443.638005313202</c:v>
                </c:pt>
                <c:pt idx="27">
                  <c:v>33303.3815953921</c:v>
                </c:pt>
                <c:pt idx="28">
                  <c:v>33238.7649667398</c:v>
                </c:pt>
                <c:pt idx="29">
                  <c:v>33313.974590659898</c:v>
                </c:pt>
                <c:pt idx="30">
                  <c:v>33569.845156911702</c:v>
                </c:pt>
                <c:pt idx="31">
                  <c:v>34007.153374375004</c:v>
                </c:pt>
                <c:pt idx="32">
                  <c:v>34520.551795732703</c:v>
                </c:pt>
                <c:pt idx="33">
                  <c:v>34960.253414668798</c:v>
                </c:pt>
                <c:pt idx="34">
                  <c:v>35230.957730057897</c:v>
                </c:pt>
                <c:pt idx="35">
                  <c:v>35312.200452206598</c:v>
                </c:pt>
                <c:pt idx="36">
                  <c:v>35275.500955253599</c:v>
                </c:pt>
                <c:pt idx="37">
                  <c:v>35242.354303241198</c:v>
                </c:pt>
                <c:pt idx="38">
                  <c:v>35260.947420435201</c:v>
                </c:pt>
                <c:pt idx="39">
                  <c:v>35344.247905598197</c:v>
                </c:pt>
                <c:pt idx="40">
                  <c:v>35456.042939069499</c:v>
                </c:pt>
                <c:pt idx="41">
                  <c:v>35541.083065031999</c:v>
                </c:pt>
                <c:pt idx="42">
                  <c:v>35624.468468137202</c:v>
                </c:pt>
                <c:pt idx="43">
                  <c:v>35768.31569671</c:v>
                </c:pt>
                <c:pt idx="44">
                  <c:v>36143.4972883925</c:v>
                </c:pt>
                <c:pt idx="45">
                  <c:v>36873.760657983301</c:v>
                </c:pt>
                <c:pt idx="46">
                  <c:v>37910.1192524504</c:v>
                </c:pt>
                <c:pt idx="47">
                  <c:v>39055.773641121799</c:v>
                </c:pt>
                <c:pt idx="48">
                  <c:v>40109.511607958397</c:v>
                </c:pt>
                <c:pt idx="49">
                  <c:v>40955.504887883406</c:v>
                </c:pt>
                <c:pt idx="50">
                  <c:v>41566.338509408401</c:v>
                </c:pt>
                <c:pt idx="51">
                  <c:v>42022.8394280344</c:v>
                </c:pt>
                <c:pt idx="52">
                  <c:v>42421.615525889705</c:v>
                </c:pt>
                <c:pt idx="53">
                  <c:v>42830.625510323895</c:v>
                </c:pt>
                <c:pt idx="54">
                  <c:v>43193.153003577798</c:v>
                </c:pt>
                <c:pt idx="55">
                  <c:v>43442.486605235601</c:v>
                </c:pt>
                <c:pt idx="56">
                  <c:v>43497.551579608305</c:v>
                </c:pt>
                <c:pt idx="57">
                  <c:v>43359.216754572997</c:v>
                </c:pt>
                <c:pt idx="58">
                  <c:v>43164.553707085302</c:v>
                </c:pt>
                <c:pt idx="59">
                  <c:v>43060.8685208307</c:v>
                </c:pt>
                <c:pt idx="60">
                  <c:v>43117.223260265702</c:v>
                </c:pt>
                <c:pt idx="61">
                  <c:v>43334.013478759298</c:v>
                </c:pt>
                <c:pt idx="62">
                  <c:v>43683.8589972642</c:v>
                </c:pt>
                <c:pt idx="63">
                  <c:v>44103.698427666503</c:v>
                </c:pt>
                <c:pt idx="64">
                  <c:v>44531.721148309902</c:v>
                </c:pt>
                <c:pt idx="65">
                  <c:v>44972.7483348186</c:v>
                </c:pt>
                <c:pt idx="66">
                  <c:v>45425.224957186801</c:v>
                </c:pt>
              </c:numCache>
            </c:numRef>
          </c:val>
          <c:smooth val="0"/>
          <c:extLst>
            <c:ext xmlns:c16="http://schemas.microsoft.com/office/drawing/2014/chart" uri="{C3380CC4-5D6E-409C-BE32-E72D297353CC}">
              <c16:uniqueId val="{00000001-D347-4F6B-9E63-89E255CD6795}"/>
            </c:ext>
          </c:extLst>
        </c:ser>
        <c:dLbls>
          <c:showLegendKey val="0"/>
          <c:showVal val="0"/>
          <c:showCatName val="0"/>
          <c:showSerName val="0"/>
          <c:showPercent val="0"/>
          <c:showBubbleSize val="0"/>
        </c:dLbls>
        <c:smooth val="0"/>
        <c:axId val="780756064"/>
        <c:axId val="780753320"/>
      </c:lineChart>
      <c:catAx>
        <c:axId val="780756064"/>
        <c:scaling>
          <c:orientation val="minMax"/>
        </c:scaling>
        <c:delete val="0"/>
        <c:axPos val="b"/>
        <c:numFmt formatCode="General" sourceLinked="1"/>
        <c:majorTickMark val="cross"/>
        <c:minorTickMark val="none"/>
        <c:tickLblPos val="low"/>
        <c:spPr>
          <a:ln w="3175">
            <a:solidFill>
              <a:srgbClr val="000000"/>
            </a:solidFill>
            <a:prstDash val="solid"/>
          </a:ln>
        </c:spPr>
        <c:txPr>
          <a:bodyPr rot="0" vert="horz"/>
          <a:lstStyle/>
          <a:p>
            <a:pPr>
              <a:defRPr lang="es-MX" sz="350" b="0" i="0" u="none" strike="noStrike" baseline="0">
                <a:solidFill>
                  <a:srgbClr val="000000"/>
                </a:solidFill>
                <a:latin typeface="Arial"/>
                <a:ea typeface="Arial"/>
                <a:cs typeface="Arial"/>
              </a:defRPr>
            </a:pPr>
            <a:endParaRPr lang="es-MX"/>
          </a:p>
        </c:txPr>
        <c:crossAx val="780753320"/>
        <c:crosses val="autoZero"/>
        <c:auto val="1"/>
        <c:lblAlgn val="ctr"/>
        <c:lblOffset val="100"/>
        <c:tickLblSkip val="1"/>
        <c:tickMarkSkip val="12"/>
        <c:noMultiLvlLbl val="1"/>
      </c:catAx>
      <c:valAx>
        <c:axId val="780753320"/>
        <c:scaling>
          <c:orientation val="minMax"/>
          <c:max val="52500"/>
          <c:min val="14000"/>
        </c:scaling>
        <c:delete val="0"/>
        <c:axPos val="r"/>
        <c:numFmt formatCode="#\ ##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rgbClr val="000000"/>
                </a:solidFill>
                <a:latin typeface="Arial"/>
                <a:ea typeface="Arial"/>
                <a:cs typeface="Arial"/>
              </a:defRPr>
            </a:pPr>
            <a:endParaRPr lang="es-MX"/>
          </a:p>
        </c:txPr>
        <c:crossAx val="780756064"/>
        <c:crosses val="max"/>
        <c:crossBetween val="between"/>
        <c:majorUnit val="7700"/>
        <c:minorUnit val="1000"/>
      </c:valAx>
      <c:spPr>
        <a:noFill/>
        <a:ln w="3175">
          <a:noFill/>
          <a:prstDash val="solid"/>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3.554008354601046E-3"/>
          <c:y val="0.93477321031841931"/>
          <c:w val="0.99432857405669794"/>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s-MX" sz="700" b="1" i="0" cap="small" baseline="0"/>
            </a:pPr>
            <a:r>
              <a:rPr lang="es-ES" sz="700" b="1" i="0" cap="small" baseline="0"/>
              <a:t>Automotrices</a:t>
            </a:r>
          </a:p>
        </c:rich>
      </c:tx>
      <c:layout>
        <c:manualLayout>
          <c:xMode val="edge"/>
          <c:yMode val="edge"/>
          <c:x val="0.36747761368966086"/>
          <c:y val="8.7105624142661247E-3"/>
        </c:manualLayout>
      </c:layout>
      <c:overlay val="1"/>
    </c:title>
    <c:autoTitleDeleted val="0"/>
    <c:plotArea>
      <c:layout>
        <c:manualLayout>
          <c:layoutTarget val="inner"/>
          <c:xMode val="edge"/>
          <c:yMode val="edge"/>
          <c:x val="2.5661978434130452E-2"/>
          <c:y val="6.5427126200274369E-2"/>
          <c:w val="0.88382032348804562"/>
          <c:h val="0.79278583676269065"/>
        </c:manualLayout>
      </c:layout>
      <c:lineChart>
        <c:grouping val="standard"/>
        <c:varyColors val="0"/>
        <c:ser>
          <c:idx val="1"/>
          <c:order val="0"/>
          <c:tx>
            <c:strRef>
              <c:f>datos!$M$4</c:f>
              <c:strCache>
                <c:ptCount val="1"/>
                <c:pt idx="0">
                  <c:v>Serie desestacionalizada</c:v>
                </c:pt>
              </c:strCache>
            </c:strRef>
          </c:tx>
          <c:spPr>
            <a:ln w="15875" cap="flat">
              <a:solidFill>
                <a:schemeClr val="bg1">
                  <a:lumMod val="6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datos!$M$5:$M$71</c:f>
              <c:numCache>
                <c:formatCode>#,##0.0</c:formatCode>
                <c:ptCount val="67"/>
                <c:pt idx="0">
                  <c:v>10584.088502177599</c:v>
                </c:pt>
                <c:pt idx="1">
                  <c:v>11850.9978205429</c:v>
                </c:pt>
                <c:pt idx="2">
                  <c:v>12358.686286874099</c:v>
                </c:pt>
                <c:pt idx="3">
                  <c:v>11575.534441216099</c:v>
                </c:pt>
                <c:pt idx="4">
                  <c:v>10701.347101338501</c:v>
                </c:pt>
                <c:pt idx="5">
                  <c:v>11646.080650690499</c:v>
                </c:pt>
                <c:pt idx="6">
                  <c:v>11819.983404385301</c:v>
                </c:pt>
                <c:pt idx="7">
                  <c:v>11973.663472509401</c:v>
                </c:pt>
                <c:pt idx="8">
                  <c:v>13040.019911256</c:v>
                </c:pt>
                <c:pt idx="9">
                  <c:v>12433.444790010701</c:v>
                </c:pt>
                <c:pt idx="10">
                  <c:v>12076.9489748737</c:v>
                </c:pt>
                <c:pt idx="11">
                  <c:v>12000.812918556399</c:v>
                </c:pt>
                <c:pt idx="12">
                  <c:v>11187.045002004101</c:v>
                </c:pt>
                <c:pt idx="13">
                  <c:v>12023.3671120734</c:v>
                </c:pt>
                <c:pt idx="14">
                  <c:v>12619.8751863659</c:v>
                </c:pt>
                <c:pt idx="15">
                  <c:v>12471.2850714705</c:v>
                </c:pt>
                <c:pt idx="16">
                  <c:v>12345.1423686826</c:v>
                </c:pt>
                <c:pt idx="17">
                  <c:v>12573.117849776199</c:v>
                </c:pt>
                <c:pt idx="18">
                  <c:v>12945.1706172429</c:v>
                </c:pt>
                <c:pt idx="19">
                  <c:v>13474.4934356142</c:v>
                </c:pt>
                <c:pt idx="20">
                  <c:v>12395.1564479465</c:v>
                </c:pt>
                <c:pt idx="21">
                  <c:v>11732.4092609735</c:v>
                </c:pt>
                <c:pt idx="22">
                  <c:v>12006.0312748264</c:v>
                </c:pt>
                <c:pt idx="23">
                  <c:v>11892.6394135214</c:v>
                </c:pt>
                <c:pt idx="24">
                  <c:v>12065.3235697236</c:v>
                </c:pt>
                <c:pt idx="25">
                  <c:v>12255.788820116801</c:v>
                </c:pt>
                <c:pt idx="26">
                  <c:v>11886.7062735822</c:v>
                </c:pt>
                <c:pt idx="27">
                  <c:v>2581.1454817662502</c:v>
                </c:pt>
                <c:pt idx="28">
                  <c:v>1280.02544598386</c:v>
                </c:pt>
                <c:pt idx="29">
                  <c:v>8271.2629500374605</c:v>
                </c:pt>
                <c:pt idx="30">
                  <c:v>12011.167710457499</c:v>
                </c:pt>
                <c:pt idx="31">
                  <c:v>12230.373723725401</c:v>
                </c:pt>
                <c:pt idx="32">
                  <c:v>12033.943610573</c:v>
                </c:pt>
                <c:pt idx="33">
                  <c:v>13643.212451973201</c:v>
                </c:pt>
                <c:pt idx="34">
                  <c:v>12000.8702252973</c:v>
                </c:pt>
                <c:pt idx="35">
                  <c:v>12815.733220457099</c:v>
                </c:pt>
                <c:pt idx="36">
                  <c:v>12710.6885049667</c:v>
                </c:pt>
                <c:pt idx="37">
                  <c:v>11259.765089705899</c:v>
                </c:pt>
                <c:pt idx="38">
                  <c:v>11144.208116468701</c:v>
                </c:pt>
                <c:pt idx="39">
                  <c:v>12208.1414027134</c:v>
                </c:pt>
                <c:pt idx="40">
                  <c:v>12227.5948492883</c:v>
                </c:pt>
                <c:pt idx="41">
                  <c:v>11472.2908441776</c:v>
                </c:pt>
                <c:pt idx="42">
                  <c:v>11092.5792561372</c:v>
                </c:pt>
                <c:pt idx="43">
                  <c:v>10502.763363156801</c:v>
                </c:pt>
                <c:pt idx="44">
                  <c:v>10887.901436481199</c:v>
                </c:pt>
                <c:pt idx="45">
                  <c:v>10963.7283582615</c:v>
                </c:pt>
                <c:pt idx="46">
                  <c:v>13226.220696599399</c:v>
                </c:pt>
                <c:pt idx="47">
                  <c:v>12233.7420380985</c:v>
                </c:pt>
                <c:pt idx="48">
                  <c:v>9995.0808120816291</c:v>
                </c:pt>
                <c:pt idx="49">
                  <c:v>14945.1265130343</c:v>
                </c:pt>
                <c:pt idx="50">
                  <c:v>13075.194469522799</c:v>
                </c:pt>
                <c:pt idx="51">
                  <c:v>13380.703439275099</c:v>
                </c:pt>
                <c:pt idx="52">
                  <c:v>13083.397725002</c:v>
                </c:pt>
                <c:pt idx="53">
                  <c:v>13995.1281920892</c:v>
                </c:pt>
                <c:pt idx="54">
                  <c:v>12795.7353869446</c:v>
                </c:pt>
                <c:pt idx="55">
                  <c:v>14561.3844846518</c:v>
                </c:pt>
                <c:pt idx="56">
                  <c:v>15498.5059233579</c:v>
                </c:pt>
                <c:pt idx="57">
                  <c:v>14680.754126948799</c:v>
                </c:pt>
                <c:pt idx="58">
                  <c:v>14442.5162590578</c:v>
                </c:pt>
                <c:pt idx="59">
                  <c:v>14288.805814146401</c:v>
                </c:pt>
                <c:pt idx="60">
                  <c:v>15934.929885523101</c:v>
                </c:pt>
                <c:pt idx="61">
                  <c:v>13778.5863613444</c:v>
                </c:pt>
                <c:pt idx="62">
                  <c:v>15303.463485480301</c:v>
                </c:pt>
                <c:pt idx="63">
                  <c:v>13303.1473596429</c:v>
                </c:pt>
                <c:pt idx="64">
                  <c:v>16031.747087346799</c:v>
                </c:pt>
                <c:pt idx="65">
                  <c:v>15355.584196080899</c:v>
                </c:pt>
                <c:pt idx="66">
                  <c:v>17395.010754893701</c:v>
                </c:pt>
              </c:numCache>
            </c:numRef>
          </c:val>
          <c:smooth val="0"/>
          <c:extLst>
            <c:ext xmlns:c16="http://schemas.microsoft.com/office/drawing/2014/chart" uri="{C3380CC4-5D6E-409C-BE32-E72D297353CC}">
              <c16:uniqueId val="{00000000-8B1B-4167-853C-7C9F2DB0EE99}"/>
            </c:ext>
          </c:extLst>
        </c:ser>
        <c:ser>
          <c:idx val="0"/>
          <c:order val="1"/>
          <c:tx>
            <c:strRef>
              <c:f>datos!$N$4</c:f>
              <c:strCache>
                <c:ptCount val="1"/>
                <c:pt idx="0">
                  <c:v>Serie de tendencia-ciclo</c:v>
                </c:pt>
              </c:strCache>
            </c:strRef>
          </c:tx>
          <c:spPr>
            <a:ln w="12700">
              <a:solidFill>
                <a:schemeClr val="tx2">
                  <a:lumMod val="7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datos!$N$5:$N$71</c:f>
              <c:numCache>
                <c:formatCode>#,##0.0</c:formatCode>
                <c:ptCount val="67"/>
                <c:pt idx="0">
                  <c:v>11582.5986135486</c:v>
                </c:pt>
                <c:pt idx="1">
                  <c:v>11676.812999681801</c:v>
                </c:pt>
                <c:pt idx="2">
                  <c:v>11710.702468633301</c:v>
                </c:pt>
                <c:pt idx="3">
                  <c:v>11709.0206411407</c:v>
                </c:pt>
                <c:pt idx="4">
                  <c:v>11721.138145307399</c:v>
                </c:pt>
                <c:pt idx="5">
                  <c:v>11779.5590389471</c:v>
                </c:pt>
                <c:pt idx="6">
                  <c:v>11899.1985712559</c:v>
                </c:pt>
                <c:pt idx="7">
                  <c:v>12040.8835097888</c:v>
                </c:pt>
                <c:pt idx="8">
                  <c:v>12129.593837099799</c:v>
                </c:pt>
                <c:pt idx="9">
                  <c:v>12130.846842672699</c:v>
                </c:pt>
                <c:pt idx="10">
                  <c:v>12073.528505119501</c:v>
                </c:pt>
                <c:pt idx="11">
                  <c:v>12015.713341463599</c:v>
                </c:pt>
                <c:pt idx="12">
                  <c:v>12000.506948152301</c:v>
                </c:pt>
                <c:pt idx="13">
                  <c:v>12060.2696806563</c:v>
                </c:pt>
                <c:pt idx="14">
                  <c:v>12206.8489935499</c:v>
                </c:pt>
                <c:pt idx="15">
                  <c:v>12416.1487240116</c:v>
                </c:pt>
                <c:pt idx="16">
                  <c:v>12606.741880530701</c:v>
                </c:pt>
                <c:pt idx="17">
                  <c:v>12707.4375528277</c:v>
                </c:pt>
                <c:pt idx="18">
                  <c:v>12687.340976493801</c:v>
                </c:pt>
                <c:pt idx="19">
                  <c:v>12558.272184732599</c:v>
                </c:pt>
                <c:pt idx="20">
                  <c:v>12381.206494415999</c:v>
                </c:pt>
                <c:pt idx="21">
                  <c:v>12200.307714153199</c:v>
                </c:pt>
                <c:pt idx="22">
                  <c:v>12052.212528403101</c:v>
                </c:pt>
                <c:pt idx="23">
                  <c:v>11969.390263881</c:v>
                </c:pt>
                <c:pt idx="24">
                  <c:v>11953.6756280559</c:v>
                </c:pt>
                <c:pt idx="25">
                  <c:v>11966.124015891601</c:v>
                </c:pt>
                <c:pt idx="26">
                  <c:v>11971.9232755291</c:v>
                </c:pt>
                <c:pt idx="27">
                  <c:v>11956.580099283599</c:v>
                </c:pt>
                <c:pt idx="28">
                  <c:v>11957.0744733703</c:v>
                </c:pt>
                <c:pt idx="29">
                  <c:v>11984.6041291034</c:v>
                </c:pt>
                <c:pt idx="30">
                  <c:v>12034.866144605699</c:v>
                </c:pt>
                <c:pt idx="31">
                  <c:v>12127.7866890529</c:v>
                </c:pt>
                <c:pt idx="32">
                  <c:v>12254.738351083701</c:v>
                </c:pt>
                <c:pt idx="33">
                  <c:v>12353.6434645024</c:v>
                </c:pt>
                <c:pt idx="34">
                  <c:v>12383.870351504</c:v>
                </c:pt>
                <c:pt idx="35">
                  <c:v>12347.4233834152</c:v>
                </c:pt>
                <c:pt idx="36">
                  <c:v>12263.1314945167</c:v>
                </c:pt>
                <c:pt idx="37">
                  <c:v>12157.900427896901</c:v>
                </c:pt>
                <c:pt idx="38">
                  <c:v>12028.562947197899</c:v>
                </c:pt>
                <c:pt idx="39">
                  <c:v>11861.7413182854</c:v>
                </c:pt>
                <c:pt idx="40">
                  <c:v>11643.2756644192</c:v>
                </c:pt>
                <c:pt idx="41">
                  <c:v>11382.679278157801</c:v>
                </c:pt>
                <c:pt idx="42">
                  <c:v>11133.871867566901</c:v>
                </c:pt>
                <c:pt idx="43">
                  <c:v>10956.245164043499</c:v>
                </c:pt>
                <c:pt idx="44">
                  <c:v>10961.445625201201</c:v>
                </c:pt>
                <c:pt idx="45">
                  <c:v>11217.8363660298</c:v>
                </c:pt>
                <c:pt idx="46">
                  <c:v>11686.524757793401</c:v>
                </c:pt>
                <c:pt idx="47">
                  <c:v>12207.9554059168</c:v>
                </c:pt>
                <c:pt idx="48">
                  <c:v>12665.895792249799</c:v>
                </c:pt>
                <c:pt idx="49">
                  <c:v>12994.0668650855</c:v>
                </c:pt>
                <c:pt idx="50">
                  <c:v>13194.1241339717</c:v>
                </c:pt>
                <c:pt idx="51">
                  <c:v>13343.3882491565</c:v>
                </c:pt>
                <c:pt idx="52">
                  <c:v>13521.7274453551</c:v>
                </c:pt>
                <c:pt idx="53">
                  <c:v>13776.133252355299</c:v>
                </c:pt>
                <c:pt idx="54">
                  <c:v>14074.532993338</c:v>
                </c:pt>
                <c:pt idx="55">
                  <c:v>14360.443801183899</c:v>
                </c:pt>
                <c:pt idx="56">
                  <c:v>14536.1808581654</c:v>
                </c:pt>
                <c:pt idx="57">
                  <c:v>14572.3202259708</c:v>
                </c:pt>
                <c:pt idx="58">
                  <c:v>14508.395351211901</c:v>
                </c:pt>
                <c:pt idx="59">
                  <c:v>14448.6141365125</c:v>
                </c:pt>
                <c:pt idx="60">
                  <c:v>14457.7280601158</c:v>
                </c:pt>
                <c:pt idx="61">
                  <c:v>14583.7855550076</c:v>
                </c:pt>
                <c:pt idx="62">
                  <c:v>14873.636444977799</c:v>
                </c:pt>
                <c:pt idx="63">
                  <c:v>15285.834612708401</c:v>
                </c:pt>
                <c:pt idx="64">
                  <c:v>15766.489911078201</c:v>
                </c:pt>
                <c:pt idx="65">
                  <c:v>16280.963628760701</c:v>
                </c:pt>
                <c:pt idx="66">
                  <c:v>16778.692566012302</c:v>
                </c:pt>
              </c:numCache>
            </c:numRef>
          </c:val>
          <c:smooth val="0"/>
          <c:extLst>
            <c:ext xmlns:c16="http://schemas.microsoft.com/office/drawing/2014/chart" uri="{C3380CC4-5D6E-409C-BE32-E72D297353CC}">
              <c16:uniqueId val="{00000001-8B1B-4167-853C-7C9F2DB0EE99}"/>
            </c:ext>
          </c:extLst>
        </c:ser>
        <c:dLbls>
          <c:showLegendKey val="0"/>
          <c:showVal val="0"/>
          <c:showCatName val="0"/>
          <c:showSerName val="0"/>
          <c:showPercent val="0"/>
          <c:showBubbleSize val="0"/>
        </c:dLbls>
        <c:smooth val="0"/>
        <c:axId val="780759200"/>
        <c:axId val="780750576"/>
      </c:lineChart>
      <c:catAx>
        <c:axId val="780759200"/>
        <c:scaling>
          <c:orientation val="minMax"/>
        </c:scaling>
        <c:delete val="0"/>
        <c:axPos val="b"/>
        <c:numFmt formatCode="General" sourceLinked="1"/>
        <c:majorTickMark val="cross"/>
        <c:minorTickMark val="none"/>
        <c:tickLblPos val="low"/>
        <c:spPr>
          <a:ln w="3175">
            <a:solidFill>
              <a:srgbClr val="000000"/>
            </a:solidFill>
            <a:prstDash val="solid"/>
          </a:ln>
        </c:spPr>
        <c:txPr>
          <a:bodyPr rot="0" vert="horz"/>
          <a:lstStyle/>
          <a:p>
            <a:pPr>
              <a:defRPr lang="es-MX" sz="350" b="0" i="0" u="none" strike="noStrike" baseline="0">
                <a:solidFill>
                  <a:srgbClr val="000000"/>
                </a:solidFill>
                <a:latin typeface="Arial"/>
                <a:ea typeface="Arial"/>
                <a:cs typeface="Arial"/>
              </a:defRPr>
            </a:pPr>
            <a:endParaRPr lang="es-MX"/>
          </a:p>
        </c:txPr>
        <c:crossAx val="780750576"/>
        <c:crosses val="autoZero"/>
        <c:auto val="1"/>
        <c:lblAlgn val="ctr"/>
        <c:lblOffset val="100"/>
        <c:tickLblSkip val="1"/>
        <c:tickMarkSkip val="12"/>
        <c:noMultiLvlLbl val="1"/>
      </c:catAx>
      <c:valAx>
        <c:axId val="780750576"/>
        <c:scaling>
          <c:orientation val="minMax"/>
          <c:max val="19700"/>
          <c:min val="500"/>
        </c:scaling>
        <c:delete val="0"/>
        <c:axPos val="r"/>
        <c:numFmt formatCode="#\ ##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ysClr val="windowText" lastClr="000000"/>
                </a:solidFill>
                <a:latin typeface="Arial"/>
                <a:ea typeface="Arial"/>
                <a:cs typeface="Arial"/>
              </a:defRPr>
            </a:pPr>
            <a:endParaRPr lang="es-MX"/>
          </a:p>
        </c:txPr>
        <c:crossAx val="780759200"/>
        <c:crosses val="max"/>
        <c:crossBetween val="between"/>
        <c:majorUnit val="3200"/>
        <c:minorUnit val="40"/>
      </c:valAx>
      <c:spPr>
        <a:noFill/>
        <a:ln w="3175">
          <a:noFill/>
          <a:prstDash val="solid"/>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0"/>
          <c:y val="0.9360430170875762"/>
          <c:w val="0.99432857405669794"/>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s-MX" sz="700" b="1" i="0" cap="small" baseline="0"/>
            </a:pPr>
            <a:r>
              <a:rPr lang="es-ES" sz="700" b="1" i="0" cap="small" baseline="0"/>
              <a:t>Manufactureras   No </a:t>
            </a:r>
          </a:p>
          <a:p>
            <a:pPr>
              <a:defRPr lang="es-MX" sz="700" b="1" i="0" cap="small" baseline="0"/>
            </a:pPr>
            <a:r>
              <a:rPr lang="es-ES" sz="700" b="1" i="0" cap="small" baseline="0"/>
              <a:t>Automotrices</a:t>
            </a:r>
          </a:p>
        </c:rich>
      </c:tx>
      <c:layout>
        <c:manualLayout>
          <c:xMode val="edge"/>
          <c:yMode val="edge"/>
          <c:x val="0.30494139709329582"/>
          <c:y val="0"/>
        </c:manualLayout>
      </c:layout>
      <c:overlay val="1"/>
    </c:title>
    <c:autoTitleDeleted val="0"/>
    <c:plotArea>
      <c:layout>
        <c:manualLayout>
          <c:layoutTarget val="inner"/>
          <c:xMode val="edge"/>
          <c:yMode val="edge"/>
          <c:x val="3.9836100468284383E-2"/>
          <c:y val="5.0672862131553378E-2"/>
          <c:w val="0.87057255039852288"/>
          <c:h val="0.79278583676269065"/>
        </c:manualLayout>
      </c:layout>
      <c:lineChart>
        <c:grouping val="standard"/>
        <c:varyColors val="0"/>
        <c:ser>
          <c:idx val="1"/>
          <c:order val="0"/>
          <c:tx>
            <c:strRef>
              <c:f>datos!$O$4</c:f>
              <c:strCache>
                <c:ptCount val="1"/>
                <c:pt idx="0">
                  <c:v>Serie desestacionalizada</c:v>
                </c:pt>
              </c:strCache>
            </c:strRef>
          </c:tx>
          <c:spPr>
            <a:ln w="15875" cap="flat">
              <a:solidFill>
                <a:schemeClr val="bg1">
                  <a:lumMod val="6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datos!$O$5:$O$71</c:f>
              <c:numCache>
                <c:formatCode>#,##0.0</c:formatCode>
                <c:ptCount val="67"/>
                <c:pt idx="0">
                  <c:v>20500.898231413401</c:v>
                </c:pt>
                <c:pt idx="1">
                  <c:v>20745.603303260999</c:v>
                </c:pt>
                <c:pt idx="2">
                  <c:v>21335.907517378899</c:v>
                </c:pt>
                <c:pt idx="3">
                  <c:v>20934.970653390501</c:v>
                </c:pt>
                <c:pt idx="4">
                  <c:v>21128.6494893083</c:v>
                </c:pt>
                <c:pt idx="5">
                  <c:v>21224.164267007101</c:v>
                </c:pt>
                <c:pt idx="6">
                  <c:v>21435.573077233101</c:v>
                </c:pt>
                <c:pt idx="7">
                  <c:v>21456.9757955481</c:v>
                </c:pt>
                <c:pt idx="8">
                  <c:v>21643.9786354967</c:v>
                </c:pt>
                <c:pt idx="9">
                  <c:v>21643.432839227298</c:v>
                </c:pt>
                <c:pt idx="10">
                  <c:v>21280.543581751801</c:v>
                </c:pt>
                <c:pt idx="11">
                  <c:v>21786.085728646001</c:v>
                </c:pt>
                <c:pt idx="12">
                  <c:v>21977.746198252298</c:v>
                </c:pt>
                <c:pt idx="13">
                  <c:v>21831.0154566725</c:v>
                </c:pt>
                <c:pt idx="14">
                  <c:v>21327.161026102702</c:v>
                </c:pt>
                <c:pt idx="15">
                  <c:v>22175.630071330499</c:v>
                </c:pt>
                <c:pt idx="16">
                  <c:v>22263.883497627401</c:v>
                </c:pt>
                <c:pt idx="17">
                  <c:v>22359.082467942801</c:v>
                </c:pt>
                <c:pt idx="18">
                  <c:v>21715.546028138298</c:v>
                </c:pt>
                <c:pt idx="19">
                  <c:v>22218.3606527505</c:v>
                </c:pt>
                <c:pt idx="20">
                  <c:v>21851.1168253264</c:v>
                </c:pt>
                <c:pt idx="21">
                  <c:v>21971.618454695999</c:v>
                </c:pt>
                <c:pt idx="22">
                  <c:v>21697.138067870801</c:v>
                </c:pt>
                <c:pt idx="23">
                  <c:v>21508.906916061202</c:v>
                </c:pt>
                <c:pt idx="24">
                  <c:v>21875.2513763879</c:v>
                </c:pt>
                <c:pt idx="25">
                  <c:v>22085.777420470498</c:v>
                </c:pt>
                <c:pt idx="26">
                  <c:v>21197.335450047802</c:v>
                </c:pt>
                <c:pt idx="27">
                  <c:v>17270.9493932322</c:v>
                </c:pt>
                <c:pt idx="28">
                  <c:v>14124.517325905101</c:v>
                </c:pt>
                <c:pt idx="29">
                  <c:v>20198.138391242301</c:v>
                </c:pt>
                <c:pt idx="30">
                  <c:v>20003.085352183101</c:v>
                </c:pt>
                <c:pt idx="31">
                  <c:v>21938.8752336793</c:v>
                </c:pt>
                <c:pt idx="32">
                  <c:v>22047.524048873202</c:v>
                </c:pt>
                <c:pt idx="33">
                  <c:v>22718.2348793561</c:v>
                </c:pt>
                <c:pt idx="34">
                  <c:v>23034.524626398001</c:v>
                </c:pt>
                <c:pt idx="35">
                  <c:v>23265.664291898898</c:v>
                </c:pt>
                <c:pt idx="36">
                  <c:v>22874.497063648399</c:v>
                </c:pt>
                <c:pt idx="37">
                  <c:v>22703.511333343398</c:v>
                </c:pt>
                <c:pt idx="38">
                  <c:v>24293.379940115101</c:v>
                </c:pt>
                <c:pt idx="39">
                  <c:v>23301.091363482301</c:v>
                </c:pt>
                <c:pt idx="40">
                  <c:v>23871.505064114001</c:v>
                </c:pt>
                <c:pt idx="41">
                  <c:v>24351.4013292042</c:v>
                </c:pt>
                <c:pt idx="42">
                  <c:v>25242.668470053999</c:v>
                </c:pt>
                <c:pt idx="43">
                  <c:v>24674.298774130501</c:v>
                </c:pt>
                <c:pt idx="44">
                  <c:v>25231.287928636099</c:v>
                </c:pt>
                <c:pt idx="45">
                  <c:v>25302.343743286801</c:v>
                </c:pt>
                <c:pt idx="46">
                  <c:v>26141.922469667501</c:v>
                </c:pt>
                <c:pt idx="47">
                  <c:v>27441.771807048401</c:v>
                </c:pt>
                <c:pt idx="48">
                  <c:v>26141.353658424701</c:v>
                </c:pt>
                <c:pt idx="49">
                  <c:v>28460.828924278299</c:v>
                </c:pt>
                <c:pt idx="50">
                  <c:v>28422.9266773114</c:v>
                </c:pt>
                <c:pt idx="51">
                  <c:v>28291.983823066799</c:v>
                </c:pt>
                <c:pt idx="52">
                  <c:v>28993.1228370026</c:v>
                </c:pt>
                <c:pt idx="53">
                  <c:v>28938.405317630499</c:v>
                </c:pt>
                <c:pt idx="54">
                  <c:v>29542.479123114099</c:v>
                </c:pt>
                <c:pt idx="55">
                  <c:v>28617.613034759699</c:v>
                </c:pt>
                <c:pt idx="56">
                  <c:v>30431.494505823001</c:v>
                </c:pt>
                <c:pt idx="57">
                  <c:v>28869.982308509101</c:v>
                </c:pt>
                <c:pt idx="58">
                  <c:v>28526.2261858571</c:v>
                </c:pt>
                <c:pt idx="59">
                  <c:v>27898.628904672802</c:v>
                </c:pt>
                <c:pt idx="60">
                  <c:v>28768.694485754</c:v>
                </c:pt>
                <c:pt idx="61">
                  <c:v>28692.981345764201</c:v>
                </c:pt>
                <c:pt idx="62">
                  <c:v>28925.291342356199</c:v>
                </c:pt>
                <c:pt idx="63">
                  <c:v>29379.8733613601</c:v>
                </c:pt>
                <c:pt idx="64">
                  <c:v>28322.614021760099</c:v>
                </c:pt>
                <c:pt idx="65">
                  <c:v>29027.047794841099</c:v>
                </c:pt>
                <c:pt idx="66">
                  <c:v>28054.6359704397</c:v>
                </c:pt>
              </c:numCache>
            </c:numRef>
          </c:val>
          <c:smooth val="0"/>
          <c:extLst>
            <c:ext xmlns:c16="http://schemas.microsoft.com/office/drawing/2014/chart" uri="{C3380CC4-5D6E-409C-BE32-E72D297353CC}">
              <c16:uniqueId val="{00000000-CE21-4F1F-9610-2E1224BDFC7C}"/>
            </c:ext>
          </c:extLst>
        </c:ser>
        <c:ser>
          <c:idx val="0"/>
          <c:order val="1"/>
          <c:tx>
            <c:strRef>
              <c:f>datos!$P$4</c:f>
              <c:strCache>
                <c:ptCount val="1"/>
                <c:pt idx="0">
                  <c:v>Serie de tendencia-ciclo</c:v>
                </c:pt>
              </c:strCache>
            </c:strRef>
          </c:tx>
          <c:spPr>
            <a:ln w="12700">
              <a:solidFill>
                <a:schemeClr val="tx2">
                  <a:lumMod val="7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datos!$P$5:$P$71</c:f>
              <c:numCache>
                <c:formatCode>#,##0.0</c:formatCode>
                <c:ptCount val="67"/>
                <c:pt idx="0">
                  <c:v>20632.8746638181</c:v>
                </c:pt>
                <c:pt idx="1">
                  <c:v>20797.288506128101</c:v>
                </c:pt>
                <c:pt idx="2">
                  <c:v>20929.496922234601</c:v>
                </c:pt>
                <c:pt idx="3">
                  <c:v>21044.792386066001</c:v>
                </c:pt>
                <c:pt idx="4">
                  <c:v>21166.332325233099</c:v>
                </c:pt>
                <c:pt idx="5">
                  <c:v>21283.0914499873</c:v>
                </c:pt>
                <c:pt idx="6">
                  <c:v>21378.211682353001</c:v>
                </c:pt>
                <c:pt idx="7">
                  <c:v>21455.647437228199</c:v>
                </c:pt>
                <c:pt idx="8">
                  <c:v>21525.2087408593</c:v>
                </c:pt>
                <c:pt idx="9">
                  <c:v>21585.414881239001</c:v>
                </c:pt>
                <c:pt idx="10">
                  <c:v>21641.393221049701</c:v>
                </c:pt>
                <c:pt idx="11">
                  <c:v>21712.578081952601</c:v>
                </c:pt>
                <c:pt idx="12">
                  <c:v>21817.217491288498</c:v>
                </c:pt>
                <c:pt idx="13">
                  <c:v>21938.333357788601</c:v>
                </c:pt>
                <c:pt idx="14">
                  <c:v>22053.0289802384</c:v>
                </c:pt>
                <c:pt idx="15">
                  <c:v>22134.0670615946</c:v>
                </c:pt>
                <c:pt idx="16">
                  <c:v>22168.104321665</c:v>
                </c:pt>
                <c:pt idx="17">
                  <c:v>22161.765997997802</c:v>
                </c:pt>
                <c:pt idx="18">
                  <c:v>22115.5303623459</c:v>
                </c:pt>
                <c:pt idx="19">
                  <c:v>22024.4092921425</c:v>
                </c:pt>
                <c:pt idx="20">
                  <c:v>21928.800518639899</c:v>
                </c:pt>
                <c:pt idx="21">
                  <c:v>21855.112622931902</c:v>
                </c:pt>
                <c:pt idx="22">
                  <c:v>21801.7338116928</c:v>
                </c:pt>
                <c:pt idx="23">
                  <c:v>21760.427254153499</c:v>
                </c:pt>
                <c:pt idx="24">
                  <c:v>21700.420966904399</c:v>
                </c:pt>
                <c:pt idx="25">
                  <c:v>21597.122611810901</c:v>
                </c:pt>
                <c:pt idx="26">
                  <c:v>21471.7147297841</c:v>
                </c:pt>
                <c:pt idx="27">
                  <c:v>21346.801496108499</c:v>
                </c:pt>
                <c:pt idx="28">
                  <c:v>21281.6904933695</c:v>
                </c:pt>
                <c:pt idx="29">
                  <c:v>21329.3704615565</c:v>
                </c:pt>
                <c:pt idx="30">
                  <c:v>21534.979012306001</c:v>
                </c:pt>
                <c:pt idx="31">
                  <c:v>21879.3666853221</c:v>
                </c:pt>
                <c:pt idx="32">
                  <c:v>22265.813444649</c:v>
                </c:pt>
                <c:pt idx="33">
                  <c:v>22606.609950166399</c:v>
                </c:pt>
                <c:pt idx="34">
                  <c:v>22847.087378553901</c:v>
                </c:pt>
                <c:pt idx="35">
                  <c:v>22964.777068791402</c:v>
                </c:pt>
                <c:pt idx="36">
                  <c:v>23012.3694607369</c:v>
                </c:pt>
                <c:pt idx="37">
                  <c:v>23084.453875344301</c:v>
                </c:pt>
                <c:pt idx="38">
                  <c:v>23232.3844732373</c:v>
                </c:pt>
                <c:pt idx="39">
                  <c:v>23482.506587312801</c:v>
                </c:pt>
                <c:pt idx="40">
                  <c:v>23812.767274650301</c:v>
                </c:pt>
                <c:pt idx="41">
                  <c:v>24158.403786874202</c:v>
                </c:pt>
                <c:pt idx="42">
                  <c:v>24490.596600570301</c:v>
                </c:pt>
                <c:pt idx="43">
                  <c:v>24812.070532666501</c:v>
                </c:pt>
                <c:pt idx="44">
                  <c:v>25182.051663191301</c:v>
                </c:pt>
                <c:pt idx="45">
                  <c:v>25655.924291953499</c:v>
                </c:pt>
                <c:pt idx="46">
                  <c:v>26223.594494657002</c:v>
                </c:pt>
                <c:pt idx="47">
                  <c:v>26847.818235204999</c:v>
                </c:pt>
                <c:pt idx="48">
                  <c:v>27443.615815708599</c:v>
                </c:pt>
                <c:pt idx="49">
                  <c:v>27961.438022797902</c:v>
                </c:pt>
                <c:pt idx="50">
                  <c:v>28372.214375436699</c:v>
                </c:pt>
                <c:pt idx="51">
                  <c:v>28679.451178877898</c:v>
                </c:pt>
                <c:pt idx="52">
                  <c:v>28899.888080534602</c:v>
                </c:pt>
                <c:pt idx="53">
                  <c:v>29054.492257968599</c:v>
                </c:pt>
                <c:pt idx="54">
                  <c:v>29118.6200102398</c:v>
                </c:pt>
                <c:pt idx="55">
                  <c:v>29082.0428040517</c:v>
                </c:pt>
                <c:pt idx="56">
                  <c:v>28961.370721442901</c:v>
                </c:pt>
                <c:pt idx="57">
                  <c:v>28786.896528602199</c:v>
                </c:pt>
                <c:pt idx="58">
                  <c:v>28656.158355873398</c:v>
                </c:pt>
                <c:pt idx="59">
                  <c:v>28612.254384318199</c:v>
                </c:pt>
                <c:pt idx="60">
                  <c:v>28659.4952001499</c:v>
                </c:pt>
                <c:pt idx="61">
                  <c:v>28750.2279237517</c:v>
                </c:pt>
                <c:pt idx="62">
                  <c:v>28810.222552286399</c:v>
                </c:pt>
                <c:pt idx="63">
                  <c:v>28817.863814958098</c:v>
                </c:pt>
                <c:pt idx="64">
                  <c:v>28765.231237231699</c:v>
                </c:pt>
                <c:pt idx="65">
                  <c:v>28691.784706057901</c:v>
                </c:pt>
                <c:pt idx="66">
                  <c:v>28646.5323911745</c:v>
                </c:pt>
              </c:numCache>
            </c:numRef>
          </c:val>
          <c:smooth val="0"/>
          <c:extLst>
            <c:ext xmlns:c16="http://schemas.microsoft.com/office/drawing/2014/chart" uri="{C3380CC4-5D6E-409C-BE32-E72D297353CC}">
              <c16:uniqueId val="{00000001-CE21-4F1F-9610-2E1224BDFC7C}"/>
            </c:ext>
          </c:extLst>
        </c:ser>
        <c:dLbls>
          <c:showLegendKey val="0"/>
          <c:showVal val="0"/>
          <c:showCatName val="0"/>
          <c:showSerName val="0"/>
          <c:showPercent val="0"/>
          <c:showBubbleSize val="0"/>
        </c:dLbls>
        <c:smooth val="0"/>
        <c:axId val="780750968"/>
        <c:axId val="780747048"/>
      </c:lineChart>
      <c:catAx>
        <c:axId val="780750968"/>
        <c:scaling>
          <c:orientation val="minMax"/>
        </c:scaling>
        <c:delete val="0"/>
        <c:axPos val="b"/>
        <c:numFmt formatCode="General" sourceLinked="1"/>
        <c:majorTickMark val="cross"/>
        <c:minorTickMark val="none"/>
        <c:tickLblPos val="low"/>
        <c:spPr>
          <a:ln w="3175">
            <a:solidFill>
              <a:srgbClr val="000000"/>
            </a:solidFill>
            <a:prstDash val="solid"/>
          </a:ln>
        </c:spPr>
        <c:txPr>
          <a:bodyPr rot="0" vert="horz"/>
          <a:lstStyle/>
          <a:p>
            <a:pPr>
              <a:defRPr lang="es-MX" sz="350" b="0" i="0" u="none" strike="noStrike" baseline="0">
                <a:solidFill>
                  <a:srgbClr val="000000"/>
                </a:solidFill>
                <a:latin typeface="Arial"/>
                <a:ea typeface="Arial"/>
                <a:cs typeface="Arial"/>
              </a:defRPr>
            </a:pPr>
            <a:endParaRPr lang="es-MX"/>
          </a:p>
        </c:txPr>
        <c:crossAx val="780747048"/>
        <c:crosses val="autoZero"/>
        <c:auto val="1"/>
        <c:lblAlgn val="ctr"/>
        <c:lblOffset val="100"/>
        <c:tickLblSkip val="1"/>
        <c:tickMarkSkip val="12"/>
        <c:noMultiLvlLbl val="1"/>
      </c:catAx>
      <c:valAx>
        <c:axId val="780747048"/>
        <c:scaling>
          <c:orientation val="minMax"/>
          <c:max val="33000"/>
          <c:min val="12000"/>
        </c:scaling>
        <c:delete val="0"/>
        <c:axPos val="r"/>
        <c:numFmt formatCode="#\ ##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ysClr val="windowText" lastClr="000000"/>
                </a:solidFill>
                <a:latin typeface="Arial"/>
                <a:ea typeface="Arial"/>
                <a:cs typeface="Arial"/>
              </a:defRPr>
            </a:pPr>
            <a:endParaRPr lang="es-MX"/>
          </a:p>
        </c:txPr>
        <c:crossAx val="780750968"/>
        <c:crosses val="max"/>
        <c:crossBetween val="between"/>
        <c:majorUnit val="4200"/>
        <c:minorUnit val="1000"/>
      </c:valAx>
      <c:spPr>
        <a:noFill/>
        <a:ln w="3175">
          <a:noFill/>
          <a:prstDash val="solid"/>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0"/>
          <c:y val="0.93232898715041568"/>
          <c:w val="0.99432857405669794"/>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s-MX" sz="700" b="1" i="0" cap="small" baseline="0"/>
            </a:pPr>
            <a:r>
              <a:rPr lang="es-ES" sz="700" b="1" i="0" cap="small" baseline="0"/>
              <a:t>Totales</a:t>
            </a:r>
          </a:p>
        </c:rich>
      </c:tx>
      <c:layout>
        <c:manualLayout>
          <c:xMode val="edge"/>
          <c:yMode val="edge"/>
          <c:x val="0.43149109235818089"/>
          <c:y val="2.1776406035665294E-3"/>
        </c:manualLayout>
      </c:layout>
      <c:overlay val="1"/>
    </c:title>
    <c:autoTitleDeleted val="0"/>
    <c:plotArea>
      <c:layout>
        <c:manualLayout>
          <c:layoutTarget val="inner"/>
          <c:xMode val="edge"/>
          <c:yMode val="edge"/>
          <c:x val="2.7150492264416341E-2"/>
          <c:y val="5.8894204389574774E-2"/>
          <c:w val="0.87057255039852288"/>
          <c:h val="0.79060819615914713"/>
        </c:manualLayout>
      </c:layout>
      <c:lineChart>
        <c:grouping val="standard"/>
        <c:varyColors val="0"/>
        <c:ser>
          <c:idx val="1"/>
          <c:order val="0"/>
          <c:tx>
            <c:strRef>
              <c:f>datos!$Q$4</c:f>
              <c:strCache>
                <c:ptCount val="1"/>
                <c:pt idx="0">
                  <c:v>Serie desestacionalizada</c:v>
                </c:pt>
              </c:strCache>
            </c:strRef>
          </c:tx>
          <c:spPr>
            <a:ln w="15875" cap="flat">
              <a:solidFill>
                <a:schemeClr val="bg1">
                  <a:lumMod val="6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datos!$Q$5:$Q$71</c:f>
              <c:numCache>
                <c:formatCode>#,##0.0</c:formatCode>
                <c:ptCount val="67"/>
                <c:pt idx="0">
                  <c:v>36519.080331848498</c:v>
                </c:pt>
                <c:pt idx="1">
                  <c:v>37610.497345376498</c:v>
                </c:pt>
                <c:pt idx="2">
                  <c:v>38805.691353832</c:v>
                </c:pt>
                <c:pt idx="3">
                  <c:v>37899.9300562559</c:v>
                </c:pt>
                <c:pt idx="4">
                  <c:v>38576.728322672199</c:v>
                </c:pt>
                <c:pt idx="5">
                  <c:v>39074.973437867302</c:v>
                </c:pt>
                <c:pt idx="6">
                  <c:v>39304.819114602098</c:v>
                </c:pt>
                <c:pt idx="7">
                  <c:v>39129.497959387903</c:v>
                </c:pt>
                <c:pt idx="8">
                  <c:v>39522.598397614798</c:v>
                </c:pt>
                <c:pt idx="9">
                  <c:v>39731.164806745903</c:v>
                </c:pt>
                <c:pt idx="10">
                  <c:v>39934.0182554036</c:v>
                </c:pt>
                <c:pt idx="11">
                  <c:v>37880.294405459601</c:v>
                </c:pt>
                <c:pt idx="12">
                  <c:v>38633.866993309202</c:v>
                </c:pt>
                <c:pt idx="13">
                  <c:v>38385.763680573597</c:v>
                </c:pt>
                <c:pt idx="14">
                  <c:v>38124.511627189502</c:v>
                </c:pt>
                <c:pt idx="15">
                  <c:v>38817.134084929799</c:v>
                </c:pt>
                <c:pt idx="16">
                  <c:v>38373.263857220903</c:v>
                </c:pt>
                <c:pt idx="17">
                  <c:v>37673.115407759396</c:v>
                </c:pt>
                <c:pt idx="18">
                  <c:v>38353.345456470299</c:v>
                </c:pt>
                <c:pt idx="19">
                  <c:v>38319.879356549398</c:v>
                </c:pt>
                <c:pt idx="20">
                  <c:v>37610.140201543298</c:v>
                </c:pt>
                <c:pt idx="21">
                  <c:v>37436.250962968697</c:v>
                </c:pt>
                <c:pt idx="22">
                  <c:v>36842.163379863101</c:v>
                </c:pt>
                <c:pt idx="23">
                  <c:v>36613.285858928299</c:v>
                </c:pt>
                <c:pt idx="24">
                  <c:v>37145.3805093501</c:v>
                </c:pt>
                <c:pt idx="25">
                  <c:v>36478.981454929599</c:v>
                </c:pt>
                <c:pt idx="26">
                  <c:v>34538.069404466201</c:v>
                </c:pt>
                <c:pt idx="27">
                  <c:v>26773.1299662007</c:v>
                </c:pt>
                <c:pt idx="28">
                  <c:v>21818.603212984399</c:v>
                </c:pt>
                <c:pt idx="29">
                  <c:v>27309.223415767199</c:v>
                </c:pt>
                <c:pt idx="30">
                  <c:v>28337.208177763299</c:v>
                </c:pt>
                <c:pt idx="31">
                  <c:v>31013.076121256399</c:v>
                </c:pt>
                <c:pt idx="32">
                  <c:v>32919.966761017196</c:v>
                </c:pt>
                <c:pt idx="33">
                  <c:v>33619.101740587503</c:v>
                </c:pt>
                <c:pt idx="34">
                  <c:v>35842.422281348801</c:v>
                </c:pt>
                <c:pt idx="35">
                  <c:v>36502.7747470494</c:v>
                </c:pt>
                <c:pt idx="36">
                  <c:v>37674.808345178099</c:v>
                </c:pt>
                <c:pt idx="37">
                  <c:v>36336.996586762602</c:v>
                </c:pt>
                <c:pt idx="38">
                  <c:v>43782.970835561398</c:v>
                </c:pt>
                <c:pt idx="39">
                  <c:v>39303.852537896499</c:v>
                </c:pt>
                <c:pt idx="40">
                  <c:v>41155.806452340497</c:v>
                </c:pt>
                <c:pt idx="41">
                  <c:v>41090.740520591899</c:v>
                </c:pt>
                <c:pt idx="42">
                  <c:v>44253.284955589399</c:v>
                </c:pt>
                <c:pt idx="43">
                  <c:v>42998.5549671177</c:v>
                </c:pt>
                <c:pt idx="44">
                  <c:v>42732.130374439999</c:v>
                </c:pt>
                <c:pt idx="45">
                  <c:v>43722.824040710999</c:v>
                </c:pt>
                <c:pt idx="46">
                  <c:v>44853.340479263403</c:v>
                </c:pt>
                <c:pt idx="47">
                  <c:v>46440.8428972908</c:v>
                </c:pt>
                <c:pt idx="48">
                  <c:v>44935.7821904456</c:v>
                </c:pt>
                <c:pt idx="49">
                  <c:v>48693.084163710599</c:v>
                </c:pt>
                <c:pt idx="50">
                  <c:v>49132.747990530799</c:v>
                </c:pt>
                <c:pt idx="51">
                  <c:v>50988.022775870297</c:v>
                </c:pt>
                <c:pt idx="52">
                  <c:v>51355.964488122401</c:v>
                </c:pt>
                <c:pt idx="53">
                  <c:v>54009.761223442598</c:v>
                </c:pt>
                <c:pt idx="54">
                  <c:v>53266.232072321</c:v>
                </c:pt>
                <c:pt idx="55">
                  <c:v>52211.0496801072</c:v>
                </c:pt>
                <c:pt idx="56">
                  <c:v>51717.644378293597</c:v>
                </c:pt>
                <c:pt idx="57">
                  <c:v>50626.5590480889</c:v>
                </c:pt>
                <c:pt idx="58">
                  <c:v>48248.788625010697</c:v>
                </c:pt>
                <c:pt idx="59">
                  <c:v>49466.650157448203</c:v>
                </c:pt>
                <c:pt idx="60">
                  <c:v>50657.363284637897</c:v>
                </c:pt>
                <c:pt idx="61">
                  <c:v>50726.268884824203</c:v>
                </c:pt>
                <c:pt idx="62">
                  <c:v>49414.058434472201</c:v>
                </c:pt>
                <c:pt idx="63">
                  <c:v>51317.225452058301</c:v>
                </c:pt>
                <c:pt idx="64">
                  <c:v>49910.114362854998</c:v>
                </c:pt>
                <c:pt idx="65">
                  <c:v>50797.973748902201</c:v>
                </c:pt>
                <c:pt idx="66">
                  <c:v>49804.878648903199</c:v>
                </c:pt>
              </c:numCache>
            </c:numRef>
          </c:val>
          <c:smooth val="0"/>
          <c:extLst>
            <c:ext xmlns:c16="http://schemas.microsoft.com/office/drawing/2014/chart" uri="{C3380CC4-5D6E-409C-BE32-E72D297353CC}">
              <c16:uniqueId val="{00000000-0944-4025-9EA7-06755DD10783}"/>
            </c:ext>
          </c:extLst>
        </c:ser>
        <c:ser>
          <c:idx val="0"/>
          <c:order val="1"/>
          <c:tx>
            <c:strRef>
              <c:f>datos!$R$4</c:f>
              <c:strCache>
                <c:ptCount val="1"/>
                <c:pt idx="0">
                  <c:v>Serie de tendencia-ciclo</c:v>
                </c:pt>
              </c:strCache>
            </c:strRef>
          </c:tx>
          <c:spPr>
            <a:ln w="12700">
              <a:solidFill>
                <a:schemeClr val="tx2">
                  <a:lumMod val="7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datos!$R$5:$R$71</c:f>
              <c:numCache>
                <c:formatCode>#,##0.0</c:formatCode>
                <c:ptCount val="67"/>
                <c:pt idx="0">
                  <c:v>37310.705552790008</c:v>
                </c:pt>
                <c:pt idx="1">
                  <c:v>37692.907631894494</c:v>
                </c:pt>
                <c:pt idx="2">
                  <c:v>38064.388234438695</c:v>
                </c:pt>
                <c:pt idx="3">
                  <c:v>38398.857737792656</c:v>
                </c:pt>
                <c:pt idx="4">
                  <c:v>38696.639496128788</c:v>
                </c:pt>
                <c:pt idx="5">
                  <c:v>38978.262396396189</c:v>
                </c:pt>
                <c:pt idx="6">
                  <c:v>39224.075442945184</c:v>
                </c:pt>
                <c:pt idx="7">
                  <c:v>39377.780562991444</c:v>
                </c:pt>
                <c:pt idx="8">
                  <c:v>39427.511884775995</c:v>
                </c:pt>
                <c:pt idx="9">
                  <c:v>39331.021518820606</c:v>
                </c:pt>
                <c:pt idx="10">
                  <c:v>39113.260618200657</c:v>
                </c:pt>
                <c:pt idx="11">
                  <c:v>38873.330695107732</c:v>
                </c:pt>
                <c:pt idx="12">
                  <c:v>38651.225239918647</c:v>
                </c:pt>
                <c:pt idx="13">
                  <c:v>38482.983678100471</c:v>
                </c:pt>
                <c:pt idx="14">
                  <c:v>38398.211752355121</c:v>
                </c:pt>
                <c:pt idx="15">
                  <c:v>38383.939495885148</c:v>
                </c:pt>
                <c:pt idx="16">
                  <c:v>38385.001486896406</c:v>
                </c:pt>
                <c:pt idx="17">
                  <c:v>38340.272643748911</c:v>
                </c:pt>
                <c:pt idx="18">
                  <c:v>38204.662210107017</c:v>
                </c:pt>
                <c:pt idx="19">
                  <c:v>37995.548714631208</c:v>
                </c:pt>
                <c:pt idx="20">
                  <c:v>37738.902475052208</c:v>
                </c:pt>
                <c:pt idx="21">
                  <c:v>37477.079315092451</c:v>
                </c:pt>
                <c:pt idx="22">
                  <c:v>37206.878735236431</c:v>
                </c:pt>
                <c:pt idx="23">
                  <c:v>36889.500160017182</c:v>
                </c:pt>
                <c:pt idx="24">
                  <c:v>36499.221989154292</c:v>
                </c:pt>
                <c:pt idx="25">
                  <c:v>36010.091502461248</c:v>
                </c:pt>
                <c:pt idx="26">
                  <c:v>34913.022047228857</c:v>
                </c:pt>
                <c:pt idx="27">
                  <c:v>32220.457440552229</c:v>
                </c:pt>
                <c:pt idx="28">
                  <c:v>31861.488800985811</c:v>
                </c:pt>
                <c:pt idx="29">
                  <c:v>31814.393239845136</c:v>
                </c:pt>
                <c:pt idx="30">
                  <c:v>32169.154140553659</c:v>
                </c:pt>
                <c:pt idx="31">
                  <c:v>32903.065145817534</c:v>
                </c:pt>
                <c:pt idx="32">
                  <c:v>33889.02051248341</c:v>
                </c:pt>
                <c:pt idx="33">
                  <c:v>34989.121122393037</c:v>
                </c:pt>
                <c:pt idx="34">
                  <c:v>36054.480032687563</c:v>
                </c:pt>
                <c:pt idx="35">
                  <c:v>37011.630771188597</c:v>
                </c:pt>
                <c:pt idx="36">
                  <c:v>37838.359799504578</c:v>
                </c:pt>
                <c:pt idx="37">
                  <c:v>38584.648223708704</c:v>
                </c:pt>
                <c:pt idx="38">
                  <c:v>39315.65191251698</c:v>
                </c:pt>
                <c:pt idx="39">
                  <c:v>40049.330703537285</c:v>
                </c:pt>
                <c:pt idx="40">
                  <c:v>40758.098383755147</c:v>
                </c:pt>
                <c:pt idx="41">
                  <c:v>41409.242786947827</c:v>
                </c:pt>
                <c:pt idx="42">
                  <c:v>42007.881777307055</c:v>
                </c:pt>
                <c:pt idx="43">
                  <c:v>42604.047449766615</c:v>
                </c:pt>
                <c:pt idx="44">
                  <c:v>43242.83207598469</c:v>
                </c:pt>
                <c:pt idx="45">
                  <c:v>43978.674441499534</c:v>
                </c:pt>
                <c:pt idx="46">
                  <c:v>44863.240369482475</c:v>
                </c:pt>
                <c:pt idx="47">
                  <c:v>45897.267855655133</c:v>
                </c:pt>
                <c:pt idx="48">
                  <c:v>47043.531840298427</c:v>
                </c:pt>
                <c:pt idx="49">
                  <c:v>48288.675323067902</c:v>
                </c:pt>
                <c:pt idx="50">
                  <c:v>49552.752394558214</c:v>
                </c:pt>
                <c:pt idx="51">
                  <c:v>50739.537491787298</c:v>
                </c:pt>
                <c:pt idx="52">
                  <c:v>51739.387801706274</c:v>
                </c:pt>
                <c:pt idx="53">
                  <c:v>52387.606599051753</c:v>
                </c:pt>
                <c:pt idx="54">
                  <c:v>52562.40262093419</c:v>
                </c:pt>
                <c:pt idx="55">
                  <c:v>52264.153399953568</c:v>
                </c:pt>
                <c:pt idx="56">
                  <c:v>51671.263993535882</c:v>
                </c:pt>
                <c:pt idx="57">
                  <c:v>50984.704194010461</c:v>
                </c:pt>
                <c:pt idx="58">
                  <c:v>50430.386725048142</c:v>
                </c:pt>
                <c:pt idx="59">
                  <c:v>50134.361053538159</c:v>
                </c:pt>
                <c:pt idx="60">
                  <c:v>50137.010879195252</c:v>
                </c:pt>
                <c:pt idx="61">
                  <c:v>50306.057778989474</c:v>
                </c:pt>
                <c:pt idx="62">
                  <c:v>50489.366821218835</c:v>
                </c:pt>
                <c:pt idx="63">
                  <c:v>50603.135979056788</c:v>
                </c:pt>
                <c:pt idx="64">
                  <c:v>50630.337927626322</c:v>
                </c:pt>
                <c:pt idx="65">
                  <c:v>50659.140102950027</c:v>
                </c:pt>
                <c:pt idx="66">
                  <c:v>50815.436464802537</c:v>
                </c:pt>
              </c:numCache>
            </c:numRef>
          </c:val>
          <c:smooth val="0"/>
          <c:extLst>
            <c:ext xmlns:c16="http://schemas.microsoft.com/office/drawing/2014/chart" uri="{C3380CC4-5D6E-409C-BE32-E72D297353CC}">
              <c16:uniqueId val="{00000001-0944-4025-9EA7-06755DD10783}"/>
            </c:ext>
          </c:extLst>
        </c:ser>
        <c:dLbls>
          <c:showLegendKey val="0"/>
          <c:showVal val="0"/>
          <c:showCatName val="0"/>
          <c:showSerName val="0"/>
          <c:showPercent val="0"/>
          <c:showBubbleSize val="0"/>
        </c:dLbls>
        <c:smooth val="0"/>
        <c:axId val="616593960"/>
        <c:axId val="530007592"/>
      </c:lineChart>
      <c:catAx>
        <c:axId val="616593960"/>
        <c:scaling>
          <c:orientation val="minMax"/>
        </c:scaling>
        <c:delete val="0"/>
        <c:axPos val="b"/>
        <c:numFmt formatCode="General" sourceLinked="1"/>
        <c:majorTickMark val="cross"/>
        <c:minorTickMark val="none"/>
        <c:tickLblPos val="low"/>
        <c:spPr>
          <a:ln w="3175">
            <a:solidFill>
              <a:srgbClr val="000000"/>
            </a:solidFill>
            <a:prstDash val="solid"/>
          </a:ln>
        </c:spPr>
        <c:txPr>
          <a:bodyPr rot="0" vert="horz"/>
          <a:lstStyle/>
          <a:p>
            <a:pPr>
              <a:defRPr lang="es-MX" sz="350" b="0" i="0" u="none" strike="noStrike" baseline="0">
                <a:solidFill>
                  <a:sysClr val="windowText" lastClr="000000"/>
                </a:solidFill>
                <a:latin typeface="Arial"/>
                <a:ea typeface="Arial"/>
                <a:cs typeface="Arial"/>
              </a:defRPr>
            </a:pPr>
            <a:endParaRPr lang="es-MX"/>
          </a:p>
        </c:txPr>
        <c:crossAx val="530007592"/>
        <c:crosses val="autoZero"/>
        <c:auto val="1"/>
        <c:lblAlgn val="ctr"/>
        <c:lblOffset val="100"/>
        <c:tickLblSkip val="1"/>
        <c:tickMarkSkip val="12"/>
        <c:noMultiLvlLbl val="1"/>
      </c:catAx>
      <c:valAx>
        <c:axId val="530007592"/>
        <c:scaling>
          <c:orientation val="minMax"/>
          <c:max val="58500"/>
          <c:min val="21000"/>
        </c:scaling>
        <c:delete val="0"/>
        <c:axPos val="r"/>
        <c:numFmt formatCode="#\ ##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ysClr val="windowText" lastClr="000000"/>
                </a:solidFill>
                <a:latin typeface="Arial"/>
                <a:ea typeface="Arial"/>
                <a:cs typeface="Arial"/>
              </a:defRPr>
            </a:pPr>
            <a:endParaRPr lang="es-MX"/>
          </a:p>
        </c:txPr>
        <c:crossAx val="616593960"/>
        <c:crosses val="max"/>
        <c:crossBetween val="between"/>
        <c:majorUnit val="7500"/>
        <c:minorUnit val="1000"/>
      </c:valAx>
      <c:spPr>
        <a:noFill/>
        <a:ln w="3175">
          <a:noFill/>
          <a:prstDash val="solid"/>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6.5154684614714851E-3"/>
          <c:y val="0.93827893314093769"/>
          <c:w val="0.98556039960118069"/>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s-MX" sz="700" b="1" i="0" cap="small" baseline="0"/>
            </a:pPr>
            <a:r>
              <a:rPr lang="es-ES" sz="700" b="1" i="0" cap="small" baseline="0"/>
              <a:t>Petroleras</a:t>
            </a:r>
          </a:p>
        </c:rich>
      </c:tx>
      <c:layout>
        <c:manualLayout>
          <c:xMode val="edge"/>
          <c:yMode val="edge"/>
          <c:x val="0.40221202531646238"/>
          <c:y val="2.1776406035665294E-3"/>
        </c:manualLayout>
      </c:layout>
      <c:overlay val="1"/>
    </c:title>
    <c:autoTitleDeleted val="0"/>
    <c:plotArea>
      <c:layout>
        <c:manualLayout>
          <c:layoutTarget val="inner"/>
          <c:xMode val="edge"/>
          <c:yMode val="edge"/>
          <c:x val="2.8639006094702293E-2"/>
          <c:y val="5.8894204389574774E-2"/>
          <c:w val="0.87057255039852288"/>
          <c:h val="0.79496347736625517"/>
        </c:manualLayout>
      </c:layout>
      <c:lineChart>
        <c:grouping val="standard"/>
        <c:varyColors val="0"/>
        <c:ser>
          <c:idx val="1"/>
          <c:order val="0"/>
          <c:tx>
            <c:strRef>
              <c:f>datos!$S$4</c:f>
              <c:strCache>
                <c:ptCount val="1"/>
                <c:pt idx="0">
                  <c:v>Serie desestacionalizada</c:v>
                </c:pt>
              </c:strCache>
            </c:strRef>
          </c:tx>
          <c:spPr>
            <a:ln w="15875" cap="flat">
              <a:solidFill>
                <a:schemeClr val="bg1">
                  <a:lumMod val="6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datos!$S$5:$S$71</c:f>
              <c:numCache>
                <c:formatCode>#,##0.0</c:formatCode>
                <c:ptCount val="67"/>
                <c:pt idx="0">
                  <c:v>3740.4789240804498</c:v>
                </c:pt>
                <c:pt idx="1">
                  <c:v>4454.6480881786301</c:v>
                </c:pt>
                <c:pt idx="2">
                  <c:v>4619.7039504808699</c:v>
                </c:pt>
                <c:pt idx="3">
                  <c:v>4350.7563587793002</c:v>
                </c:pt>
                <c:pt idx="4">
                  <c:v>4355.9312866146802</c:v>
                </c:pt>
                <c:pt idx="5">
                  <c:v>4725.6881521700798</c:v>
                </c:pt>
                <c:pt idx="6">
                  <c:v>4712.23960485313</c:v>
                </c:pt>
                <c:pt idx="7">
                  <c:v>4531.3521606855402</c:v>
                </c:pt>
                <c:pt idx="8">
                  <c:v>4505.9449623158298</c:v>
                </c:pt>
                <c:pt idx="9">
                  <c:v>4682.1875839293498</c:v>
                </c:pt>
                <c:pt idx="10">
                  <c:v>4923.6774793046498</c:v>
                </c:pt>
                <c:pt idx="11">
                  <c:v>4100.14489016892</c:v>
                </c:pt>
                <c:pt idx="12">
                  <c:v>4025.9454052615902</c:v>
                </c:pt>
                <c:pt idx="13">
                  <c:v>4016.5934028469801</c:v>
                </c:pt>
                <c:pt idx="14">
                  <c:v>4369.1728654509998</c:v>
                </c:pt>
                <c:pt idx="15">
                  <c:v>4489.8680073318301</c:v>
                </c:pt>
                <c:pt idx="16">
                  <c:v>4343.18155651899</c:v>
                </c:pt>
                <c:pt idx="17">
                  <c:v>4003.97206026306</c:v>
                </c:pt>
                <c:pt idx="18">
                  <c:v>3675.3154491014302</c:v>
                </c:pt>
                <c:pt idx="19">
                  <c:v>3651.0340938152599</c:v>
                </c:pt>
                <c:pt idx="20">
                  <c:v>3562.4977495662902</c:v>
                </c:pt>
                <c:pt idx="21">
                  <c:v>3688.4453703808599</c:v>
                </c:pt>
                <c:pt idx="22">
                  <c:v>3800.7093927320602</c:v>
                </c:pt>
                <c:pt idx="23">
                  <c:v>3646.0711165105999</c:v>
                </c:pt>
                <c:pt idx="24">
                  <c:v>3980.07566320565</c:v>
                </c:pt>
                <c:pt idx="25">
                  <c:v>3800.8071438442398</c:v>
                </c:pt>
                <c:pt idx="26">
                  <c:v>3379.87212801959</c:v>
                </c:pt>
                <c:pt idx="27">
                  <c:v>2101.9093930151598</c:v>
                </c:pt>
                <c:pt idx="28">
                  <c:v>1424.5282869241801</c:v>
                </c:pt>
                <c:pt idx="29">
                  <c:v>1648.1911073393601</c:v>
                </c:pt>
                <c:pt idx="30">
                  <c:v>2005.88528633293</c:v>
                </c:pt>
                <c:pt idx="31">
                  <c:v>2359.0776639416199</c:v>
                </c:pt>
                <c:pt idx="32">
                  <c:v>2464.0022595239102</c:v>
                </c:pt>
                <c:pt idx="33">
                  <c:v>2592.19598419267</c:v>
                </c:pt>
                <c:pt idx="34">
                  <c:v>2763.98205900725</c:v>
                </c:pt>
                <c:pt idx="35">
                  <c:v>3098.1544139807102</c:v>
                </c:pt>
                <c:pt idx="36">
                  <c:v>3165.6559522534199</c:v>
                </c:pt>
                <c:pt idx="37">
                  <c:v>3293.30817634305</c:v>
                </c:pt>
                <c:pt idx="38">
                  <c:v>6546.6050612848903</c:v>
                </c:pt>
                <c:pt idx="39">
                  <c:v>3682.4917257519101</c:v>
                </c:pt>
                <c:pt idx="40">
                  <c:v>4045.5547061767702</c:v>
                </c:pt>
                <c:pt idx="41">
                  <c:v>4216.9105312833399</c:v>
                </c:pt>
                <c:pt idx="42">
                  <c:v>4547.79311136669</c:v>
                </c:pt>
                <c:pt idx="43">
                  <c:v>4823.0615556993498</c:v>
                </c:pt>
                <c:pt idx="44">
                  <c:v>4512.1667344869102</c:v>
                </c:pt>
                <c:pt idx="45">
                  <c:v>4757.8703317710797</c:v>
                </c:pt>
                <c:pt idx="46">
                  <c:v>4781.7370455338296</c:v>
                </c:pt>
                <c:pt idx="47">
                  <c:v>5154.2249329217802</c:v>
                </c:pt>
                <c:pt idx="48">
                  <c:v>4964.5430197745</c:v>
                </c:pt>
                <c:pt idx="49">
                  <c:v>4853.3948894204505</c:v>
                </c:pt>
                <c:pt idx="50">
                  <c:v>5693.3145762737404</c:v>
                </c:pt>
                <c:pt idx="51">
                  <c:v>6481.6580910338398</c:v>
                </c:pt>
                <c:pt idx="52">
                  <c:v>6832.0337985920296</c:v>
                </c:pt>
                <c:pt idx="53">
                  <c:v>8248.3953909449792</c:v>
                </c:pt>
                <c:pt idx="54">
                  <c:v>7710.1169753522299</c:v>
                </c:pt>
                <c:pt idx="55">
                  <c:v>6801.5617716780298</c:v>
                </c:pt>
                <c:pt idx="56">
                  <c:v>6579.8550723540302</c:v>
                </c:pt>
                <c:pt idx="57">
                  <c:v>5491.3860143745396</c:v>
                </c:pt>
                <c:pt idx="58">
                  <c:v>4715.4945441273803</c:v>
                </c:pt>
                <c:pt idx="59">
                  <c:v>5224.14900972348</c:v>
                </c:pt>
                <c:pt idx="60">
                  <c:v>5828.2735467202201</c:v>
                </c:pt>
                <c:pt idx="61">
                  <c:v>5466.9977806923098</c:v>
                </c:pt>
                <c:pt idx="62">
                  <c:v>5164.2621694216696</c:v>
                </c:pt>
                <c:pt idx="63">
                  <c:v>4915.4710356227497</c:v>
                </c:pt>
                <c:pt idx="64">
                  <c:v>3891.02019781324</c:v>
                </c:pt>
                <c:pt idx="65">
                  <c:v>3603.83833124989</c:v>
                </c:pt>
                <c:pt idx="66">
                  <c:v>3797.2943688666501</c:v>
                </c:pt>
              </c:numCache>
            </c:numRef>
          </c:val>
          <c:smooth val="0"/>
          <c:extLst>
            <c:ext xmlns:c16="http://schemas.microsoft.com/office/drawing/2014/chart" uri="{C3380CC4-5D6E-409C-BE32-E72D297353CC}">
              <c16:uniqueId val="{00000000-E4B1-45AA-9D50-FF628A4E0A72}"/>
            </c:ext>
          </c:extLst>
        </c:ser>
        <c:ser>
          <c:idx val="0"/>
          <c:order val="1"/>
          <c:tx>
            <c:strRef>
              <c:f>datos!$T$4</c:f>
              <c:strCache>
                <c:ptCount val="1"/>
                <c:pt idx="0">
                  <c:v>Serie de tendencia-ciclo</c:v>
                </c:pt>
              </c:strCache>
            </c:strRef>
          </c:tx>
          <c:spPr>
            <a:ln w="12700">
              <a:solidFill>
                <a:schemeClr val="tx2">
                  <a:lumMod val="7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datos!$T$5:$T$71</c:f>
              <c:numCache>
                <c:formatCode>#,##0.0</c:formatCode>
                <c:ptCount val="67"/>
                <c:pt idx="0">
                  <c:v>4295.3681960281401</c:v>
                </c:pt>
                <c:pt idx="1">
                  <c:v>4368.9276678156293</c:v>
                </c:pt>
                <c:pt idx="2">
                  <c:v>4429.3300161778998</c:v>
                </c:pt>
                <c:pt idx="3">
                  <c:v>4482.3093684619198</c:v>
                </c:pt>
                <c:pt idx="4">
                  <c:v>4532.7448014561705</c:v>
                </c:pt>
                <c:pt idx="5">
                  <c:v>4583.7806418503296</c:v>
                </c:pt>
                <c:pt idx="6">
                  <c:v>4621.4749588813702</c:v>
                </c:pt>
                <c:pt idx="7">
                  <c:v>4626.0708564642</c:v>
                </c:pt>
                <c:pt idx="8">
                  <c:v>4585.7006092248193</c:v>
                </c:pt>
                <c:pt idx="9">
                  <c:v>4493.5998394144699</c:v>
                </c:pt>
                <c:pt idx="10">
                  <c:v>4381.20202994176</c:v>
                </c:pt>
                <c:pt idx="11">
                  <c:v>4299.1693827938598</c:v>
                </c:pt>
                <c:pt idx="12">
                  <c:v>4272.5159474462198</c:v>
                </c:pt>
                <c:pt idx="13">
                  <c:v>4282.8857435836198</c:v>
                </c:pt>
                <c:pt idx="14">
                  <c:v>4295.7812146699298</c:v>
                </c:pt>
                <c:pt idx="15">
                  <c:v>4272.0408264027001</c:v>
                </c:pt>
                <c:pt idx="16">
                  <c:v>4182.1342264505402</c:v>
                </c:pt>
                <c:pt idx="17">
                  <c:v>4032.3483003000301</c:v>
                </c:pt>
                <c:pt idx="18">
                  <c:v>3861.45445133462</c:v>
                </c:pt>
                <c:pt idx="19">
                  <c:v>3726.7758152656397</c:v>
                </c:pt>
                <c:pt idx="20">
                  <c:v>3670.0543857675302</c:v>
                </c:pt>
                <c:pt idx="21">
                  <c:v>3690.4708408413198</c:v>
                </c:pt>
                <c:pt idx="22">
                  <c:v>3736.5494238235897</c:v>
                </c:pt>
                <c:pt idx="23">
                  <c:v>3753.8623830783799</c:v>
                </c:pt>
                <c:pt idx="24">
                  <c:v>3719.6861802858202</c:v>
                </c:pt>
                <c:pt idx="25">
                  <c:v>3637.7962034601396</c:v>
                </c:pt>
                <c:pt idx="26">
                  <c:v>3543.8740478416498</c:v>
                </c:pt>
                <c:pt idx="27">
                  <c:v>2195.3844383447099</c:v>
                </c:pt>
                <c:pt idx="28">
                  <c:v>2203.6647089306521</c:v>
                </c:pt>
                <c:pt idx="29">
                  <c:v>2256.1301372524458</c:v>
                </c:pt>
                <c:pt idx="30">
                  <c:v>2349.373710260129</c:v>
                </c:pt>
                <c:pt idx="31">
                  <c:v>2473.6765870549921</c:v>
                </c:pt>
                <c:pt idx="32">
                  <c:v>2610.8873773391779</c:v>
                </c:pt>
                <c:pt idx="33">
                  <c:v>2754.3700793857938</c:v>
                </c:pt>
                <c:pt idx="34">
                  <c:v>2900.63198442986</c:v>
                </c:pt>
                <c:pt idx="35">
                  <c:v>3049.2115172022986</c:v>
                </c:pt>
                <c:pt idx="36">
                  <c:v>3201.4286618155393</c:v>
                </c:pt>
                <c:pt idx="37">
                  <c:v>3372.34324077478</c:v>
                </c:pt>
                <c:pt idx="38">
                  <c:v>3571.5860554733899</c:v>
                </c:pt>
                <c:pt idx="39">
                  <c:v>3787.5906227717896</c:v>
                </c:pt>
                <c:pt idx="40">
                  <c:v>4008.2604522567599</c:v>
                </c:pt>
                <c:pt idx="41">
                  <c:v>4210.3859628537302</c:v>
                </c:pt>
                <c:pt idx="42">
                  <c:v>4382.8669351628696</c:v>
                </c:pt>
                <c:pt idx="43">
                  <c:v>4518.7742199240001</c:v>
                </c:pt>
                <c:pt idx="44">
                  <c:v>4619.3296248520701</c:v>
                </c:pt>
                <c:pt idx="45">
                  <c:v>4704.5573727108103</c:v>
                </c:pt>
                <c:pt idx="46">
                  <c:v>4810.0407978947496</c:v>
                </c:pt>
                <c:pt idx="47">
                  <c:v>4976.5039912243401</c:v>
                </c:pt>
                <c:pt idx="48">
                  <c:v>5224.9518942082696</c:v>
                </c:pt>
                <c:pt idx="49">
                  <c:v>5576.6322468763201</c:v>
                </c:pt>
                <c:pt idx="50">
                  <c:v>6009.5759488344902</c:v>
                </c:pt>
                <c:pt idx="51">
                  <c:v>6469.9950961837894</c:v>
                </c:pt>
                <c:pt idx="52">
                  <c:v>6863.4283059195095</c:v>
                </c:pt>
                <c:pt idx="53">
                  <c:v>7097.0881531184605</c:v>
                </c:pt>
                <c:pt idx="54">
                  <c:v>7102.7129477216604</c:v>
                </c:pt>
                <c:pt idx="55">
                  <c:v>6886.7684212580407</c:v>
                </c:pt>
                <c:pt idx="56">
                  <c:v>6538.2237472280594</c:v>
                </c:pt>
                <c:pt idx="57">
                  <c:v>6160.9598363498599</c:v>
                </c:pt>
                <c:pt idx="58">
                  <c:v>5841.4894306556098</c:v>
                </c:pt>
                <c:pt idx="59">
                  <c:v>5618.4151053878704</c:v>
                </c:pt>
                <c:pt idx="60">
                  <c:v>5461.9497719187202</c:v>
                </c:pt>
                <c:pt idx="61">
                  <c:v>5296.65872409229</c:v>
                </c:pt>
                <c:pt idx="62">
                  <c:v>5058.7510904405899</c:v>
                </c:pt>
                <c:pt idx="63">
                  <c:v>4753.5106560527902</c:v>
                </c:pt>
                <c:pt idx="64">
                  <c:v>4421.0274961405803</c:v>
                </c:pt>
                <c:pt idx="65">
                  <c:v>4144.7060391967898</c:v>
                </c:pt>
                <c:pt idx="66">
                  <c:v>3992.7403805292197</c:v>
                </c:pt>
              </c:numCache>
            </c:numRef>
          </c:val>
          <c:smooth val="0"/>
          <c:extLst>
            <c:ext xmlns:c16="http://schemas.microsoft.com/office/drawing/2014/chart" uri="{C3380CC4-5D6E-409C-BE32-E72D297353CC}">
              <c16:uniqueId val="{00000001-E4B1-45AA-9D50-FF628A4E0A72}"/>
            </c:ext>
          </c:extLst>
        </c:ser>
        <c:dLbls>
          <c:showLegendKey val="0"/>
          <c:showVal val="0"/>
          <c:showCatName val="0"/>
          <c:showSerName val="0"/>
          <c:showPercent val="0"/>
          <c:showBubbleSize val="0"/>
        </c:dLbls>
        <c:smooth val="0"/>
        <c:axId val="530005240"/>
        <c:axId val="530005632"/>
      </c:lineChart>
      <c:catAx>
        <c:axId val="530005240"/>
        <c:scaling>
          <c:orientation val="minMax"/>
        </c:scaling>
        <c:delete val="0"/>
        <c:axPos val="b"/>
        <c:numFmt formatCode="General" sourceLinked="1"/>
        <c:majorTickMark val="cross"/>
        <c:minorTickMark val="none"/>
        <c:tickLblPos val="low"/>
        <c:spPr>
          <a:ln w="3175">
            <a:solidFill>
              <a:srgbClr val="000000"/>
            </a:solidFill>
            <a:prstDash val="solid"/>
          </a:ln>
        </c:spPr>
        <c:txPr>
          <a:bodyPr rot="0" vert="horz"/>
          <a:lstStyle/>
          <a:p>
            <a:pPr>
              <a:defRPr lang="es-MX" sz="350" b="0" i="0" u="none" strike="noStrike" baseline="0">
                <a:solidFill>
                  <a:sysClr val="windowText" lastClr="000000"/>
                </a:solidFill>
                <a:latin typeface="Arial"/>
                <a:ea typeface="Arial"/>
                <a:cs typeface="Arial"/>
              </a:defRPr>
            </a:pPr>
            <a:endParaRPr lang="es-MX"/>
          </a:p>
        </c:txPr>
        <c:crossAx val="530005632"/>
        <c:crosses val="autoZero"/>
        <c:auto val="1"/>
        <c:lblAlgn val="ctr"/>
        <c:lblOffset val="100"/>
        <c:tickLblSkip val="1"/>
        <c:tickMarkSkip val="12"/>
        <c:noMultiLvlLbl val="1"/>
      </c:catAx>
      <c:valAx>
        <c:axId val="530005632"/>
        <c:scaling>
          <c:orientation val="minMax"/>
          <c:max val="9000"/>
          <c:min val="1300"/>
        </c:scaling>
        <c:delete val="0"/>
        <c:axPos val="r"/>
        <c:numFmt formatCode="#\ ##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rgbClr val="000000"/>
                </a:solidFill>
                <a:latin typeface="Arial"/>
                <a:ea typeface="Arial"/>
                <a:cs typeface="Arial"/>
              </a:defRPr>
            </a:pPr>
            <a:endParaRPr lang="es-MX"/>
          </a:p>
        </c:txPr>
        <c:crossAx val="530005240"/>
        <c:crosses val="max"/>
        <c:crossBetween val="between"/>
        <c:majorUnit val="1540"/>
        <c:minorUnit val="100"/>
      </c:valAx>
      <c:spPr>
        <a:noFill/>
        <a:ln w="3175">
          <a:noFill/>
          <a:prstDash val="solid"/>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3.4983764646918849E-3"/>
          <c:y val="0.93832860922146633"/>
          <c:w val="0.99007466307421321"/>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s-MX" sz="700" b="1" i="0" cap="small" baseline="0"/>
            </a:pPr>
            <a:r>
              <a:rPr lang="es-ES" sz="700" b="1" i="0" cap="small" baseline="0"/>
              <a:t>No Petroleras</a:t>
            </a:r>
          </a:p>
        </c:rich>
      </c:tx>
      <c:layout>
        <c:manualLayout>
          <c:xMode val="edge"/>
          <c:yMode val="edge"/>
          <c:x val="0.36994854664791382"/>
          <c:y val="0"/>
        </c:manualLayout>
      </c:layout>
      <c:overlay val="1"/>
    </c:title>
    <c:autoTitleDeleted val="0"/>
    <c:plotArea>
      <c:layout>
        <c:manualLayout>
          <c:layoutTarget val="inner"/>
          <c:xMode val="edge"/>
          <c:yMode val="edge"/>
          <c:x val="2.7150492264416341E-2"/>
          <c:y val="5.4538923182442134E-2"/>
          <c:w val="0.87057255039852288"/>
          <c:h val="0.79496347736625517"/>
        </c:manualLayout>
      </c:layout>
      <c:lineChart>
        <c:grouping val="standard"/>
        <c:varyColors val="0"/>
        <c:ser>
          <c:idx val="1"/>
          <c:order val="0"/>
          <c:tx>
            <c:strRef>
              <c:f>datos!$U$4</c:f>
              <c:strCache>
                <c:ptCount val="1"/>
                <c:pt idx="0">
                  <c:v>Serie desestacionalizada</c:v>
                </c:pt>
              </c:strCache>
            </c:strRef>
          </c:tx>
          <c:spPr>
            <a:ln w="15875" cap="flat">
              <a:solidFill>
                <a:schemeClr val="bg1">
                  <a:lumMod val="6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datos!$U$5:$U$71</c:f>
              <c:numCache>
                <c:formatCode>#,##0.0</c:formatCode>
                <c:ptCount val="67"/>
                <c:pt idx="0">
                  <c:v>32778.601407768103</c:v>
                </c:pt>
                <c:pt idx="1">
                  <c:v>33155.849257197799</c:v>
                </c:pt>
                <c:pt idx="2">
                  <c:v>34185.987403351202</c:v>
                </c:pt>
                <c:pt idx="3">
                  <c:v>33549.173697476603</c:v>
                </c:pt>
                <c:pt idx="4">
                  <c:v>34220.797036057498</c:v>
                </c:pt>
                <c:pt idx="5">
                  <c:v>34349.285285697297</c:v>
                </c:pt>
                <c:pt idx="6">
                  <c:v>34592.579509748997</c:v>
                </c:pt>
                <c:pt idx="7">
                  <c:v>34598.145798702302</c:v>
                </c:pt>
                <c:pt idx="8">
                  <c:v>35016.653435298998</c:v>
                </c:pt>
                <c:pt idx="9">
                  <c:v>35048.977222816597</c:v>
                </c:pt>
                <c:pt idx="10">
                  <c:v>35010.340776098899</c:v>
                </c:pt>
                <c:pt idx="11">
                  <c:v>33780.149515290701</c:v>
                </c:pt>
                <c:pt idx="12">
                  <c:v>34607.921588047597</c:v>
                </c:pt>
                <c:pt idx="13">
                  <c:v>34369.170277726596</c:v>
                </c:pt>
                <c:pt idx="14">
                  <c:v>33755.338761738501</c:v>
                </c:pt>
                <c:pt idx="15">
                  <c:v>34327.266077597997</c:v>
                </c:pt>
                <c:pt idx="16">
                  <c:v>34030.082300701899</c:v>
                </c:pt>
                <c:pt idx="17">
                  <c:v>33669.1433474964</c:v>
                </c:pt>
                <c:pt idx="18">
                  <c:v>34678.030007368798</c:v>
                </c:pt>
                <c:pt idx="19">
                  <c:v>34668.845262734103</c:v>
                </c:pt>
                <c:pt idx="20">
                  <c:v>34047.642451977001</c:v>
                </c:pt>
                <c:pt idx="21">
                  <c:v>33747.8055925878</c:v>
                </c:pt>
                <c:pt idx="22">
                  <c:v>33041.453987131099</c:v>
                </c:pt>
                <c:pt idx="23">
                  <c:v>32967.214742417702</c:v>
                </c:pt>
                <c:pt idx="24">
                  <c:v>33165.304846144398</c:v>
                </c:pt>
                <c:pt idx="25">
                  <c:v>32678.174311085299</c:v>
                </c:pt>
                <c:pt idx="26">
                  <c:v>31158.197276446601</c:v>
                </c:pt>
                <c:pt idx="27">
                  <c:v>24671.220573185499</c:v>
                </c:pt>
                <c:pt idx="28">
                  <c:v>20394.074926060199</c:v>
                </c:pt>
                <c:pt idx="29">
                  <c:v>25661.032308427799</c:v>
                </c:pt>
                <c:pt idx="30">
                  <c:v>26331.322891430402</c:v>
                </c:pt>
                <c:pt idx="31">
                  <c:v>28653.998457314799</c:v>
                </c:pt>
                <c:pt idx="32">
                  <c:v>30455.964501493301</c:v>
                </c:pt>
                <c:pt idx="33">
                  <c:v>31026.905756394801</c:v>
                </c:pt>
                <c:pt idx="34">
                  <c:v>33078.440222341596</c:v>
                </c:pt>
                <c:pt idx="35">
                  <c:v>33404.620333068699</c:v>
                </c:pt>
                <c:pt idx="36">
                  <c:v>34509.152392924698</c:v>
                </c:pt>
                <c:pt idx="37">
                  <c:v>33043.688410419498</c:v>
                </c:pt>
                <c:pt idx="38">
                  <c:v>37236.365774276499</c:v>
                </c:pt>
                <c:pt idx="39">
                  <c:v>35621.360812144601</c:v>
                </c:pt>
                <c:pt idx="40">
                  <c:v>37110.251746163704</c:v>
                </c:pt>
                <c:pt idx="41">
                  <c:v>36873.8299893086</c:v>
                </c:pt>
                <c:pt idx="42">
                  <c:v>39705.491844222699</c:v>
                </c:pt>
                <c:pt idx="43">
                  <c:v>38175.493411418298</c:v>
                </c:pt>
                <c:pt idx="44">
                  <c:v>38219.963639953101</c:v>
                </c:pt>
                <c:pt idx="45">
                  <c:v>38964.953708939902</c:v>
                </c:pt>
                <c:pt idx="46">
                  <c:v>40071.603433729601</c:v>
                </c:pt>
                <c:pt idx="47">
                  <c:v>41286.617964368997</c:v>
                </c:pt>
                <c:pt idx="48">
                  <c:v>39971.239170671099</c:v>
                </c:pt>
                <c:pt idx="49">
                  <c:v>43839.689274290096</c:v>
                </c:pt>
                <c:pt idx="50">
                  <c:v>43439.433414257102</c:v>
                </c:pt>
                <c:pt idx="51">
                  <c:v>44506.364684836401</c:v>
                </c:pt>
                <c:pt idx="52">
                  <c:v>44523.930689530302</c:v>
                </c:pt>
                <c:pt idx="53">
                  <c:v>45761.3658324977</c:v>
                </c:pt>
                <c:pt idx="54">
                  <c:v>45556.115096968701</c:v>
                </c:pt>
                <c:pt idx="55">
                  <c:v>45409.487908429197</c:v>
                </c:pt>
                <c:pt idx="56">
                  <c:v>45137.789305939499</c:v>
                </c:pt>
                <c:pt idx="57">
                  <c:v>45135.173033714404</c:v>
                </c:pt>
                <c:pt idx="58">
                  <c:v>43533.294080883301</c:v>
                </c:pt>
                <c:pt idx="59">
                  <c:v>44242.501147724703</c:v>
                </c:pt>
                <c:pt idx="60">
                  <c:v>44829.089737917697</c:v>
                </c:pt>
                <c:pt idx="61">
                  <c:v>45259.271104131898</c:v>
                </c:pt>
                <c:pt idx="62">
                  <c:v>44249.7962650505</c:v>
                </c:pt>
                <c:pt idx="63">
                  <c:v>46401.754416435499</c:v>
                </c:pt>
                <c:pt idx="64">
                  <c:v>46019.094165041803</c:v>
                </c:pt>
                <c:pt idx="65">
                  <c:v>47194.135417652302</c:v>
                </c:pt>
                <c:pt idx="66">
                  <c:v>46007.584280036601</c:v>
                </c:pt>
              </c:numCache>
            </c:numRef>
          </c:val>
          <c:smooth val="0"/>
          <c:extLst>
            <c:ext xmlns:c16="http://schemas.microsoft.com/office/drawing/2014/chart" uri="{C3380CC4-5D6E-409C-BE32-E72D297353CC}">
              <c16:uniqueId val="{00000000-A55A-48B6-8464-377F5B37E69D}"/>
            </c:ext>
          </c:extLst>
        </c:ser>
        <c:ser>
          <c:idx val="0"/>
          <c:order val="1"/>
          <c:tx>
            <c:strRef>
              <c:f>datos!$V$4</c:f>
              <c:strCache>
                <c:ptCount val="1"/>
                <c:pt idx="0">
                  <c:v>Serie de tendencia-ciclo</c:v>
                </c:pt>
              </c:strCache>
            </c:strRef>
          </c:tx>
          <c:spPr>
            <a:ln w="12700">
              <a:solidFill>
                <a:schemeClr val="tx2">
                  <a:lumMod val="7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datos!$V$5:$V$71</c:f>
              <c:numCache>
                <c:formatCode>#,##0.0</c:formatCode>
                <c:ptCount val="67"/>
                <c:pt idx="0">
                  <c:v>33015.337356761869</c:v>
                </c:pt>
                <c:pt idx="1">
                  <c:v>33323.979964078862</c:v>
                </c:pt>
                <c:pt idx="2">
                  <c:v>33635.058218260798</c:v>
                </c:pt>
                <c:pt idx="3">
                  <c:v>33916.548369330732</c:v>
                </c:pt>
                <c:pt idx="4">
                  <c:v>34163.894694672621</c:v>
                </c:pt>
                <c:pt idx="5">
                  <c:v>34394.481754545857</c:v>
                </c:pt>
                <c:pt idx="6">
                  <c:v>34602.600484063812</c:v>
                </c:pt>
                <c:pt idx="7">
                  <c:v>34751.709706527246</c:v>
                </c:pt>
                <c:pt idx="8">
                  <c:v>34841.811275551176</c:v>
                </c:pt>
                <c:pt idx="9">
                  <c:v>34837.421679406136</c:v>
                </c:pt>
                <c:pt idx="10">
                  <c:v>34732.0585882589</c:v>
                </c:pt>
                <c:pt idx="11">
                  <c:v>34574.161312313874</c:v>
                </c:pt>
                <c:pt idx="12">
                  <c:v>34378.709292472427</c:v>
                </c:pt>
                <c:pt idx="13">
                  <c:v>34200.097934516853</c:v>
                </c:pt>
                <c:pt idx="14">
                  <c:v>34102.430537685192</c:v>
                </c:pt>
                <c:pt idx="15">
                  <c:v>34111.898669482449</c:v>
                </c:pt>
                <c:pt idx="16">
                  <c:v>34202.86726044587</c:v>
                </c:pt>
                <c:pt idx="17">
                  <c:v>34307.924343448882</c:v>
                </c:pt>
                <c:pt idx="18">
                  <c:v>34343.207758772398</c:v>
                </c:pt>
                <c:pt idx="19">
                  <c:v>34268.772899365569</c:v>
                </c:pt>
                <c:pt idx="20">
                  <c:v>34068.848089284678</c:v>
                </c:pt>
                <c:pt idx="21">
                  <c:v>33786.60847425113</c:v>
                </c:pt>
                <c:pt idx="22">
                  <c:v>33470.329311412839</c:v>
                </c:pt>
                <c:pt idx="23">
                  <c:v>33135.637776938805</c:v>
                </c:pt>
                <c:pt idx="24">
                  <c:v>32779.535808868473</c:v>
                </c:pt>
                <c:pt idx="25">
                  <c:v>32372.295299001107</c:v>
                </c:pt>
                <c:pt idx="26">
                  <c:v>31369.147999387209</c:v>
                </c:pt>
                <c:pt idx="27">
                  <c:v>30025.073002207519</c:v>
                </c:pt>
                <c:pt idx="28">
                  <c:v>29657.824092055158</c:v>
                </c:pt>
                <c:pt idx="29">
                  <c:v>29558.263102592689</c:v>
                </c:pt>
                <c:pt idx="30">
                  <c:v>29819.780430293529</c:v>
                </c:pt>
                <c:pt idx="31">
                  <c:v>30429.388558762541</c:v>
                </c:pt>
                <c:pt idx="32">
                  <c:v>31278.133135144231</c:v>
                </c:pt>
                <c:pt idx="33">
                  <c:v>32234.75104300724</c:v>
                </c:pt>
                <c:pt idx="34">
                  <c:v>33153.8480482577</c:v>
                </c:pt>
                <c:pt idx="35">
                  <c:v>33962.4192539863</c:v>
                </c:pt>
                <c:pt idx="36">
                  <c:v>34636.93113768904</c:v>
                </c:pt>
                <c:pt idx="37">
                  <c:v>35212.304982933922</c:v>
                </c:pt>
                <c:pt idx="38">
                  <c:v>35744.065857043592</c:v>
                </c:pt>
                <c:pt idx="39">
                  <c:v>36261.740080765499</c:v>
                </c:pt>
                <c:pt idx="40">
                  <c:v>36749.83793149839</c:v>
                </c:pt>
                <c:pt idx="41">
                  <c:v>37198.856824094095</c:v>
                </c:pt>
                <c:pt idx="42">
                  <c:v>37625.014842144185</c:v>
                </c:pt>
                <c:pt idx="43">
                  <c:v>38085.273229842613</c:v>
                </c:pt>
                <c:pt idx="44">
                  <c:v>38623.502451132619</c:v>
                </c:pt>
                <c:pt idx="45">
                  <c:v>39274.117068788721</c:v>
                </c:pt>
                <c:pt idx="46">
                  <c:v>40053.199571587727</c:v>
                </c:pt>
                <c:pt idx="47">
                  <c:v>40920.763864430795</c:v>
                </c:pt>
                <c:pt idx="48">
                  <c:v>41818.579946090154</c:v>
                </c:pt>
                <c:pt idx="49">
                  <c:v>42712.043076191585</c:v>
                </c:pt>
                <c:pt idx="50">
                  <c:v>43543.176445723722</c:v>
                </c:pt>
                <c:pt idx="51">
                  <c:v>44269.542395603508</c:v>
                </c:pt>
                <c:pt idx="52">
                  <c:v>44875.959495786767</c:v>
                </c:pt>
                <c:pt idx="53">
                  <c:v>45290.518445933289</c:v>
                </c:pt>
                <c:pt idx="54">
                  <c:v>45459.689673212531</c:v>
                </c:pt>
                <c:pt idx="55">
                  <c:v>45377.384978695525</c:v>
                </c:pt>
                <c:pt idx="56">
                  <c:v>45133.040246307821</c:v>
                </c:pt>
                <c:pt idx="57">
                  <c:v>44823.744357660602</c:v>
                </c:pt>
                <c:pt idx="58">
                  <c:v>44588.897294392533</c:v>
                </c:pt>
                <c:pt idx="59">
                  <c:v>44515.945948150293</c:v>
                </c:pt>
                <c:pt idx="60">
                  <c:v>44675.061107276531</c:v>
                </c:pt>
                <c:pt idx="61">
                  <c:v>45009.399054897185</c:v>
                </c:pt>
                <c:pt idx="62">
                  <c:v>45430.615730778241</c:v>
                </c:pt>
                <c:pt idx="63">
                  <c:v>45849.625323003995</c:v>
                </c:pt>
                <c:pt idx="64">
                  <c:v>46209.310431485741</c:v>
                </c:pt>
                <c:pt idx="65">
                  <c:v>46514.434063753237</c:v>
                </c:pt>
                <c:pt idx="66">
                  <c:v>46822.696084273317</c:v>
                </c:pt>
              </c:numCache>
            </c:numRef>
          </c:val>
          <c:smooth val="0"/>
          <c:extLst>
            <c:ext xmlns:c16="http://schemas.microsoft.com/office/drawing/2014/chart" uri="{C3380CC4-5D6E-409C-BE32-E72D297353CC}">
              <c16:uniqueId val="{00000001-A55A-48B6-8464-377F5B37E69D}"/>
            </c:ext>
          </c:extLst>
        </c:ser>
        <c:dLbls>
          <c:showLegendKey val="0"/>
          <c:showVal val="0"/>
          <c:showCatName val="0"/>
          <c:showSerName val="0"/>
          <c:showPercent val="0"/>
          <c:showBubbleSize val="0"/>
        </c:dLbls>
        <c:smooth val="0"/>
        <c:axId val="530007200"/>
        <c:axId val="530007984"/>
      </c:lineChart>
      <c:catAx>
        <c:axId val="530007200"/>
        <c:scaling>
          <c:orientation val="minMax"/>
        </c:scaling>
        <c:delete val="0"/>
        <c:axPos val="b"/>
        <c:numFmt formatCode="General" sourceLinked="1"/>
        <c:majorTickMark val="cross"/>
        <c:minorTickMark val="none"/>
        <c:tickLblPos val="low"/>
        <c:spPr>
          <a:ln w="3175">
            <a:solidFill>
              <a:srgbClr val="000000"/>
            </a:solidFill>
            <a:prstDash val="solid"/>
          </a:ln>
        </c:spPr>
        <c:txPr>
          <a:bodyPr rot="0" vert="horz"/>
          <a:lstStyle/>
          <a:p>
            <a:pPr>
              <a:defRPr lang="es-MX" sz="350" b="0" i="0" u="none" strike="noStrike" baseline="0">
                <a:solidFill>
                  <a:sysClr val="windowText" lastClr="000000"/>
                </a:solidFill>
                <a:latin typeface="Arial"/>
                <a:ea typeface="Arial"/>
                <a:cs typeface="Arial"/>
              </a:defRPr>
            </a:pPr>
            <a:endParaRPr lang="es-MX"/>
          </a:p>
        </c:txPr>
        <c:crossAx val="530007984"/>
        <c:crosses val="autoZero"/>
        <c:auto val="1"/>
        <c:lblAlgn val="ctr"/>
        <c:lblOffset val="100"/>
        <c:tickLblSkip val="1"/>
        <c:tickMarkSkip val="12"/>
        <c:noMultiLvlLbl val="1"/>
      </c:catAx>
      <c:valAx>
        <c:axId val="530007984"/>
        <c:scaling>
          <c:orientation val="minMax"/>
          <c:max val="50000"/>
          <c:min val="20000"/>
        </c:scaling>
        <c:delete val="0"/>
        <c:axPos val="r"/>
        <c:numFmt formatCode="#\ ##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rgbClr val="000000"/>
                </a:solidFill>
                <a:latin typeface="Arial"/>
                <a:ea typeface="Arial"/>
                <a:cs typeface="Arial"/>
              </a:defRPr>
            </a:pPr>
            <a:endParaRPr lang="es-MX"/>
          </a:p>
        </c:txPr>
        <c:crossAx val="530007200"/>
        <c:crosses val="max"/>
        <c:crossBetween val="between"/>
        <c:majorUnit val="6000"/>
        <c:minorUnit val="1000"/>
      </c:valAx>
      <c:spPr>
        <a:noFill/>
        <a:ln w="3175">
          <a:noFill/>
          <a:prstDash val="solid"/>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0"/>
          <c:y val="0.93827890422485205"/>
          <c:w val="0.99478885267615924"/>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s-MX" sz="700" b="1" i="0" cap="small" baseline="0"/>
            </a:pPr>
            <a:r>
              <a:rPr lang="es-ES" sz="700" b="1" i="0" cap="small" baseline="0"/>
              <a:t>Bienes de Consumo</a:t>
            </a:r>
          </a:p>
        </c:rich>
      </c:tx>
      <c:layout>
        <c:manualLayout>
          <c:xMode val="edge"/>
          <c:yMode val="edge"/>
          <c:x val="0.33466326769809185"/>
          <c:y val="0"/>
        </c:manualLayout>
      </c:layout>
      <c:overlay val="1"/>
    </c:title>
    <c:autoTitleDeleted val="0"/>
    <c:plotArea>
      <c:layout>
        <c:manualLayout>
          <c:layoutTarget val="inner"/>
          <c:xMode val="edge"/>
          <c:yMode val="edge"/>
          <c:x val="2.7150492264416341E-2"/>
          <c:y val="5.8894204389574774E-2"/>
          <c:w val="0.88382032348804562"/>
          <c:h val="0.79060819615914713"/>
        </c:manualLayout>
      </c:layout>
      <c:lineChart>
        <c:grouping val="standard"/>
        <c:varyColors val="0"/>
        <c:ser>
          <c:idx val="1"/>
          <c:order val="0"/>
          <c:tx>
            <c:strRef>
              <c:f>datos!$W$4</c:f>
              <c:strCache>
                <c:ptCount val="1"/>
                <c:pt idx="0">
                  <c:v>Serie desestacionalizada</c:v>
                </c:pt>
              </c:strCache>
            </c:strRef>
          </c:tx>
          <c:spPr>
            <a:ln w="15875" cap="flat">
              <a:solidFill>
                <a:schemeClr val="bg1">
                  <a:lumMod val="6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datos!$W$5:$W$71</c:f>
              <c:numCache>
                <c:formatCode>#,##0.0</c:formatCode>
                <c:ptCount val="67"/>
                <c:pt idx="0">
                  <c:v>4994.4022484785501</c:v>
                </c:pt>
                <c:pt idx="1">
                  <c:v>5264.5783673101296</c:v>
                </c:pt>
                <c:pt idx="2">
                  <c:v>5402.7518314599702</c:v>
                </c:pt>
                <c:pt idx="3">
                  <c:v>5295.8954597336397</c:v>
                </c:pt>
                <c:pt idx="4">
                  <c:v>5172.7440708039103</c:v>
                </c:pt>
                <c:pt idx="5">
                  <c:v>5303.6698223862904</c:v>
                </c:pt>
                <c:pt idx="6">
                  <c:v>5334.1687551061304</c:v>
                </c:pt>
                <c:pt idx="7">
                  <c:v>5468.7506986968401</c:v>
                </c:pt>
                <c:pt idx="8">
                  <c:v>5315.6231083539997</c:v>
                </c:pt>
                <c:pt idx="9">
                  <c:v>5330.7907826108403</c:v>
                </c:pt>
                <c:pt idx="10">
                  <c:v>5207.5655607834196</c:v>
                </c:pt>
                <c:pt idx="11">
                  <c:v>4954.15654841781</c:v>
                </c:pt>
                <c:pt idx="12">
                  <c:v>4892.1079145481999</c:v>
                </c:pt>
                <c:pt idx="13">
                  <c:v>4973.5588908697</c:v>
                </c:pt>
                <c:pt idx="14">
                  <c:v>5158.81793030669</c:v>
                </c:pt>
                <c:pt idx="15">
                  <c:v>5443.2200238208097</c:v>
                </c:pt>
                <c:pt idx="16">
                  <c:v>5201.1210261217402</c:v>
                </c:pt>
                <c:pt idx="17">
                  <c:v>5128.54803004727</c:v>
                </c:pt>
                <c:pt idx="18">
                  <c:v>5080.2791150678004</c:v>
                </c:pt>
                <c:pt idx="19">
                  <c:v>5006.1006883769796</c:v>
                </c:pt>
                <c:pt idx="20">
                  <c:v>4902.5645279787605</c:v>
                </c:pt>
                <c:pt idx="21">
                  <c:v>5214.0376952401202</c:v>
                </c:pt>
                <c:pt idx="22">
                  <c:v>5147.7725583153897</c:v>
                </c:pt>
                <c:pt idx="23">
                  <c:v>4963.5499853251904</c:v>
                </c:pt>
                <c:pt idx="24">
                  <c:v>5204.9845768315199</c:v>
                </c:pt>
                <c:pt idx="25">
                  <c:v>5030.3957315202497</c:v>
                </c:pt>
                <c:pt idx="26">
                  <c:v>4343.7035618061</c:v>
                </c:pt>
                <c:pt idx="27">
                  <c:v>2955.6033242292701</c:v>
                </c:pt>
                <c:pt idx="28">
                  <c:v>2474.9121070753599</c:v>
                </c:pt>
                <c:pt idx="29">
                  <c:v>2658.1714231813598</c:v>
                </c:pt>
                <c:pt idx="30">
                  <c:v>3260.1807065923299</c:v>
                </c:pt>
                <c:pt idx="31">
                  <c:v>3716.2444669024799</c:v>
                </c:pt>
                <c:pt idx="32">
                  <c:v>3828.12354501457</c:v>
                </c:pt>
                <c:pt idx="33">
                  <c:v>3785.0564182470398</c:v>
                </c:pt>
                <c:pt idx="34">
                  <c:v>4248.3727055939498</c:v>
                </c:pt>
                <c:pt idx="35">
                  <c:v>4469.00740092265</c:v>
                </c:pt>
                <c:pt idx="36">
                  <c:v>4508.3942926938198</c:v>
                </c:pt>
                <c:pt idx="37">
                  <c:v>4437.4749295948805</c:v>
                </c:pt>
                <c:pt idx="38">
                  <c:v>4808.8950083130103</c:v>
                </c:pt>
                <c:pt idx="39">
                  <c:v>4742.3528246486803</c:v>
                </c:pt>
                <c:pt idx="40">
                  <c:v>5279.0298218062899</c:v>
                </c:pt>
                <c:pt idx="41">
                  <c:v>5264.3211757075596</c:v>
                </c:pt>
                <c:pt idx="42">
                  <c:v>5431.1620120384696</c:v>
                </c:pt>
                <c:pt idx="43">
                  <c:v>5115.7266540952896</c:v>
                </c:pt>
                <c:pt idx="44">
                  <c:v>5254.9601554414603</c:v>
                </c:pt>
                <c:pt idx="45">
                  <c:v>5424.6124468457901</c:v>
                </c:pt>
                <c:pt idx="46">
                  <c:v>5514.4828698461697</c:v>
                </c:pt>
                <c:pt idx="47">
                  <c:v>6005.4564030501097</c:v>
                </c:pt>
                <c:pt idx="48">
                  <c:v>5939.8187144872199</c:v>
                </c:pt>
                <c:pt idx="49">
                  <c:v>6210.3621306571604</c:v>
                </c:pt>
                <c:pt idx="50">
                  <c:v>6646.7035190281704</c:v>
                </c:pt>
                <c:pt idx="51">
                  <c:v>6881.8428957767601</c:v>
                </c:pt>
                <c:pt idx="52">
                  <c:v>6717.6480928963101</c:v>
                </c:pt>
                <c:pt idx="53">
                  <c:v>7699.0123172062804</c:v>
                </c:pt>
                <c:pt idx="54">
                  <c:v>7655.0172228357696</c:v>
                </c:pt>
                <c:pt idx="55">
                  <c:v>7073.9559422727798</c:v>
                </c:pt>
                <c:pt idx="56">
                  <c:v>7014.5741975678702</c:v>
                </c:pt>
                <c:pt idx="57">
                  <c:v>6218.9806637256097</c:v>
                </c:pt>
                <c:pt idx="58">
                  <c:v>5844.4486216434198</c:v>
                </c:pt>
                <c:pt idx="59">
                  <c:v>6159.8146296422801</c:v>
                </c:pt>
                <c:pt idx="60">
                  <c:v>7417.3535447546201</c:v>
                </c:pt>
                <c:pt idx="61">
                  <c:v>7174.1772992693004</c:v>
                </c:pt>
                <c:pt idx="62">
                  <c:v>7262.0302685694796</c:v>
                </c:pt>
                <c:pt idx="63">
                  <c:v>7422.83857925346</c:v>
                </c:pt>
                <c:pt idx="64">
                  <c:v>7339.5735772220396</c:v>
                </c:pt>
                <c:pt idx="65">
                  <c:v>6981.8613549645797</c:v>
                </c:pt>
                <c:pt idx="66">
                  <c:v>7110.3450001225401</c:v>
                </c:pt>
              </c:numCache>
            </c:numRef>
          </c:val>
          <c:smooth val="0"/>
          <c:extLst>
            <c:ext xmlns:c16="http://schemas.microsoft.com/office/drawing/2014/chart" uri="{C3380CC4-5D6E-409C-BE32-E72D297353CC}">
              <c16:uniqueId val="{00000000-9D31-43FE-AC93-DF2BEC032126}"/>
            </c:ext>
          </c:extLst>
        </c:ser>
        <c:ser>
          <c:idx val="0"/>
          <c:order val="1"/>
          <c:tx>
            <c:strRef>
              <c:f>datos!$X$4</c:f>
              <c:strCache>
                <c:ptCount val="1"/>
                <c:pt idx="0">
                  <c:v>Serie de tendencia-ciclo</c:v>
                </c:pt>
              </c:strCache>
            </c:strRef>
          </c:tx>
          <c:spPr>
            <a:ln w="12700">
              <a:solidFill>
                <a:schemeClr val="tx2">
                  <a:lumMod val="7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datos!$X$5:$X$71</c:f>
              <c:numCache>
                <c:formatCode>#,##0.0</c:formatCode>
                <c:ptCount val="67"/>
                <c:pt idx="0">
                  <c:v>5183.7286694201193</c:v>
                </c:pt>
                <c:pt idx="1">
                  <c:v>5226.5907507265601</c:v>
                </c:pt>
                <c:pt idx="2">
                  <c:v>5256.2803826468598</c:v>
                </c:pt>
                <c:pt idx="3">
                  <c:v>5280.0529822267199</c:v>
                </c:pt>
                <c:pt idx="4">
                  <c:v>5302.1229690479704</c:v>
                </c:pt>
                <c:pt idx="5">
                  <c:v>5329.6497558686797</c:v>
                </c:pt>
                <c:pt idx="6">
                  <c:v>5349.8908080650399</c:v>
                </c:pt>
                <c:pt idx="7">
                  <c:v>5348.3201683382904</c:v>
                </c:pt>
                <c:pt idx="8">
                  <c:v>5318.9701093515396</c:v>
                </c:pt>
                <c:pt idx="9">
                  <c:v>5252.3048633470798</c:v>
                </c:pt>
                <c:pt idx="10">
                  <c:v>5171.4109603786401</c:v>
                </c:pt>
                <c:pt idx="11">
                  <c:v>5113.2530294182998</c:v>
                </c:pt>
                <c:pt idx="12">
                  <c:v>5101.1294969970804</c:v>
                </c:pt>
                <c:pt idx="13">
                  <c:v>5130.51820628517</c:v>
                </c:pt>
                <c:pt idx="14">
                  <c:v>5177.56010715298</c:v>
                </c:pt>
                <c:pt idx="15">
                  <c:v>5205.8808822625106</c:v>
                </c:pt>
                <c:pt idx="16">
                  <c:v>5198.3218371676703</c:v>
                </c:pt>
                <c:pt idx="17">
                  <c:v>5160.9185696610002</c:v>
                </c:pt>
                <c:pt idx="18">
                  <c:v>5111.0920688283304</c:v>
                </c:pt>
                <c:pt idx="19">
                  <c:v>5076.2476512718804</c:v>
                </c:pt>
                <c:pt idx="20">
                  <c:v>5075.1307748644103</c:v>
                </c:pt>
                <c:pt idx="21">
                  <c:v>5102.8335187467801</c:v>
                </c:pt>
                <c:pt idx="22">
                  <c:v>5118.6692617127101</c:v>
                </c:pt>
                <c:pt idx="23">
                  <c:v>5083.3250812024799</c:v>
                </c:pt>
                <c:pt idx="24">
                  <c:v>4993.65426443042</c:v>
                </c:pt>
                <c:pt idx="25">
                  <c:v>4859.4042040759105</c:v>
                </c:pt>
                <c:pt idx="26">
                  <c:v>4724.4894928736103</c:v>
                </c:pt>
                <c:pt idx="27">
                  <c:v>3124.0218102039398</c:v>
                </c:pt>
                <c:pt idx="28">
                  <c:v>3143.8189576685718</c:v>
                </c:pt>
                <c:pt idx="29">
                  <c:v>3235.5621750304758</c:v>
                </c:pt>
                <c:pt idx="30">
                  <c:v>3396.9055975278889</c:v>
                </c:pt>
                <c:pt idx="31">
                  <c:v>3609.3459209794419</c:v>
                </c:pt>
                <c:pt idx="32">
                  <c:v>3832.4804393783479</c:v>
                </c:pt>
                <c:pt idx="33">
                  <c:v>4038.827739159974</c:v>
                </c:pt>
                <c:pt idx="34">
                  <c:v>4214.4586053244202</c:v>
                </c:pt>
                <c:pt idx="35">
                  <c:v>4364.9151833506594</c:v>
                </c:pt>
                <c:pt idx="36">
                  <c:v>4501.5767220953585</c:v>
                </c:pt>
                <c:pt idx="37">
                  <c:v>4651.0217347699499</c:v>
                </c:pt>
                <c:pt idx="38">
                  <c:v>4819.36507084188</c:v>
                </c:pt>
                <c:pt idx="39">
                  <c:v>4985.24640434089</c:v>
                </c:pt>
                <c:pt idx="40">
                  <c:v>5127.8185833070502</c:v>
                </c:pt>
                <c:pt idx="41">
                  <c:v>5221.8432740814205</c:v>
                </c:pt>
                <c:pt idx="42">
                  <c:v>5271.2433604920998</c:v>
                </c:pt>
                <c:pt idx="43">
                  <c:v>5300.3736261205404</c:v>
                </c:pt>
                <c:pt idx="44">
                  <c:v>5344.5744613671704</c:v>
                </c:pt>
                <c:pt idx="45">
                  <c:v>5437.0390724397203</c:v>
                </c:pt>
                <c:pt idx="46">
                  <c:v>5596.4515618955902</c:v>
                </c:pt>
                <c:pt idx="47">
                  <c:v>5812.4113197991701</c:v>
                </c:pt>
                <c:pt idx="48">
                  <c:v>6053.5681844297096</c:v>
                </c:pt>
                <c:pt idx="49">
                  <c:v>6308.3740166176503</c:v>
                </c:pt>
                <c:pt idx="50">
                  <c:v>6562.9386301202503</c:v>
                </c:pt>
                <c:pt idx="51">
                  <c:v>6808.3526792646499</c:v>
                </c:pt>
                <c:pt idx="52">
                  <c:v>7013.7528653997597</c:v>
                </c:pt>
                <c:pt idx="53">
                  <c:v>7146.4591340040897</c:v>
                </c:pt>
                <c:pt idx="54">
                  <c:v>7174.4545017779201</c:v>
                </c:pt>
                <c:pt idx="55">
                  <c:v>7096.8107519333498</c:v>
                </c:pt>
                <c:pt idx="56">
                  <c:v>6962.9821233271596</c:v>
                </c:pt>
                <c:pt idx="57">
                  <c:v>6831.9968008544201</c:v>
                </c:pt>
                <c:pt idx="58">
                  <c:v>6762.9666615903006</c:v>
                </c:pt>
                <c:pt idx="59">
                  <c:v>6794.39518259539</c:v>
                </c:pt>
                <c:pt idx="60">
                  <c:v>6923.7052993810103</c:v>
                </c:pt>
                <c:pt idx="61">
                  <c:v>7086.31417517092</c:v>
                </c:pt>
                <c:pt idx="62">
                  <c:v>7216.7749608487102</c:v>
                </c:pt>
                <c:pt idx="63">
                  <c:v>7290.8300288176897</c:v>
                </c:pt>
                <c:pt idx="64">
                  <c:v>7310.5836999338007</c:v>
                </c:pt>
                <c:pt idx="65">
                  <c:v>7316.0083103155202</c:v>
                </c:pt>
                <c:pt idx="66">
                  <c:v>7345.9461617192801</c:v>
                </c:pt>
              </c:numCache>
            </c:numRef>
          </c:val>
          <c:smooth val="0"/>
          <c:extLst>
            <c:ext xmlns:c16="http://schemas.microsoft.com/office/drawing/2014/chart" uri="{C3380CC4-5D6E-409C-BE32-E72D297353CC}">
              <c16:uniqueId val="{00000001-9D31-43FE-AC93-DF2BEC032126}"/>
            </c:ext>
          </c:extLst>
        </c:ser>
        <c:dLbls>
          <c:showLegendKey val="0"/>
          <c:showVal val="0"/>
          <c:showCatName val="0"/>
          <c:showSerName val="0"/>
          <c:showPercent val="0"/>
          <c:showBubbleSize val="0"/>
        </c:dLbls>
        <c:smooth val="0"/>
        <c:axId val="530006808"/>
        <c:axId val="530008376"/>
      </c:lineChart>
      <c:catAx>
        <c:axId val="530006808"/>
        <c:scaling>
          <c:orientation val="minMax"/>
        </c:scaling>
        <c:delete val="0"/>
        <c:axPos val="b"/>
        <c:numFmt formatCode="General" sourceLinked="1"/>
        <c:majorTickMark val="cross"/>
        <c:minorTickMark val="none"/>
        <c:tickLblPos val="low"/>
        <c:spPr>
          <a:ln w="3175">
            <a:solidFill>
              <a:srgbClr val="000000"/>
            </a:solidFill>
            <a:prstDash val="solid"/>
          </a:ln>
        </c:spPr>
        <c:txPr>
          <a:bodyPr rot="0" vert="horz"/>
          <a:lstStyle/>
          <a:p>
            <a:pPr>
              <a:defRPr lang="es-MX" sz="350" b="0" i="0" u="none" strike="noStrike" baseline="0">
                <a:solidFill>
                  <a:sysClr val="windowText" lastClr="000000"/>
                </a:solidFill>
                <a:latin typeface="Arial"/>
                <a:ea typeface="Arial"/>
                <a:cs typeface="Arial"/>
              </a:defRPr>
            </a:pPr>
            <a:endParaRPr lang="es-MX"/>
          </a:p>
        </c:txPr>
        <c:crossAx val="530008376"/>
        <c:crosses val="autoZero"/>
        <c:auto val="1"/>
        <c:lblAlgn val="ctr"/>
        <c:lblOffset val="100"/>
        <c:tickLblSkip val="1"/>
        <c:tickMarkSkip val="12"/>
        <c:noMultiLvlLbl val="1"/>
      </c:catAx>
      <c:valAx>
        <c:axId val="530008376"/>
        <c:scaling>
          <c:orientation val="minMax"/>
          <c:max val="8400"/>
          <c:min val="2400"/>
        </c:scaling>
        <c:delete val="0"/>
        <c:axPos val="r"/>
        <c:numFmt formatCode="#\ ##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rgbClr val="000000"/>
                </a:solidFill>
                <a:latin typeface="Arial"/>
                <a:ea typeface="Arial"/>
                <a:cs typeface="Arial"/>
              </a:defRPr>
            </a:pPr>
            <a:endParaRPr lang="es-MX"/>
          </a:p>
        </c:txPr>
        <c:crossAx val="530006808"/>
        <c:crosses val="max"/>
        <c:crossBetween val="between"/>
        <c:majorUnit val="1200"/>
        <c:minorUnit val="100"/>
      </c:valAx>
      <c:spPr>
        <a:noFill/>
        <a:ln w="3175">
          <a:noFill/>
          <a:prstDash val="solid"/>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3.4014198251236874E-3"/>
          <c:y val="0.93832860922146633"/>
          <c:w val="0.98575444260001788"/>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s-MX" sz="700" b="1" i="0" cap="small" baseline="0"/>
            </a:pPr>
            <a:r>
              <a:rPr lang="es-ES" sz="700" b="1" i="0" cap="small" baseline="0"/>
              <a:t>Bienes Intermedios</a:t>
            </a:r>
          </a:p>
        </c:rich>
      </c:tx>
      <c:layout>
        <c:manualLayout>
          <c:xMode val="edge"/>
          <c:yMode val="edge"/>
          <c:x val="0.33368834974216727"/>
          <c:y val="2.1776406035665294E-3"/>
        </c:manualLayout>
      </c:layout>
      <c:overlay val="1"/>
    </c:title>
    <c:autoTitleDeleted val="0"/>
    <c:plotArea>
      <c:layout>
        <c:manualLayout>
          <c:layoutTarget val="inner"/>
          <c:xMode val="edge"/>
          <c:yMode val="edge"/>
          <c:x val="2.7150492264416341E-2"/>
          <c:y val="5.8894204389574774E-2"/>
          <c:w val="0.87057255039852288"/>
          <c:h val="0.79060819615914713"/>
        </c:manualLayout>
      </c:layout>
      <c:lineChart>
        <c:grouping val="standard"/>
        <c:varyColors val="0"/>
        <c:ser>
          <c:idx val="1"/>
          <c:order val="0"/>
          <c:tx>
            <c:strRef>
              <c:f>datos!$Y$4</c:f>
              <c:strCache>
                <c:ptCount val="1"/>
                <c:pt idx="0">
                  <c:v>Serie desestacionalizada</c:v>
                </c:pt>
              </c:strCache>
            </c:strRef>
          </c:tx>
          <c:spPr>
            <a:ln w="15875" cap="flat">
              <a:solidFill>
                <a:schemeClr val="bg1">
                  <a:lumMod val="6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datos!$Y$5:$Y$71</c:f>
              <c:numCache>
                <c:formatCode>#,##0.0</c:formatCode>
                <c:ptCount val="67"/>
                <c:pt idx="0">
                  <c:v>27846.895240529499</c:v>
                </c:pt>
                <c:pt idx="1">
                  <c:v>28515.6115317945</c:v>
                </c:pt>
                <c:pt idx="2">
                  <c:v>29664.2939711709</c:v>
                </c:pt>
                <c:pt idx="3">
                  <c:v>28866.9313390686</c:v>
                </c:pt>
                <c:pt idx="4">
                  <c:v>29720.705207844501</c:v>
                </c:pt>
                <c:pt idx="5">
                  <c:v>29856.287056072899</c:v>
                </c:pt>
                <c:pt idx="6">
                  <c:v>29935.446613117299</c:v>
                </c:pt>
                <c:pt idx="7">
                  <c:v>29796.966853763501</c:v>
                </c:pt>
                <c:pt idx="8">
                  <c:v>30275.660990592201</c:v>
                </c:pt>
                <c:pt idx="9">
                  <c:v>30441.4960054111</c:v>
                </c:pt>
                <c:pt idx="10">
                  <c:v>31027.607369966201</c:v>
                </c:pt>
                <c:pt idx="11">
                  <c:v>29468.226853630698</c:v>
                </c:pt>
                <c:pt idx="12">
                  <c:v>29984.375612448501</c:v>
                </c:pt>
                <c:pt idx="13">
                  <c:v>29826.047032658302</c:v>
                </c:pt>
                <c:pt idx="14">
                  <c:v>29473.883815924899</c:v>
                </c:pt>
                <c:pt idx="15">
                  <c:v>29822.038394534298</c:v>
                </c:pt>
                <c:pt idx="16">
                  <c:v>29677.6348230814</c:v>
                </c:pt>
                <c:pt idx="17">
                  <c:v>29378.0140207572</c:v>
                </c:pt>
                <c:pt idx="18">
                  <c:v>30029.6220008481</c:v>
                </c:pt>
                <c:pt idx="19">
                  <c:v>29857.6006176804</c:v>
                </c:pt>
                <c:pt idx="20">
                  <c:v>29374.768602404602</c:v>
                </c:pt>
                <c:pt idx="21">
                  <c:v>28751.488806817601</c:v>
                </c:pt>
                <c:pt idx="22">
                  <c:v>28314.8234533207</c:v>
                </c:pt>
                <c:pt idx="23">
                  <c:v>28336.547775197301</c:v>
                </c:pt>
                <c:pt idx="24">
                  <c:v>28698.6978071003</c:v>
                </c:pt>
                <c:pt idx="25">
                  <c:v>28319.375835520699</c:v>
                </c:pt>
                <c:pt idx="26">
                  <c:v>27501.693099986202</c:v>
                </c:pt>
                <c:pt idx="27">
                  <c:v>21269.498621727798</c:v>
                </c:pt>
                <c:pt idx="28">
                  <c:v>17033.324046554801</c:v>
                </c:pt>
                <c:pt idx="29">
                  <c:v>22064.6528999289</c:v>
                </c:pt>
                <c:pt idx="30">
                  <c:v>22485.294594274299</c:v>
                </c:pt>
                <c:pt idx="31">
                  <c:v>24669.752110551199</c:v>
                </c:pt>
                <c:pt idx="32">
                  <c:v>26366.910280603701</c:v>
                </c:pt>
                <c:pt idx="33">
                  <c:v>27115.8304022257</c:v>
                </c:pt>
                <c:pt idx="34">
                  <c:v>28642.1753117835</c:v>
                </c:pt>
                <c:pt idx="35">
                  <c:v>29017.725630512399</c:v>
                </c:pt>
                <c:pt idx="36">
                  <c:v>30018.3698760978</c:v>
                </c:pt>
                <c:pt idx="37">
                  <c:v>28625.926817185999</c:v>
                </c:pt>
                <c:pt idx="38">
                  <c:v>35618.4301616585</c:v>
                </c:pt>
                <c:pt idx="39">
                  <c:v>31366.148153908201</c:v>
                </c:pt>
                <c:pt idx="40">
                  <c:v>32579.2140773877</c:v>
                </c:pt>
                <c:pt idx="41">
                  <c:v>32607.9448874931</c:v>
                </c:pt>
                <c:pt idx="42">
                  <c:v>35389.450464993497</c:v>
                </c:pt>
                <c:pt idx="43">
                  <c:v>34551.469883955702</c:v>
                </c:pt>
                <c:pt idx="44">
                  <c:v>34059.120680107597</c:v>
                </c:pt>
                <c:pt idx="45">
                  <c:v>34834.025228988103</c:v>
                </c:pt>
                <c:pt idx="46">
                  <c:v>35695.846889923399</c:v>
                </c:pt>
                <c:pt idx="47">
                  <c:v>36779.790735863397</c:v>
                </c:pt>
                <c:pt idx="48">
                  <c:v>35291.917333411002</c:v>
                </c:pt>
                <c:pt idx="49">
                  <c:v>38823.605014716297</c:v>
                </c:pt>
                <c:pt idx="50">
                  <c:v>38703.764699285603</c:v>
                </c:pt>
                <c:pt idx="51">
                  <c:v>40083.341104353298</c:v>
                </c:pt>
                <c:pt idx="52">
                  <c:v>40621.264468084199</c:v>
                </c:pt>
                <c:pt idx="53">
                  <c:v>42329.536883580899</c:v>
                </c:pt>
                <c:pt idx="54">
                  <c:v>41559.7431867532</c:v>
                </c:pt>
                <c:pt idx="55">
                  <c:v>40956.568561042099</c:v>
                </c:pt>
                <c:pt idx="56">
                  <c:v>40516.785962264097</c:v>
                </c:pt>
                <c:pt idx="57">
                  <c:v>40166.403607398199</c:v>
                </c:pt>
                <c:pt idx="58">
                  <c:v>38264.4521286456</c:v>
                </c:pt>
                <c:pt idx="59">
                  <c:v>39008.555171339904</c:v>
                </c:pt>
                <c:pt idx="60">
                  <c:v>38929.744218790504</c:v>
                </c:pt>
                <c:pt idx="61">
                  <c:v>38902.791780198197</c:v>
                </c:pt>
                <c:pt idx="62">
                  <c:v>37552.952698800698</c:v>
                </c:pt>
                <c:pt idx="63">
                  <c:v>39037.006554691099</c:v>
                </c:pt>
                <c:pt idx="64">
                  <c:v>37771.820453936103</c:v>
                </c:pt>
                <c:pt idx="65">
                  <c:v>38718.295576614801</c:v>
                </c:pt>
                <c:pt idx="66">
                  <c:v>37704.831114060602</c:v>
                </c:pt>
              </c:numCache>
            </c:numRef>
          </c:val>
          <c:smooth val="0"/>
          <c:extLst>
            <c:ext xmlns:c16="http://schemas.microsoft.com/office/drawing/2014/chart" uri="{C3380CC4-5D6E-409C-BE32-E72D297353CC}">
              <c16:uniqueId val="{00000000-99A2-49C2-8DF4-A5E56087F3CA}"/>
            </c:ext>
          </c:extLst>
        </c:ser>
        <c:ser>
          <c:idx val="0"/>
          <c:order val="1"/>
          <c:tx>
            <c:strRef>
              <c:f>datos!$Z$4</c:f>
              <c:strCache>
                <c:ptCount val="1"/>
                <c:pt idx="0">
                  <c:v>Serie de tendencia-ciclo</c:v>
                </c:pt>
              </c:strCache>
            </c:strRef>
          </c:tx>
          <c:spPr>
            <a:ln w="12700">
              <a:solidFill>
                <a:schemeClr val="tx2">
                  <a:lumMod val="7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datos!$Z$5:$Z$71</c:f>
              <c:numCache>
                <c:formatCode>#,##0.0</c:formatCode>
                <c:ptCount val="67"/>
                <c:pt idx="0">
                  <c:v>28447.949693461982</c:v>
                </c:pt>
                <c:pt idx="1">
                  <c:v>28740.624214006803</c:v>
                </c:pt>
                <c:pt idx="2">
                  <c:v>29040.016825784889</c:v>
                </c:pt>
                <c:pt idx="3">
                  <c:v>29313.914295556169</c:v>
                </c:pt>
                <c:pt idx="4">
                  <c:v>29550.60257601073</c:v>
                </c:pt>
                <c:pt idx="5">
                  <c:v>29765.390375239647</c:v>
                </c:pt>
                <c:pt idx="6">
                  <c:v>29962.672097856372</c:v>
                </c:pt>
                <c:pt idx="7">
                  <c:v>30111.136703619617</c:v>
                </c:pt>
                <c:pt idx="8">
                  <c:v>30210.072096290289</c:v>
                </c:pt>
                <c:pt idx="9">
                  <c:v>30228.540156161689</c:v>
                </c:pt>
                <c:pt idx="10">
                  <c:v>30156.407359227931</c:v>
                </c:pt>
                <c:pt idx="11">
                  <c:v>30042.111518667647</c:v>
                </c:pt>
                <c:pt idx="12">
                  <c:v>29893.087694718211</c:v>
                </c:pt>
                <c:pt idx="13">
                  <c:v>29752.032530456672</c:v>
                </c:pt>
                <c:pt idx="14">
                  <c:v>29671.337284837748</c:v>
                </c:pt>
                <c:pt idx="15">
                  <c:v>29675.900471500107</c:v>
                </c:pt>
                <c:pt idx="16">
                  <c:v>29728.249610925101</c:v>
                </c:pt>
                <c:pt idx="17">
                  <c:v>29755.19911860464</c:v>
                </c:pt>
                <c:pt idx="18">
                  <c:v>29687.362313338141</c:v>
                </c:pt>
                <c:pt idx="19">
                  <c:v>29518.521200026462</c:v>
                </c:pt>
                <c:pt idx="20">
                  <c:v>29268.46064839061</c:v>
                </c:pt>
                <c:pt idx="21">
                  <c:v>28990.330843730782</c:v>
                </c:pt>
                <c:pt idx="22">
                  <c:v>28730.00646166936</c:v>
                </c:pt>
                <c:pt idx="23">
                  <c:v>28493.986278832657</c:v>
                </c:pt>
                <c:pt idx="24">
                  <c:v>28253.609823719791</c:v>
                </c:pt>
                <c:pt idx="25">
                  <c:v>27960.589214223</c:v>
                </c:pt>
                <c:pt idx="26">
                  <c:v>27565.943925835851</c:v>
                </c:pt>
                <c:pt idx="27">
                  <c:v>26504.796455223401</c:v>
                </c:pt>
                <c:pt idx="28">
                  <c:v>26141.197476222889</c:v>
                </c:pt>
                <c:pt idx="29">
                  <c:v>26002.16562788291</c:v>
                </c:pt>
                <c:pt idx="30">
                  <c:v>26175.869966552149</c:v>
                </c:pt>
                <c:pt idx="31">
                  <c:v>26654.775618360618</c:v>
                </c:pt>
                <c:pt idx="32">
                  <c:v>27349.070440122083</c:v>
                </c:pt>
                <c:pt idx="33">
                  <c:v>28146.337662234731</c:v>
                </c:pt>
                <c:pt idx="34">
                  <c:v>28922.940973846882</c:v>
                </c:pt>
                <c:pt idx="35">
                  <c:v>29611.467551608839</c:v>
                </c:pt>
                <c:pt idx="36">
                  <c:v>30200.209281915781</c:v>
                </c:pt>
                <c:pt idx="37">
                  <c:v>30723.7222914056</c:v>
                </c:pt>
                <c:pt idx="38">
                  <c:v>31243.178793517767</c:v>
                </c:pt>
                <c:pt idx="39">
                  <c:v>31790.72077710196</c:v>
                </c:pt>
                <c:pt idx="40">
                  <c:v>32348.787595374932</c:v>
                </c:pt>
                <c:pt idx="41">
                  <c:v>32893.252924327222</c:v>
                </c:pt>
                <c:pt idx="42">
                  <c:v>33414.83034735416</c:v>
                </c:pt>
                <c:pt idx="43">
                  <c:v>33931.594879300697</c:v>
                </c:pt>
                <c:pt idx="44">
                  <c:v>34460.497090119286</c:v>
                </c:pt>
                <c:pt idx="45">
                  <c:v>35037.297782485133</c:v>
                </c:pt>
                <c:pt idx="46">
                  <c:v>35700.864888734526</c:v>
                </c:pt>
                <c:pt idx="47">
                  <c:v>36457.506521657167</c:v>
                </c:pt>
                <c:pt idx="48">
                  <c:v>37299.745153165</c:v>
                </c:pt>
                <c:pt idx="49">
                  <c:v>38224.86337989306</c:v>
                </c:pt>
                <c:pt idx="50">
                  <c:v>39168.062811657932</c:v>
                </c:pt>
                <c:pt idx="51">
                  <c:v>40039.011764738789</c:v>
                </c:pt>
                <c:pt idx="52">
                  <c:v>40759.082775041868</c:v>
                </c:pt>
                <c:pt idx="53">
                  <c:v>41205.030941581237</c:v>
                </c:pt>
                <c:pt idx="54">
                  <c:v>41295.966294957594</c:v>
                </c:pt>
                <c:pt idx="55">
                  <c:v>41037.232846854458</c:v>
                </c:pt>
                <c:pt idx="56">
                  <c:v>40549.530053942115</c:v>
                </c:pt>
                <c:pt idx="57">
                  <c:v>39963.908081556321</c:v>
                </c:pt>
                <c:pt idx="58">
                  <c:v>39434.288334818499</c:v>
                </c:pt>
                <c:pt idx="59">
                  <c:v>39043.303316295634</c:v>
                </c:pt>
                <c:pt idx="60">
                  <c:v>38824.490345984726</c:v>
                </c:pt>
                <c:pt idx="61">
                  <c:v>38711.088927463963</c:v>
                </c:pt>
                <c:pt idx="62">
                  <c:v>38631.144709554632</c:v>
                </c:pt>
                <c:pt idx="63">
                  <c:v>38543.98300877872</c:v>
                </c:pt>
                <c:pt idx="64">
                  <c:v>38443.236748757612</c:v>
                </c:pt>
                <c:pt idx="65">
                  <c:v>38378.775176404815</c:v>
                </c:pt>
                <c:pt idx="66">
                  <c:v>38429.666602973477</c:v>
                </c:pt>
              </c:numCache>
            </c:numRef>
          </c:val>
          <c:smooth val="0"/>
          <c:extLst>
            <c:ext xmlns:c16="http://schemas.microsoft.com/office/drawing/2014/chart" uri="{C3380CC4-5D6E-409C-BE32-E72D297353CC}">
              <c16:uniqueId val="{00000001-99A2-49C2-8DF4-A5E56087F3CA}"/>
            </c:ext>
          </c:extLst>
        </c:ser>
        <c:dLbls>
          <c:showLegendKey val="0"/>
          <c:showVal val="0"/>
          <c:showCatName val="0"/>
          <c:showSerName val="0"/>
          <c:showPercent val="0"/>
          <c:showBubbleSize val="0"/>
        </c:dLbls>
        <c:smooth val="0"/>
        <c:axId val="440193776"/>
        <c:axId val="440192992"/>
      </c:lineChart>
      <c:catAx>
        <c:axId val="440193776"/>
        <c:scaling>
          <c:orientation val="minMax"/>
        </c:scaling>
        <c:delete val="0"/>
        <c:axPos val="b"/>
        <c:numFmt formatCode="General" sourceLinked="1"/>
        <c:majorTickMark val="cross"/>
        <c:minorTickMark val="none"/>
        <c:tickLblPos val="low"/>
        <c:spPr>
          <a:ln w="3175">
            <a:solidFill>
              <a:srgbClr val="000000"/>
            </a:solidFill>
            <a:prstDash val="solid"/>
          </a:ln>
        </c:spPr>
        <c:txPr>
          <a:bodyPr rot="0" vert="horz"/>
          <a:lstStyle/>
          <a:p>
            <a:pPr>
              <a:defRPr lang="es-MX" sz="350" b="0" i="0" u="none" strike="noStrike" baseline="0">
                <a:solidFill>
                  <a:sysClr val="windowText" lastClr="000000"/>
                </a:solidFill>
                <a:latin typeface="Arial"/>
                <a:ea typeface="Arial"/>
                <a:cs typeface="Arial"/>
              </a:defRPr>
            </a:pPr>
            <a:endParaRPr lang="es-MX"/>
          </a:p>
        </c:txPr>
        <c:crossAx val="440192992"/>
        <c:crosses val="autoZero"/>
        <c:auto val="1"/>
        <c:lblAlgn val="ctr"/>
        <c:lblOffset val="100"/>
        <c:tickLblSkip val="1"/>
        <c:tickMarkSkip val="12"/>
        <c:noMultiLvlLbl val="1"/>
      </c:catAx>
      <c:valAx>
        <c:axId val="440192992"/>
        <c:scaling>
          <c:orientation val="minMax"/>
          <c:max val="49000"/>
          <c:min val="16000"/>
        </c:scaling>
        <c:delete val="0"/>
        <c:axPos val="r"/>
        <c:numFmt formatCode="#\ ##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rgbClr val="000000"/>
                </a:solidFill>
                <a:latin typeface="Arial"/>
                <a:ea typeface="Arial"/>
                <a:cs typeface="Arial"/>
              </a:defRPr>
            </a:pPr>
            <a:endParaRPr lang="es-MX"/>
          </a:p>
        </c:txPr>
        <c:crossAx val="440193776"/>
        <c:crosses val="max"/>
        <c:crossBetween val="between"/>
        <c:majorUnit val="6600"/>
        <c:minorUnit val="1000"/>
      </c:valAx>
      <c:spPr>
        <a:noFill/>
        <a:ln w="3175">
          <a:noFill/>
          <a:prstDash val="solid"/>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0"/>
          <c:y val="0.94039978655312817"/>
          <c:w val="0.99478885267615924"/>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es-MX" sz="700" b="1" i="0" cap="small" baseline="0"/>
            </a:pPr>
            <a:r>
              <a:rPr lang="es-ES" sz="700" b="1" i="0" cap="small" baseline="0"/>
              <a:t>Bienes de Capital</a:t>
            </a:r>
          </a:p>
        </c:rich>
      </c:tx>
      <c:layout>
        <c:manualLayout>
          <c:xMode val="edge"/>
          <c:yMode val="edge"/>
          <c:x val="0.35402144866385382"/>
          <c:y val="2.1776406035665294E-3"/>
        </c:manualLayout>
      </c:layout>
      <c:overlay val="1"/>
    </c:title>
    <c:autoTitleDeleted val="0"/>
    <c:plotArea>
      <c:layout>
        <c:manualLayout>
          <c:layoutTarget val="inner"/>
          <c:xMode val="edge"/>
          <c:yMode val="edge"/>
          <c:x val="3.914609053497943E-2"/>
          <c:y val="7.1312164776479031E-2"/>
          <c:w val="0.88382032348804562"/>
          <c:h val="0.78407527434844926"/>
        </c:manualLayout>
      </c:layout>
      <c:lineChart>
        <c:grouping val="standard"/>
        <c:varyColors val="0"/>
        <c:ser>
          <c:idx val="1"/>
          <c:order val="0"/>
          <c:tx>
            <c:strRef>
              <c:f>datos!$AA$4</c:f>
              <c:strCache>
                <c:ptCount val="1"/>
                <c:pt idx="0">
                  <c:v>Serie desestacionalizada</c:v>
                </c:pt>
              </c:strCache>
            </c:strRef>
          </c:tx>
          <c:spPr>
            <a:ln w="15875" cap="flat">
              <a:solidFill>
                <a:schemeClr val="bg1">
                  <a:lumMod val="6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datos!$AA$5:$AA$71</c:f>
              <c:numCache>
                <c:formatCode>#,##0.0</c:formatCode>
                <c:ptCount val="67"/>
                <c:pt idx="0">
                  <c:v>3677.78284284043</c:v>
                </c:pt>
                <c:pt idx="1">
                  <c:v>3830.30744627183</c:v>
                </c:pt>
                <c:pt idx="2">
                  <c:v>3738.6455512011098</c:v>
                </c:pt>
                <c:pt idx="3">
                  <c:v>3737.1032574536198</c:v>
                </c:pt>
                <c:pt idx="4">
                  <c:v>3683.27904402382</c:v>
                </c:pt>
                <c:pt idx="5">
                  <c:v>3915.01655940815</c:v>
                </c:pt>
                <c:pt idx="6">
                  <c:v>4035.2037463787401</c:v>
                </c:pt>
                <c:pt idx="7">
                  <c:v>3863.7804069274798</c:v>
                </c:pt>
                <c:pt idx="8">
                  <c:v>3931.3142986685598</c:v>
                </c:pt>
                <c:pt idx="9">
                  <c:v>3958.87801872403</c:v>
                </c:pt>
                <c:pt idx="10">
                  <c:v>3698.8453246539798</c:v>
                </c:pt>
                <c:pt idx="11">
                  <c:v>3457.91100341116</c:v>
                </c:pt>
                <c:pt idx="12">
                  <c:v>3757.3834663125199</c:v>
                </c:pt>
                <c:pt idx="13">
                  <c:v>3586.1577570455902</c:v>
                </c:pt>
                <c:pt idx="14">
                  <c:v>3491.8098809579201</c:v>
                </c:pt>
                <c:pt idx="15">
                  <c:v>3551.87566657466</c:v>
                </c:pt>
                <c:pt idx="16">
                  <c:v>3494.5080080176799</c:v>
                </c:pt>
                <c:pt idx="17">
                  <c:v>3166.5533569548902</c:v>
                </c:pt>
                <c:pt idx="18">
                  <c:v>3243.4443405543898</c:v>
                </c:pt>
                <c:pt idx="19">
                  <c:v>3456.1780504919898</c:v>
                </c:pt>
                <c:pt idx="20">
                  <c:v>3332.8070711599898</c:v>
                </c:pt>
                <c:pt idx="21">
                  <c:v>3470.7244609109298</c:v>
                </c:pt>
                <c:pt idx="22">
                  <c:v>3379.5673682270699</c:v>
                </c:pt>
                <c:pt idx="23">
                  <c:v>3313.1880984057402</c:v>
                </c:pt>
                <c:pt idx="24">
                  <c:v>3241.6981254182301</c:v>
                </c:pt>
                <c:pt idx="25">
                  <c:v>3129.20988788861</c:v>
                </c:pt>
                <c:pt idx="26">
                  <c:v>2692.6727426739199</c:v>
                </c:pt>
                <c:pt idx="27">
                  <c:v>2548.0280202435702</c:v>
                </c:pt>
                <c:pt idx="28">
                  <c:v>2310.3670593543002</c:v>
                </c:pt>
                <c:pt idx="29">
                  <c:v>2586.3990926568499</c:v>
                </c:pt>
                <c:pt idx="30">
                  <c:v>2591.7328768966599</c:v>
                </c:pt>
                <c:pt idx="31">
                  <c:v>2627.0795438026998</c:v>
                </c:pt>
                <c:pt idx="32">
                  <c:v>2724.9329353988401</c:v>
                </c:pt>
                <c:pt idx="33">
                  <c:v>2718.2149201147799</c:v>
                </c:pt>
                <c:pt idx="34">
                  <c:v>2951.8742639713801</c:v>
                </c:pt>
                <c:pt idx="35">
                  <c:v>3016.0417156143299</c:v>
                </c:pt>
                <c:pt idx="36">
                  <c:v>3148.0441763864701</c:v>
                </c:pt>
                <c:pt idx="37">
                  <c:v>3273.5948399817098</c:v>
                </c:pt>
                <c:pt idx="38">
                  <c:v>3355.6456655898401</c:v>
                </c:pt>
                <c:pt idx="39">
                  <c:v>3195.3515593396201</c:v>
                </c:pt>
                <c:pt idx="40">
                  <c:v>3297.5625531464898</c:v>
                </c:pt>
                <c:pt idx="41">
                  <c:v>3218.4744573912199</c:v>
                </c:pt>
                <c:pt idx="42">
                  <c:v>3432.6724785573901</c:v>
                </c:pt>
                <c:pt idx="43">
                  <c:v>3331.35842906673</c:v>
                </c:pt>
                <c:pt idx="44">
                  <c:v>3418.0495388909499</c:v>
                </c:pt>
                <c:pt idx="45">
                  <c:v>3464.18636487711</c:v>
                </c:pt>
                <c:pt idx="46">
                  <c:v>3643.0107194938701</c:v>
                </c:pt>
                <c:pt idx="47">
                  <c:v>3655.5957583773402</c:v>
                </c:pt>
                <c:pt idx="48">
                  <c:v>3704.04614254732</c:v>
                </c:pt>
                <c:pt idx="49">
                  <c:v>3659.1170183371501</c:v>
                </c:pt>
                <c:pt idx="50">
                  <c:v>3782.2797722170499</c:v>
                </c:pt>
                <c:pt idx="51">
                  <c:v>4022.8387757402402</c:v>
                </c:pt>
                <c:pt idx="52">
                  <c:v>4017.0519271418002</c:v>
                </c:pt>
                <c:pt idx="53">
                  <c:v>3981.2120226554898</c:v>
                </c:pt>
                <c:pt idx="54">
                  <c:v>4051.4716627319599</c:v>
                </c:pt>
                <c:pt idx="55">
                  <c:v>4180.52517679227</c:v>
                </c:pt>
                <c:pt idx="56">
                  <c:v>4186.2842184615401</c:v>
                </c:pt>
                <c:pt idx="57">
                  <c:v>4241.1747769650801</c:v>
                </c:pt>
                <c:pt idx="58">
                  <c:v>4139.8878747216904</c:v>
                </c:pt>
                <c:pt idx="59">
                  <c:v>4298.2803564659798</c:v>
                </c:pt>
                <c:pt idx="60">
                  <c:v>4310.2655210927396</c:v>
                </c:pt>
                <c:pt idx="61">
                  <c:v>4649.2998053567899</c:v>
                </c:pt>
                <c:pt idx="62">
                  <c:v>4599.0754671020104</c:v>
                </c:pt>
                <c:pt idx="63">
                  <c:v>4857.38031811371</c:v>
                </c:pt>
                <c:pt idx="64">
                  <c:v>4798.7203316968698</c:v>
                </c:pt>
                <c:pt idx="65">
                  <c:v>5097.8168173227896</c:v>
                </c:pt>
                <c:pt idx="66">
                  <c:v>4989.7025347201597</c:v>
                </c:pt>
              </c:numCache>
            </c:numRef>
          </c:val>
          <c:smooth val="0"/>
          <c:extLst>
            <c:ext xmlns:c16="http://schemas.microsoft.com/office/drawing/2014/chart" uri="{C3380CC4-5D6E-409C-BE32-E72D297353CC}">
              <c16:uniqueId val="{00000000-04A7-4DCD-8FED-787CCE980BD9}"/>
            </c:ext>
          </c:extLst>
        </c:ser>
        <c:ser>
          <c:idx val="0"/>
          <c:order val="1"/>
          <c:tx>
            <c:strRef>
              <c:f>datos!$AB$4</c:f>
              <c:strCache>
                <c:ptCount val="1"/>
                <c:pt idx="0">
                  <c:v>Serie de tendencia-ciclo</c:v>
                </c:pt>
              </c:strCache>
            </c:strRef>
          </c:tx>
          <c:spPr>
            <a:ln w="12700">
              <a:solidFill>
                <a:schemeClr val="tx2">
                  <a:lumMod val="75000"/>
                </a:schemeClr>
              </a:solidFill>
              <a:prstDash val="solid"/>
            </a:ln>
            <a:effectLst/>
          </c:spPr>
          <c:marker>
            <c:symbol val="none"/>
          </c:marker>
          <c:cat>
            <c:multiLvlStrRef>
              <c:f>datos!$A$5:$B$71</c:f>
              <c:multiLvlStrCache>
                <c:ptCount val="6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lvl>
                <c:lvl>
                  <c:pt idx="0">
                    <c:v>2018</c:v>
                  </c:pt>
                  <c:pt idx="12">
                    <c:v>2019</c:v>
                  </c:pt>
                  <c:pt idx="24">
                    <c:v>2020</c:v>
                  </c:pt>
                  <c:pt idx="36">
                    <c:v>2021</c:v>
                  </c:pt>
                  <c:pt idx="48">
                    <c:v>2022</c:v>
                  </c:pt>
                  <c:pt idx="60">
                    <c:v>2023</c:v>
                  </c:pt>
                </c:lvl>
              </c:multiLvlStrCache>
            </c:multiLvlStrRef>
          </c:cat>
          <c:val>
            <c:numRef>
              <c:f>datos!$AB$5:$AB$71</c:f>
              <c:numCache>
                <c:formatCode>#,##0.0</c:formatCode>
                <c:ptCount val="67"/>
                <c:pt idx="0">
                  <c:v>3679.0271899079098</c:v>
                </c:pt>
                <c:pt idx="1">
                  <c:v>3725.69266716113</c:v>
                </c:pt>
                <c:pt idx="2">
                  <c:v>3768.09102600695</c:v>
                </c:pt>
                <c:pt idx="3">
                  <c:v>3804.8904600097599</c:v>
                </c:pt>
                <c:pt idx="4">
                  <c:v>3843.9139510700902</c:v>
                </c:pt>
                <c:pt idx="5">
                  <c:v>3883.22226528786</c:v>
                </c:pt>
                <c:pt idx="6">
                  <c:v>3911.5125370237702</c:v>
                </c:pt>
                <c:pt idx="7">
                  <c:v>3918.3236910335399</c:v>
                </c:pt>
                <c:pt idx="8">
                  <c:v>3898.4696791341698</c:v>
                </c:pt>
                <c:pt idx="9">
                  <c:v>3850.17649931184</c:v>
                </c:pt>
                <c:pt idx="10">
                  <c:v>3785.4422985940901</c:v>
                </c:pt>
                <c:pt idx="11">
                  <c:v>3717.9661470217902</c:v>
                </c:pt>
                <c:pt idx="12">
                  <c:v>3657.00804820336</c:v>
                </c:pt>
                <c:pt idx="13">
                  <c:v>3600.4329413586302</c:v>
                </c:pt>
                <c:pt idx="14">
                  <c:v>3549.3143603643898</c:v>
                </c:pt>
                <c:pt idx="15">
                  <c:v>3502.1581421225301</c:v>
                </c:pt>
                <c:pt idx="16">
                  <c:v>3458.4300388036399</c:v>
                </c:pt>
                <c:pt idx="17">
                  <c:v>3424.15495548327</c:v>
                </c:pt>
                <c:pt idx="18">
                  <c:v>3406.20782794055</c:v>
                </c:pt>
                <c:pt idx="19">
                  <c:v>3400.7798633328698</c:v>
                </c:pt>
                <c:pt idx="20">
                  <c:v>3395.31105179719</c:v>
                </c:pt>
                <c:pt idx="21">
                  <c:v>3383.9149526148899</c:v>
                </c:pt>
                <c:pt idx="22">
                  <c:v>3358.2030118543598</c:v>
                </c:pt>
                <c:pt idx="23">
                  <c:v>3312.1887999820501</c:v>
                </c:pt>
                <c:pt idx="24">
                  <c:v>3251.9579010040802</c:v>
                </c:pt>
                <c:pt idx="25">
                  <c:v>3190.09808416234</c:v>
                </c:pt>
                <c:pt idx="26">
                  <c:v>2622.5886285194001</c:v>
                </c:pt>
                <c:pt idx="27">
                  <c:v>2591.6391751248898</c:v>
                </c:pt>
                <c:pt idx="28">
                  <c:v>2576.4723670943499</c:v>
                </c:pt>
                <c:pt idx="29">
                  <c:v>2576.6654369317498</c:v>
                </c:pt>
                <c:pt idx="30">
                  <c:v>2596.3785764736199</c:v>
                </c:pt>
                <c:pt idx="31">
                  <c:v>2638.94360647747</c:v>
                </c:pt>
                <c:pt idx="32">
                  <c:v>2707.4696329829799</c:v>
                </c:pt>
                <c:pt idx="33">
                  <c:v>2803.95572099833</c:v>
                </c:pt>
                <c:pt idx="34">
                  <c:v>2917.0804535162601</c:v>
                </c:pt>
                <c:pt idx="35">
                  <c:v>3035.2480362290999</c:v>
                </c:pt>
                <c:pt idx="36">
                  <c:v>3136.5737954934398</c:v>
                </c:pt>
                <c:pt idx="37">
                  <c:v>3209.9041975331502</c:v>
                </c:pt>
                <c:pt idx="38">
                  <c:v>3253.1080481573299</c:v>
                </c:pt>
                <c:pt idx="39">
                  <c:v>3273.3635220944402</c:v>
                </c:pt>
                <c:pt idx="40">
                  <c:v>3281.4922050731702</c:v>
                </c:pt>
                <c:pt idx="41">
                  <c:v>3294.1465885391799</c:v>
                </c:pt>
                <c:pt idx="42">
                  <c:v>3321.8080694607902</c:v>
                </c:pt>
                <c:pt idx="43">
                  <c:v>3372.07894434537</c:v>
                </c:pt>
                <c:pt idx="44">
                  <c:v>3437.7605244982301</c:v>
                </c:pt>
                <c:pt idx="45">
                  <c:v>3504.3375865746798</c:v>
                </c:pt>
                <c:pt idx="46">
                  <c:v>3565.9239188523602</c:v>
                </c:pt>
                <c:pt idx="47">
                  <c:v>3627.3500141988002</c:v>
                </c:pt>
                <c:pt idx="48">
                  <c:v>3690.2185027037099</c:v>
                </c:pt>
                <c:pt idx="49">
                  <c:v>3755.4379265572002</c:v>
                </c:pt>
                <c:pt idx="50">
                  <c:v>3821.7509527800298</c:v>
                </c:pt>
                <c:pt idx="51">
                  <c:v>3892.1730477838601</c:v>
                </c:pt>
                <c:pt idx="52">
                  <c:v>3966.5521612646498</c:v>
                </c:pt>
                <c:pt idx="53">
                  <c:v>4036.1165234664199</c:v>
                </c:pt>
                <c:pt idx="54">
                  <c:v>4091.98182419868</c:v>
                </c:pt>
                <c:pt idx="55">
                  <c:v>4130.1098011657596</c:v>
                </c:pt>
                <c:pt idx="56">
                  <c:v>4158.7518162666001</c:v>
                </c:pt>
                <c:pt idx="57">
                  <c:v>4188.7993115997197</c:v>
                </c:pt>
                <c:pt idx="58">
                  <c:v>4233.1317286393396</c:v>
                </c:pt>
                <c:pt idx="59">
                  <c:v>4296.6625546471396</c:v>
                </c:pt>
                <c:pt idx="60">
                  <c:v>4388.8152338295104</c:v>
                </c:pt>
                <c:pt idx="61">
                  <c:v>4508.6546763545903</c:v>
                </c:pt>
                <c:pt idx="62">
                  <c:v>4641.4471508154902</c:v>
                </c:pt>
                <c:pt idx="63">
                  <c:v>4768.3229414603802</c:v>
                </c:pt>
                <c:pt idx="64">
                  <c:v>4876.5174789349103</c:v>
                </c:pt>
                <c:pt idx="65">
                  <c:v>4964.3566162296902</c:v>
                </c:pt>
                <c:pt idx="66">
                  <c:v>5039.8237001097796</c:v>
                </c:pt>
              </c:numCache>
            </c:numRef>
          </c:val>
          <c:smooth val="0"/>
          <c:extLst>
            <c:ext xmlns:c16="http://schemas.microsoft.com/office/drawing/2014/chart" uri="{C3380CC4-5D6E-409C-BE32-E72D297353CC}">
              <c16:uniqueId val="{00000001-04A7-4DCD-8FED-787CCE980BD9}"/>
            </c:ext>
          </c:extLst>
        </c:ser>
        <c:dLbls>
          <c:showLegendKey val="0"/>
          <c:showVal val="0"/>
          <c:showCatName val="0"/>
          <c:showSerName val="0"/>
          <c:showPercent val="0"/>
          <c:showBubbleSize val="0"/>
        </c:dLbls>
        <c:smooth val="0"/>
        <c:axId val="440194952"/>
        <c:axId val="440193384"/>
      </c:lineChart>
      <c:catAx>
        <c:axId val="440194952"/>
        <c:scaling>
          <c:orientation val="minMax"/>
        </c:scaling>
        <c:delete val="0"/>
        <c:axPos val="b"/>
        <c:numFmt formatCode="General" sourceLinked="1"/>
        <c:majorTickMark val="cross"/>
        <c:minorTickMark val="none"/>
        <c:tickLblPos val="low"/>
        <c:spPr>
          <a:ln w="3175">
            <a:solidFill>
              <a:srgbClr val="000000"/>
            </a:solidFill>
            <a:prstDash val="solid"/>
          </a:ln>
        </c:spPr>
        <c:txPr>
          <a:bodyPr rot="0" vert="horz"/>
          <a:lstStyle/>
          <a:p>
            <a:pPr>
              <a:defRPr lang="es-MX" sz="350" b="0" i="0" u="none" strike="noStrike" baseline="0">
                <a:solidFill>
                  <a:sysClr val="windowText" lastClr="000000"/>
                </a:solidFill>
                <a:latin typeface="Arial"/>
                <a:ea typeface="Arial"/>
                <a:cs typeface="Arial"/>
              </a:defRPr>
            </a:pPr>
            <a:endParaRPr lang="es-MX"/>
          </a:p>
        </c:txPr>
        <c:crossAx val="440193384"/>
        <c:crosses val="autoZero"/>
        <c:auto val="1"/>
        <c:lblAlgn val="ctr"/>
        <c:lblOffset val="100"/>
        <c:tickLblSkip val="1"/>
        <c:tickMarkSkip val="12"/>
        <c:noMultiLvlLbl val="1"/>
      </c:catAx>
      <c:valAx>
        <c:axId val="440193384"/>
        <c:scaling>
          <c:orientation val="minMax"/>
          <c:min val="2200"/>
        </c:scaling>
        <c:delete val="0"/>
        <c:axPos val="r"/>
        <c:numFmt formatCode="#\ ##0" sourceLinked="0"/>
        <c:majorTickMark val="out"/>
        <c:minorTickMark val="none"/>
        <c:tickLblPos val="high"/>
        <c:spPr>
          <a:ln w="3175">
            <a:solidFill>
              <a:srgbClr val="000000"/>
            </a:solidFill>
            <a:prstDash val="solid"/>
          </a:ln>
        </c:spPr>
        <c:txPr>
          <a:bodyPr rot="0" vert="horz"/>
          <a:lstStyle/>
          <a:p>
            <a:pPr>
              <a:defRPr lang="es-MX" sz="500" b="0" i="0" u="none" strike="noStrike" baseline="0">
                <a:solidFill>
                  <a:srgbClr val="000000"/>
                </a:solidFill>
                <a:latin typeface="Arial"/>
                <a:ea typeface="Arial"/>
                <a:cs typeface="Arial"/>
              </a:defRPr>
            </a:pPr>
            <a:endParaRPr lang="es-MX"/>
          </a:p>
        </c:txPr>
        <c:crossAx val="440194952"/>
        <c:crosses val="max"/>
        <c:crossBetween val="between"/>
        <c:majorUnit val="400"/>
        <c:minorUnit val="100"/>
      </c:valAx>
      <c:spPr>
        <a:noFill/>
        <a:ln w="3175">
          <a:noFill/>
          <a:prstDash val="solid"/>
        </a:ln>
      </c:spPr>
    </c:plotArea>
    <c:legend>
      <c:legendPos val="b"/>
      <c:legendEntry>
        <c:idx val="0"/>
        <c:txPr>
          <a:bodyPr/>
          <a:lstStyle/>
          <a:p>
            <a:pPr>
              <a:defRPr sz="500" b="0" i="0" u="none" strike="noStrike" baseline="0">
                <a:solidFill>
                  <a:srgbClr val="000000"/>
                </a:solidFill>
                <a:latin typeface="Arial"/>
                <a:ea typeface="Arial"/>
                <a:cs typeface="Arial"/>
              </a:defRPr>
            </a:pPr>
            <a:endParaRPr lang="es-MX"/>
          </a:p>
        </c:txPr>
      </c:legendEntry>
      <c:legendEntry>
        <c:idx val="1"/>
        <c:txPr>
          <a:bodyPr/>
          <a:lstStyle/>
          <a:p>
            <a:pPr>
              <a:defRPr sz="500" b="0" i="0" u="none" strike="noStrike" baseline="0">
                <a:solidFill>
                  <a:srgbClr val="000000"/>
                </a:solidFill>
                <a:latin typeface="Arial"/>
                <a:ea typeface="Arial"/>
                <a:cs typeface="Arial"/>
              </a:defRPr>
            </a:pPr>
            <a:endParaRPr lang="es-MX"/>
          </a:p>
        </c:txPr>
      </c:legendEntry>
      <c:layout>
        <c:manualLayout>
          <c:xMode val="edge"/>
          <c:yMode val="edge"/>
          <c:x val="8.012639937724492E-3"/>
          <c:y val="0.94104303184509264"/>
          <c:w val="0.98556039960118069"/>
          <c:h val="4.9672325102880673E-2"/>
        </c:manualLayout>
      </c:layout>
      <c:overlay val="0"/>
      <c:spPr>
        <a:noFill/>
        <a:ln w="25400">
          <a:noFill/>
        </a:ln>
      </c:spPr>
      <c:txPr>
        <a:bodyPr/>
        <a:lstStyle/>
        <a:p>
          <a:pPr>
            <a:defRPr lang="es-MX" sz="500" b="0" i="0" u="none" strike="noStrike" baseline="0">
              <a:solidFill>
                <a:srgbClr val="000000"/>
              </a:solidFill>
              <a:latin typeface="Arial"/>
              <a:ea typeface="Arial"/>
              <a:cs typeface="Arial"/>
            </a:defRPr>
          </a:pPr>
          <a:endParaRPr lang="es-MX"/>
        </a:p>
      </c:txPr>
    </c:legend>
    <c:plotVisOnly val="1"/>
    <c:dispBlanksAs val="zero"/>
    <c:showDLblsOverMax val="0"/>
  </c:chart>
  <c:spPr>
    <a:noFill/>
    <a:ln w="3175">
      <a:solidFill>
        <a:schemeClr val="tx1"/>
      </a:solidFill>
      <a:prstDash val="solid"/>
    </a:ln>
    <a:effectLst/>
  </c:spPr>
  <c:txPr>
    <a:bodyPr/>
    <a:lstStyle/>
    <a:p>
      <a:pPr>
        <a:defRPr sz="2000" b="0" i="0" u="none" strike="noStrike" baseline="0">
          <a:solidFill>
            <a:srgbClr val="000000"/>
          </a:solidFill>
          <a:latin typeface="Arial"/>
          <a:ea typeface="Arial"/>
          <a:cs typeface="Arial"/>
        </a:defRPr>
      </a:pPr>
      <a:endParaRPr lang="es-MX"/>
    </a:p>
  </c:txPr>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2.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3.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4.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5.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6.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7.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8.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9.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10.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11.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drawings/drawing12.xml><?xml version="1.0" encoding="utf-8"?>
<c:userShapes xmlns:c="http://schemas.openxmlformats.org/drawingml/2006/chart">
  <cdr:relSizeAnchor xmlns:cdr="http://schemas.openxmlformats.org/drawingml/2006/chartDrawing">
    <cdr:from>
      <cdr:x>0.914</cdr:x>
      <cdr:y>0.87675</cdr:y>
    </cdr:from>
    <cdr:to>
      <cdr:x>0.935</cdr:x>
      <cdr:y>0.882</cdr:y>
    </cdr:to>
    <cdr:sp macro="" textlink="">
      <cdr:nvSpPr>
        <cdr:cNvPr id="11" name="Text Box 16"/>
        <cdr:cNvSpPr txBox="1">
          <a:spLocks xmlns:a="http://schemas.openxmlformats.org/drawingml/2006/main" noChangeArrowheads="1"/>
        </cdr:cNvSpPr>
      </cdr:nvSpPr>
      <cdr:spPr bwMode="auto">
        <a:xfrm xmlns:a="http://schemas.openxmlformats.org/drawingml/2006/main">
          <a:off x="7894034" y="5111001"/>
          <a:ext cx="630841" cy="427844"/>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0">
            <a:defRPr sz="1000"/>
          </a:pPr>
          <a:r>
            <a:rPr lang="es-MX" sz="1800" b="0" i="0" strike="noStrike">
              <a:solidFill>
                <a:srgbClr val="000000"/>
              </a:solidFill>
              <a:latin typeface="Arial"/>
              <a:cs typeface="Arial"/>
            </a:rPr>
            <a:t>2008</a:t>
          </a: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68D8128FBF1DCB4BB482DBB94943CBF1" ma:contentTypeVersion="4" ma:contentTypeDescription="Create a new document." ma:contentTypeScope="" ma:versionID="5dbb91214b65ddb1befca05659cde2de">
  <xsd:schema xmlns:xsd="http://www.w3.org/2001/XMLSchema" xmlns:xs="http://www.w3.org/2001/XMLSchema" xmlns:p="http://schemas.microsoft.com/office/2006/metadata/properties" xmlns:ns2="8d1394d2-d035-4f02-9e4e-321449527318" xmlns:ns3="ec0e31e1-6bce-4e36-ba83-434aaf6c7901" targetNamespace="http://schemas.microsoft.com/office/2006/metadata/properties" ma:root="true" ma:fieldsID="b4fcdd3674c30075db524b5f4645591a" ns2:_="" ns3:_="">
    <xsd:import namespace="8d1394d2-d035-4f02-9e4e-321449527318"/>
    <xsd:import namespace="ec0e31e1-6bce-4e36-ba83-434aaf6c790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1394d2-d035-4f02-9e4e-32144952731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c0e31e1-6bce-4e36-ba83-434aaf6c790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FB3E374-CACC-48A5-BD6D-93FBD05923D3}">
  <ds:schemaRefs>
    <ds:schemaRef ds:uri="http://schemas.microsoft.com/sharepoint/v3/contenttype/forms"/>
  </ds:schemaRefs>
</ds:datastoreItem>
</file>

<file path=customXml/itemProps2.xml><?xml version="1.0" encoding="utf-8"?>
<ds:datastoreItem xmlns:ds="http://schemas.openxmlformats.org/officeDocument/2006/customXml" ds:itemID="{0E3E55D2-7676-47A4-BA80-F00405F0231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ACD3164-D704-42E3-AE52-310A68C223A0}">
  <ds:schemaRefs>
    <ds:schemaRef ds:uri="http://schemas.openxmlformats.org/officeDocument/2006/bibliography"/>
  </ds:schemaRefs>
</ds:datastoreItem>
</file>

<file path=customXml/itemProps4.xml><?xml version="1.0" encoding="utf-8"?>
<ds:datastoreItem xmlns:ds="http://schemas.openxmlformats.org/officeDocument/2006/customXml" ds:itemID="{59F90312-0AB1-4EB8-80AB-6B5A5742AB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1394d2-d035-4f02-9e4e-321449527318"/>
    <ds:schemaRef ds:uri="ec0e31e1-6bce-4e36-ba83-434aaf6c79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bbalanza6</Template>
  <TotalTime>27</TotalTime>
  <Pages>10</Pages>
  <Words>2197</Words>
  <Characters>12087</Characters>
  <Application>Microsoft Office Word</Application>
  <DocSecurity>0</DocSecurity>
  <Lines>100</Lines>
  <Paragraphs>28</Paragraphs>
  <ScaleCrop>false</ScaleCrop>
  <HeadingPairs>
    <vt:vector size="2" baseType="variant">
      <vt:variant>
        <vt:lpstr>Título</vt:lpstr>
      </vt:variant>
      <vt:variant>
        <vt:i4>1</vt:i4>
      </vt:variant>
    </vt:vector>
  </HeadingPairs>
  <TitlesOfParts>
    <vt:vector size="1" baseType="lpstr">
      <vt:lpstr>COMUNICADO DE PRENSA. BALANZA COMERCIAL DE MERCANCIAS DE MEXICO</vt:lpstr>
    </vt:vector>
  </TitlesOfParts>
  <Company>INEGI</Company>
  <LinksUpToDate>false</LinksUpToDate>
  <CharactersWithSpaces>14256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BALANZA COMERCIAL DE MERCANCIAS DE MEXICO</dc:title>
  <dc:subject/>
  <dc:creator>INEGI</dc:creator>
  <cp:keywords>BALANZA SALDO EXPORTACIONES IMPORTACIONES</cp:keywords>
  <cp:lastModifiedBy>MORONES RUIZ FABIOLA CRISTINA</cp:lastModifiedBy>
  <cp:revision>4</cp:revision>
  <cp:lastPrinted>2023-05-24T05:30:00Z</cp:lastPrinted>
  <dcterms:created xsi:type="dcterms:W3CDTF">2023-08-25T16:54:00Z</dcterms:created>
  <dcterms:modified xsi:type="dcterms:W3CDTF">2023-08-25T18:54:00Z</dcterms:modified>
  <cp:category>ESTADÍSTICAS DE COMERCIO EXTERIOR</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09b1177c17ed41b942a91f942558961e83e52d0f06069b7b03727dd7f386e77c</vt:lpwstr>
  </property>
  <property fmtid="{D5CDD505-2E9C-101B-9397-08002B2CF9AE}" pid="3" name="ContentTypeId">
    <vt:lpwstr>0x01010068D8128FBF1DCB4BB482DBB94943CBF1</vt:lpwstr>
  </property>
</Properties>
</file>