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83569" w14:textId="5CFD28BF" w:rsidR="007D6278" w:rsidRPr="00B36866" w:rsidRDefault="007D6278" w:rsidP="007D6278">
      <w:pPr>
        <w:jc w:val="center"/>
        <w:rPr>
          <w:b/>
          <w:bCs/>
          <w:caps/>
          <w:szCs w:val="28"/>
          <w:lang w:val="es-MX"/>
        </w:rPr>
      </w:pPr>
      <w:r w:rsidRPr="00B36866">
        <w:rPr>
          <w:b/>
          <w:bCs/>
          <w:caps/>
          <w:szCs w:val="28"/>
          <w:lang w:val="es-MX"/>
        </w:rPr>
        <w:t>D</w:t>
      </w:r>
      <w:bookmarkStart w:id="0" w:name="_GoBack"/>
      <w:bookmarkEnd w:id="0"/>
      <w:r w:rsidRPr="00B36866">
        <w:rPr>
          <w:b/>
          <w:bCs/>
          <w:caps/>
          <w:szCs w:val="28"/>
          <w:lang w:val="es-MX"/>
        </w:rPr>
        <w:t xml:space="preserve">ESAGREGACIÓN SECTORIAL </w:t>
      </w:r>
    </w:p>
    <w:p w14:paraId="5D8BB03B" w14:textId="77777777" w:rsidR="00707617" w:rsidRPr="00B36866" w:rsidRDefault="007D6278" w:rsidP="007D6278">
      <w:pPr>
        <w:jc w:val="center"/>
        <w:rPr>
          <w:b/>
          <w:bCs/>
          <w:caps/>
          <w:szCs w:val="28"/>
          <w:lang w:val="es-MX"/>
        </w:rPr>
      </w:pPr>
      <w:r w:rsidRPr="00B36866">
        <w:rPr>
          <w:b/>
          <w:bCs/>
          <w:caps/>
          <w:szCs w:val="28"/>
          <w:lang w:val="es-MX"/>
        </w:rPr>
        <w:t>DEL INDICADOR OPORTUNO DE LA ACTIVIDAD ECONÓMICA</w:t>
      </w:r>
    </w:p>
    <w:p w14:paraId="5615D496" w14:textId="3A82D299" w:rsidR="007D6278" w:rsidRPr="00B36866" w:rsidRDefault="0082579C" w:rsidP="007D6278">
      <w:pPr>
        <w:jc w:val="center"/>
        <w:rPr>
          <w:b/>
          <w:bCs/>
          <w:caps/>
          <w:szCs w:val="28"/>
          <w:lang w:val="es-MX"/>
        </w:rPr>
      </w:pPr>
      <w:r w:rsidRPr="00B36866">
        <w:rPr>
          <w:b/>
          <w:bCs/>
          <w:caps/>
          <w:szCs w:val="28"/>
          <w:lang w:val="es-MX"/>
        </w:rPr>
        <w:t>marzo</w:t>
      </w:r>
      <w:r w:rsidR="00CE3C7B" w:rsidRPr="00B36866">
        <w:rPr>
          <w:b/>
          <w:bCs/>
          <w:caps/>
          <w:szCs w:val="28"/>
          <w:lang w:val="es-MX"/>
        </w:rPr>
        <w:t xml:space="preserve"> de 202</w:t>
      </w:r>
      <w:r w:rsidR="00A57CDD" w:rsidRPr="00B36866">
        <w:rPr>
          <w:b/>
          <w:bCs/>
          <w:caps/>
          <w:szCs w:val="28"/>
          <w:lang w:val="es-MX"/>
        </w:rPr>
        <w:t>3</w:t>
      </w:r>
      <w:r w:rsidR="00CE3C7B" w:rsidRPr="00B36866">
        <w:rPr>
          <w:b/>
          <w:bCs/>
          <w:caps/>
          <w:szCs w:val="28"/>
          <w:lang w:val="es-MX"/>
        </w:rPr>
        <w:t xml:space="preserve"> </w:t>
      </w:r>
    </w:p>
    <w:p w14:paraId="0BDF2CE4" w14:textId="68068297" w:rsidR="00A10AD7" w:rsidRPr="006F2FBA" w:rsidRDefault="00036E61" w:rsidP="0091589C">
      <w:pPr>
        <w:pStyle w:val="bullet"/>
        <w:keepLines w:val="0"/>
        <w:spacing w:after="0"/>
        <w:ind w:left="0" w:right="51" w:firstLine="0"/>
        <w:mirrorIndents/>
        <w:rPr>
          <w:b w:val="0"/>
          <w:color w:val="auto"/>
          <w:spacing w:val="0"/>
          <w:szCs w:val="24"/>
        </w:rPr>
      </w:pPr>
      <w:r w:rsidRPr="006F2FBA">
        <w:rPr>
          <w:b w:val="0"/>
          <w:color w:val="auto"/>
          <w:spacing w:val="0"/>
          <w:szCs w:val="24"/>
        </w:rPr>
        <w:t>Para marzo de 2023, los resultados de la Desagregación Sectorial del Indicador Oportuno de la Actividad Económica (IOAE) anticipan una recuperación heterogénea de la economía mexicana en términos de niveles de actividad y empleo, respecto a los niveles que se presentaron en marzo del año anterior.</w:t>
      </w:r>
      <w:r w:rsidR="00A10AD7" w:rsidRPr="006F2FBA">
        <w:rPr>
          <w:b w:val="0"/>
          <w:color w:val="auto"/>
          <w:spacing w:val="0"/>
          <w:szCs w:val="24"/>
        </w:rPr>
        <w:t xml:space="preserve"> </w:t>
      </w:r>
    </w:p>
    <w:p w14:paraId="2AD5880D" w14:textId="77777777" w:rsidR="0091589C" w:rsidRDefault="0091589C" w:rsidP="00B36866">
      <w:pPr>
        <w:jc w:val="center"/>
        <w:rPr>
          <w:b/>
          <w:bCs/>
          <w:smallCaps/>
          <w:sz w:val="22"/>
          <w:szCs w:val="22"/>
        </w:rPr>
      </w:pPr>
    </w:p>
    <w:p w14:paraId="1F8910CC" w14:textId="720AFE95" w:rsidR="00B36866" w:rsidRPr="009B1B1B" w:rsidRDefault="00B36866" w:rsidP="00B36866">
      <w:pPr>
        <w:jc w:val="center"/>
        <w:rPr>
          <w:b/>
          <w:bCs/>
          <w:smallCaps/>
          <w:sz w:val="22"/>
          <w:szCs w:val="22"/>
        </w:rPr>
      </w:pPr>
      <w:r w:rsidRPr="009B1B1B">
        <w:rPr>
          <w:b/>
          <w:bCs/>
          <w:smallCaps/>
          <w:sz w:val="22"/>
          <w:szCs w:val="22"/>
        </w:rPr>
        <w:t xml:space="preserve">Variaciones estimadas </w:t>
      </w:r>
      <w:r w:rsidRPr="009D0C20">
        <w:rPr>
          <w:b/>
          <w:bCs/>
          <w:smallCaps/>
          <w:sz w:val="22"/>
          <w:szCs w:val="22"/>
        </w:rPr>
        <w:t>de la desagregación sectorial del IOAE</w:t>
      </w:r>
    </w:p>
    <w:p w14:paraId="685622C5" w14:textId="77777777" w:rsidR="00B36866" w:rsidRPr="009B1B1B" w:rsidRDefault="00B36866" w:rsidP="00B36866">
      <w:pPr>
        <w:jc w:val="center"/>
        <w:rPr>
          <w:b/>
          <w:bCs/>
          <w:smallCaps/>
          <w:sz w:val="22"/>
          <w:szCs w:val="22"/>
        </w:rPr>
      </w:pPr>
      <w:r>
        <w:rPr>
          <w:b/>
          <w:bCs/>
          <w:smallCaps/>
          <w:sz w:val="22"/>
          <w:szCs w:val="22"/>
        </w:rPr>
        <w:t>v</w:t>
      </w:r>
      <w:r w:rsidRPr="009B1B1B">
        <w:rPr>
          <w:b/>
          <w:bCs/>
          <w:smallCaps/>
          <w:sz w:val="22"/>
          <w:szCs w:val="22"/>
        </w:rPr>
        <w:t>einte actividades con mayor cambio porcentual</w:t>
      </w:r>
    </w:p>
    <w:p w14:paraId="4B80D667" w14:textId="77777777" w:rsidR="00B36866" w:rsidRPr="00A57CDD" w:rsidRDefault="00B36866" w:rsidP="00B36866">
      <w:pPr>
        <w:jc w:val="center"/>
        <w:rPr>
          <w:b/>
          <w:bCs/>
          <w:sz w:val="20"/>
          <w:szCs w:val="20"/>
        </w:rPr>
      </w:pPr>
      <w:r w:rsidRPr="00A57CDD">
        <w:rPr>
          <w:b/>
          <w:bCs/>
          <w:smallCaps/>
          <w:sz w:val="20"/>
          <w:szCs w:val="20"/>
        </w:rPr>
        <w:t>marzo 2022 – marzo 2023</w:t>
      </w:r>
    </w:p>
    <w:p w14:paraId="28AE0A68" w14:textId="77777777" w:rsidR="00B36866" w:rsidRDefault="00B36866" w:rsidP="00B36866">
      <w:pPr>
        <w:spacing w:after="40"/>
        <w:jc w:val="center"/>
      </w:pPr>
      <w:r>
        <w:rPr>
          <w:noProof/>
        </w:rPr>
        <w:drawing>
          <wp:inline distT="0" distB="0" distL="0" distR="0" wp14:anchorId="352A1868" wp14:editId="2AF71F14">
            <wp:extent cx="5400000" cy="2291601"/>
            <wp:effectExtent l="0" t="0" r="0" b="0"/>
            <wp:docPr id="3"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35512" name="Imagen 465335512" descr="Gráfico, Gráfico de barras&#10;&#10;Descripción generada automáticamente"/>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00000" cy="2291601"/>
                    </a:xfrm>
                    <a:prstGeom prst="rect">
                      <a:avLst/>
                    </a:prstGeom>
                    <a:noFill/>
                  </pic:spPr>
                </pic:pic>
              </a:graphicData>
            </a:graphic>
          </wp:inline>
        </w:drawing>
      </w:r>
    </w:p>
    <w:p w14:paraId="37D1FB38" w14:textId="77777777" w:rsidR="00B36866" w:rsidRDefault="00B36866" w:rsidP="00B36866">
      <w:pPr>
        <w:jc w:val="center"/>
      </w:pPr>
      <w:r w:rsidRPr="00863C85">
        <w:rPr>
          <w:noProof/>
        </w:rPr>
        <w:drawing>
          <wp:inline distT="0" distB="0" distL="0" distR="0" wp14:anchorId="65701F2D" wp14:editId="1968E42E">
            <wp:extent cx="5400000" cy="1672744"/>
            <wp:effectExtent l="0" t="0" r="0" b="3810"/>
            <wp:docPr id="4" name="Imagen 4">
              <a:extLst xmlns:a="http://schemas.openxmlformats.org/drawingml/2006/main">
                <a:ext uri="{FF2B5EF4-FFF2-40B4-BE49-F238E27FC236}">
                  <a16:creationId xmlns:a16="http://schemas.microsoft.com/office/drawing/2014/main" id="{6E1A70CB-A84E-704A-89F7-7310B4E583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E1A70CB-A84E-704A-89F7-7310B4E583EE}"/>
                        </a:ext>
                      </a:extLst>
                    </pic:cNvPr>
                    <pic:cNvPicPr>
                      <a:picLocks noChangeAspect="1"/>
                    </pic:cNvPicPr>
                  </pic:nvPicPr>
                  <pic:blipFill>
                    <a:blip r:embed="rId9"/>
                    <a:stretch>
                      <a:fillRect/>
                    </a:stretch>
                  </pic:blipFill>
                  <pic:spPr>
                    <a:xfrm>
                      <a:off x="0" y="0"/>
                      <a:ext cx="5400000" cy="1672744"/>
                    </a:xfrm>
                    <a:prstGeom prst="rect">
                      <a:avLst/>
                    </a:prstGeom>
                  </pic:spPr>
                </pic:pic>
              </a:graphicData>
            </a:graphic>
          </wp:inline>
        </w:drawing>
      </w:r>
    </w:p>
    <w:p w14:paraId="0D9F591B" w14:textId="77777777" w:rsidR="00B36866" w:rsidRPr="00321DE4" w:rsidRDefault="00B36866" w:rsidP="00B36866">
      <w:pPr>
        <w:ind w:firstLine="567"/>
        <w:rPr>
          <w:sz w:val="16"/>
          <w:szCs w:val="16"/>
        </w:rPr>
      </w:pPr>
      <w:r w:rsidRPr="00321DE4">
        <w:rPr>
          <w:sz w:val="16"/>
          <w:szCs w:val="16"/>
        </w:rPr>
        <w:t>Fuente:</w:t>
      </w:r>
      <w:r>
        <w:rPr>
          <w:sz w:val="16"/>
          <w:szCs w:val="16"/>
        </w:rPr>
        <w:t xml:space="preserve"> INEGI</w:t>
      </w:r>
    </w:p>
    <w:p w14:paraId="3BEA961B" w14:textId="318D50C4" w:rsidR="008250DB" w:rsidRDefault="008250DB" w:rsidP="008250DB">
      <w:pPr>
        <w:pStyle w:val="bullet"/>
        <w:keepLines w:val="0"/>
        <w:tabs>
          <w:tab w:val="left" w:pos="5715"/>
        </w:tabs>
        <w:spacing w:after="0"/>
        <w:ind w:left="0" w:right="51" w:firstLine="0"/>
        <w:mirrorIndents/>
        <w:rPr>
          <w:b w:val="0"/>
          <w:color w:val="auto"/>
          <w:spacing w:val="0"/>
          <w:szCs w:val="24"/>
        </w:rPr>
      </w:pPr>
      <w:r>
        <w:rPr>
          <w:b w:val="0"/>
          <w:color w:val="auto"/>
          <w:spacing w:val="0"/>
          <w:szCs w:val="24"/>
        </w:rPr>
        <w:tab/>
      </w:r>
    </w:p>
    <w:p w14:paraId="40F4D6BF" w14:textId="3F124B96" w:rsidR="00A10AD7" w:rsidRDefault="00036E61" w:rsidP="0091589C">
      <w:pPr>
        <w:pStyle w:val="bullet"/>
        <w:keepLines w:val="0"/>
        <w:spacing w:after="0"/>
        <w:ind w:left="0" w:right="51" w:firstLine="0"/>
        <w:mirrorIndents/>
        <w:rPr>
          <w:b w:val="0"/>
          <w:color w:val="auto"/>
          <w:spacing w:val="0"/>
          <w:szCs w:val="24"/>
        </w:rPr>
      </w:pPr>
      <w:r w:rsidRPr="006F2FBA">
        <w:rPr>
          <w:b w:val="0"/>
          <w:color w:val="auto"/>
          <w:spacing w:val="0"/>
          <w:szCs w:val="24"/>
        </w:rPr>
        <w:t>En el mes de referencia, se estima un aumento de 926</w:t>
      </w:r>
      <w:r w:rsidR="00AD1063" w:rsidRPr="006F2FBA">
        <w:rPr>
          <w:b w:val="0"/>
          <w:color w:val="auto"/>
          <w:spacing w:val="0"/>
          <w:szCs w:val="24"/>
        </w:rPr>
        <w:t> </w:t>
      </w:r>
      <w:r w:rsidRPr="006F2FBA">
        <w:rPr>
          <w:b w:val="0"/>
          <w:color w:val="auto"/>
          <w:spacing w:val="0"/>
          <w:szCs w:val="24"/>
        </w:rPr>
        <w:t>21</w:t>
      </w:r>
      <w:r w:rsidR="00C639E4" w:rsidRPr="006F2FBA">
        <w:rPr>
          <w:b w:val="0"/>
          <w:color w:val="auto"/>
          <w:spacing w:val="0"/>
          <w:szCs w:val="24"/>
        </w:rPr>
        <w:t>2</w:t>
      </w:r>
      <w:r w:rsidRPr="006F2FBA">
        <w:rPr>
          <w:b w:val="0"/>
          <w:color w:val="auto"/>
          <w:spacing w:val="0"/>
          <w:szCs w:val="24"/>
        </w:rPr>
        <w:t xml:space="preserve"> empleos formales a nivel nacional con respecto a marzo de 2022. Este incremento se concentró en actividades secundarias y terciarias.</w:t>
      </w:r>
    </w:p>
    <w:p w14:paraId="1A58C0F5" w14:textId="77777777" w:rsidR="008250DB" w:rsidRDefault="008250DB" w:rsidP="008250DB">
      <w:pPr>
        <w:spacing w:before="240" w:after="120"/>
        <w:rPr>
          <w:b/>
          <w:smallCaps/>
        </w:rPr>
      </w:pPr>
    </w:p>
    <w:p w14:paraId="4B13E105" w14:textId="64AF20E0" w:rsidR="008250DB" w:rsidRPr="008E3CBF" w:rsidRDefault="008250DB" w:rsidP="008250DB">
      <w:pPr>
        <w:spacing w:before="240" w:after="120"/>
        <w:rPr>
          <w:b/>
          <w:smallCaps/>
        </w:rPr>
      </w:pPr>
      <w:r w:rsidRPr="008E3CBF">
        <w:rPr>
          <w:b/>
          <w:smallCaps/>
        </w:rPr>
        <w:lastRenderedPageBreak/>
        <w:t>Nota al usu</w:t>
      </w:r>
      <w:r>
        <w:rPr>
          <w:b/>
          <w:smallCaps/>
        </w:rPr>
        <w:t>a</w:t>
      </w:r>
      <w:r w:rsidRPr="008E3CBF">
        <w:rPr>
          <w:b/>
          <w:smallCaps/>
        </w:rPr>
        <w:t>rio</w:t>
      </w:r>
    </w:p>
    <w:p w14:paraId="54AC4FE9" w14:textId="77777777" w:rsidR="008250DB" w:rsidRPr="00A57CDD" w:rsidRDefault="008250DB" w:rsidP="008250DB">
      <w:pPr>
        <w:pStyle w:val="bullet"/>
        <w:keepLines w:val="0"/>
        <w:spacing w:after="0"/>
        <w:ind w:left="0" w:right="49" w:firstLine="0"/>
        <w:mirrorIndents/>
        <w:rPr>
          <w:b w:val="0"/>
          <w:color w:val="auto"/>
          <w:spacing w:val="0"/>
          <w:szCs w:val="24"/>
        </w:rPr>
      </w:pPr>
      <w:r w:rsidRPr="00A57CDD">
        <w:rPr>
          <w:b w:val="0"/>
          <w:color w:val="auto"/>
          <w:spacing w:val="0"/>
          <w:szCs w:val="24"/>
        </w:rPr>
        <w:t xml:space="preserve">La </w:t>
      </w:r>
      <w:r w:rsidRPr="00AD1063">
        <w:rPr>
          <w:b w:val="0"/>
          <w:color w:val="auto"/>
          <w:szCs w:val="24"/>
        </w:rPr>
        <w:t xml:space="preserve">Desagregación Sectorial </w:t>
      </w:r>
      <w:r w:rsidRPr="00A57CDD">
        <w:rPr>
          <w:b w:val="0"/>
          <w:color w:val="auto"/>
          <w:spacing w:val="0"/>
          <w:szCs w:val="24"/>
        </w:rPr>
        <w:t xml:space="preserve">del </w:t>
      </w:r>
      <w:r>
        <w:rPr>
          <w:b w:val="0"/>
          <w:color w:val="auto"/>
          <w:spacing w:val="0"/>
          <w:szCs w:val="24"/>
        </w:rPr>
        <w:t xml:space="preserve">IOAE </w:t>
      </w:r>
      <w:r w:rsidRPr="00A57CDD">
        <w:rPr>
          <w:b w:val="0"/>
          <w:color w:val="auto"/>
          <w:spacing w:val="0"/>
          <w:szCs w:val="24"/>
        </w:rPr>
        <w:t xml:space="preserve">se desarrolló como una respuesta a las necesidades de información derivadas de la coyuntura que generó la pandemia </w:t>
      </w:r>
      <w:r>
        <w:rPr>
          <w:b w:val="0"/>
          <w:color w:val="auto"/>
          <w:spacing w:val="0"/>
          <w:szCs w:val="24"/>
        </w:rPr>
        <w:t>por</w:t>
      </w:r>
      <w:r w:rsidRPr="00A57CDD">
        <w:rPr>
          <w:b w:val="0"/>
          <w:color w:val="auto"/>
          <w:spacing w:val="0"/>
          <w:szCs w:val="24"/>
        </w:rPr>
        <w:t xml:space="preserve"> la Covid-19</w:t>
      </w:r>
      <w:r>
        <w:rPr>
          <w:b w:val="0"/>
          <w:color w:val="auto"/>
          <w:spacing w:val="0"/>
          <w:szCs w:val="24"/>
        </w:rPr>
        <w:t xml:space="preserve">. Su propósito principal fue </w:t>
      </w:r>
      <w:r w:rsidRPr="00A57CDD">
        <w:rPr>
          <w:b w:val="0"/>
          <w:color w:val="auto"/>
          <w:spacing w:val="0"/>
          <w:szCs w:val="24"/>
        </w:rPr>
        <w:t xml:space="preserve">reducir la incertidumbre </w:t>
      </w:r>
      <w:r>
        <w:rPr>
          <w:b w:val="0"/>
          <w:color w:val="auto"/>
          <w:spacing w:val="0"/>
          <w:szCs w:val="24"/>
        </w:rPr>
        <w:t xml:space="preserve">en torno a los </w:t>
      </w:r>
      <w:r w:rsidRPr="00A57CDD">
        <w:rPr>
          <w:b w:val="0"/>
          <w:color w:val="auto"/>
          <w:spacing w:val="0"/>
          <w:szCs w:val="24"/>
        </w:rPr>
        <w:t>impactos económicos y sociales</w:t>
      </w:r>
      <w:r>
        <w:rPr>
          <w:b w:val="0"/>
          <w:color w:val="auto"/>
          <w:spacing w:val="0"/>
          <w:szCs w:val="24"/>
        </w:rPr>
        <w:t xml:space="preserve"> que se suscitaron</w:t>
      </w:r>
      <w:r w:rsidRPr="00A57CDD">
        <w:rPr>
          <w:b w:val="0"/>
          <w:color w:val="auto"/>
          <w:spacing w:val="0"/>
          <w:szCs w:val="24"/>
        </w:rPr>
        <w:t xml:space="preserve">. Una vez superada dicha coyuntura, la generación de información económica desagregada puede continuar atendiéndose por las vías tradicionales, por lo que </w:t>
      </w:r>
      <w:r>
        <w:rPr>
          <w:b w:val="0"/>
          <w:color w:val="auto"/>
          <w:spacing w:val="0"/>
          <w:szCs w:val="24"/>
        </w:rPr>
        <w:t xml:space="preserve">los indicadores de este comunicado </w:t>
      </w:r>
      <w:r w:rsidRPr="00A57CDD">
        <w:rPr>
          <w:b w:val="0"/>
          <w:color w:val="auto"/>
          <w:spacing w:val="0"/>
          <w:szCs w:val="24"/>
        </w:rPr>
        <w:t>se deja</w:t>
      </w:r>
      <w:r>
        <w:rPr>
          <w:b w:val="0"/>
          <w:color w:val="auto"/>
          <w:spacing w:val="0"/>
          <w:szCs w:val="24"/>
        </w:rPr>
        <w:t>rá</w:t>
      </w:r>
      <w:r w:rsidRPr="00A57CDD">
        <w:rPr>
          <w:b w:val="0"/>
          <w:color w:val="auto"/>
          <w:spacing w:val="0"/>
          <w:szCs w:val="24"/>
        </w:rPr>
        <w:t>n de publicar</w:t>
      </w:r>
      <w:r>
        <w:rPr>
          <w:b w:val="0"/>
          <w:color w:val="auto"/>
          <w:spacing w:val="0"/>
          <w:szCs w:val="24"/>
        </w:rPr>
        <w:t>,</w:t>
      </w:r>
      <w:r w:rsidRPr="00A57CDD">
        <w:rPr>
          <w:b w:val="0"/>
          <w:color w:val="auto"/>
          <w:spacing w:val="0"/>
          <w:szCs w:val="24"/>
        </w:rPr>
        <w:t xml:space="preserve"> toda vez que han cumplido su ciclo.</w:t>
      </w:r>
    </w:p>
    <w:p w14:paraId="00E82911" w14:textId="71828857" w:rsidR="008250DB" w:rsidRDefault="008250DB" w:rsidP="0091589C">
      <w:pPr>
        <w:pStyle w:val="bullet"/>
        <w:keepLines w:val="0"/>
        <w:spacing w:after="0"/>
        <w:ind w:left="0" w:right="51" w:firstLine="0"/>
        <w:mirrorIndents/>
        <w:rPr>
          <w:b w:val="0"/>
          <w:color w:val="auto"/>
          <w:spacing w:val="0"/>
          <w:szCs w:val="24"/>
        </w:rPr>
      </w:pPr>
    </w:p>
    <w:p w14:paraId="37B5649F" w14:textId="77777777" w:rsidR="008250DB" w:rsidRDefault="008250DB" w:rsidP="0091589C">
      <w:pPr>
        <w:pStyle w:val="bullet"/>
        <w:keepLines w:val="0"/>
        <w:spacing w:after="0"/>
        <w:ind w:left="0" w:right="51" w:firstLine="0"/>
        <w:mirrorIndents/>
        <w:rPr>
          <w:b w:val="0"/>
          <w:color w:val="auto"/>
          <w:spacing w:val="0"/>
          <w:szCs w:val="24"/>
        </w:rPr>
      </w:pPr>
    </w:p>
    <w:p w14:paraId="66439017" w14:textId="77777777" w:rsidR="008250DB" w:rsidRPr="006F2FBA" w:rsidRDefault="008250DB" w:rsidP="0091589C">
      <w:pPr>
        <w:pStyle w:val="bullet"/>
        <w:keepLines w:val="0"/>
        <w:spacing w:after="0"/>
        <w:ind w:left="0" w:right="51" w:firstLine="0"/>
        <w:mirrorIndents/>
        <w:rPr>
          <w:b w:val="0"/>
          <w:color w:val="auto"/>
          <w:spacing w:val="0"/>
          <w:szCs w:val="24"/>
        </w:rPr>
      </w:pPr>
    </w:p>
    <w:p w14:paraId="10AD63A0" w14:textId="77777777" w:rsidR="00B36866" w:rsidRPr="00AD7286" w:rsidRDefault="00B36866" w:rsidP="00B36866">
      <w:pPr>
        <w:pStyle w:val="NormalWeb"/>
        <w:ind w:left="-426" w:right="-518"/>
        <w:contextualSpacing/>
        <w:jc w:val="center"/>
        <w:rPr>
          <w:rFonts w:ascii="Arial" w:hAnsi="Arial" w:cs="Arial"/>
          <w:sz w:val="22"/>
          <w:szCs w:val="22"/>
          <w:lang w:val="es-ES_tradnl"/>
        </w:rPr>
      </w:pPr>
      <w:bookmarkStart w:id="1" w:name="_Hlk130314392"/>
      <w:bookmarkStart w:id="2" w:name="_Hlk129363026"/>
      <w:bookmarkStart w:id="3" w:name="_Hlk128411818"/>
      <w:r w:rsidRPr="00AD7286">
        <w:rPr>
          <w:rFonts w:ascii="Arial" w:hAnsi="Arial" w:cs="Arial"/>
          <w:sz w:val="22"/>
          <w:szCs w:val="22"/>
          <w:lang w:val="es-ES_tradnl"/>
        </w:rPr>
        <w:t xml:space="preserve">Para consultas de medios y periodistas, escribir a: </w:t>
      </w:r>
      <w:hyperlink r:id="rId10" w:history="1">
        <w:r w:rsidRPr="0007086C">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66D3A952" w14:textId="77777777" w:rsidR="00B36866" w:rsidRDefault="00B36866" w:rsidP="00B36866">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61139178" w14:textId="77777777" w:rsidR="00B36866" w:rsidRPr="0091589C" w:rsidRDefault="00B36866" w:rsidP="00B36866">
      <w:pPr>
        <w:pStyle w:val="NormalWeb"/>
        <w:spacing w:before="0" w:beforeAutospacing="0" w:after="0" w:afterAutospacing="0"/>
        <w:ind w:left="-426" w:right="-518"/>
        <w:contextualSpacing/>
        <w:jc w:val="center"/>
        <w:rPr>
          <w:rFonts w:ascii="Arial" w:hAnsi="Arial" w:cs="Arial"/>
          <w:sz w:val="12"/>
          <w:szCs w:val="12"/>
        </w:rPr>
      </w:pPr>
    </w:p>
    <w:p w14:paraId="46C08AE6" w14:textId="374A87CB" w:rsidR="00B36866" w:rsidRDefault="00B36866" w:rsidP="00B36866">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41483726" w14:textId="77777777" w:rsidR="0091589C" w:rsidRDefault="0091589C" w:rsidP="00B36866">
      <w:pPr>
        <w:pStyle w:val="NormalWeb"/>
        <w:spacing w:before="0" w:beforeAutospacing="0" w:after="0" w:afterAutospacing="0"/>
        <w:ind w:left="-426" w:right="-518"/>
        <w:contextualSpacing/>
        <w:jc w:val="center"/>
        <w:rPr>
          <w:rFonts w:ascii="Arial" w:hAnsi="Arial" w:cs="Arial"/>
          <w:sz w:val="22"/>
          <w:szCs w:val="22"/>
        </w:rPr>
      </w:pPr>
    </w:p>
    <w:bookmarkEnd w:id="1"/>
    <w:p w14:paraId="24FF8352" w14:textId="21925ED9" w:rsidR="004E5E4A" w:rsidRDefault="00B36866" w:rsidP="0091589C">
      <w:pPr>
        <w:pStyle w:val="bullet"/>
        <w:keepLines w:val="0"/>
        <w:spacing w:before="60" w:after="0"/>
        <w:ind w:left="1559" w:right="1134" w:firstLine="0"/>
        <w:mirrorIndents/>
        <w:jc w:val="center"/>
        <w:rPr>
          <w:sz w:val="22"/>
          <w:szCs w:val="22"/>
        </w:rPr>
        <w:sectPr w:rsidR="004E5E4A" w:rsidSect="008250DB">
          <w:headerReference w:type="default" r:id="rId11"/>
          <w:footerReference w:type="default" r:id="rId12"/>
          <w:pgSz w:w="12242" w:h="15842" w:code="1"/>
          <w:pgMar w:top="2694" w:right="1418" w:bottom="1134" w:left="1134" w:header="567" w:footer="567" w:gutter="0"/>
          <w:paperSrc w:first="7" w:other="7"/>
          <w:pgNumType w:start="1"/>
          <w:cols w:space="720"/>
          <w:docGrid w:linePitch="360"/>
        </w:sectPr>
      </w:pPr>
      <w:r>
        <w:rPr>
          <w:rFonts w:ascii="Calibri" w:hAnsi="Calibri" w:cs="Calibri"/>
          <w:b w:val="0"/>
          <w:bCs/>
          <w:noProof/>
          <w:sz w:val="18"/>
          <w:szCs w:val="18"/>
        </w:rPr>
        <w:drawing>
          <wp:inline distT="0" distB="0" distL="0" distR="0" wp14:anchorId="4802E6AE" wp14:editId="32588504">
            <wp:extent cx="3038475" cy="276225"/>
            <wp:effectExtent l="0" t="0" r="9525" b="9525"/>
            <wp:docPr id="6" name="img_logo_inegiInforma_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_inegiInforma_d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276225"/>
                    </a:xfrm>
                    <a:prstGeom prst="rect">
                      <a:avLst/>
                    </a:prstGeom>
                    <a:noFill/>
                    <a:ln>
                      <a:noFill/>
                    </a:ln>
                  </pic:spPr>
                </pic:pic>
              </a:graphicData>
            </a:graphic>
          </wp:inline>
        </w:drawing>
      </w:r>
      <w:bookmarkEnd w:id="2"/>
      <w:bookmarkEnd w:id="3"/>
    </w:p>
    <w:p w14:paraId="4D824245" w14:textId="77777777" w:rsidR="008250DB" w:rsidRDefault="008250DB" w:rsidP="00B36866">
      <w:pPr>
        <w:jc w:val="center"/>
        <w:rPr>
          <w:rFonts w:cs="Times New Roman"/>
          <w:b/>
          <w:spacing w:val="10"/>
          <w:lang w:val="es-MX"/>
        </w:rPr>
      </w:pPr>
    </w:p>
    <w:p w14:paraId="29B4514C" w14:textId="77777777" w:rsidR="008250DB" w:rsidRDefault="008250DB" w:rsidP="00B36866">
      <w:pPr>
        <w:jc w:val="center"/>
        <w:rPr>
          <w:rFonts w:cs="Times New Roman"/>
          <w:b/>
          <w:spacing w:val="10"/>
          <w:lang w:val="es-MX"/>
        </w:rPr>
      </w:pPr>
    </w:p>
    <w:p w14:paraId="54E882A9" w14:textId="77777777" w:rsidR="008250DB" w:rsidRDefault="008250DB" w:rsidP="00B36866">
      <w:pPr>
        <w:jc w:val="center"/>
        <w:rPr>
          <w:rFonts w:cs="Times New Roman"/>
          <w:b/>
          <w:spacing w:val="10"/>
          <w:lang w:val="es-MX"/>
        </w:rPr>
      </w:pPr>
    </w:p>
    <w:p w14:paraId="7632578C" w14:textId="77777777" w:rsidR="008250DB" w:rsidRDefault="008250DB" w:rsidP="00B36866">
      <w:pPr>
        <w:jc w:val="center"/>
        <w:rPr>
          <w:rFonts w:cs="Times New Roman"/>
          <w:b/>
          <w:spacing w:val="10"/>
          <w:lang w:val="es-MX"/>
        </w:rPr>
      </w:pPr>
    </w:p>
    <w:p w14:paraId="6253B698" w14:textId="77777777" w:rsidR="008250DB" w:rsidRDefault="008250DB" w:rsidP="00B36866">
      <w:pPr>
        <w:jc w:val="center"/>
        <w:rPr>
          <w:rFonts w:cs="Times New Roman"/>
          <w:b/>
          <w:spacing w:val="10"/>
          <w:lang w:val="es-MX"/>
        </w:rPr>
      </w:pPr>
    </w:p>
    <w:p w14:paraId="0C29922F" w14:textId="77777777" w:rsidR="008250DB" w:rsidRDefault="008250DB" w:rsidP="00B36866">
      <w:pPr>
        <w:jc w:val="center"/>
        <w:rPr>
          <w:rFonts w:cs="Times New Roman"/>
          <w:b/>
          <w:spacing w:val="10"/>
          <w:lang w:val="es-MX"/>
        </w:rPr>
      </w:pPr>
    </w:p>
    <w:p w14:paraId="0D1A61F0" w14:textId="77777777" w:rsidR="008250DB" w:rsidRDefault="008250DB" w:rsidP="00B36866">
      <w:pPr>
        <w:jc w:val="center"/>
        <w:rPr>
          <w:rFonts w:cs="Times New Roman"/>
          <w:b/>
          <w:spacing w:val="10"/>
          <w:lang w:val="es-MX"/>
        </w:rPr>
      </w:pPr>
    </w:p>
    <w:p w14:paraId="58DBC57D" w14:textId="77777777" w:rsidR="008250DB" w:rsidRDefault="008250DB" w:rsidP="00B36866">
      <w:pPr>
        <w:jc w:val="center"/>
        <w:rPr>
          <w:rFonts w:cs="Times New Roman"/>
          <w:b/>
          <w:spacing w:val="10"/>
          <w:lang w:val="es-MX"/>
        </w:rPr>
      </w:pPr>
    </w:p>
    <w:p w14:paraId="25309C7C" w14:textId="77777777" w:rsidR="008250DB" w:rsidRDefault="008250DB" w:rsidP="00B36866">
      <w:pPr>
        <w:jc w:val="center"/>
        <w:rPr>
          <w:rFonts w:cs="Times New Roman"/>
          <w:b/>
          <w:spacing w:val="10"/>
          <w:lang w:val="es-MX"/>
        </w:rPr>
      </w:pPr>
    </w:p>
    <w:p w14:paraId="18029923" w14:textId="77777777" w:rsidR="008250DB" w:rsidRDefault="008250DB" w:rsidP="00B36866">
      <w:pPr>
        <w:jc w:val="center"/>
        <w:rPr>
          <w:rFonts w:cs="Times New Roman"/>
          <w:b/>
          <w:spacing w:val="10"/>
          <w:lang w:val="es-MX"/>
        </w:rPr>
      </w:pPr>
    </w:p>
    <w:p w14:paraId="087E1DB7" w14:textId="77777777" w:rsidR="008250DB" w:rsidRDefault="008250DB" w:rsidP="00B36866">
      <w:pPr>
        <w:jc w:val="center"/>
        <w:rPr>
          <w:rFonts w:cs="Times New Roman"/>
          <w:b/>
          <w:spacing w:val="10"/>
          <w:lang w:val="es-MX"/>
        </w:rPr>
      </w:pPr>
    </w:p>
    <w:p w14:paraId="57454B3E" w14:textId="77777777" w:rsidR="008250DB" w:rsidRDefault="008250DB" w:rsidP="00B36866">
      <w:pPr>
        <w:jc w:val="center"/>
        <w:rPr>
          <w:rFonts w:cs="Times New Roman"/>
          <w:b/>
          <w:spacing w:val="10"/>
          <w:lang w:val="es-MX"/>
        </w:rPr>
      </w:pPr>
    </w:p>
    <w:p w14:paraId="610218E6" w14:textId="77777777" w:rsidR="008250DB" w:rsidRDefault="008250DB" w:rsidP="00B36866">
      <w:pPr>
        <w:jc w:val="center"/>
        <w:rPr>
          <w:rFonts w:cs="Times New Roman"/>
          <w:b/>
          <w:spacing w:val="10"/>
          <w:lang w:val="es-MX"/>
        </w:rPr>
      </w:pPr>
    </w:p>
    <w:p w14:paraId="242745E5" w14:textId="77777777" w:rsidR="008250DB" w:rsidRDefault="008250DB" w:rsidP="00B36866">
      <w:pPr>
        <w:jc w:val="center"/>
        <w:rPr>
          <w:rFonts w:cs="Times New Roman"/>
          <w:b/>
          <w:spacing w:val="10"/>
          <w:lang w:val="es-MX"/>
        </w:rPr>
      </w:pPr>
    </w:p>
    <w:p w14:paraId="52F20346" w14:textId="77777777" w:rsidR="008250DB" w:rsidRDefault="008250DB" w:rsidP="00B36866">
      <w:pPr>
        <w:jc w:val="center"/>
        <w:rPr>
          <w:rFonts w:cs="Times New Roman"/>
          <w:b/>
          <w:spacing w:val="10"/>
          <w:lang w:val="es-MX"/>
        </w:rPr>
      </w:pPr>
    </w:p>
    <w:p w14:paraId="7346D845" w14:textId="77777777" w:rsidR="008250DB" w:rsidRDefault="008250DB" w:rsidP="00B36866">
      <w:pPr>
        <w:jc w:val="center"/>
        <w:rPr>
          <w:rFonts w:cs="Times New Roman"/>
          <w:b/>
          <w:spacing w:val="10"/>
          <w:lang w:val="es-MX"/>
        </w:rPr>
      </w:pPr>
    </w:p>
    <w:p w14:paraId="5F5FF529" w14:textId="77777777" w:rsidR="008250DB" w:rsidRDefault="008250DB" w:rsidP="00B36866">
      <w:pPr>
        <w:jc w:val="center"/>
        <w:rPr>
          <w:rFonts w:cs="Times New Roman"/>
          <w:b/>
          <w:spacing w:val="10"/>
          <w:lang w:val="es-MX"/>
        </w:rPr>
      </w:pPr>
    </w:p>
    <w:p w14:paraId="494911F7" w14:textId="77777777" w:rsidR="008250DB" w:rsidRDefault="008250DB" w:rsidP="00B36866">
      <w:pPr>
        <w:jc w:val="center"/>
        <w:rPr>
          <w:rFonts w:cs="Times New Roman"/>
          <w:b/>
          <w:spacing w:val="10"/>
          <w:lang w:val="es-MX"/>
        </w:rPr>
      </w:pPr>
    </w:p>
    <w:p w14:paraId="1107318A" w14:textId="77777777" w:rsidR="008250DB" w:rsidRDefault="008250DB" w:rsidP="00B36866">
      <w:pPr>
        <w:jc w:val="center"/>
        <w:rPr>
          <w:rFonts w:cs="Times New Roman"/>
          <w:b/>
          <w:spacing w:val="10"/>
          <w:lang w:val="es-MX"/>
        </w:rPr>
      </w:pPr>
    </w:p>
    <w:p w14:paraId="2629B79B" w14:textId="77777777" w:rsidR="008250DB" w:rsidRDefault="008250DB" w:rsidP="00B36866">
      <w:pPr>
        <w:jc w:val="center"/>
        <w:rPr>
          <w:rFonts w:cs="Times New Roman"/>
          <w:b/>
          <w:spacing w:val="10"/>
          <w:lang w:val="es-MX"/>
        </w:rPr>
      </w:pPr>
    </w:p>
    <w:p w14:paraId="1C130CB9" w14:textId="77777777" w:rsidR="008250DB" w:rsidRDefault="008250DB" w:rsidP="00B36866">
      <w:pPr>
        <w:jc w:val="center"/>
        <w:rPr>
          <w:rFonts w:cs="Times New Roman"/>
          <w:b/>
          <w:spacing w:val="10"/>
          <w:lang w:val="es-MX"/>
        </w:rPr>
      </w:pPr>
    </w:p>
    <w:p w14:paraId="0A5AD478" w14:textId="77777777" w:rsidR="008250DB" w:rsidRDefault="008250DB" w:rsidP="00B36866">
      <w:pPr>
        <w:jc w:val="center"/>
        <w:rPr>
          <w:rFonts w:cs="Times New Roman"/>
          <w:b/>
          <w:spacing w:val="10"/>
          <w:lang w:val="es-MX"/>
        </w:rPr>
      </w:pPr>
    </w:p>
    <w:p w14:paraId="754BBFCD" w14:textId="3169C864" w:rsidR="004E5E4A" w:rsidRPr="00B36866" w:rsidRDefault="00B36866" w:rsidP="00B36866">
      <w:pPr>
        <w:jc w:val="center"/>
        <w:rPr>
          <w:rFonts w:cs="Times New Roman"/>
          <w:b/>
          <w:spacing w:val="10"/>
          <w:lang w:val="es-MX"/>
        </w:rPr>
      </w:pPr>
      <w:r w:rsidRPr="00B36866">
        <w:rPr>
          <w:rFonts w:cs="Times New Roman"/>
          <w:b/>
          <w:spacing w:val="10"/>
          <w:lang w:val="es-MX"/>
        </w:rPr>
        <w:lastRenderedPageBreak/>
        <w:t xml:space="preserve">NOTA TÉCNICA </w:t>
      </w:r>
    </w:p>
    <w:p w14:paraId="1CEC0F30" w14:textId="10AC7B01" w:rsidR="00321DE4" w:rsidRPr="007F3151" w:rsidRDefault="00321DE4" w:rsidP="009320BD">
      <w:pPr>
        <w:spacing w:before="840" w:after="120"/>
        <w:rPr>
          <w:b/>
          <w:smallCaps/>
        </w:rPr>
      </w:pPr>
      <w:r w:rsidRPr="007F3151">
        <w:rPr>
          <w:b/>
          <w:smallCaps/>
        </w:rPr>
        <w:t xml:space="preserve">Principales </w:t>
      </w:r>
      <w:r w:rsidR="005370E2" w:rsidRPr="007F3151">
        <w:rPr>
          <w:b/>
          <w:smallCaps/>
        </w:rPr>
        <w:t>r</w:t>
      </w:r>
      <w:r w:rsidRPr="007F3151">
        <w:rPr>
          <w:b/>
          <w:smallCaps/>
        </w:rPr>
        <w:t>esultados</w:t>
      </w:r>
    </w:p>
    <w:p w14:paraId="39CCCFC6" w14:textId="61C56F95" w:rsidR="00036E61" w:rsidRDefault="00035253" w:rsidP="00645848">
      <w:pPr>
        <w:spacing w:before="360"/>
      </w:pPr>
      <w:r>
        <w:t>E</w:t>
      </w:r>
      <w:r w:rsidR="00AE64F7">
        <w:t>n la versión desagregada</w:t>
      </w:r>
      <w:r>
        <w:t xml:space="preserve"> </w:t>
      </w:r>
      <w:r w:rsidRPr="009D0C20">
        <w:t xml:space="preserve">sectorialmente del </w:t>
      </w:r>
      <w:r w:rsidRPr="00DD4AE1">
        <w:t>Indicador Oportuno de la Actividad Económica (IOAE)</w:t>
      </w:r>
      <w:r w:rsidR="00084B45">
        <w:t>, l</w:t>
      </w:r>
      <w:r w:rsidR="00036E61">
        <w:t>as actividades con los mayores incrementos</w:t>
      </w:r>
      <w:r w:rsidR="00297D5D">
        <w:t>,</w:t>
      </w:r>
      <w:r w:rsidR="00036E61">
        <w:t xml:space="preserve"> a tasa anual</w:t>
      </w:r>
      <w:r w:rsidR="00297D5D">
        <w:t>,</w:t>
      </w:r>
      <w:r w:rsidR="00036E61">
        <w:t xml:space="preserve"> fueron</w:t>
      </w:r>
      <w:r w:rsidR="004F483D">
        <w:t>:</w:t>
      </w:r>
      <w:r w:rsidR="00036E61">
        <w:t xml:space="preserve"> la industria fílmica, del video y del sonido (43.2</w:t>
      </w:r>
      <w:r w:rsidR="00682BEA">
        <w:t> %</w:t>
      </w:r>
      <w:r w:rsidR="00036E61">
        <w:t>), artistas, escritores y técnicos independientes (38.9</w:t>
      </w:r>
      <w:r w:rsidR="00682BEA">
        <w:t> %</w:t>
      </w:r>
      <w:r w:rsidR="00036E61">
        <w:t>)</w:t>
      </w:r>
      <w:r w:rsidR="00251612">
        <w:t xml:space="preserve">, así como </w:t>
      </w:r>
      <w:r w:rsidR="00036E61">
        <w:t>promotores de espectáculos, deportistas y equipos deportivos y sus agentes (24.6</w:t>
      </w:r>
      <w:r w:rsidR="00682BEA">
        <w:t> %</w:t>
      </w:r>
      <w:r w:rsidR="00036E61">
        <w:t>). Entre las actividades secundarias, d</w:t>
      </w:r>
      <w:r w:rsidR="00036E61" w:rsidRPr="00880C0D">
        <w:t xml:space="preserve">estacan </w:t>
      </w:r>
      <w:r w:rsidR="00036E61">
        <w:t>la edificación no residencial (11.2</w:t>
      </w:r>
      <w:r w:rsidR="00682BEA">
        <w:t> %</w:t>
      </w:r>
      <w:r w:rsidR="00036E61">
        <w:t>) y la construcción de obras de ingeniería civil (11</w:t>
      </w:r>
      <w:r w:rsidR="00682BEA">
        <w:t> %</w:t>
      </w:r>
      <w:r w:rsidR="00036E61">
        <w:t>)</w:t>
      </w:r>
      <w:r w:rsidR="00036E61" w:rsidRPr="00880C0D">
        <w:t>.</w:t>
      </w:r>
    </w:p>
    <w:p w14:paraId="2DB5022A" w14:textId="36F40B29" w:rsidR="00163523" w:rsidRDefault="00163523">
      <w:pPr>
        <w:jc w:val="left"/>
        <w:rPr>
          <w:b/>
          <w:bCs/>
          <w:smallCaps/>
          <w:sz w:val="22"/>
        </w:rPr>
      </w:pPr>
    </w:p>
    <w:p w14:paraId="0D3E9DC0" w14:textId="77777777" w:rsidR="00036E61" w:rsidRPr="009B1B1B" w:rsidRDefault="00036E61" w:rsidP="00036E61">
      <w:pPr>
        <w:jc w:val="center"/>
        <w:rPr>
          <w:sz w:val="20"/>
          <w:szCs w:val="22"/>
        </w:rPr>
      </w:pPr>
      <w:r w:rsidRPr="009B1B1B">
        <w:rPr>
          <w:sz w:val="20"/>
          <w:szCs w:val="22"/>
        </w:rPr>
        <w:t>Gráfica 1</w:t>
      </w:r>
    </w:p>
    <w:p w14:paraId="3636835A" w14:textId="77777777" w:rsidR="00036E61" w:rsidRPr="009B1B1B" w:rsidRDefault="00036E61" w:rsidP="00036E61">
      <w:pPr>
        <w:jc w:val="center"/>
        <w:rPr>
          <w:b/>
          <w:bCs/>
          <w:smallCaps/>
          <w:sz w:val="22"/>
          <w:szCs w:val="22"/>
        </w:rPr>
      </w:pPr>
      <w:r w:rsidRPr="009B1B1B">
        <w:rPr>
          <w:b/>
          <w:bCs/>
          <w:smallCaps/>
          <w:sz w:val="22"/>
          <w:szCs w:val="22"/>
        </w:rPr>
        <w:t xml:space="preserve">Variaciones estimadas </w:t>
      </w:r>
      <w:r w:rsidRPr="009D0C20">
        <w:rPr>
          <w:b/>
          <w:bCs/>
          <w:smallCaps/>
          <w:sz w:val="22"/>
          <w:szCs w:val="22"/>
        </w:rPr>
        <w:t>de la desagregación sectorial del IOAE</w:t>
      </w:r>
    </w:p>
    <w:p w14:paraId="6459DACD" w14:textId="77777777" w:rsidR="00036E61" w:rsidRPr="009B1B1B" w:rsidRDefault="00036E61" w:rsidP="00036E61">
      <w:pPr>
        <w:jc w:val="center"/>
        <w:rPr>
          <w:b/>
          <w:bCs/>
          <w:smallCaps/>
          <w:sz w:val="22"/>
          <w:szCs w:val="22"/>
        </w:rPr>
      </w:pPr>
      <w:r>
        <w:rPr>
          <w:b/>
          <w:bCs/>
          <w:smallCaps/>
          <w:sz w:val="22"/>
          <w:szCs w:val="22"/>
        </w:rPr>
        <w:t>v</w:t>
      </w:r>
      <w:r w:rsidRPr="009B1B1B">
        <w:rPr>
          <w:b/>
          <w:bCs/>
          <w:smallCaps/>
          <w:sz w:val="22"/>
          <w:szCs w:val="22"/>
        </w:rPr>
        <w:t>einte actividades con mayor cambio porcentual</w:t>
      </w:r>
    </w:p>
    <w:p w14:paraId="662BD2C5" w14:textId="77777777" w:rsidR="00036E61" w:rsidRPr="00A57CDD" w:rsidRDefault="00036E61" w:rsidP="00036E61">
      <w:pPr>
        <w:jc w:val="center"/>
        <w:rPr>
          <w:b/>
          <w:bCs/>
          <w:sz w:val="20"/>
          <w:szCs w:val="20"/>
        </w:rPr>
      </w:pPr>
      <w:r w:rsidRPr="00A57CDD">
        <w:rPr>
          <w:b/>
          <w:bCs/>
          <w:smallCaps/>
          <w:sz w:val="20"/>
          <w:szCs w:val="20"/>
        </w:rPr>
        <w:t>marzo 2022 – marzo 2023</w:t>
      </w:r>
    </w:p>
    <w:p w14:paraId="3A41C9C6" w14:textId="65EF2857" w:rsidR="00036E61" w:rsidRDefault="00036E61" w:rsidP="00A57CDD">
      <w:pPr>
        <w:spacing w:after="40"/>
        <w:jc w:val="center"/>
      </w:pPr>
      <w:r>
        <w:rPr>
          <w:noProof/>
        </w:rPr>
        <w:drawing>
          <wp:inline distT="0" distB="0" distL="0" distR="0" wp14:anchorId="2011A82B" wp14:editId="4E6CB86F">
            <wp:extent cx="5400000" cy="2291601"/>
            <wp:effectExtent l="0" t="0" r="0" b="0"/>
            <wp:docPr id="465335512" name="Imagen 46533551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35512" name="Imagen 465335512" descr="Gráfico, Gráfico de barras&#10;&#10;Descripción generada automáticamente"/>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00000" cy="2291601"/>
                    </a:xfrm>
                    <a:prstGeom prst="rect">
                      <a:avLst/>
                    </a:prstGeom>
                    <a:noFill/>
                  </pic:spPr>
                </pic:pic>
              </a:graphicData>
            </a:graphic>
          </wp:inline>
        </w:drawing>
      </w:r>
    </w:p>
    <w:p w14:paraId="08E69497" w14:textId="77777777" w:rsidR="00036E61" w:rsidRDefault="00036E61" w:rsidP="00036E61">
      <w:pPr>
        <w:jc w:val="center"/>
      </w:pPr>
      <w:r w:rsidRPr="00863C85">
        <w:rPr>
          <w:noProof/>
        </w:rPr>
        <w:drawing>
          <wp:inline distT="0" distB="0" distL="0" distR="0" wp14:anchorId="5B7E3AAE" wp14:editId="149DFAB5">
            <wp:extent cx="5400000" cy="1672744"/>
            <wp:effectExtent l="0" t="0" r="0" b="3810"/>
            <wp:docPr id="952960777" name="Imagen 952960777">
              <a:extLst xmlns:a="http://schemas.openxmlformats.org/drawingml/2006/main">
                <a:ext uri="{FF2B5EF4-FFF2-40B4-BE49-F238E27FC236}">
                  <a16:creationId xmlns:a16="http://schemas.microsoft.com/office/drawing/2014/main" id="{6E1A70CB-A84E-704A-89F7-7310B4E583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E1A70CB-A84E-704A-89F7-7310B4E583EE}"/>
                        </a:ext>
                      </a:extLst>
                    </pic:cNvPr>
                    <pic:cNvPicPr>
                      <a:picLocks noChangeAspect="1"/>
                    </pic:cNvPicPr>
                  </pic:nvPicPr>
                  <pic:blipFill>
                    <a:blip r:embed="rId9"/>
                    <a:stretch>
                      <a:fillRect/>
                    </a:stretch>
                  </pic:blipFill>
                  <pic:spPr>
                    <a:xfrm>
                      <a:off x="0" y="0"/>
                      <a:ext cx="5400000" cy="1672744"/>
                    </a:xfrm>
                    <a:prstGeom prst="rect">
                      <a:avLst/>
                    </a:prstGeom>
                  </pic:spPr>
                </pic:pic>
              </a:graphicData>
            </a:graphic>
          </wp:inline>
        </w:drawing>
      </w:r>
    </w:p>
    <w:p w14:paraId="10DF084D" w14:textId="77777777" w:rsidR="00036E61" w:rsidRPr="00321DE4" w:rsidRDefault="00036E61" w:rsidP="00036E61">
      <w:pPr>
        <w:ind w:firstLine="567"/>
        <w:rPr>
          <w:sz w:val="16"/>
          <w:szCs w:val="16"/>
        </w:rPr>
      </w:pPr>
      <w:bookmarkStart w:id="5" w:name="_Hlk70251441"/>
      <w:r w:rsidRPr="00321DE4">
        <w:rPr>
          <w:sz w:val="16"/>
          <w:szCs w:val="16"/>
        </w:rPr>
        <w:t>Fuente:</w:t>
      </w:r>
      <w:r>
        <w:rPr>
          <w:sz w:val="16"/>
          <w:szCs w:val="16"/>
        </w:rPr>
        <w:t xml:space="preserve"> INEGI</w:t>
      </w:r>
    </w:p>
    <w:bookmarkEnd w:id="5"/>
    <w:p w14:paraId="5DCFC86F" w14:textId="77777777" w:rsidR="006F2FBA" w:rsidRDefault="006F2FBA" w:rsidP="00947932">
      <w:pPr>
        <w:spacing w:before="240"/>
      </w:pPr>
    </w:p>
    <w:p w14:paraId="45DC7B8C" w14:textId="2AD58EB0" w:rsidR="00947932" w:rsidRDefault="00036E61" w:rsidP="00947932">
      <w:pPr>
        <w:spacing w:before="240"/>
      </w:pPr>
      <w:r>
        <w:lastRenderedPageBreak/>
        <w:t>Para marzo de 2023, se estima un crecimiento de 926</w:t>
      </w:r>
      <w:r w:rsidR="00AD1063">
        <w:t> </w:t>
      </w:r>
      <w:r>
        <w:t xml:space="preserve">212 empleos formales en todo el país, comparado con el mismo mes de 2022. </w:t>
      </w:r>
      <w:r w:rsidR="00947932">
        <w:t xml:space="preserve">La fabricación de equipo de transporte registró el mayor </w:t>
      </w:r>
      <w:r w:rsidR="00947932" w:rsidRPr="007339BC">
        <w:t xml:space="preserve">aumento </w:t>
      </w:r>
      <w:r w:rsidR="00947932">
        <w:t>estimado (249 729)</w:t>
      </w:r>
      <w:r w:rsidR="009C5559">
        <w:t>,</w:t>
      </w:r>
      <w:r w:rsidR="00947932">
        <w:t xml:space="preserve"> en su comparación anual. Siguieron los servicios profesionales, científicos y técnicos (82 425)</w:t>
      </w:r>
      <w:r w:rsidR="003C18FB">
        <w:t>, así como</w:t>
      </w:r>
      <w:r w:rsidR="00947932">
        <w:t xml:space="preserve"> el comercio al por mayor (67 294). </w:t>
      </w:r>
    </w:p>
    <w:p w14:paraId="367C7563" w14:textId="074923A4" w:rsidR="00947932" w:rsidRDefault="00947932" w:rsidP="00947932">
      <w:pPr>
        <w:jc w:val="left"/>
        <w:rPr>
          <w:sz w:val="20"/>
          <w:szCs w:val="22"/>
        </w:rPr>
      </w:pPr>
    </w:p>
    <w:p w14:paraId="4BED5647" w14:textId="5B4179C2" w:rsidR="00036E61" w:rsidRPr="009B1B1B" w:rsidRDefault="00036E61" w:rsidP="00036E61">
      <w:pPr>
        <w:jc w:val="center"/>
        <w:rPr>
          <w:sz w:val="20"/>
          <w:szCs w:val="22"/>
        </w:rPr>
      </w:pPr>
      <w:r w:rsidRPr="009B1B1B">
        <w:rPr>
          <w:sz w:val="20"/>
          <w:szCs w:val="22"/>
        </w:rPr>
        <w:t>Gráfica 2</w:t>
      </w:r>
    </w:p>
    <w:p w14:paraId="6B13B975" w14:textId="77777777" w:rsidR="00036E61" w:rsidRPr="005370E2" w:rsidRDefault="00036E61" w:rsidP="00036E61">
      <w:pPr>
        <w:jc w:val="center"/>
        <w:rPr>
          <w:b/>
          <w:bCs/>
          <w:smallCaps/>
          <w:sz w:val="22"/>
          <w:szCs w:val="22"/>
        </w:rPr>
      </w:pPr>
      <w:r w:rsidRPr="005370E2">
        <w:rPr>
          <w:b/>
          <w:bCs/>
          <w:smallCaps/>
          <w:sz w:val="22"/>
          <w:szCs w:val="22"/>
        </w:rPr>
        <w:t>Veinte actividades con mayores incrementos estimados del empleo formal</w:t>
      </w:r>
    </w:p>
    <w:p w14:paraId="6EBEAB45" w14:textId="77777777" w:rsidR="00036E61" w:rsidRPr="00A57CDD" w:rsidRDefault="00036E61" w:rsidP="00036E61">
      <w:pPr>
        <w:jc w:val="center"/>
        <w:rPr>
          <w:b/>
          <w:bCs/>
          <w:smallCaps/>
          <w:sz w:val="18"/>
          <w:szCs w:val="20"/>
        </w:rPr>
      </w:pPr>
      <w:r w:rsidRPr="00A57CDD">
        <w:rPr>
          <w:b/>
          <w:bCs/>
          <w:smallCaps/>
          <w:sz w:val="20"/>
          <w:szCs w:val="20"/>
        </w:rPr>
        <w:t>marzo 2022 – marzo 2023</w:t>
      </w:r>
    </w:p>
    <w:p w14:paraId="23BD7A51" w14:textId="77777777" w:rsidR="00036E61" w:rsidRDefault="00036E61" w:rsidP="00A57CDD">
      <w:pPr>
        <w:spacing w:after="40"/>
        <w:jc w:val="center"/>
      </w:pPr>
      <w:r>
        <w:rPr>
          <w:noProof/>
        </w:rPr>
        <w:drawing>
          <wp:inline distT="0" distB="0" distL="0" distR="0" wp14:anchorId="0BA7AEE6" wp14:editId="3BEC55BD">
            <wp:extent cx="5382294" cy="2289600"/>
            <wp:effectExtent l="0" t="0" r="0" b="0"/>
            <wp:docPr id="429301196" name="Imagen 3"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01196" name="Imagen 3" descr="Gráfico&#10;&#10;Descripción generada automáticamente"/>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82294" cy="2289600"/>
                    </a:xfrm>
                    <a:prstGeom prst="rect">
                      <a:avLst/>
                    </a:prstGeom>
                    <a:noFill/>
                  </pic:spPr>
                </pic:pic>
              </a:graphicData>
            </a:graphic>
          </wp:inline>
        </w:drawing>
      </w:r>
    </w:p>
    <w:p w14:paraId="370A3FD5" w14:textId="77777777" w:rsidR="00036E61" w:rsidRDefault="00036E61" w:rsidP="00036E61">
      <w:pPr>
        <w:jc w:val="center"/>
      </w:pPr>
      <w:r>
        <w:rPr>
          <w:noProof/>
        </w:rPr>
        <w:drawing>
          <wp:inline distT="0" distB="0" distL="0" distR="0" wp14:anchorId="40F23318" wp14:editId="269EF7E9">
            <wp:extent cx="5400000" cy="1631954"/>
            <wp:effectExtent l="0" t="0" r="0" b="6350"/>
            <wp:docPr id="2090250551"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250551" name="Imagen 4" descr="Forma&#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1631954"/>
                    </a:xfrm>
                    <a:prstGeom prst="rect">
                      <a:avLst/>
                    </a:prstGeom>
                    <a:noFill/>
                  </pic:spPr>
                </pic:pic>
              </a:graphicData>
            </a:graphic>
          </wp:inline>
        </w:drawing>
      </w:r>
    </w:p>
    <w:p w14:paraId="1F3F9005" w14:textId="77777777" w:rsidR="00036E61" w:rsidRDefault="00036E61" w:rsidP="00036E61">
      <w:pPr>
        <w:ind w:firstLine="567"/>
      </w:pPr>
      <w:r w:rsidRPr="00321DE4">
        <w:rPr>
          <w:sz w:val="16"/>
          <w:szCs w:val="16"/>
        </w:rPr>
        <w:t>Fuente:</w:t>
      </w:r>
      <w:r>
        <w:rPr>
          <w:sz w:val="16"/>
          <w:szCs w:val="16"/>
        </w:rPr>
        <w:t xml:space="preserve"> INEGI</w:t>
      </w:r>
    </w:p>
    <w:p w14:paraId="5754D4E5" w14:textId="3AAB2076" w:rsidR="00C02612" w:rsidRDefault="00036E61" w:rsidP="00C02612">
      <w:pPr>
        <w:spacing w:before="480"/>
      </w:pPr>
      <w:r>
        <w:t xml:space="preserve">Durante el periodo de referencia, el incremento del empleo estimado por nivel de ingresos se concentró principalmente en </w:t>
      </w:r>
      <w:r w:rsidR="00257DDD">
        <w:t xml:space="preserve">las y los </w:t>
      </w:r>
      <w:r>
        <w:t>trabajadores que ganan hasta dos salarios mínimos</w:t>
      </w:r>
      <w:r w:rsidR="003C18FB">
        <w:t>,</w:t>
      </w:r>
      <w:r>
        <w:t xml:space="preserve"> con un aumento de 560</w:t>
      </w:r>
      <w:r w:rsidR="005F2A60">
        <w:t> </w:t>
      </w:r>
      <w:r>
        <w:t>30</w:t>
      </w:r>
      <w:r w:rsidR="00FA1814">
        <w:t>2</w:t>
      </w:r>
      <w:r>
        <w:t xml:space="preserve"> empleos formales. </w:t>
      </w:r>
      <w:r w:rsidR="00C02612">
        <w:t>Con relación al empleo por tamaño de empresas, dos de cada cinco empleos adicionales estimados se explican por el dinamismo de las grandes empresas.</w:t>
      </w:r>
    </w:p>
    <w:p w14:paraId="6C782D28" w14:textId="77777777" w:rsidR="00C02612" w:rsidRDefault="00C02612" w:rsidP="00C02612">
      <w:pPr>
        <w:jc w:val="left"/>
      </w:pPr>
      <w: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570"/>
      </w:tblGrid>
      <w:tr w:rsidR="00C02612" w14:paraId="5389CAEA" w14:textId="77777777" w:rsidTr="00EE3451">
        <w:trPr>
          <w:jc w:val="center"/>
        </w:trPr>
        <w:tc>
          <w:tcPr>
            <w:tcW w:w="4570" w:type="dxa"/>
          </w:tcPr>
          <w:p w14:paraId="59693ACF" w14:textId="77777777" w:rsidR="00C02612" w:rsidRPr="009B1B1B" w:rsidRDefault="00C02612" w:rsidP="00EE3451">
            <w:pPr>
              <w:jc w:val="center"/>
              <w:rPr>
                <w:sz w:val="20"/>
                <w:szCs w:val="22"/>
              </w:rPr>
            </w:pPr>
            <w:r w:rsidRPr="009B1B1B">
              <w:rPr>
                <w:sz w:val="20"/>
                <w:szCs w:val="22"/>
              </w:rPr>
              <w:lastRenderedPageBreak/>
              <w:t xml:space="preserve">Gráfica 3 </w:t>
            </w:r>
          </w:p>
          <w:p w14:paraId="35020AF7" w14:textId="77777777" w:rsidR="00C02612" w:rsidRPr="005370E2" w:rsidRDefault="00C02612" w:rsidP="00EE3451">
            <w:pPr>
              <w:jc w:val="center"/>
              <w:rPr>
                <w:b/>
                <w:bCs/>
                <w:smallCaps/>
                <w:sz w:val="22"/>
                <w:szCs w:val="22"/>
              </w:rPr>
            </w:pPr>
            <w:r w:rsidRPr="005370E2">
              <w:rPr>
                <w:b/>
                <w:bCs/>
                <w:smallCaps/>
                <w:sz w:val="22"/>
                <w:szCs w:val="22"/>
              </w:rPr>
              <w:t>Estructura de la variación del empleo formal estimado por nivel de ingresos</w:t>
            </w:r>
          </w:p>
          <w:p w14:paraId="2A6B718F" w14:textId="77777777" w:rsidR="00C02612" w:rsidRPr="00163523" w:rsidRDefault="00C02612" w:rsidP="00EE3451">
            <w:pPr>
              <w:jc w:val="center"/>
              <w:rPr>
                <w:b/>
                <w:bCs/>
                <w:smallCaps/>
                <w:noProof/>
                <w:sz w:val="20"/>
                <w:szCs w:val="22"/>
              </w:rPr>
            </w:pPr>
            <w:r>
              <w:rPr>
                <w:b/>
                <w:bCs/>
                <w:smallCaps/>
                <w:sz w:val="22"/>
                <w:szCs w:val="22"/>
              </w:rPr>
              <w:t>marzo</w:t>
            </w:r>
            <w:r w:rsidRPr="005370E2">
              <w:rPr>
                <w:b/>
                <w:bCs/>
                <w:smallCaps/>
                <w:sz w:val="22"/>
                <w:szCs w:val="22"/>
              </w:rPr>
              <w:t xml:space="preserve"> 202</w:t>
            </w:r>
            <w:r>
              <w:rPr>
                <w:b/>
                <w:bCs/>
                <w:smallCaps/>
                <w:sz w:val="22"/>
                <w:szCs w:val="22"/>
              </w:rPr>
              <w:t>2</w:t>
            </w:r>
            <w:r w:rsidRPr="005370E2">
              <w:rPr>
                <w:b/>
                <w:bCs/>
                <w:smallCaps/>
                <w:sz w:val="22"/>
                <w:szCs w:val="22"/>
              </w:rPr>
              <w:t xml:space="preserve"> – </w:t>
            </w:r>
            <w:r>
              <w:rPr>
                <w:b/>
                <w:bCs/>
                <w:smallCaps/>
                <w:sz w:val="22"/>
                <w:szCs w:val="22"/>
              </w:rPr>
              <w:t xml:space="preserve">marzo </w:t>
            </w:r>
            <w:r w:rsidRPr="005370E2">
              <w:rPr>
                <w:b/>
                <w:bCs/>
                <w:smallCaps/>
                <w:sz w:val="22"/>
                <w:szCs w:val="22"/>
              </w:rPr>
              <w:t>202</w:t>
            </w:r>
            <w:r>
              <w:rPr>
                <w:b/>
                <w:bCs/>
                <w:smallCaps/>
                <w:sz w:val="22"/>
                <w:szCs w:val="22"/>
              </w:rPr>
              <w:t>3</w:t>
            </w:r>
          </w:p>
          <w:p w14:paraId="76F04DE4" w14:textId="77777777" w:rsidR="00C02612" w:rsidRDefault="00C02612" w:rsidP="00EE3451">
            <w:pPr>
              <w:jc w:val="center"/>
            </w:pPr>
            <w:r>
              <w:rPr>
                <w:noProof/>
              </w:rPr>
              <w:drawing>
                <wp:inline distT="0" distB="0" distL="0" distR="0" wp14:anchorId="7021B547" wp14:editId="58344992">
                  <wp:extent cx="2764800" cy="1740674"/>
                  <wp:effectExtent l="0" t="0" r="0" b="0"/>
                  <wp:docPr id="2116361590" name="Imagen 5"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61590" name="Imagen 5" descr="Gráfico, Gráfico circular&#10;&#10;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4800" cy="1740674"/>
                          </a:xfrm>
                          <a:prstGeom prst="rect">
                            <a:avLst/>
                          </a:prstGeom>
                          <a:noFill/>
                        </pic:spPr>
                      </pic:pic>
                    </a:graphicData>
                  </a:graphic>
                </wp:inline>
              </w:drawing>
            </w:r>
          </w:p>
        </w:tc>
        <w:tc>
          <w:tcPr>
            <w:tcW w:w="4570" w:type="dxa"/>
          </w:tcPr>
          <w:p w14:paraId="7BE926F3" w14:textId="77777777" w:rsidR="00C02612" w:rsidRPr="009B1B1B" w:rsidRDefault="00C02612" w:rsidP="00EE3451">
            <w:pPr>
              <w:jc w:val="center"/>
              <w:rPr>
                <w:sz w:val="20"/>
                <w:szCs w:val="22"/>
              </w:rPr>
            </w:pPr>
            <w:r w:rsidRPr="009B1B1B">
              <w:rPr>
                <w:sz w:val="20"/>
                <w:szCs w:val="22"/>
              </w:rPr>
              <w:t>Gráfica 4</w:t>
            </w:r>
          </w:p>
          <w:p w14:paraId="3A8833AF" w14:textId="77777777" w:rsidR="00C02612" w:rsidRPr="005370E2" w:rsidRDefault="00C02612" w:rsidP="00EE3451">
            <w:pPr>
              <w:ind w:right="-64"/>
              <w:jc w:val="center"/>
              <w:rPr>
                <w:b/>
                <w:bCs/>
                <w:smallCaps/>
                <w:sz w:val="22"/>
                <w:szCs w:val="22"/>
              </w:rPr>
            </w:pPr>
            <w:r w:rsidRPr="005370E2">
              <w:rPr>
                <w:b/>
                <w:bCs/>
                <w:smallCaps/>
                <w:sz w:val="22"/>
                <w:szCs w:val="22"/>
              </w:rPr>
              <w:t>Estructura de la variación del empleo formal estimado por tamaño de empresas</w:t>
            </w:r>
          </w:p>
          <w:p w14:paraId="1633A0B6" w14:textId="77777777" w:rsidR="00C02612" w:rsidRPr="005370E2" w:rsidRDefault="00C02612" w:rsidP="00EE3451">
            <w:pPr>
              <w:jc w:val="center"/>
              <w:rPr>
                <w:noProof/>
                <w:sz w:val="22"/>
                <w:szCs w:val="22"/>
              </w:rPr>
            </w:pPr>
            <w:r>
              <w:rPr>
                <w:b/>
                <w:bCs/>
                <w:smallCaps/>
                <w:sz w:val="22"/>
                <w:szCs w:val="22"/>
              </w:rPr>
              <w:t>marzo</w:t>
            </w:r>
            <w:r w:rsidRPr="005370E2">
              <w:rPr>
                <w:b/>
                <w:bCs/>
                <w:smallCaps/>
                <w:sz w:val="22"/>
                <w:szCs w:val="22"/>
              </w:rPr>
              <w:t xml:space="preserve"> 202</w:t>
            </w:r>
            <w:r>
              <w:rPr>
                <w:b/>
                <w:bCs/>
                <w:smallCaps/>
                <w:sz w:val="22"/>
                <w:szCs w:val="22"/>
              </w:rPr>
              <w:t>2</w:t>
            </w:r>
            <w:r w:rsidRPr="005370E2">
              <w:rPr>
                <w:b/>
                <w:bCs/>
                <w:smallCaps/>
                <w:sz w:val="22"/>
                <w:szCs w:val="22"/>
              </w:rPr>
              <w:t xml:space="preserve"> – </w:t>
            </w:r>
            <w:r>
              <w:rPr>
                <w:b/>
                <w:bCs/>
                <w:smallCaps/>
                <w:sz w:val="22"/>
                <w:szCs w:val="22"/>
              </w:rPr>
              <w:t xml:space="preserve">marzo </w:t>
            </w:r>
            <w:r w:rsidRPr="005370E2">
              <w:rPr>
                <w:b/>
                <w:bCs/>
                <w:smallCaps/>
                <w:sz w:val="22"/>
                <w:szCs w:val="22"/>
              </w:rPr>
              <w:t>202</w:t>
            </w:r>
            <w:r>
              <w:rPr>
                <w:b/>
                <w:bCs/>
                <w:smallCaps/>
                <w:sz w:val="22"/>
                <w:szCs w:val="22"/>
              </w:rPr>
              <w:t>3</w:t>
            </w:r>
          </w:p>
          <w:p w14:paraId="55A91B51" w14:textId="77777777" w:rsidR="00C02612" w:rsidRDefault="00C02612" w:rsidP="00EE3451">
            <w:pPr>
              <w:jc w:val="center"/>
            </w:pPr>
            <w:r>
              <w:rPr>
                <w:noProof/>
              </w:rPr>
              <w:drawing>
                <wp:inline distT="0" distB="0" distL="0" distR="0" wp14:anchorId="68F74BB7" wp14:editId="722097F9">
                  <wp:extent cx="2764800" cy="1743051"/>
                  <wp:effectExtent l="0" t="0" r="0" b="0"/>
                  <wp:docPr id="11522366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4800" cy="1743051"/>
                          </a:xfrm>
                          <a:prstGeom prst="rect">
                            <a:avLst/>
                          </a:prstGeom>
                          <a:noFill/>
                        </pic:spPr>
                      </pic:pic>
                    </a:graphicData>
                  </a:graphic>
                </wp:inline>
              </w:drawing>
            </w:r>
          </w:p>
        </w:tc>
      </w:tr>
    </w:tbl>
    <w:p w14:paraId="683A60B3" w14:textId="6DDD732B" w:rsidR="00C02612" w:rsidRDefault="00C02612" w:rsidP="00C02612">
      <w:pPr>
        <w:ind w:firstLine="284"/>
        <w:rPr>
          <w:sz w:val="18"/>
        </w:rPr>
      </w:pPr>
      <w:r w:rsidRPr="002F7C21">
        <w:rPr>
          <w:sz w:val="16"/>
          <w:szCs w:val="22"/>
        </w:rPr>
        <w:t xml:space="preserve">Nota:  La suma de los porcentajes puede </w:t>
      </w:r>
      <w:r w:rsidR="00A93F9E">
        <w:rPr>
          <w:sz w:val="16"/>
          <w:szCs w:val="22"/>
        </w:rPr>
        <w:t xml:space="preserve">no sumar </w:t>
      </w:r>
      <w:r w:rsidRPr="002F7C21">
        <w:rPr>
          <w:sz w:val="16"/>
          <w:szCs w:val="22"/>
        </w:rPr>
        <w:t>100 debido al redondeo.</w:t>
      </w:r>
    </w:p>
    <w:p w14:paraId="44E77482" w14:textId="229CB03C" w:rsidR="00036E61" w:rsidRPr="008257AC" w:rsidRDefault="00C02612" w:rsidP="00C02612">
      <w:pPr>
        <w:ind w:firstLine="284"/>
        <w:rPr>
          <w:sz w:val="18"/>
        </w:rPr>
      </w:pPr>
      <w:r w:rsidRPr="00321DE4">
        <w:rPr>
          <w:sz w:val="16"/>
          <w:szCs w:val="16"/>
        </w:rPr>
        <w:t>Fuente:</w:t>
      </w:r>
      <w:r>
        <w:rPr>
          <w:sz w:val="16"/>
          <w:szCs w:val="16"/>
        </w:rPr>
        <w:t xml:space="preserve"> INEGI</w:t>
      </w:r>
    </w:p>
    <w:p w14:paraId="7E6D8247" w14:textId="61DB7DFC" w:rsidR="00036E61" w:rsidRDefault="00036E61" w:rsidP="00036E61">
      <w:pPr>
        <w:spacing w:before="360"/>
      </w:pPr>
      <w:r>
        <w:t>En marzo de 2023, las entidades con mayores incrementos de empleo formal estimados a tasa anual fueron: Coahuila de Zaragoza (6.1</w:t>
      </w:r>
      <w:r w:rsidR="00682BEA">
        <w:t> %</w:t>
      </w:r>
      <w:r>
        <w:t>), Chihuahua (6</w:t>
      </w:r>
      <w:r w:rsidR="00682BEA">
        <w:t> %</w:t>
      </w:r>
      <w:r>
        <w:t>), Querétaro (5.7 %), Tamaulipas (5.1</w:t>
      </w:r>
      <w:r w:rsidR="00682BEA">
        <w:t> %</w:t>
      </w:r>
      <w:r>
        <w:t>) y San Luis Potosí (5</w:t>
      </w:r>
      <w:r w:rsidR="00682BEA">
        <w:t> %</w:t>
      </w:r>
      <w:r>
        <w:t>).</w:t>
      </w:r>
    </w:p>
    <w:p w14:paraId="4A2BE2F1" w14:textId="77777777" w:rsidR="00036E61" w:rsidRPr="00777D3C" w:rsidRDefault="00036E61" w:rsidP="00036E61">
      <w:pPr>
        <w:spacing w:before="360"/>
        <w:jc w:val="center"/>
        <w:rPr>
          <w:sz w:val="20"/>
        </w:rPr>
      </w:pPr>
      <w:r w:rsidRPr="00777D3C">
        <w:rPr>
          <w:sz w:val="20"/>
        </w:rPr>
        <w:t xml:space="preserve">Gráfica 5 </w:t>
      </w:r>
    </w:p>
    <w:p w14:paraId="10AE08DA" w14:textId="77777777" w:rsidR="00036E61" w:rsidRDefault="00036E61" w:rsidP="00036E61">
      <w:pPr>
        <w:jc w:val="center"/>
        <w:rPr>
          <w:b/>
          <w:bCs/>
          <w:smallCaps/>
          <w:sz w:val="22"/>
        </w:rPr>
      </w:pPr>
      <w:r>
        <w:rPr>
          <w:b/>
          <w:bCs/>
          <w:smallCaps/>
          <w:sz w:val="22"/>
        </w:rPr>
        <w:t xml:space="preserve">Variación anual </w:t>
      </w:r>
      <w:r w:rsidRPr="00163523">
        <w:rPr>
          <w:b/>
          <w:bCs/>
          <w:smallCaps/>
          <w:sz w:val="22"/>
        </w:rPr>
        <w:t>de</w:t>
      </w:r>
      <w:r>
        <w:rPr>
          <w:b/>
          <w:bCs/>
          <w:smallCaps/>
          <w:sz w:val="22"/>
        </w:rPr>
        <w:t>l</w:t>
      </w:r>
      <w:r w:rsidRPr="00163523">
        <w:rPr>
          <w:b/>
          <w:bCs/>
          <w:smallCaps/>
          <w:sz w:val="22"/>
        </w:rPr>
        <w:t xml:space="preserve"> empleo formal</w:t>
      </w:r>
      <w:r>
        <w:rPr>
          <w:b/>
          <w:bCs/>
          <w:smallCaps/>
          <w:sz w:val="22"/>
        </w:rPr>
        <w:t xml:space="preserve"> estimado</w:t>
      </w:r>
      <w:r w:rsidRPr="00163523">
        <w:rPr>
          <w:b/>
          <w:bCs/>
          <w:smallCaps/>
          <w:sz w:val="22"/>
        </w:rPr>
        <w:t xml:space="preserve"> </w:t>
      </w:r>
    </w:p>
    <w:p w14:paraId="7F9649BD" w14:textId="77777777" w:rsidR="00036E61" w:rsidRPr="00163523" w:rsidRDefault="00036E61" w:rsidP="00036E61">
      <w:pPr>
        <w:jc w:val="center"/>
        <w:rPr>
          <w:b/>
          <w:bCs/>
          <w:smallCaps/>
          <w:sz w:val="22"/>
        </w:rPr>
      </w:pPr>
      <w:r>
        <w:rPr>
          <w:b/>
          <w:bCs/>
          <w:smallCaps/>
          <w:sz w:val="22"/>
        </w:rPr>
        <w:t>por</w:t>
      </w:r>
      <w:r w:rsidRPr="00163523">
        <w:rPr>
          <w:b/>
          <w:bCs/>
          <w:smallCaps/>
          <w:sz w:val="22"/>
        </w:rPr>
        <w:t xml:space="preserve"> entidad</w:t>
      </w:r>
    </w:p>
    <w:p w14:paraId="4397E0DB" w14:textId="77777777" w:rsidR="00036E61" w:rsidRPr="00A57CDD" w:rsidRDefault="00036E61" w:rsidP="00036E61">
      <w:pPr>
        <w:jc w:val="center"/>
        <w:rPr>
          <w:b/>
          <w:bCs/>
          <w:smallCaps/>
          <w:sz w:val="20"/>
          <w:szCs w:val="20"/>
        </w:rPr>
      </w:pPr>
      <w:r w:rsidRPr="00A57CDD">
        <w:rPr>
          <w:b/>
          <w:bCs/>
          <w:smallCaps/>
          <w:sz w:val="20"/>
          <w:szCs w:val="20"/>
        </w:rPr>
        <w:t>marzo 2022 – marzo 2023</w:t>
      </w:r>
    </w:p>
    <w:p w14:paraId="3499FB84" w14:textId="77777777" w:rsidR="00036E61" w:rsidRDefault="00036E61" w:rsidP="00036E61">
      <w:pPr>
        <w:jc w:val="center"/>
      </w:pPr>
      <w:r w:rsidRPr="00C639E4">
        <w:rPr>
          <w:noProof/>
          <w:shd w:val="clear" w:color="auto" w:fill="FFFFFF" w:themeFill="background1"/>
        </w:rPr>
        <w:drawing>
          <wp:inline distT="0" distB="0" distL="0" distR="0" wp14:anchorId="13364274" wp14:editId="74A1FE36">
            <wp:extent cx="4932000" cy="3368400"/>
            <wp:effectExtent l="19050" t="19050" r="21590" b="22860"/>
            <wp:docPr id="971564475"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64475" name="Imagen 1" descr="Mapa&#10;&#10;Descripción generada automáticamente"/>
                    <pic:cNvPicPr/>
                  </pic:nvPicPr>
                  <pic:blipFill>
                    <a:blip r:embed="rId18">
                      <a:clrChange>
                        <a:clrFrom>
                          <a:srgbClr val="FFFFFF"/>
                        </a:clrFrom>
                        <a:clrTo>
                          <a:srgbClr val="FFFFFF">
                            <a:alpha val="0"/>
                          </a:srgbClr>
                        </a:clrTo>
                      </a:clrChange>
                      <a:alphaModFix/>
                      <a:extLst>
                        <a:ext uri="{BEBA8EAE-BF5A-486C-A8C5-ECC9F3942E4B}">
                          <a14:imgProps xmlns:a14="http://schemas.microsoft.com/office/drawing/2010/main">
                            <a14:imgLayer r:embed="rId19">
                              <a14:imgEffect>
                                <a14:brightnessContrast contrast="-2000"/>
                              </a14:imgEffect>
                            </a14:imgLayer>
                          </a14:imgProps>
                        </a:ext>
                      </a:extLst>
                    </a:blip>
                    <a:stretch>
                      <a:fillRect/>
                    </a:stretch>
                  </pic:blipFill>
                  <pic:spPr>
                    <a:xfrm>
                      <a:off x="0" y="0"/>
                      <a:ext cx="4932000" cy="3368400"/>
                    </a:xfrm>
                    <a:prstGeom prst="rect">
                      <a:avLst/>
                    </a:prstGeom>
                    <a:ln w="12700">
                      <a:solidFill>
                        <a:schemeClr val="tx1"/>
                      </a:solidFill>
                    </a:ln>
                  </pic:spPr>
                </pic:pic>
              </a:graphicData>
            </a:graphic>
          </wp:inline>
        </w:drawing>
      </w:r>
    </w:p>
    <w:p w14:paraId="1252B526" w14:textId="575E0E9D" w:rsidR="00036E61" w:rsidRDefault="006F2FBA" w:rsidP="00036E61">
      <w:pPr>
        <w:ind w:left="851"/>
        <w:jc w:val="left"/>
        <w:rPr>
          <w:sz w:val="16"/>
          <w:szCs w:val="16"/>
        </w:rPr>
      </w:pPr>
      <w:r>
        <w:rPr>
          <w:sz w:val="16"/>
          <w:szCs w:val="16"/>
        </w:rPr>
        <w:t xml:space="preserve">  </w:t>
      </w:r>
      <w:r w:rsidR="00036E61" w:rsidRPr="00321DE4">
        <w:rPr>
          <w:sz w:val="16"/>
          <w:szCs w:val="16"/>
        </w:rPr>
        <w:t>Fuente:</w:t>
      </w:r>
      <w:r w:rsidR="00036E61">
        <w:rPr>
          <w:sz w:val="16"/>
          <w:szCs w:val="16"/>
        </w:rPr>
        <w:t xml:space="preserve"> INEGI</w:t>
      </w:r>
    </w:p>
    <w:p w14:paraId="09FC1D25" w14:textId="52A8154E" w:rsidR="00036E61" w:rsidRPr="008E3CBF" w:rsidRDefault="00036E61" w:rsidP="008E3CBF">
      <w:pPr>
        <w:spacing w:before="240" w:after="120"/>
        <w:rPr>
          <w:b/>
          <w:smallCaps/>
        </w:rPr>
      </w:pPr>
      <w:r w:rsidRPr="008E3CBF">
        <w:rPr>
          <w:b/>
          <w:smallCaps/>
        </w:rPr>
        <w:lastRenderedPageBreak/>
        <w:t xml:space="preserve">Nota </w:t>
      </w:r>
      <w:r w:rsidR="008E3CBF" w:rsidRPr="008E3CBF">
        <w:rPr>
          <w:b/>
          <w:smallCaps/>
        </w:rPr>
        <w:t>al usu</w:t>
      </w:r>
      <w:r w:rsidR="008E3CBF">
        <w:rPr>
          <w:b/>
          <w:smallCaps/>
        </w:rPr>
        <w:t>a</w:t>
      </w:r>
      <w:r w:rsidR="008E3CBF" w:rsidRPr="008E3CBF">
        <w:rPr>
          <w:b/>
          <w:smallCaps/>
        </w:rPr>
        <w:t>rio</w:t>
      </w:r>
    </w:p>
    <w:p w14:paraId="27F6B99C" w14:textId="3959D9CC" w:rsidR="00036E61" w:rsidRPr="00A57CDD" w:rsidRDefault="00036E61" w:rsidP="003C3F9D">
      <w:pPr>
        <w:pStyle w:val="bullet"/>
        <w:keepLines w:val="0"/>
        <w:spacing w:after="0"/>
        <w:ind w:left="0" w:right="49" w:firstLine="0"/>
        <w:mirrorIndents/>
        <w:rPr>
          <w:b w:val="0"/>
          <w:color w:val="auto"/>
          <w:spacing w:val="0"/>
          <w:szCs w:val="24"/>
        </w:rPr>
      </w:pPr>
      <w:r w:rsidRPr="00A57CDD">
        <w:rPr>
          <w:b w:val="0"/>
          <w:color w:val="auto"/>
          <w:spacing w:val="0"/>
          <w:szCs w:val="24"/>
        </w:rPr>
        <w:t xml:space="preserve">La </w:t>
      </w:r>
      <w:r w:rsidRPr="00AD1063">
        <w:rPr>
          <w:b w:val="0"/>
          <w:color w:val="auto"/>
          <w:szCs w:val="24"/>
        </w:rPr>
        <w:t xml:space="preserve">Desagregación Sectorial </w:t>
      </w:r>
      <w:r w:rsidRPr="00A57CDD">
        <w:rPr>
          <w:b w:val="0"/>
          <w:color w:val="auto"/>
          <w:spacing w:val="0"/>
          <w:szCs w:val="24"/>
        </w:rPr>
        <w:t xml:space="preserve">del </w:t>
      </w:r>
      <w:r w:rsidR="00AD1063">
        <w:rPr>
          <w:b w:val="0"/>
          <w:color w:val="auto"/>
          <w:spacing w:val="0"/>
          <w:szCs w:val="24"/>
        </w:rPr>
        <w:t xml:space="preserve">IOAE </w:t>
      </w:r>
      <w:r w:rsidRPr="00A57CDD">
        <w:rPr>
          <w:b w:val="0"/>
          <w:color w:val="auto"/>
          <w:spacing w:val="0"/>
          <w:szCs w:val="24"/>
        </w:rPr>
        <w:t xml:space="preserve">se desarrolló como una respuesta a </w:t>
      </w:r>
      <w:r w:rsidR="008E3CBF" w:rsidRPr="00A57CDD">
        <w:rPr>
          <w:b w:val="0"/>
          <w:color w:val="auto"/>
          <w:spacing w:val="0"/>
          <w:szCs w:val="24"/>
        </w:rPr>
        <w:t xml:space="preserve">las </w:t>
      </w:r>
      <w:r w:rsidRPr="00A57CDD">
        <w:rPr>
          <w:b w:val="0"/>
          <w:color w:val="auto"/>
          <w:spacing w:val="0"/>
          <w:szCs w:val="24"/>
        </w:rPr>
        <w:t xml:space="preserve">necesidades de información derivadas de la coyuntura que generó la pandemia </w:t>
      </w:r>
      <w:r w:rsidR="000F0756">
        <w:rPr>
          <w:b w:val="0"/>
          <w:color w:val="auto"/>
          <w:spacing w:val="0"/>
          <w:szCs w:val="24"/>
        </w:rPr>
        <w:t>por</w:t>
      </w:r>
      <w:r w:rsidRPr="00A57CDD">
        <w:rPr>
          <w:b w:val="0"/>
          <w:color w:val="auto"/>
          <w:spacing w:val="0"/>
          <w:szCs w:val="24"/>
        </w:rPr>
        <w:t xml:space="preserve"> la Covid-19</w:t>
      </w:r>
      <w:r w:rsidR="00842364">
        <w:rPr>
          <w:b w:val="0"/>
          <w:color w:val="auto"/>
          <w:spacing w:val="0"/>
          <w:szCs w:val="24"/>
        </w:rPr>
        <w:t xml:space="preserve">. Su </w:t>
      </w:r>
      <w:r w:rsidR="00D22AB5">
        <w:rPr>
          <w:b w:val="0"/>
          <w:color w:val="auto"/>
          <w:spacing w:val="0"/>
          <w:szCs w:val="24"/>
        </w:rPr>
        <w:t xml:space="preserve">propósito principal </w:t>
      </w:r>
      <w:r w:rsidR="00E47403">
        <w:rPr>
          <w:b w:val="0"/>
          <w:color w:val="auto"/>
          <w:spacing w:val="0"/>
          <w:szCs w:val="24"/>
        </w:rPr>
        <w:t>fue</w:t>
      </w:r>
      <w:r w:rsidR="00F95EBB">
        <w:rPr>
          <w:b w:val="0"/>
          <w:color w:val="auto"/>
          <w:spacing w:val="0"/>
          <w:szCs w:val="24"/>
        </w:rPr>
        <w:t xml:space="preserve"> </w:t>
      </w:r>
      <w:r w:rsidRPr="00A57CDD">
        <w:rPr>
          <w:b w:val="0"/>
          <w:color w:val="auto"/>
          <w:spacing w:val="0"/>
          <w:szCs w:val="24"/>
        </w:rPr>
        <w:t xml:space="preserve">reducir la incertidumbre </w:t>
      </w:r>
      <w:r w:rsidR="00F95EBB">
        <w:rPr>
          <w:b w:val="0"/>
          <w:color w:val="auto"/>
          <w:spacing w:val="0"/>
          <w:szCs w:val="24"/>
        </w:rPr>
        <w:t xml:space="preserve">en torno a los </w:t>
      </w:r>
      <w:r w:rsidRPr="00A57CDD">
        <w:rPr>
          <w:b w:val="0"/>
          <w:color w:val="auto"/>
          <w:spacing w:val="0"/>
          <w:szCs w:val="24"/>
        </w:rPr>
        <w:t>impactos económicos y sociales</w:t>
      </w:r>
      <w:r w:rsidR="00E21D89">
        <w:rPr>
          <w:b w:val="0"/>
          <w:color w:val="auto"/>
          <w:spacing w:val="0"/>
          <w:szCs w:val="24"/>
        </w:rPr>
        <w:t xml:space="preserve"> que se </w:t>
      </w:r>
      <w:r w:rsidR="00576AB6">
        <w:rPr>
          <w:b w:val="0"/>
          <w:color w:val="auto"/>
          <w:spacing w:val="0"/>
          <w:szCs w:val="24"/>
        </w:rPr>
        <w:t>suscitaron</w:t>
      </w:r>
      <w:r w:rsidRPr="00A57CDD">
        <w:rPr>
          <w:b w:val="0"/>
          <w:color w:val="auto"/>
          <w:spacing w:val="0"/>
          <w:szCs w:val="24"/>
        </w:rPr>
        <w:t>.</w:t>
      </w:r>
      <w:r w:rsidR="008E3CBF" w:rsidRPr="00A57CDD">
        <w:rPr>
          <w:b w:val="0"/>
          <w:color w:val="auto"/>
          <w:spacing w:val="0"/>
          <w:szCs w:val="24"/>
        </w:rPr>
        <w:t xml:space="preserve"> </w:t>
      </w:r>
      <w:r w:rsidR="004C04A4" w:rsidRPr="00A57CDD">
        <w:rPr>
          <w:b w:val="0"/>
          <w:color w:val="auto"/>
          <w:spacing w:val="0"/>
          <w:szCs w:val="24"/>
        </w:rPr>
        <w:t>U</w:t>
      </w:r>
      <w:r w:rsidRPr="00A57CDD">
        <w:rPr>
          <w:b w:val="0"/>
          <w:color w:val="auto"/>
          <w:spacing w:val="0"/>
          <w:szCs w:val="24"/>
        </w:rPr>
        <w:t xml:space="preserve">na vez superada dicha coyuntura, la generación de información económica desagregada puede continuar atendiéndose por las vías tradicionales, por lo que </w:t>
      </w:r>
      <w:r w:rsidR="00914C34">
        <w:rPr>
          <w:b w:val="0"/>
          <w:color w:val="auto"/>
          <w:spacing w:val="0"/>
          <w:szCs w:val="24"/>
        </w:rPr>
        <w:t xml:space="preserve">los indicadores </w:t>
      </w:r>
      <w:r w:rsidR="001F71F3">
        <w:rPr>
          <w:b w:val="0"/>
          <w:color w:val="auto"/>
          <w:spacing w:val="0"/>
          <w:szCs w:val="24"/>
        </w:rPr>
        <w:t xml:space="preserve">de este comunicado </w:t>
      </w:r>
      <w:r w:rsidRPr="00A57CDD">
        <w:rPr>
          <w:b w:val="0"/>
          <w:color w:val="auto"/>
          <w:spacing w:val="0"/>
          <w:szCs w:val="24"/>
        </w:rPr>
        <w:t>se deja</w:t>
      </w:r>
      <w:r w:rsidR="00737707">
        <w:rPr>
          <w:b w:val="0"/>
          <w:color w:val="auto"/>
          <w:spacing w:val="0"/>
          <w:szCs w:val="24"/>
        </w:rPr>
        <w:t>rá</w:t>
      </w:r>
      <w:r w:rsidRPr="00A57CDD">
        <w:rPr>
          <w:b w:val="0"/>
          <w:color w:val="auto"/>
          <w:spacing w:val="0"/>
          <w:szCs w:val="24"/>
        </w:rPr>
        <w:t>n de publicar</w:t>
      </w:r>
      <w:r w:rsidR="001F71F3">
        <w:rPr>
          <w:b w:val="0"/>
          <w:color w:val="auto"/>
          <w:spacing w:val="0"/>
          <w:szCs w:val="24"/>
        </w:rPr>
        <w:t>,</w:t>
      </w:r>
      <w:r w:rsidRPr="00A57CDD">
        <w:rPr>
          <w:b w:val="0"/>
          <w:color w:val="auto"/>
          <w:spacing w:val="0"/>
          <w:szCs w:val="24"/>
        </w:rPr>
        <w:t xml:space="preserve"> toda vez que han cumplido su ciclo.</w:t>
      </w:r>
    </w:p>
    <w:p w14:paraId="60FC0244" w14:textId="77777777" w:rsidR="00036E61" w:rsidRPr="008E3CBF" w:rsidRDefault="00036E61" w:rsidP="00A57CDD">
      <w:pPr>
        <w:spacing w:before="360"/>
        <w:rPr>
          <w:b/>
          <w:smallCaps/>
        </w:rPr>
      </w:pPr>
      <w:r w:rsidRPr="008E3CBF">
        <w:rPr>
          <w:b/>
          <w:smallCaps/>
        </w:rPr>
        <w:t>Nota metodológica</w:t>
      </w:r>
    </w:p>
    <w:p w14:paraId="1941C0F6" w14:textId="79F95418" w:rsidR="00047A11" w:rsidRDefault="00036E61" w:rsidP="00047A11">
      <w:pPr>
        <w:spacing w:before="240"/>
      </w:pPr>
      <w:r w:rsidRPr="00AD244E">
        <w:t>El Instituto Nacional de Estadística y Geografía (INEGI)</w:t>
      </w:r>
      <w:r w:rsidRPr="00077B91">
        <w:rPr>
          <w:sz w:val="22"/>
          <w:szCs w:val="22"/>
        </w:rPr>
        <w:t xml:space="preserve"> </w:t>
      </w:r>
      <w:r>
        <w:t>presenta los resultados de un ejercicio de estadísticas experimentales para la Desagregación Sectorial del IOAE, a partir de su vinculación con un modelo de multiplicadores contables basado en la Matriz de Contabilidad Social de México (MCSM).</w:t>
      </w:r>
      <w:r w:rsidR="00047A11" w:rsidRPr="00047A11">
        <w:t xml:space="preserve"> </w:t>
      </w:r>
      <w:r w:rsidR="00047A11">
        <w:t>Estos indicadores permiten tener una idea de los cambios en los niveles de actividad económica con mucha oportunidad. Así, m</w:t>
      </w:r>
      <w:r w:rsidR="00047A11" w:rsidRPr="00743F7D">
        <w:t xml:space="preserve">ientras </w:t>
      </w:r>
      <w:r w:rsidR="00047A11">
        <w:t xml:space="preserve">que </w:t>
      </w:r>
      <w:r w:rsidR="00047A11" w:rsidRPr="00743F7D">
        <w:t>el I</w:t>
      </w:r>
      <w:r w:rsidR="00047A11">
        <w:t xml:space="preserve">ndicador </w:t>
      </w:r>
      <w:r w:rsidR="00047A11" w:rsidRPr="00743F7D">
        <w:t>G</w:t>
      </w:r>
      <w:r w:rsidR="00047A11">
        <w:t xml:space="preserve">lobal de la </w:t>
      </w:r>
      <w:r w:rsidR="00047A11" w:rsidRPr="00743F7D">
        <w:t>A</w:t>
      </w:r>
      <w:r w:rsidR="00047A11">
        <w:t xml:space="preserve">ctividad </w:t>
      </w:r>
      <w:r w:rsidR="00047A11" w:rsidRPr="00743F7D">
        <w:t>E</w:t>
      </w:r>
      <w:r w:rsidR="00047A11">
        <w:t>conómica (IGAE)</w:t>
      </w:r>
      <w:r w:rsidR="00047A11" w:rsidRPr="00743F7D">
        <w:t xml:space="preserve"> y sus componentes se dan a conocer aproximadamente </w:t>
      </w:r>
      <w:r w:rsidR="00047A11" w:rsidRPr="007339BC">
        <w:t xml:space="preserve">ocho </w:t>
      </w:r>
      <w:r w:rsidR="00047A11" w:rsidRPr="00743F7D">
        <w:t xml:space="preserve">semanas después de terminado el mes de referencia, </w:t>
      </w:r>
      <w:r w:rsidR="00047A11">
        <w:t xml:space="preserve">la Desagregación Sectorial del IOAE </w:t>
      </w:r>
      <w:r w:rsidR="00047A11" w:rsidRPr="00743F7D">
        <w:t xml:space="preserve">presenta sus estimaciones </w:t>
      </w:r>
      <w:r w:rsidR="00047A11">
        <w:t>cuatro</w:t>
      </w:r>
      <w:r w:rsidR="00047A11" w:rsidRPr="00743F7D">
        <w:t xml:space="preserve"> semanas después del cierre del mes, adelantándose en </w:t>
      </w:r>
      <w:r w:rsidR="00047A11">
        <w:t>cuatro</w:t>
      </w:r>
      <w:r w:rsidR="00047A11" w:rsidRPr="00743F7D">
        <w:t xml:space="preserve"> semanas a la salida </w:t>
      </w:r>
      <w:r w:rsidR="00047A11">
        <w:t>del IGAE</w:t>
      </w:r>
      <w:r w:rsidR="00047A11" w:rsidRPr="00743F7D">
        <w:t>.</w:t>
      </w:r>
      <w:r w:rsidR="00047A11">
        <w:t xml:space="preserve"> Estos indicadores se publican para el último mes de cada trimestre.</w:t>
      </w:r>
    </w:p>
    <w:p w14:paraId="2011B26F" w14:textId="158AD6D0" w:rsidR="00036E61" w:rsidRPr="00002909" w:rsidRDefault="00036E61" w:rsidP="00036E61">
      <w:pPr>
        <w:spacing w:before="240"/>
      </w:pPr>
      <w:r w:rsidRPr="00002909">
        <w:t xml:space="preserve">La </w:t>
      </w:r>
      <w:r>
        <w:t>MCSM</w:t>
      </w:r>
      <w:r w:rsidRPr="00002909">
        <w:t xml:space="preserve"> se vincula con las estimaciones </w:t>
      </w:r>
      <w:r>
        <w:t xml:space="preserve">macroeconómicas </w:t>
      </w:r>
      <w:r w:rsidRPr="00002909">
        <w:t xml:space="preserve">del modelo </w:t>
      </w:r>
      <w:r>
        <w:t>IOAE</w:t>
      </w:r>
      <w:r w:rsidRPr="00002909">
        <w:t xml:space="preserve"> y </w:t>
      </w:r>
      <w:r>
        <w:t>permite</w:t>
      </w:r>
      <w:r w:rsidRPr="00002909">
        <w:t xml:space="preserve"> </w:t>
      </w:r>
      <w:r>
        <w:t xml:space="preserve">desagregar </w:t>
      </w:r>
      <w:r w:rsidRPr="00002909">
        <w:t xml:space="preserve">las variaciones </w:t>
      </w:r>
      <w:r>
        <w:t>calculada</w:t>
      </w:r>
      <w:r w:rsidRPr="00002909">
        <w:t>s</w:t>
      </w:r>
      <w:r>
        <w:t xml:space="preserve"> en el IGAE y los grandes sectores de actividad que este reporta. Tiene un mayor detalle sectorial e identifica su relación con las variaciones del empleo formal por nivel de ingresos y por tamaño del establecimiento</w:t>
      </w:r>
      <w:r w:rsidRPr="00002909">
        <w:t>.</w:t>
      </w:r>
      <w:r>
        <w:t xml:space="preserve"> Los resultados se presentan para </w:t>
      </w:r>
      <w:r w:rsidRPr="009D205A">
        <w:t>86</w:t>
      </w:r>
      <w:r>
        <w:t xml:space="preserve"> actividades económicas clasificadas según el </w:t>
      </w:r>
      <w:r w:rsidR="00F32556">
        <w:t>«</w:t>
      </w:r>
      <w:r>
        <w:t>Sistema de Clasificación Industrial de América del Norte</w:t>
      </w:r>
      <w:r w:rsidR="00F32556">
        <w:t>»</w:t>
      </w:r>
      <w:r>
        <w:t xml:space="preserve"> (SCIAN). </w:t>
      </w:r>
    </w:p>
    <w:p w14:paraId="61F720B1" w14:textId="7930B852" w:rsidR="00036E61" w:rsidRPr="00366C37" w:rsidRDefault="00036E61" w:rsidP="00036E61">
      <w:pPr>
        <w:spacing w:before="240"/>
      </w:pPr>
      <w:r>
        <w:t>Estos resultados se obtienen mediante un enfoque de modelación económica. En este, l</w:t>
      </w:r>
      <w:r w:rsidRPr="00366C37">
        <w:t>a MCS</w:t>
      </w:r>
      <w:r>
        <w:t>M</w:t>
      </w:r>
      <w:r w:rsidRPr="00366C37">
        <w:t xml:space="preserve"> </w:t>
      </w:r>
      <w:r>
        <w:t xml:space="preserve">se convierte </w:t>
      </w:r>
      <w:r w:rsidRPr="00366C37">
        <w:t>en un sistema que transforma choques exógenos (tales como modificaciones en la demanda externa, en el consumo</w:t>
      </w:r>
      <w:r>
        <w:t>, inversión</w:t>
      </w:r>
      <w:r w:rsidRPr="00366C37">
        <w:t>, remesas y otros) en variaciones de los niveles de actividad de las industrias del país</w:t>
      </w:r>
      <w:r>
        <w:t>. Este modelo funciona bajo el supuesto de que la estructura de precios relativos</w:t>
      </w:r>
      <w:r w:rsidR="00560C9C">
        <w:t xml:space="preserve"> es </w:t>
      </w:r>
      <w:r>
        <w:t xml:space="preserve">constante durante el periodo de estudio. También asume que las estructuras de pagos de los sectores institucionales mantienen las proporciones observadas en la MCSM de 2018. Esta se usa como base porque es la más reciente disponible. </w:t>
      </w:r>
    </w:p>
    <w:p w14:paraId="71B00A02" w14:textId="77777777" w:rsidR="003C3F9D" w:rsidRDefault="00036E61" w:rsidP="006D72D7">
      <w:pPr>
        <w:keepLines/>
        <w:widowControl w:val="0"/>
        <w:spacing w:before="240"/>
      </w:pPr>
      <w:r>
        <w:lastRenderedPageBreak/>
        <w:t>Dentro de</w:t>
      </w:r>
      <w:r w:rsidRPr="00366C37">
        <w:t xml:space="preserve"> la estructura de la </w:t>
      </w:r>
      <w:r>
        <w:t>MCSM de 2018</w:t>
      </w:r>
      <w:r w:rsidRPr="00366C37">
        <w:t xml:space="preserve"> se introducen cambios en la demanda final de bienes y servicios</w:t>
      </w:r>
      <w:r>
        <w:t>, lo que lleva al sistema a encontrar un nuevo punto de equilibrio</w:t>
      </w:r>
      <w:r w:rsidRPr="00366C37">
        <w:t xml:space="preserve">. Estas modificaciones se derivan y armonizan con las estimaciones macroeconómicas del </w:t>
      </w:r>
      <w:r w:rsidRPr="00077B91">
        <w:t>IOAE</w:t>
      </w:r>
      <w:r>
        <w:t xml:space="preserve"> y permiten una visión más detallada </w:t>
      </w:r>
      <w:r w:rsidRPr="00366C37">
        <w:t xml:space="preserve">de los niveles de producción, generación de valor agregado, empleo y otras variables económicas. </w:t>
      </w:r>
      <w:r>
        <w:t xml:space="preserve">Nótese </w:t>
      </w:r>
      <w:r w:rsidRPr="00366C37">
        <w:t xml:space="preserve">que estas estimaciones incluyen los efectos directos e indirectos inducidos por los choques de oferta y demanda </w:t>
      </w:r>
      <w:r>
        <w:t xml:space="preserve">que se introducen </w:t>
      </w:r>
      <w:r w:rsidRPr="00366C37">
        <w:t>en el modelo</w:t>
      </w:r>
      <w:r>
        <w:t xml:space="preserve"> y se obtienen, </w:t>
      </w:r>
      <w:r w:rsidRPr="00366C37">
        <w:t xml:space="preserve">principalmente, de los resultados del </w:t>
      </w:r>
      <w:r w:rsidRPr="00077B91">
        <w:t>IOAE</w:t>
      </w:r>
      <w:r w:rsidRPr="00366C37">
        <w:t xml:space="preserve">. </w:t>
      </w:r>
    </w:p>
    <w:p w14:paraId="115053D6" w14:textId="14E16198" w:rsidR="00036E61" w:rsidRDefault="00036E61" w:rsidP="003C3F9D">
      <w:pPr>
        <w:widowControl w:val="0"/>
        <w:spacing w:before="240"/>
      </w:pPr>
      <w:r>
        <w:t>Para la estimación de los choques de demanda final</w:t>
      </w:r>
      <w:r w:rsidR="00BD18CC">
        <w:t>,</w:t>
      </w:r>
      <w:r>
        <w:t xml:space="preserve"> se utiliza la información disponible del </w:t>
      </w:r>
      <w:r w:rsidRPr="00707171">
        <w:t>Indicador Mensual del Consumo Privado en el Mercado Interior (IMCPMI)</w:t>
      </w:r>
      <w:r>
        <w:t xml:space="preserve">, del </w:t>
      </w:r>
      <w:r w:rsidRPr="00707171">
        <w:t>Indicador Mensual de la Formación Bruta de Capital Fijo (IMFBCF)</w:t>
      </w:r>
      <w:r>
        <w:t xml:space="preserve">, de la </w:t>
      </w:r>
      <w:r w:rsidRPr="00707171">
        <w:t>Encuesta Mensual sobre Empresas Comerciales (EMEC)</w:t>
      </w:r>
      <w:r>
        <w:t>, de la Encuesta Mensual de Servicios (EMS)</w:t>
      </w:r>
      <w:r w:rsidR="00975780">
        <w:t xml:space="preserve"> y</w:t>
      </w:r>
      <w:r>
        <w:t xml:space="preserve"> del </w:t>
      </w:r>
      <w:r w:rsidRPr="00707171">
        <w:t>Registro Administrativo de la Industria Automotriz de Vehículos Ligeros (RAIAVL)</w:t>
      </w:r>
      <w:r w:rsidR="00975780">
        <w:t xml:space="preserve">. También se utiliza </w:t>
      </w:r>
      <w:r>
        <w:t>información oportuna publicada por otras instituciones y asociaciones del país.</w:t>
      </w:r>
    </w:p>
    <w:p w14:paraId="51ACEB9E" w14:textId="327CD0D6" w:rsidR="00036E61" w:rsidRPr="002F02CE" w:rsidRDefault="00036E61" w:rsidP="003C3F9D">
      <w:pPr>
        <w:spacing w:before="240"/>
      </w:pPr>
      <w:r w:rsidRPr="002F02CE">
        <w:t>La vinculación del modelo de la MCSM con los resultados de la Encuesta Nacional de Ocupación y Empleo (ENOE) da como resultado la estimación de variaciones en los niveles de empleo formal</w:t>
      </w:r>
      <w:r>
        <w:t xml:space="preserve">. Esta detalla </w:t>
      </w:r>
      <w:r w:rsidRPr="002F02CE">
        <w:t xml:space="preserve">el nivel de ingresos, tamaño de las empresas y distribución geográfica de </w:t>
      </w:r>
      <w:r w:rsidR="00266136">
        <w:t xml:space="preserve">las y </w:t>
      </w:r>
      <w:r w:rsidRPr="002F02CE">
        <w:t>los trabajadores.</w:t>
      </w:r>
    </w:p>
    <w:p w14:paraId="71D7F30C" w14:textId="0AC76EE4" w:rsidR="00036E61" w:rsidRDefault="00036E61" w:rsidP="003C3F9D">
      <w:pPr>
        <w:spacing w:before="240"/>
      </w:pPr>
      <w:r>
        <w:t>P</w:t>
      </w:r>
      <w:r w:rsidRPr="002F02CE">
        <w:t>ara efectos de esta aplicación</w:t>
      </w:r>
      <w:r>
        <w:t>, l</w:t>
      </w:r>
      <w:r w:rsidRPr="002F02CE">
        <w:t xml:space="preserve">a compatibilización entre los clasificadores del SCIAN en la cuenta de producción de la MCSM y el clasificador en la ENOE se realizó tratando de obtener la máxima desagregación posible. En consecuencia, se buscó que cada actividad resultante tuviera un número suficiente de observaciones en la ENOE, de manera que sus resultados fueran más robustos. </w:t>
      </w:r>
    </w:p>
    <w:p w14:paraId="04940DB9" w14:textId="0CB8960D" w:rsidR="00036E61" w:rsidRDefault="00036E61" w:rsidP="003C3F9D">
      <w:pPr>
        <w:spacing w:before="240"/>
      </w:pPr>
      <w:r>
        <w:t>Con base en lo anterior, algunas actividades se mantuvieron a nivel de rama (cuatro dígitos del SCIAN) y otras a nivel de subsector (tres dígitos del SCIAN). En ciertos casos se realizaron agrupaciones de ramas dentro de un subsector, sin que se agregara al subsector completo. Este es el caso del subsector 611, dentro del cual se creó un grupo con las actividades 6114 a la 6117</w:t>
      </w:r>
      <w:r w:rsidR="00DE2736">
        <w:t>:</w:t>
      </w:r>
      <w:r>
        <w:t xml:space="preserve"> </w:t>
      </w:r>
      <w:r w:rsidR="00162E33">
        <w:t>«</w:t>
      </w:r>
      <w:r>
        <w:t>6114-6117</w:t>
      </w:r>
      <w:r w:rsidR="00162E33">
        <w:t>»</w:t>
      </w:r>
      <w:r>
        <w:t xml:space="preserve">. </w:t>
      </w:r>
    </w:p>
    <w:p w14:paraId="3EDF1726" w14:textId="4DABFD17" w:rsidR="00036E61" w:rsidRDefault="00036E61" w:rsidP="003C3F9D">
      <w:pPr>
        <w:spacing w:before="240"/>
      </w:pPr>
      <w:r>
        <w:t>Otras actividades del mismo subsector 611, como son la 6111, 6112 y 6113</w:t>
      </w:r>
      <w:r w:rsidR="00162E33">
        <w:t>,</w:t>
      </w:r>
      <w:r>
        <w:t xml:space="preserve"> pueden estudiarse por separado, ya que presentan suficientes observaciones de forma individual. Cuando se desagrega un subsector en grupos de actividades que no son consecutivas, se aplican comas en las etiquetas, como el caso del conjunto «5611, 5613, 5614, 5619». </w:t>
      </w:r>
    </w:p>
    <w:p w14:paraId="0F87D557" w14:textId="36D3FEE5" w:rsidR="00036E61" w:rsidRDefault="00036E61" w:rsidP="003C3F9D">
      <w:pPr>
        <w:widowControl w:val="0"/>
        <w:spacing w:before="240"/>
      </w:pPr>
      <w:r w:rsidRPr="00366C37">
        <w:t>De esta manera, se estimaron elasticidades producción-empleos específic</w:t>
      </w:r>
      <w:r w:rsidR="00162E33">
        <w:t>a</w:t>
      </w:r>
      <w:r w:rsidRPr="00366C37">
        <w:t>s de cada actividad, es decir, una razón que muestra los cambios porcentuales del empleo asociado a cambios porcentuales de</w:t>
      </w:r>
      <w:r>
        <w:t>l</w:t>
      </w:r>
      <w:r w:rsidRPr="00366C37">
        <w:t xml:space="preserve"> </w:t>
      </w:r>
      <w:r>
        <w:t xml:space="preserve">valor bruto de la </w:t>
      </w:r>
      <w:r w:rsidRPr="00366C37">
        <w:t>producción</w:t>
      </w:r>
      <w:r>
        <w:t xml:space="preserve"> del sector</w:t>
      </w:r>
      <w:r w:rsidRPr="00366C37">
        <w:t>. Esos datos se desagregaron por tamaño de unidad económica, nivel salarial y entidad federativa</w:t>
      </w:r>
      <w:r>
        <w:t xml:space="preserve"> con base en la estructura observada en la ENOE</w:t>
      </w:r>
      <w:r w:rsidRPr="00366C37">
        <w:t>.</w:t>
      </w:r>
    </w:p>
    <w:p w14:paraId="6910177C" w14:textId="77777777" w:rsidR="00036E61" w:rsidRDefault="00036E61" w:rsidP="00036E61">
      <w:pPr>
        <w:spacing w:before="240" w:after="120"/>
      </w:pPr>
      <w:r>
        <w:t xml:space="preserve">Nótese que esta </w:t>
      </w:r>
      <w:r w:rsidRPr="00B414D2">
        <w:t xml:space="preserve">Desagregación Sectorial del </w:t>
      </w:r>
      <w:r>
        <w:t xml:space="preserve">IOAE resulta de la aplicación de un modelo y en ningún sentido busca reemplazar la información que proviene de fuentes tradicionales </w:t>
      </w:r>
      <w:r>
        <w:lastRenderedPageBreak/>
        <w:t>producidas o usadas por el INEGI, tales como las Cuentas Nacionales, los censos, las encuestas y los registros administrativos. Por el contrario, con estos cálculos se busca generar un reporte más oportuno de aspectos importantes del acontecer económico del país en la coyuntura. Estos serán objeto de reportes oficiales más precisos, semanas o meses más tarde.</w:t>
      </w:r>
    </w:p>
    <w:p w14:paraId="2961E8AF" w14:textId="77777777" w:rsidR="00036E61" w:rsidRDefault="00036E61" w:rsidP="00036E61">
      <w:pPr>
        <w:spacing w:before="240" w:after="120"/>
      </w:pPr>
      <w:r>
        <w:t>El INEGI genera l</w:t>
      </w:r>
      <w:r w:rsidRPr="00FC70C5">
        <w:t xml:space="preserve">a información contenida en este documento </w:t>
      </w:r>
      <w:r w:rsidRPr="00DE1840">
        <w:rPr>
          <w:lang w:val="es-MX"/>
        </w:rPr>
        <w:t xml:space="preserve">y </w:t>
      </w:r>
      <w:r>
        <w:rPr>
          <w:lang w:val="es-MX"/>
        </w:rPr>
        <w:t>la</w:t>
      </w:r>
      <w:r w:rsidRPr="00DE1840">
        <w:rPr>
          <w:lang w:val="es-MX"/>
        </w:rPr>
        <w:t xml:space="preserve"> da a conocer </w:t>
      </w:r>
      <w:r>
        <w:rPr>
          <w:lang w:val="es-MX"/>
        </w:rPr>
        <w:t xml:space="preserve">según </w:t>
      </w:r>
      <w:r w:rsidRPr="00DE1840">
        <w:rPr>
          <w:lang w:val="es-MX"/>
        </w:rPr>
        <w:t xml:space="preserve">el Calendario de </w:t>
      </w:r>
      <w:r>
        <w:rPr>
          <w:lang w:val="es-MX"/>
        </w:rPr>
        <w:t>D</w:t>
      </w:r>
      <w:r w:rsidRPr="00DE1840">
        <w:rPr>
          <w:lang w:val="es-MX"/>
        </w:rPr>
        <w:t xml:space="preserve">ifusión de </w:t>
      </w:r>
      <w:r>
        <w:rPr>
          <w:lang w:val="es-MX"/>
        </w:rPr>
        <w:t>I</w:t>
      </w:r>
      <w:r w:rsidRPr="00DE1840">
        <w:rPr>
          <w:lang w:val="es-MX"/>
        </w:rPr>
        <w:t xml:space="preserve">nformación </w:t>
      </w:r>
      <w:r>
        <w:rPr>
          <w:lang w:val="es-MX"/>
        </w:rPr>
        <w:t>E</w:t>
      </w:r>
      <w:r w:rsidRPr="00DE1840">
        <w:rPr>
          <w:lang w:val="es-MX"/>
        </w:rPr>
        <w:t xml:space="preserve">stadística y </w:t>
      </w:r>
      <w:r>
        <w:rPr>
          <w:lang w:val="es-MX"/>
        </w:rPr>
        <w:t>G</w:t>
      </w:r>
      <w:r w:rsidRPr="00DE1840">
        <w:rPr>
          <w:lang w:val="es-MX"/>
        </w:rPr>
        <w:t>eográfica y de Interés Nacional.</w:t>
      </w:r>
    </w:p>
    <w:p w14:paraId="4834B69B" w14:textId="278EDA1F" w:rsidR="00B1333D" w:rsidRPr="00763289" w:rsidRDefault="00036E61" w:rsidP="003C3F9D">
      <w:pPr>
        <w:spacing w:before="240"/>
        <w:rPr>
          <w:rStyle w:val="Hipervnculo"/>
          <w:color w:val="auto"/>
        </w:rPr>
      </w:pPr>
      <w:r w:rsidRPr="008515A1">
        <w:rPr>
          <w:lang w:val="es-MX"/>
        </w:rPr>
        <w:t>Los resultados detallados de la Desagregación Sectorial del IOAE pueden consultarse en la</w:t>
      </w:r>
      <w:r>
        <w:rPr>
          <w:lang w:val="es-MX"/>
        </w:rPr>
        <w:t> </w:t>
      </w:r>
      <w:r w:rsidRPr="008515A1">
        <w:rPr>
          <w:lang w:val="es-MX"/>
        </w:rPr>
        <w:t>página del</w:t>
      </w:r>
      <w:r>
        <w:rPr>
          <w:lang w:val="es-MX"/>
        </w:rPr>
        <w:t> </w:t>
      </w:r>
      <w:r w:rsidRPr="008515A1">
        <w:rPr>
          <w:lang w:val="es-MX"/>
        </w:rPr>
        <w:t>INEGI:</w:t>
      </w:r>
      <w:r w:rsidRPr="008515A1">
        <w:rPr>
          <w:spacing w:val="-48"/>
        </w:rPr>
        <w:t xml:space="preserve"> </w:t>
      </w:r>
      <w:hyperlink r:id="rId20" w:history="1">
        <w:r w:rsidRPr="00763289">
          <w:rPr>
            <w:rStyle w:val="Hipervnculo"/>
          </w:rPr>
          <w:t>https://www.inegi.org.mx/investigacion/mcsm/desagrega_sectorial/</w:t>
        </w:r>
      </w:hyperlink>
    </w:p>
    <w:sectPr w:rsidR="00B1333D" w:rsidRPr="00763289" w:rsidSect="004E5E4A">
      <w:headerReference w:type="default" r:id="rId21"/>
      <w:type w:val="continuous"/>
      <w:pgSz w:w="12242" w:h="15842" w:code="1"/>
      <w:pgMar w:top="2438" w:right="1418" w:bottom="1134" w:left="1134"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25A0" w14:textId="77777777" w:rsidR="008E6C9D" w:rsidRDefault="008E6C9D">
      <w:r>
        <w:separator/>
      </w:r>
    </w:p>
  </w:endnote>
  <w:endnote w:type="continuationSeparator" w:id="0">
    <w:p w14:paraId="511C1FA5" w14:textId="77777777" w:rsidR="008E6C9D" w:rsidRDefault="008E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4AD5" w14:textId="77777777" w:rsidR="00C54799" w:rsidRPr="006F2FBA" w:rsidRDefault="00C54799" w:rsidP="003076C4">
    <w:pPr>
      <w:pStyle w:val="Piedepgina"/>
      <w:jc w:val="center"/>
      <w:rPr>
        <w:b/>
        <w:color w:val="002060"/>
        <w:sz w:val="20"/>
        <w:szCs w:val="20"/>
        <w:lang w:val="es-MX"/>
      </w:rPr>
    </w:pPr>
    <w:r w:rsidRPr="006F2FB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AB5ED" w14:textId="77777777" w:rsidR="008E6C9D" w:rsidRDefault="008E6C9D">
      <w:r>
        <w:separator/>
      </w:r>
    </w:p>
  </w:footnote>
  <w:footnote w:type="continuationSeparator" w:id="0">
    <w:p w14:paraId="3C87CDE6" w14:textId="77777777" w:rsidR="008E6C9D" w:rsidRDefault="008E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6DFC" w14:textId="46A8B37E" w:rsidR="00C54799" w:rsidRDefault="00B36866" w:rsidP="00B36866">
    <w:pPr>
      <w:rPr>
        <w:noProof/>
        <w:lang w:val="es-MX" w:eastAsia="es-MX"/>
      </w:rPr>
    </w:pPr>
    <w:bookmarkStart w:id="4" w:name="_Hlk131511726"/>
    <w:r>
      <w:rPr>
        <w:noProof/>
        <w:lang w:eastAsia="es-MX"/>
      </w:rPr>
      <mc:AlternateContent>
        <mc:Choice Requires="wps">
          <w:drawing>
            <wp:anchor distT="45720" distB="45720" distL="114300" distR="114300" simplePos="0" relativeHeight="251659264" behindDoc="0" locked="0" layoutInCell="1" allowOverlap="1" wp14:anchorId="43AB0975" wp14:editId="006AA77E">
              <wp:simplePos x="0" y="0"/>
              <wp:positionH relativeFrom="margin">
                <wp:posOffset>2851785</wp:posOffset>
              </wp:positionH>
              <wp:positionV relativeFrom="paragraph">
                <wp:posOffset>-93345</wp:posOffset>
              </wp:positionV>
              <wp:extent cx="3381375" cy="838200"/>
              <wp:effectExtent l="0" t="0" r="952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838200"/>
                      </a:xfrm>
                      <a:prstGeom prst="rect">
                        <a:avLst/>
                      </a:prstGeom>
                      <a:solidFill>
                        <a:srgbClr val="FFFFFF"/>
                      </a:solidFill>
                      <a:ln w="9525">
                        <a:noFill/>
                        <a:miter lim="800000"/>
                        <a:headEnd/>
                        <a:tailEnd/>
                      </a:ln>
                    </wps:spPr>
                    <wps:txbx>
                      <w:txbxContent>
                        <w:p w14:paraId="678F293A" w14:textId="747CC4B6" w:rsidR="00B36866" w:rsidRPr="00306ECD" w:rsidRDefault="00B36866" w:rsidP="00B36866">
                          <w:pPr>
                            <w:pStyle w:val="Encabezado"/>
                            <w:ind w:left="-142" w:right="49" w:hanging="142"/>
                            <w:jc w:val="right"/>
                            <w:rPr>
                              <w:b/>
                              <w:color w:val="002060"/>
                              <w:lang w:val="pt-BR"/>
                            </w:rPr>
                          </w:pPr>
                          <w:r w:rsidRPr="00306ECD">
                            <w:rPr>
                              <w:b/>
                              <w:color w:val="002060"/>
                            </w:rPr>
                            <w:t xml:space="preserve">COMUNICADO DE PRENSA NÚM. </w:t>
                          </w:r>
                          <w:r w:rsidR="0091589C">
                            <w:rPr>
                              <w:b/>
                              <w:color w:val="002060"/>
                            </w:rPr>
                            <w:t>205</w:t>
                          </w:r>
                          <w:r w:rsidRPr="00306ECD">
                            <w:rPr>
                              <w:b/>
                              <w:color w:val="002060"/>
                            </w:rPr>
                            <w:t>/2</w:t>
                          </w:r>
                          <w:r>
                            <w:rPr>
                              <w:b/>
                              <w:color w:val="002060"/>
                            </w:rPr>
                            <w:t>3</w:t>
                          </w:r>
                        </w:p>
                        <w:p w14:paraId="7A2D8C4E" w14:textId="16201EE9" w:rsidR="00B36866" w:rsidRPr="00306ECD" w:rsidRDefault="00BB604C" w:rsidP="00B36866">
                          <w:pPr>
                            <w:pStyle w:val="Encabezado"/>
                            <w:ind w:left="-567" w:right="49"/>
                            <w:jc w:val="right"/>
                            <w:rPr>
                              <w:b/>
                              <w:color w:val="002060"/>
                              <w:lang w:val="pt-BR"/>
                            </w:rPr>
                          </w:pPr>
                          <w:r>
                            <w:rPr>
                              <w:b/>
                              <w:color w:val="002060"/>
                              <w:lang w:val="pt-BR"/>
                            </w:rPr>
                            <w:t>2</w:t>
                          </w:r>
                          <w:r w:rsidR="00B36866">
                            <w:rPr>
                              <w:b/>
                              <w:color w:val="002060"/>
                              <w:lang w:val="pt-BR"/>
                            </w:rPr>
                            <w:t xml:space="preserve">6 </w:t>
                          </w:r>
                          <w:r w:rsidR="00B36866" w:rsidRPr="00306ECD">
                            <w:rPr>
                              <w:b/>
                              <w:color w:val="002060"/>
                              <w:lang w:val="pt-BR"/>
                            </w:rPr>
                            <w:t xml:space="preserve">DE </w:t>
                          </w:r>
                          <w:r w:rsidR="00B36866">
                            <w:rPr>
                              <w:b/>
                              <w:color w:val="002060"/>
                              <w:lang w:val="pt-BR"/>
                            </w:rPr>
                            <w:t xml:space="preserve">ABRIL </w:t>
                          </w:r>
                          <w:r w:rsidR="00B36866" w:rsidRPr="00306ECD">
                            <w:rPr>
                              <w:b/>
                              <w:color w:val="002060"/>
                              <w:lang w:val="pt-BR"/>
                            </w:rPr>
                            <w:t>DE 202</w:t>
                          </w:r>
                          <w:r w:rsidR="00B36866">
                            <w:rPr>
                              <w:b/>
                              <w:color w:val="002060"/>
                              <w:lang w:val="pt-BR"/>
                            </w:rPr>
                            <w:t>3</w:t>
                          </w:r>
                        </w:p>
                        <w:p w14:paraId="406C7E4D" w14:textId="3B1E059A" w:rsidR="00B36866" w:rsidRDefault="00B36866" w:rsidP="00B36866">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8250DB">
                            <w:rPr>
                              <w:b/>
                              <w:color w:val="002060"/>
                            </w:rPr>
                            <w:t>8</w:t>
                          </w:r>
                        </w:p>
                        <w:p w14:paraId="1D363474" w14:textId="77777777" w:rsidR="00B36866" w:rsidRPr="00794C57" w:rsidRDefault="00B36866" w:rsidP="00B3686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AB0975" id="_x0000_t202" coordsize="21600,21600" o:spt="202" path="m,l,21600r21600,l21600,xe">
              <v:stroke joinstyle="miter"/>
              <v:path gradientshapeok="t" o:connecttype="rect"/>
            </v:shapetype>
            <v:shape id="Cuadro de texto 2" o:spid="_x0000_s1026" type="#_x0000_t202" style="position:absolute;left:0;text-align:left;margin-left:224.55pt;margin-top:-7.35pt;width:266.25pt;height: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" stroked="f">
              <v:textbox>
                <w:txbxContent>
                  <w:p w14:paraId="678F293A" w14:textId="747CC4B6" w:rsidR="00B36866" w:rsidRPr="00306ECD" w:rsidRDefault="00B36866" w:rsidP="00B36866">
                    <w:pPr>
                      <w:pStyle w:val="Encabezado"/>
                      <w:ind w:left="-142" w:right="49" w:hanging="142"/>
                      <w:jc w:val="right"/>
                      <w:rPr>
                        <w:b/>
                        <w:color w:val="002060"/>
                        <w:lang w:val="pt-BR"/>
                      </w:rPr>
                    </w:pPr>
                    <w:r w:rsidRPr="00306ECD">
                      <w:rPr>
                        <w:b/>
                        <w:color w:val="002060"/>
                      </w:rPr>
                      <w:t xml:space="preserve">COMUNICADO DE PRENSA NÚM. </w:t>
                    </w:r>
                    <w:r w:rsidR="0091589C">
                      <w:rPr>
                        <w:b/>
                        <w:color w:val="002060"/>
                      </w:rPr>
                      <w:t>205</w:t>
                    </w:r>
                    <w:r w:rsidRPr="00306ECD">
                      <w:rPr>
                        <w:b/>
                        <w:color w:val="002060"/>
                      </w:rPr>
                      <w:t>/2</w:t>
                    </w:r>
                    <w:r>
                      <w:rPr>
                        <w:b/>
                        <w:color w:val="002060"/>
                      </w:rPr>
                      <w:t>3</w:t>
                    </w:r>
                  </w:p>
                  <w:p w14:paraId="7A2D8C4E" w14:textId="16201EE9" w:rsidR="00B36866" w:rsidRPr="00306ECD" w:rsidRDefault="00BB604C" w:rsidP="00B36866">
                    <w:pPr>
                      <w:pStyle w:val="Encabezado"/>
                      <w:ind w:left="-567" w:right="49"/>
                      <w:jc w:val="right"/>
                      <w:rPr>
                        <w:b/>
                        <w:color w:val="002060"/>
                        <w:lang w:val="pt-BR"/>
                      </w:rPr>
                    </w:pPr>
                    <w:r>
                      <w:rPr>
                        <w:b/>
                        <w:color w:val="002060"/>
                        <w:lang w:val="pt-BR"/>
                      </w:rPr>
                      <w:t>2</w:t>
                    </w:r>
                    <w:r w:rsidR="00B36866">
                      <w:rPr>
                        <w:b/>
                        <w:color w:val="002060"/>
                        <w:lang w:val="pt-BR"/>
                      </w:rPr>
                      <w:t xml:space="preserve">6 </w:t>
                    </w:r>
                    <w:r w:rsidR="00B36866" w:rsidRPr="00306ECD">
                      <w:rPr>
                        <w:b/>
                        <w:color w:val="002060"/>
                        <w:lang w:val="pt-BR"/>
                      </w:rPr>
                      <w:t xml:space="preserve">DE </w:t>
                    </w:r>
                    <w:r w:rsidR="00B36866">
                      <w:rPr>
                        <w:b/>
                        <w:color w:val="002060"/>
                        <w:lang w:val="pt-BR"/>
                      </w:rPr>
                      <w:t xml:space="preserve">ABRIL </w:t>
                    </w:r>
                    <w:r w:rsidR="00B36866" w:rsidRPr="00306ECD">
                      <w:rPr>
                        <w:b/>
                        <w:color w:val="002060"/>
                        <w:lang w:val="pt-BR"/>
                      </w:rPr>
                      <w:t>DE 202</w:t>
                    </w:r>
                    <w:r w:rsidR="00B36866">
                      <w:rPr>
                        <w:b/>
                        <w:color w:val="002060"/>
                        <w:lang w:val="pt-BR"/>
                      </w:rPr>
                      <w:t>3</w:t>
                    </w:r>
                  </w:p>
                  <w:p w14:paraId="406C7E4D" w14:textId="3B1E059A" w:rsidR="00B36866" w:rsidRDefault="00B36866" w:rsidP="00B36866">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8250DB">
                      <w:rPr>
                        <w:b/>
                        <w:color w:val="002060"/>
                      </w:rPr>
                      <w:t>8</w:t>
                    </w:r>
                  </w:p>
                  <w:p w14:paraId="1D363474" w14:textId="77777777" w:rsidR="00B36866" w:rsidRPr="00794C57" w:rsidRDefault="00B36866" w:rsidP="00B36866">
                    <w:pPr>
                      <w:jc w:val="right"/>
                    </w:pPr>
                  </w:p>
                </w:txbxContent>
              </v:textbox>
              <w10:wrap type="square" anchorx="margin"/>
            </v:shape>
          </w:pict>
        </mc:Fallback>
      </mc:AlternateContent>
    </w:r>
    <w:bookmarkEnd w:id="4"/>
    <w:r w:rsidR="00C54799">
      <w:rPr>
        <w:noProof/>
        <w:lang w:val="es-MX" w:eastAsia="es-MX"/>
      </w:rPr>
      <w:drawing>
        <wp:inline distT="0" distB="0" distL="0" distR="0" wp14:anchorId="60F8F539" wp14:editId="14A201E2">
          <wp:extent cx="1000125" cy="980871"/>
          <wp:effectExtent l="0" t="0" r="0" b="0"/>
          <wp:docPr id="15" name="Imagen 1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8141" cy="9985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F31FE" w14:textId="77777777" w:rsidR="004E5E4A" w:rsidRDefault="004E5E4A" w:rsidP="004E5E4A">
    <w:pPr>
      <w:pStyle w:val="Encabezado"/>
      <w:jc w:val="center"/>
      <w:rPr>
        <w:noProof/>
        <w:lang w:val="es-MX" w:eastAsia="es-MX"/>
      </w:rPr>
    </w:pPr>
    <w:r>
      <w:rPr>
        <w:noProof/>
        <w:lang w:val="es-MX" w:eastAsia="es-MX"/>
      </w:rPr>
      <w:drawing>
        <wp:inline distT="0" distB="0" distL="0" distR="0" wp14:anchorId="716DCC04" wp14:editId="1C38A147">
          <wp:extent cx="1008000" cy="988597"/>
          <wp:effectExtent l="0" t="0" r="1905" b="2540"/>
          <wp:docPr id="1" name="Imagen 1"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alt="Forma&#10;&#10;Descripción generada automáticamente con confianza media" style="width:550.5pt;height:181.5pt;visibility:visible;mso-wrap-style:square" o:bullet="t">
        <v:imagedata r:id="rId1" o:title="Forma&#10;&#10;Descripción generada automáticamente con confianza media" croptop="14002f" cropbottom="48719f" cropleft="48001f" cropright="16902f"/>
      </v:shape>
    </w:pict>
  </w:numPicBullet>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AA52DF5"/>
    <w:multiLevelType w:val="hybridMultilevel"/>
    <w:tmpl w:val="AE220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E4635B"/>
    <w:multiLevelType w:val="singleLevel"/>
    <w:tmpl w:val="A744799E"/>
    <w:lvl w:ilvl="0">
      <w:numFmt w:val="decimal"/>
      <w:lvlText w:val="*"/>
      <w:lvlJc w:val="left"/>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9"/>
  </w:num>
  <w:num w:numId="12">
    <w:abstractNumId w:val="20"/>
  </w:num>
  <w:num w:numId="13">
    <w:abstractNumId w:val="21"/>
  </w:num>
  <w:num w:numId="14">
    <w:abstractNumId w:val="12"/>
  </w:num>
  <w:num w:numId="15">
    <w:abstractNumId w:val="9"/>
  </w:num>
  <w:num w:numId="16">
    <w:abstractNumId w:val="16"/>
  </w:num>
  <w:num w:numId="17">
    <w:abstractNumId w:val="11"/>
  </w:num>
  <w:num w:numId="18">
    <w:abstractNumId w:val="14"/>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10"/>
  </w:num>
  <w:num w:numId="23">
    <w:abstractNumId w:val="13"/>
  </w:num>
  <w:num w:numId="24">
    <w:abstractNumId w:val="15"/>
  </w:num>
  <w:num w:numId="25">
    <w:abstractNumId w:val="17"/>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59A"/>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15"/>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1D2"/>
    <w:rsid w:val="00015302"/>
    <w:rsid w:val="0001578F"/>
    <w:rsid w:val="00015CDC"/>
    <w:rsid w:val="00016590"/>
    <w:rsid w:val="00016B4E"/>
    <w:rsid w:val="00016D3A"/>
    <w:rsid w:val="00016EC7"/>
    <w:rsid w:val="0001718D"/>
    <w:rsid w:val="000176AC"/>
    <w:rsid w:val="00021432"/>
    <w:rsid w:val="00021492"/>
    <w:rsid w:val="000216A3"/>
    <w:rsid w:val="00022469"/>
    <w:rsid w:val="00022557"/>
    <w:rsid w:val="000228C4"/>
    <w:rsid w:val="00022CA3"/>
    <w:rsid w:val="00022D8E"/>
    <w:rsid w:val="00023091"/>
    <w:rsid w:val="00024146"/>
    <w:rsid w:val="00024AC7"/>
    <w:rsid w:val="00025B42"/>
    <w:rsid w:val="000260EE"/>
    <w:rsid w:val="000264C6"/>
    <w:rsid w:val="00026B3C"/>
    <w:rsid w:val="00026B52"/>
    <w:rsid w:val="0002754B"/>
    <w:rsid w:val="000300AA"/>
    <w:rsid w:val="00030480"/>
    <w:rsid w:val="0003065F"/>
    <w:rsid w:val="0003076D"/>
    <w:rsid w:val="00030D10"/>
    <w:rsid w:val="00031231"/>
    <w:rsid w:val="000314D3"/>
    <w:rsid w:val="00031BCF"/>
    <w:rsid w:val="00032970"/>
    <w:rsid w:val="00032B16"/>
    <w:rsid w:val="00033603"/>
    <w:rsid w:val="000337B6"/>
    <w:rsid w:val="00033A14"/>
    <w:rsid w:val="0003447A"/>
    <w:rsid w:val="00034BC3"/>
    <w:rsid w:val="00035253"/>
    <w:rsid w:val="00035376"/>
    <w:rsid w:val="000353F3"/>
    <w:rsid w:val="00035600"/>
    <w:rsid w:val="00035B2D"/>
    <w:rsid w:val="00035DA7"/>
    <w:rsid w:val="00036D72"/>
    <w:rsid w:val="00036E61"/>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2CA"/>
    <w:rsid w:val="0004596A"/>
    <w:rsid w:val="00045AF1"/>
    <w:rsid w:val="00045E9B"/>
    <w:rsid w:val="00046139"/>
    <w:rsid w:val="000465BF"/>
    <w:rsid w:val="00046822"/>
    <w:rsid w:val="00046AB6"/>
    <w:rsid w:val="00046D06"/>
    <w:rsid w:val="00046D37"/>
    <w:rsid w:val="000471BE"/>
    <w:rsid w:val="000471CD"/>
    <w:rsid w:val="0004735D"/>
    <w:rsid w:val="0004777C"/>
    <w:rsid w:val="00047A11"/>
    <w:rsid w:val="000501E0"/>
    <w:rsid w:val="00050934"/>
    <w:rsid w:val="000509AF"/>
    <w:rsid w:val="00050CE5"/>
    <w:rsid w:val="00050FB5"/>
    <w:rsid w:val="000516A0"/>
    <w:rsid w:val="000518C7"/>
    <w:rsid w:val="00051C72"/>
    <w:rsid w:val="00051D1C"/>
    <w:rsid w:val="00051D9E"/>
    <w:rsid w:val="00051F32"/>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2398"/>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B91"/>
    <w:rsid w:val="00077C46"/>
    <w:rsid w:val="0008027F"/>
    <w:rsid w:val="000806EB"/>
    <w:rsid w:val="0008084D"/>
    <w:rsid w:val="00080FB7"/>
    <w:rsid w:val="000814ED"/>
    <w:rsid w:val="0008175A"/>
    <w:rsid w:val="0008195B"/>
    <w:rsid w:val="000826F7"/>
    <w:rsid w:val="00082C9B"/>
    <w:rsid w:val="00082F11"/>
    <w:rsid w:val="0008325D"/>
    <w:rsid w:val="000834DD"/>
    <w:rsid w:val="000841A2"/>
    <w:rsid w:val="0008453D"/>
    <w:rsid w:val="00084687"/>
    <w:rsid w:val="00084A57"/>
    <w:rsid w:val="00084B45"/>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15"/>
    <w:rsid w:val="000A78BA"/>
    <w:rsid w:val="000A7BB1"/>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3F2"/>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40"/>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634"/>
    <w:rsid w:val="000E2970"/>
    <w:rsid w:val="000E3099"/>
    <w:rsid w:val="000E3BD8"/>
    <w:rsid w:val="000E3CC1"/>
    <w:rsid w:val="000E4B1F"/>
    <w:rsid w:val="000E5331"/>
    <w:rsid w:val="000E5526"/>
    <w:rsid w:val="000E5990"/>
    <w:rsid w:val="000E5D6B"/>
    <w:rsid w:val="000E5FE0"/>
    <w:rsid w:val="000E6D5D"/>
    <w:rsid w:val="000F0023"/>
    <w:rsid w:val="000F059E"/>
    <w:rsid w:val="000F05D5"/>
    <w:rsid w:val="000F0756"/>
    <w:rsid w:val="000F1DEB"/>
    <w:rsid w:val="000F30E6"/>
    <w:rsid w:val="000F3491"/>
    <w:rsid w:val="000F3DE6"/>
    <w:rsid w:val="000F44E7"/>
    <w:rsid w:val="000F49F1"/>
    <w:rsid w:val="000F4A72"/>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02"/>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2832"/>
    <w:rsid w:val="00132A96"/>
    <w:rsid w:val="0013431F"/>
    <w:rsid w:val="00134904"/>
    <w:rsid w:val="001349AB"/>
    <w:rsid w:val="00134B68"/>
    <w:rsid w:val="00134F4E"/>
    <w:rsid w:val="00134FB0"/>
    <w:rsid w:val="001350AC"/>
    <w:rsid w:val="001352EC"/>
    <w:rsid w:val="00135E0B"/>
    <w:rsid w:val="001361A8"/>
    <w:rsid w:val="001365A5"/>
    <w:rsid w:val="001368CC"/>
    <w:rsid w:val="00136ACB"/>
    <w:rsid w:val="001372CA"/>
    <w:rsid w:val="0013783C"/>
    <w:rsid w:val="00137AFD"/>
    <w:rsid w:val="00137E0F"/>
    <w:rsid w:val="0014012A"/>
    <w:rsid w:val="0014066F"/>
    <w:rsid w:val="00140AD8"/>
    <w:rsid w:val="00140BE4"/>
    <w:rsid w:val="001411DE"/>
    <w:rsid w:val="00141399"/>
    <w:rsid w:val="001418EF"/>
    <w:rsid w:val="00141A0B"/>
    <w:rsid w:val="00141AF4"/>
    <w:rsid w:val="001427B3"/>
    <w:rsid w:val="00142E09"/>
    <w:rsid w:val="0014377B"/>
    <w:rsid w:val="00143D3A"/>
    <w:rsid w:val="001440AA"/>
    <w:rsid w:val="00144C07"/>
    <w:rsid w:val="00145173"/>
    <w:rsid w:val="001455FA"/>
    <w:rsid w:val="0014594B"/>
    <w:rsid w:val="00145F65"/>
    <w:rsid w:val="001460DD"/>
    <w:rsid w:val="001460E0"/>
    <w:rsid w:val="00146902"/>
    <w:rsid w:val="00146DFA"/>
    <w:rsid w:val="0015018D"/>
    <w:rsid w:val="00150228"/>
    <w:rsid w:val="001502C3"/>
    <w:rsid w:val="001504E8"/>
    <w:rsid w:val="00150536"/>
    <w:rsid w:val="00150681"/>
    <w:rsid w:val="00152075"/>
    <w:rsid w:val="001533B2"/>
    <w:rsid w:val="001534CA"/>
    <w:rsid w:val="0015369A"/>
    <w:rsid w:val="0015386A"/>
    <w:rsid w:val="00153D0C"/>
    <w:rsid w:val="001540F9"/>
    <w:rsid w:val="00154865"/>
    <w:rsid w:val="00154E90"/>
    <w:rsid w:val="001557A9"/>
    <w:rsid w:val="00155878"/>
    <w:rsid w:val="0015599D"/>
    <w:rsid w:val="00155A36"/>
    <w:rsid w:val="00155D92"/>
    <w:rsid w:val="00155DFC"/>
    <w:rsid w:val="00156090"/>
    <w:rsid w:val="00156A9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2E33"/>
    <w:rsid w:val="00163523"/>
    <w:rsid w:val="00164CD1"/>
    <w:rsid w:val="001655BD"/>
    <w:rsid w:val="00165810"/>
    <w:rsid w:val="00165E36"/>
    <w:rsid w:val="0016614B"/>
    <w:rsid w:val="001662A4"/>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CB3"/>
    <w:rsid w:val="00173E6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77A2A"/>
    <w:rsid w:val="00177FB6"/>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CB1"/>
    <w:rsid w:val="00197E8D"/>
    <w:rsid w:val="001A016C"/>
    <w:rsid w:val="001A0422"/>
    <w:rsid w:val="001A102F"/>
    <w:rsid w:val="001A1647"/>
    <w:rsid w:val="001A185E"/>
    <w:rsid w:val="001A1A27"/>
    <w:rsid w:val="001A1ED0"/>
    <w:rsid w:val="001A237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21"/>
    <w:rsid w:val="001C1F9C"/>
    <w:rsid w:val="001C226A"/>
    <w:rsid w:val="001C236E"/>
    <w:rsid w:val="001C2629"/>
    <w:rsid w:val="001C29E7"/>
    <w:rsid w:val="001C32C6"/>
    <w:rsid w:val="001C3810"/>
    <w:rsid w:val="001C3E2D"/>
    <w:rsid w:val="001C48C7"/>
    <w:rsid w:val="001C4A9E"/>
    <w:rsid w:val="001C57A7"/>
    <w:rsid w:val="001C6CAB"/>
    <w:rsid w:val="001C6CC1"/>
    <w:rsid w:val="001C7130"/>
    <w:rsid w:val="001C7E70"/>
    <w:rsid w:val="001D0068"/>
    <w:rsid w:val="001D01C6"/>
    <w:rsid w:val="001D092F"/>
    <w:rsid w:val="001D1AEF"/>
    <w:rsid w:val="001D244E"/>
    <w:rsid w:val="001D24F1"/>
    <w:rsid w:val="001D3AC6"/>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27E"/>
    <w:rsid w:val="001F5708"/>
    <w:rsid w:val="001F58D3"/>
    <w:rsid w:val="001F65A4"/>
    <w:rsid w:val="001F65E0"/>
    <w:rsid w:val="001F696A"/>
    <w:rsid w:val="001F6EE3"/>
    <w:rsid w:val="001F71F3"/>
    <w:rsid w:val="001F720B"/>
    <w:rsid w:val="001F7362"/>
    <w:rsid w:val="001F7AE9"/>
    <w:rsid w:val="001F7CFD"/>
    <w:rsid w:val="002011D5"/>
    <w:rsid w:val="00201C2D"/>
    <w:rsid w:val="00201E78"/>
    <w:rsid w:val="0020223F"/>
    <w:rsid w:val="002029DF"/>
    <w:rsid w:val="00203367"/>
    <w:rsid w:val="002043C5"/>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12"/>
    <w:rsid w:val="0025212E"/>
    <w:rsid w:val="002526B9"/>
    <w:rsid w:val="002526E7"/>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57DDD"/>
    <w:rsid w:val="00260796"/>
    <w:rsid w:val="00260B48"/>
    <w:rsid w:val="002610D8"/>
    <w:rsid w:val="00261A6C"/>
    <w:rsid w:val="00262749"/>
    <w:rsid w:val="00262755"/>
    <w:rsid w:val="002629E2"/>
    <w:rsid w:val="00262BA8"/>
    <w:rsid w:val="00262BC8"/>
    <w:rsid w:val="00263C36"/>
    <w:rsid w:val="002641D9"/>
    <w:rsid w:val="002643C5"/>
    <w:rsid w:val="00264917"/>
    <w:rsid w:val="00265119"/>
    <w:rsid w:val="002651EC"/>
    <w:rsid w:val="0026573E"/>
    <w:rsid w:val="00265DC2"/>
    <w:rsid w:val="00265E9A"/>
    <w:rsid w:val="00266136"/>
    <w:rsid w:val="0026638C"/>
    <w:rsid w:val="00266400"/>
    <w:rsid w:val="00266F00"/>
    <w:rsid w:val="002670EF"/>
    <w:rsid w:val="002671A2"/>
    <w:rsid w:val="00267A38"/>
    <w:rsid w:val="00267F5F"/>
    <w:rsid w:val="00270261"/>
    <w:rsid w:val="00270419"/>
    <w:rsid w:val="002704ED"/>
    <w:rsid w:val="00270965"/>
    <w:rsid w:val="00271AD0"/>
    <w:rsid w:val="00271E5D"/>
    <w:rsid w:val="00272082"/>
    <w:rsid w:val="0027349D"/>
    <w:rsid w:val="00273516"/>
    <w:rsid w:val="00273985"/>
    <w:rsid w:val="00273B82"/>
    <w:rsid w:val="00273E7A"/>
    <w:rsid w:val="00274372"/>
    <w:rsid w:val="0027475A"/>
    <w:rsid w:val="0027537B"/>
    <w:rsid w:val="00275F56"/>
    <w:rsid w:val="002765B7"/>
    <w:rsid w:val="00276EAA"/>
    <w:rsid w:val="002776B7"/>
    <w:rsid w:val="00277713"/>
    <w:rsid w:val="00277CB1"/>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5D"/>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3B2"/>
    <w:rsid w:val="002B0E27"/>
    <w:rsid w:val="002B0FB3"/>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3E40"/>
    <w:rsid w:val="002D40A5"/>
    <w:rsid w:val="002D473F"/>
    <w:rsid w:val="002D48E1"/>
    <w:rsid w:val="002D5A82"/>
    <w:rsid w:val="002D5CD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2E5E"/>
    <w:rsid w:val="002E343D"/>
    <w:rsid w:val="002E3C37"/>
    <w:rsid w:val="002E454D"/>
    <w:rsid w:val="002E4BA7"/>
    <w:rsid w:val="002E4D3D"/>
    <w:rsid w:val="002E5922"/>
    <w:rsid w:val="002E5CA7"/>
    <w:rsid w:val="002E620C"/>
    <w:rsid w:val="002E668B"/>
    <w:rsid w:val="002E6B89"/>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4E33"/>
    <w:rsid w:val="002F510D"/>
    <w:rsid w:val="002F5F61"/>
    <w:rsid w:val="002F7C21"/>
    <w:rsid w:val="00300081"/>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69"/>
    <w:rsid w:val="0030759B"/>
    <w:rsid w:val="003076C4"/>
    <w:rsid w:val="003079A6"/>
    <w:rsid w:val="003106C8"/>
    <w:rsid w:val="00310E3F"/>
    <w:rsid w:val="00311262"/>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1DE4"/>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27C1C"/>
    <w:rsid w:val="003302CF"/>
    <w:rsid w:val="00330559"/>
    <w:rsid w:val="00330B86"/>
    <w:rsid w:val="00330DB5"/>
    <w:rsid w:val="00331306"/>
    <w:rsid w:val="00331659"/>
    <w:rsid w:val="003319C5"/>
    <w:rsid w:val="00331A58"/>
    <w:rsid w:val="003320F9"/>
    <w:rsid w:val="003327BD"/>
    <w:rsid w:val="00333238"/>
    <w:rsid w:val="003338EB"/>
    <w:rsid w:val="00334446"/>
    <w:rsid w:val="0033444C"/>
    <w:rsid w:val="00334725"/>
    <w:rsid w:val="00334A38"/>
    <w:rsid w:val="00334AF1"/>
    <w:rsid w:val="003353D5"/>
    <w:rsid w:val="00335A53"/>
    <w:rsid w:val="003363FA"/>
    <w:rsid w:val="0033709D"/>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1A0"/>
    <w:rsid w:val="003524F4"/>
    <w:rsid w:val="00352775"/>
    <w:rsid w:val="00352F14"/>
    <w:rsid w:val="003530B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0EDB"/>
    <w:rsid w:val="00371208"/>
    <w:rsid w:val="003718D9"/>
    <w:rsid w:val="00371937"/>
    <w:rsid w:val="0037207D"/>
    <w:rsid w:val="0037220D"/>
    <w:rsid w:val="00372389"/>
    <w:rsid w:val="00372564"/>
    <w:rsid w:val="00372644"/>
    <w:rsid w:val="0037334A"/>
    <w:rsid w:val="003734B3"/>
    <w:rsid w:val="003736AF"/>
    <w:rsid w:val="0037443B"/>
    <w:rsid w:val="00374D3E"/>
    <w:rsid w:val="00375820"/>
    <w:rsid w:val="00375B14"/>
    <w:rsid w:val="00375D85"/>
    <w:rsid w:val="003760FD"/>
    <w:rsid w:val="003769D5"/>
    <w:rsid w:val="00376CB4"/>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8B3"/>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781"/>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97F69"/>
    <w:rsid w:val="00397FBE"/>
    <w:rsid w:val="003A04CC"/>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67EA"/>
    <w:rsid w:val="003A6987"/>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8FB"/>
    <w:rsid w:val="003C1CAF"/>
    <w:rsid w:val="003C22D4"/>
    <w:rsid w:val="003C29AF"/>
    <w:rsid w:val="003C2C17"/>
    <w:rsid w:val="003C3209"/>
    <w:rsid w:val="003C3215"/>
    <w:rsid w:val="003C3F73"/>
    <w:rsid w:val="003C3F9D"/>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05F"/>
    <w:rsid w:val="003D6280"/>
    <w:rsid w:val="003D66CB"/>
    <w:rsid w:val="003D687A"/>
    <w:rsid w:val="003D6E45"/>
    <w:rsid w:val="003D6F19"/>
    <w:rsid w:val="003D79B8"/>
    <w:rsid w:val="003D7A2D"/>
    <w:rsid w:val="003D7C91"/>
    <w:rsid w:val="003E043F"/>
    <w:rsid w:val="003E07F1"/>
    <w:rsid w:val="003E0E8C"/>
    <w:rsid w:val="003E113F"/>
    <w:rsid w:val="003E1320"/>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112"/>
    <w:rsid w:val="003F3A44"/>
    <w:rsid w:val="003F3DC1"/>
    <w:rsid w:val="003F5F0A"/>
    <w:rsid w:val="003F697A"/>
    <w:rsid w:val="003F6C98"/>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1D2"/>
    <w:rsid w:val="00404CB5"/>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17216"/>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3DD"/>
    <w:rsid w:val="00455AFA"/>
    <w:rsid w:val="00456308"/>
    <w:rsid w:val="004566BE"/>
    <w:rsid w:val="0045682E"/>
    <w:rsid w:val="004568B4"/>
    <w:rsid w:val="00456A0C"/>
    <w:rsid w:val="00457142"/>
    <w:rsid w:val="004573A4"/>
    <w:rsid w:val="00457493"/>
    <w:rsid w:val="00457958"/>
    <w:rsid w:val="00457B1E"/>
    <w:rsid w:val="00460916"/>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001"/>
    <w:rsid w:val="00466BB5"/>
    <w:rsid w:val="004672E8"/>
    <w:rsid w:val="004677E9"/>
    <w:rsid w:val="004679F2"/>
    <w:rsid w:val="00470535"/>
    <w:rsid w:val="0047084F"/>
    <w:rsid w:val="00471064"/>
    <w:rsid w:val="00471183"/>
    <w:rsid w:val="0047123C"/>
    <w:rsid w:val="004714F6"/>
    <w:rsid w:val="00471948"/>
    <w:rsid w:val="0047289C"/>
    <w:rsid w:val="00472E22"/>
    <w:rsid w:val="00472F67"/>
    <w:rsid w:val="0047360F"/>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83C"/>
    <w:rsid w:val="00477B0E"/>
    <w:rsid w:val="00477DA0"/>
    <w:rsid w:val="00481688"/>
    <w:rsid w:val="004820E0"/>
    <w:rsid w:val="004822CA"/>
    <w:rsid w:val="0048279E"/>
    <w:rsid w:val="00482E54"/>
    <w:rsid w:val="004831A1"/>
    <w:rsid w:val="00483F95"/>
    <w:rsid w:val="004842A2"/>
    <w:rsid w:val="00484D20"/>
    <w:rsid w:val="004850C1"/>
    <w:rsid w:val="004851F7"/>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7DE"/>
    <w:rsid w:val="00496811"/>
    <w:rsid w:val="00496A37"/>
    <w:rsid w:val="00496A9F"/>
    <w:rsid w:val="00497358"/>
    <w:rsid w:val="00497B27"/>
    <w:rsid w:val="00497B80"/>
    <w:rsid w:val="00497C8C"/>
    <w:rsid w:val="00497FA5"/>
    <w:rsid w:val="004A03B3"/>
    <w:rsid w:val="004A04D5"/>
    <w:rsid w:val="004A0698"/>
    <w:rsid w:val="004A17BD"/>
    <w:rsid w:val="004A1A68"/>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447"/>
    <w:rsid w:val="004B19FD"/>
    <w:rsid w:val="004B1A7E"/>
    <w:rsid w:val="004B1C0D"/>
    <w:rsid w:val="004B206E"/>
    <w:rsid w:val="004B229E"/>
    <w:rsid w:val="004B29C2"/>
    <w:rsid w:val="004B29E1"/>
    <w:rsid w:val="004B2C52"/>
    <w:rsid w:val="004B2F46"/>
    <w:rsid w:val="004B395D"/>
    <w:rsid w:val="004B4194"/>
    <w:rsid w:val="004B457E"/>
    <w:rsid w:val="004B55F0"/>
    <w:rsid w:val="004B56C3"/>
    <w:rsid w:val="004B64C5"/>
    <w:rsid w:val="004B6928"/>
    <w:rsid w:val="004B6DD8"/>
    <w:rsid w:val="004B71F5"/>
    <w:rsid w:val="004B79FA"/>
    <w:rsid w:val="004B7D94"/>
    <w:rsid w:val="004C04A4"/>
    <w:rsid w:val="004C0FB7"/>
    <w:rsid w:val="004C104B"/>
    <w:rsid w:val="004C1380"/>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1000"/>
    <w:rsid w:val="004D1144"/>
    <w:rsid w:val="004D1D27"/>
    <w:rsid w:val="004D2EC3"/>
    <w:rsid w:val="004D2FF6"/>
    <w:rsid w:val="004D3FD6"/>
    <w:rsid w:val="004D405F"/>
    <w:rsid w:val="004D4987"/>
    <w:rsid w:val="004D55CA"/>
    <w:rsid w:val="004D5A27"/>
    <w:rsid w:val="004D5F0E"/>
    <w:rsid w:val="004D6626"/>
    <w:rsid w:val="004D6758"/>
    <w:rsid w:val="004D7966"/>
    <w:rsid w:val="004D7B1A"/>
    <w:rsid w:val="004E01E8"/>
    <w:rsid w:val="004E0830"/>
    <w:rsid w:val="004E0B06"/>
    <w:rsid w:val="004E169C"/>
    <w:rsid w:val="004E1BF0"/>
    <w:rsid w:val="004E1E6A"/>
    <w:rsid w:val="004E28E1"/>
    <w:rsid w:val="004E2B01"/>
    <w:rsid w:val="004E308A"/>
    <w:rsid w:val="004E34C7"/>
    <w:rsid w:val="004E356A"/>
    <w:rsid w:val="004E375D"/>
    <w:rsid w:val="004E3850"/>
    <w:rsid w:val="004E3FC1"/>
    <w:rsid w:val="004E58EA"/>
    <w:rsid w:val="004E5B75"/>
    <w:rsid w:val="004E5E4A"/>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483D"/>
    <w:rsid w:val="004F4F76"/>
    <w:rsid w:val="004F5346"/>
    <w:rsid w:val="004F54CA"/>
    <w:rsid w:val="004F56A5"/>
    <w:rsid w:val="004F5C09"/>
    <w:rsid w:val="004F5E4E"/>
    <w:rsid w:val="004F61F6"/>
    <w:rsid w:val="004F63CC"/>
    <w:rsid w:val="004F6678"/>
    <w:rsid w:val="004F6937"/>
    <w:rsid w:val="004F6B28"/>
    <w:rsid w:val="004F6C65"/>
    <w:rsid w:val="004F6D2E"/>
    <w:rsid w:val="004F7001"/>
    <w:rsid w:val="004F7F0F"/>
    <w:rsid w:val="004F7FBC"/>
    <w:rsid w:val="005001AE"/>
    <w:rsid w:val="00500292"/>
    <w:rsid w:val="005007E7"/>
    <w:rsid w:val="00501141"/>
    <w:rsid w:val="005012FC"/>
    <w:rsid w:val="00501938"/>
    <w:rsid w:val="00501C30"/>
    <w:rsid w:val="00501EBE"/>
    <w:rsid w:val="005020EB"/>
    <w:rsid w:val="00503551"/>
    <w:rsid w:val="00503821"/>
    <w:rsid w:val="00503F28"/>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3C0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17DF"/>
    <w:rsid w:val="00522133"/>
    <w:rsid w:val="0052292E"/>
    <w:rsid w:val="005232E0"/>
    <w:rsid w:val="0052373B"/>
    <w:rsid w:val="00523900"/>
    <w:rsid w:val="00523D70"/>
    <w:rsid w:val="00523E00"/>
    <w:rsid w:val="0052439F"/>
    <w:rsid w:val="005243EB"/>
    <w:rsid w:val="00524FC0"/>
    <w:rsid w:val="00525789"/>
    <w:rsid w:val="00525890"/>
    <w:rsid w:val="00525C4D"/>
    <w:rsid w:val="005260BC"/>
    <w:rsid w:val="00526452"/>
    <w:rsid w:val="00526816"/>
    <w:rsid w:val="00526AE3"/>
    <w:rsid w:val="00526F09"/>
    <w:rsid w:val="005274FB"/>
    <w:rsid w:val="00527B9D"/>
    <w:rsid w:val="00527F3A"/>
    <w:rsid w:val="00527F4F"/>
    <w:rsid w:val="00530512"/>
    <w:rsid w:val="00530799"/>
    <w:rsid w:val="00530F0B"/>
    <w:rsid w:val="0053109F"/>
    <w:rsid w:val="005311E8"/>
    <w:rsid w:val="005312C3"/>
    <w:rsid w:val="005312C4"/>
    <w:rsid w:val="0053133A"/>
    <w:rsid w:val="00531822"/>
    <w:rsid w:val="00532278"/>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0E2"/>
    <w:rsid w:val="00537127"/>
    <w:rsid w:val="0053764B"/>
    <w:rsid w:val="005377A0"/>
    <w:rsid w:val="0054069F"/>
    <w:rsid w:val="00541307"/>
    <w:rsid w:val="00541B60"/>
    <w:rsid w:val="00541DB8"/>
    <w:rsid w:val="00541F9A"/>
    <w:rsid w:val="00542599"/>
    <w:rsid w:val="00542EB4"/>
    <w:rsid w:val="00543307"/>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10E3"/>
    <w:rsid w:val="0055173F"/>
    <w:rsid w:val="00551AE8"/>
    <w:rsid w:val="00551D57"/>
    <w:rsid w:val="00552C69"/>
    <w:rsid w:val="00552E11"/>
    <w:rsid w:val="00552FEB"/>
    <w:rsid w:val="00553115"/>
    <w:rsid w:val="0055326B"/>
    <w:rsid w:val="005532A3"/>
    <w:rsid w:val="00553395"/>
    <w:rsid w:val="00553567"/>
    <w:rsid w:val="005538EF"/>
    <w:rsid w:val="00553B76"/>
    <w:rsid w:val="0055400F"/>
    <w:rsid w:val="00554034"/>
    <w:rsid w:val="005548DD"/>
    <w:rsid w:val="005552D3"/>
    <w:rsid w:val="00555500"/>
    <w:rsid w:val="005556AC"/>
    <w:rsid w:val="00555908"/>
    <w:rsid w:val="00555FC3"/>
    <w:rsid w:val="00556027"/>
    <w:rsid w:val="00556506"/>
    <w:rsid w:val="0055659A"/>
    <w:rsid w:val="00556731"/>
    <w:rsid w:val="00557401"/>
    <w:rsid w:val="0055747C"/>
    <w:rsid w:val="00557D41"/>
    <w:rsid w:val="00557F5B"/>
    <w:rsid w:val="00557FE2"/>
    <w:rsid w:val="005603DA"/>
    <w:rsid w:val="00560729"/>
    <w:rsid w:val="00560A86"/>
    <w:rsid w:val="00560C9C"/>
    <w:rsid w:val="00560EFC"/>
    <w:rsid w:val="00560F1B"/>
    <w:rsid w:val="00561C64"/>
    <w:rsid w:val="0056218D"/>
    <w:rsid w:val="00562EAD"/>
    <w:rsid w:val="00563222"/>
    <w:rsid w:val="00563AEB"/>
    <w:rsid w:val="00564775"/>
    <w:rsid w:val="0056557E"/>
    <w:rsid w:val="00566473"/>
    <w:rsid w:val="00566C28"/>
    <w:rsid w:val="00566DBC"/>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6C3"/>
    <w:rsid w:val="005758E3"/>
    <w:rsid w:val="00576714"/>
    <w:rsid w:val="00576AB6"/>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0B"/>
    <w:rsid w:val="00596020"/>
    <w:rsid w:val="0059632F"/>
    <w:rsid w:val="00597651"/>
    <w:rsid w:val="00597799"/>
    <w:rsid w:val="005977F9"/>
    <w:rsid w:val="00597BA8"/>
    <w:rsid w:val="005A01E7"/>
    <w:rsid w:val="005A02C8"/>
    <w:rsid w:val="005A08B8"/>
    <w:rsid w:val="005A09E5"/>
    <w:rsid w:val="005A1473"/>
    <w:rsid w:val="005A1923"/>
    <w:rsid w:val="005A19FF"/>
    <w:rsid w:val="005A2074"/>
    <w:rsid w:val="005A21E0"/>
    <w:rsid w:val="005A24AE"/>
    <w:rsid w:val="005A30EB"/>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54A0"/>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2DA0"/>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0E37"/>
    <w:rsid w:val="005D101F"/>
    <w:rsid w:val="005D1247"/>
    <w:rsid w:val="005D19D4"/>
    <w:rsid w:val="005D1A10"/>
    <w:rsid w:val="005D1D60"/>
    <w:rsid w:val="005D205D"/>
    <w:rsid w:val="005D2F54"/>
    <w:rsid w:val="005D3370"/>
    <w:rsid w:val="005D33D2"/>
    <w:rsid w:val="005D353D"/>
    <w:rsid w:val="005D3FD5"/>
    <w:rsid w:val="005D463B"/>
    <w:rsid w:val="005D4E2C"/>
    <w:rsid w:val="005D5004"/>
    <w:rsid w:val="005D593D"/>
    <w:rsid w:val="005D6377"/>
    <w:rsid w:val="005D63A5"/>
    <w:rsid w:val="005D69A4"/>
    <w:rsid w:val="005D6B95"/>
    <w:rsid w:val="005D70CB"/>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4D8"/>
    <w:rsid w:val="005F1B20"/>
    <w:rsid w:val="005F1E18"/>
    <w:rsid w:val="005F27E0"/>
    <w:rsid w:val="005F29C0"/>
    <w:rsid w:val="005F2A6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0D1F"/>
    <w:rsid w:val="00611BA6"/>
    <w:rsid w:val="00612D19"/>
    <w:rsid w:val="00612F9C"/>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AC1"/>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4CE9"/>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2702"/>
    <w:rsid w:val="006443B2"/>
    <w:rsid w:val="00644746"/>
    <w:rsid w:val="00645210"/>
    <w:rsid w:val="00645848"/>
    <w:rsid w:val="00645933"/>
    <w:rsid w:val="006459B3"/>
    <w:rsid w:val="00645D57"/>
    <w:rsid w:val="00646970"/>
    <w:rsid w:val="00646FDD"/>
    <w:rsid w:val="00647C38"/>
    <w:rsid w:val="00647D39"/>
    <w:rsid w:val="006500A2"/>
    <w:rsid w:val="0065058D"/>
    <w:rsid w:val="00650709"/>
    <w:rsid w:val="00650C5E"/>
    <w:rsid w:val="006510C9"/>
    <w:rsid w:val="00651147"/>
    <w:rsid w:val="0065131D"/>
    <w:rsid w:val="00651DC1"/>
    <w:rsid w:val="00651FD6"/>
    <w:rsid w:val="0065234B"/>
    <w:rsid w:val="0065252C"/>
    <w:rsid w:val="00653AC4"/>
    <w:rsid w:val="00653C52"/>
    <w:rsid w:val="006540C1"/>
    <w:rsid w:val="00654642"/>
    <w:rsid w:val="00654AF4"/>
    <w:rsid w:val="00654CB8"/>
    <w:rsid w:val="00654E19"/>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1A7E"/>
    <w:rsid w:val="00662155"/>
    <w:rsid w:val="00662A70"/>
    <w:rsid w:val="00662AF9"/>
    <w:rsid w:val="00662C14"/>
    <w:rsid w:val="00662C97"/>
    <w:rsid w:val="00662CBB"/>
    <w:rsid w:val="00662D11"/>
    <w:rsid w:val="00662F3E"/>
    <w:rsid w:val="006630C6"/>
    <w:rsid w:val="00663515"/>
    <w:rsid w:val="00663688"/>
    <w:rsid w:val="0066398B"/>
    <w:rsid w:val="00663F53"/>
    <w:rsid w:val="0066486A"/>
    <w:rsid w:val="006650D6"/>
    <w:rsid w:val="0066527F"/>
    <w:rsid w:val="00666754"/>
    <w:rsid w:val="00666AEA"/>
    <w:rsid w:val="00666B6A"/>
    <w:rsid w:val="00667025"/>
    <w:rsid w:val="00667BEC"/>
    <w:rsid w:val="00667FB2"/>
    <w:rsid w:val="00670009"/>
    <w:rsid w:val="006702EB"/>
    <w:rsid w:val="00670D2E"/>
    <w:rsid w:val="0067269F"/>
    <w:rsid w:val="006726CB"/>
    <w:rsid w:val="0067272F"/>
    <w:rsid w:val="00672BD4"/>
    <w:rsid w:val="0067385F"/>
    <w:rsid w:val="00673BA4"/>
    <w:rsid w:val="00674C5D"/>
    <w:rsid w:val="00674ED8"/>
    <w:rsid w:val="006755B4"/>
    <w:rsid w:val="00675793"/>
    <w:rsid w:val="00675AD4"/>
    <w:rsid w:val="00675C5E"/>
    <w:rsid w:val="00675EDE"/>
    <w:rsid w:val="00676F0B"/>
    <w:rsid w:val="006773D1"/>
    <w:rsid w:val="006774E7"/>
    <w:rsid w:val="006801BB"/>
    <w:rsid w:val="006802E3"/>
    <w:rsid w:val="00680CB8"/>
    <w:rsid w:val="00680CC6"/>
    <w:rsid w:val="00681FF0"/>
    <w:rsid w:val="0068223D"/>
    <w:rsid w:val="0068241B"/>
    <w:rsid w:val="00682BEA"/>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4C0"/>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35"/>
    <w:rsid w:val="006B1546"/>
    <w:rsid w:val="006B17D8"/>
    <w:rsid w:val="006B1E59"/>
    <w:rsid w:val="006B2995"/>
    <w:rsid w:val="006B2A5B"/>
    <w:rsid w:val="006B2F13"/>
    <w:rsid w:val="006B3EFD"/>
    <w:rsid w:val="006B40C8"/>
    <w:rsid w:val="006B465A"/>
    <w:rsid w:val="006B472A"/>
    <w:rsid w:val="006B5182"/>
    <w:rsid w:val="006B53FC"/>
    <w:rsid w:val="006B549F"/>
    <w:rsid w:val="006B65CB"/>
    <w:rsid w:val="006B765D"/>
    <w:rsid w:val="006C0867"/>
    <w:rsid w:val="006C12F3"/>
    <w:rsid w:val="006C2059"/>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2D7"/>
    <w:rsid w:val="006D7902"/>
    <w:rsid w:val="006D7C9D"/>
    <w:rsid w:val="006D7D85"/>
    <w:rsid w:val="006E045E"/>
    <w:rsid w:val="006E09E9"/>
    <w:rsid w:val="006E0B21"/>
    <w:rsid w:val="006E1390"/>
    <w:rsid w:val="006E171B"/>
    <w:rsid w:val="006E1C11"/>
    <w:rsid w:val="006E2C6D"/>
    <w:rsid w:val="006E3237"/>
    <w:rsid w:val="006E33D2"/>
    <w:rsid w:val="006E3628"/>
    <w:rsid w:val="006E374B"/>
    <w:rsid w:val="006E3B50"/>
    <w:rsid w:val="006E3FE7"/>
    <w:rsid w:val="006E44D3"/>
    <w:rsid w:val="006E4647"/>
    <w:rsid w:val="006E4705"/>
    <w:rsid w:val="006E470D"/>
    <w:rsid w:val="006E49DF"/>
    <w:rsid w:val="006E4E81"/>
    <w:rsid w:val="006E510A"/>
    <w:rsid w:val="006E58CF"/>
    <w:rsid w:val="006E6241"/>
    <w:rsid w:val="006E645F"/>
    <w:rsid w:val="006E6647"/>
    <w:rsid w:val="006E6F3D"/>
    <w:rsid w:val="006F117D"/>
    <w:rsid w:val="006F1195"/>
    <w:rsid w:val="006F13F3"/>
    <w:rsid w:val="006F1DBD"/>
    <w:rsid w:val="006F1E00"/>
    <w:rsid w:val="006F1F53"/>
    <w:rsid w:val="006F2FBA"/>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42E"/>
    <w:rsid w:val="00707617"/>
    <w:rsid w:val="007078E9"/>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6B8C"/>
    <w:rsid w:val="00726D93"/>
    <w:rsid w:val="00727285"/>
    <w:rsid w:val="00727380"/>
    <w:rsid w:val="00727D91"/>
    <w:rsid w:val="00727E44"/>
    <w:rsid w:val="007300E1"/>
    <w:rsid w:val="00730152"/>
    <w:rsid w:val="007301B7"/>
    <w:rsid w:val="0073071A"/>
    <w:rsid w:val="00730DD2"/>
    <w:rsid w:val="007310E4"/>
    <w:rsid w:val="00731129"/>
    <w:rsid w:val="007312BF"/>
    <w:rsid w:val="007313E8"/>
    <w:rsid w:val="0073177F"/>
    <w:rsid w:val="00731F4A"/>
    <w:rsid w:val="00732121"/>
    <w:rsid w:val="00732732"/>
    <w:rsid w:val="00732FED"/>
    <w:rsid w:val="0073397C"/>
    <w:rsid w:val="007339BC"/>
    <w:rsid w:val="00734051"/>
    <w:rsid w:val="00734519"/>
    <w:rsid w:val="0073458B"/>
    <w:rsid w:val="007345F7"/>
    <w:rsid w:val="00734B84"/>
    <w:rsid w:val="0073570D"/>
    <w:rsid w:val="00735EBF"/>
    <w:rsid w:val="007365ED"/>
    <w:rsid w:val="00736927"/>
    <w:rsid w:val="00736A93"/>
    <w:rsid w:val="00736D31"/>
    <w:rsid w:val="00737707"/>
    <w:rsid w:val="00737A4B"/>
    <w:rsid w:val="00740008"/>
    <w:rsid w:val="00741355"/>
    <w:rsid w:val="007415A1"/>
    <w:rsid w:val="00741C56"/>
    <w:rsid w:val="00741C83"/>
    <w:rsid w:val="00741E9A"/>
    <w:rsid w:val="0074216B"/>
    <w:rsid w:val="007423F9"/>
    <w:rsid w:val="00742891"/>
    <w:rsid w:val="00742C3D"/>
    <w:rsid w:val="00742DAD"/>
    <w:rsid w:val="00743455"/>
    <w:rsid w:val="007435B8"/>
    <w:rsid w:val="00743B39"/>
    <w:rsid w:val="00744136"/>
    <w:rsid w:val="007444AE"/>
    <w:rsid w:val="007447C6"/>
    <w:rsid w:val="007449FE"/>
    <w:rsid w:val="00744CEC"/>
    <w:rsid w:val="00745A05"/>
    <w:rsid w:val="00745F8E"/>
    <w:rsid w:val="00746564"/>
    <w:rsid w:val="00746721"/>
    <w:rsid w:val="007469D0"/>
    <w:rsid w:val="00747741"/>
    <w:rsid w:val="00747EBF"/>
    <w:rsid w:val="007505F4"/>
    <w:rsid w:val="00750979"/>
    <w:rsid w:val="00751313"/>
    <w:rsid w:val="007514AA"/>
    <w:rsid w:val="00751692"/>
    <w:rsid w:val="00751760"/>
    <w:rsid w:val="007518C9"/>
    <w:rsid w:val="0075218A"/>
    <w:rsid w:val="00752238"/>
    <w:rsid w:val="00752DE0"/>
    <w:rsid w:val="00752E14"/>
    <w:rsid w:val="00753DA5"/>
    <w:rsid w:val="0075432D"/>
    <w:rsid w:val="00754E53"/>
    <w:rsid w:val="0075502B"/>
    <w:rsid w:val="0075532D"/>
    <w:rsid w:val="00755633"/>
    <w:rsid w:val="00755B6F"/>
    <w:rsid w:val="007565A3"/>
    <w:rsid w:val="00756A17"/>
    <w:rsid w:val="00756B41"/>
    <w:rsid w:val="007574CC"/>
    <w:rsid w:val="007576EC"/>
    <w:rsid w:val="00757957"/>
    <w:rsid w:val="00757C3A"/>
    <w:rsid w:val="00760518"/>
    <w:rsid w:val="00760978"/>
    <w:rsid w:val="00760981"/>
    <w:rsid w:val="00760D42"/>
    <w:rsid w:val="00761EE2"/>
    <w:rsid w:val="0076236A"/>
    <w:rsid w:val="00762390"/>
    <w:rsid w:val="007623B0"/>
    <w:rsid w:val="0076299D"/>
    <w:rsid w:val="00762A7D"/>
    <w:rsid w:val="00763289"/>
    <w:rsid w:val="007636CB"/>
    <w:rsid w:val="00763B9E"/>
    <w:rsid w:val="00764006"/>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2AB9"/>
    <w:rsid w:val="007733E9"/>
    <w:rsid w:val="00773B3E"/>
    <w:rsid w:val="00773E65"/>
    <w:rsid w:val="007741B0"/>
    <w:rsid w:val="007741F9"/>
    <w:rsid w:val="007745D3"/>
    <w:rsid w:val="007746DC"/>
    <w:rsid w:val="0077558B"/>
    <w:rsid w:val="007756E4"/>
    <w:rsid w:val="00776874"/>
    <w:rsid w:val="0077726C"/>
    <w:rsid w:val="00777AAB"/>
    <w:rsid w:val="00777D3C"/>
    <w:rsid w:val="00780747"/>
    <w:rsid w:val="00780FF9"/>
    <w:rsid w:val="0078285C"/>
    <w:rsid w:val="00782B30"/>
    <w:rsid w:val="00783354"/>
    <w:rsid w:val="00783952"/>
    <w:rsid w:val="00783A36"/>
    <w:rsid w:val="007845D4"/>
    <w:rsid w:val="00784DF0"/>
    <w:rsid w:val="00785A38"/>
    <w:rsid w:val="00785C2A"/>
    <w:rsid w:val="0078668F"/>
    <w:rsid w:val="00786706"/>
    <w:rsid w:val="0078700E"/>
    <w:rsid w:val="00787339"/>
    <w:rsid w:val="00787B59"/>
    <w:rsid w:val="007900A9"/>
    <w:rsid w:val="00791033"/>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552"/>
    <w:rsid w:val="007A1834"/>
    <w:rsid w:val="007A1856"/>
    <w:rsid w:val="007A1B6B"/>
    <w:rsid w:val="007A1E52"/>
    <w:rsid w:val="007A1FBE"/>
    <w:rsid w:val="007A2A2F"/>
    <w:rsid w:val="007A2A4D"/>
    <w:rsid w:val="007A31B2"/>
    <w:rsid w:val="007A3629"/>
    <w:rsid w:val="007A385C"/>
    <w:rsid w:val="007A38F5"/>
    <w:rsid w:val="007A3D24"/>
    <w:rsid w:val="007A3D38"/>
    <w:rsid w:val="007A4860"/>
    <w:rsid w:val="007A4CAF"/>
    <w:rsid w:val="007A4F73"/>
    <w:rsid w:val="007A4F7B"/>
    <w:rsid w:val="007A5823"/>
    <w:rsid w:val="007A61E4"/>
    <w:rsid w:val="007A6788"/>
    <w:rsid w:val="007A704A"/>
    <w:rsid w:val="007A7242"/>
    <w:rsid w:val="007A7738"/>
    <w:rsid w:val="007B12B0"/>
    <w:rsid w:val="007B1392"/>
    <w:rsid w:val="007B1785"/>
    <w:rsid w:val="007B215A"/>
    <w:rsid w:val="007B22D2"/>
    <w:rsid w:val="007B22DC"/>
    <w:rsid w:val="007B24F0"/>
    <w:rsid w:val="007B2AFB"/>
    <w:rsid w:val="007B2E1A"/>
    <w:rsid w:val="007B2F48"/>
    <w:rsid w:val="007B34DC"/>
    <w:rsid w:val="007B3748"/>
    <w:rsid w:val="007B3795"/>
    <w:rsid w:val="007B3A98"/>
    <w:rsid w:val="007B4008"/>
    <w:rsid w:val="007B49C4"/>
    <w:rsid w:val="007B4D17"/>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5D"/>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53"/>
    <w:rsid w:val="007D25B9"/>
    <w:rsid w:val="007D2BE8"/>
    <w:rsid w:val="007D3066"/>
    <w:rsid w:val="007D338B"/>
    <w:rsid w:val="007D3B0F"/>
    <w:rsid w:val="007D3F19"/>
    <w:rsid w:val="007D40D9"/>
    <w:rsid w:val="007D421B"/>
    <w:rsid w:val="007D4490"/>
    <w:rsid w:val="007D4579"/>
    <w:rsid w:val="007D51EB"/>
    <w:rsid w:val="007D52F0"/>
    <w:rsid w:val="007D58BB"/>
    <w:rsid w:val="007D6278"/>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151"/>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3E81"/>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1E9"/>
    <w:rsid w:val="0082022B"/>
    <w:rsid w:val="00820E0E"/>
    <w:rsid w:val="00821237"/>
    <w:rsid w:val="008216DA"/>
    <w:rsid w:val="008217C3"/>
    <w:rsid w:val="00821868"/>
    <w:rsid w:val="008219B8"/>
    <w:rsid w:val="00821C0D"/>
    <w:rsid w:val="00821ECA"/>
    <w:rsid w:val="00822414"/>
    <w:rsid w:val="00822CB9"/>
    <w:rsid w:val="00822DAF"/>
    <w:rsid w:val="00822E2C"/>
    <w:rsid w:val="00823116"/>
    <w:rsid w:val="0082350E"/>
    <w:rsid w:val="00823658"/>
    <w:rsid w:val="008239BF"/>
    <w:rsid w:val="00823B36"/>
    <w:rsid w:val="0082401B"/>
    <w:rsid w:val="0082488C"/>
    <w:rsid w:val="00824B58"/>
    <w:rsid w:val="008250DB"/>
    <w:rsid w:val="008251E7"/>
    <w:rsid w:val="00825417"/>
    <w:rsid w:val="0082579C"/>
    <w:rsid w:val="008262BC"/>
    <w:rsid w:val="008262DB"/>
    <w:rsid w:val="008266A2"/>
    <w:rsid w:val="008267AE"/>
    <w:rsid w:val="008267E2"/>
    <w:rsid w:val="00826E24"/>
    <w:rsid w:val="008305E4"/>
    <w:rsid w:val="00830B33"/>
    <w:rsid w:val="0083118A"/>
    <w:rsid w:val="00831784"/>
    <w:rsid w:val="00831B03"/>
    <w:rsid w:val="00832727"/>
    <w:rsid w:val="00833643"/>
    <w:rsid w:val="008337C1"/>
    <w:rsid w:val="00833FE9"/>
    <w:rsid w:val="00834E39"/>
    <w:rsid w:val="00834F23"/>
    <w:rsid w:val="008353B6"/>
    <w:rsid w:val="00836A67"/>
    <w:rsid w:val="00836CEB"/>
    <w:rsid w:val="00837942"/>
    <w:rsid w:val="0083797B"/>
    <w:rsid w:val="00840EAF"/>
    <w:rsid w:val="00840F43"/>
    <w:rsid w:val="008410ED"/>
    <w:rsid w:val="008416BF"/>
    <w:rsid w:val="008416FD"/>
    <w:rsid w:val="0084188F"/>
    <w:rsid w:val="00842364"/>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1"/>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3977"/>
    <w:rsid w:val="0086444C"/>
    <w:rsid w:val="008644B1"/>
    <w:rsid w:val="00864768"/>
    <w:rsid w:val="008651B3"/>
    <w:rsid w:val="008653FC"/>
    <w:rsid w:val="008654B5"/>
    <w:rsid w:val="008658AB"/>
    <w:rsid w:val="00865B18"/>
    <w:rsid w:val="0086672E"/>
    <w:rsid w:val="00866CF2"/>
    <w:rsid w:val="008675EC"/>
    <w:rsid w:val="008679CE"/>
    <w:rsid w:val="00867AEA"/>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0C3"/>
    <w:rsid w:val="00875356"/>
    <w:rsid w:val="00875F18"/>
    <w:rsid w:val="00875F4F"/>
    <w:rsid w:val="008760D6"/>
    <w:rsid w:val="008762D8"/>
    <w:rsid w:val="008772D9"/>
    <w:rsid w:val="00877B29"/>
    <w:rsid w:val="008808B9"/>
    <w:rsid w:val="00880B30"/>
    <w:rsid w:val="00880F1D"/>
    <w:rsid w:val="0088172A"/>
    <w:rsid w:val="00881F90"/>
    <w:rsid w:val="00882798"/>
    <w:rsid w:val="00882988"/>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251"/>
    <w:rsid w:val="00892687"/>
    <w:rsid w:val="00893386"/>
    <w:rsid w:val="0089363C"/>
    <w:rsid w:val="00893657"/>
    <w:rsid w:val="00893671"/>
    <w:rsid w:val="008941FB"/>
    <w:rsid w:val="00894565"/>
    <w:rsid w:val="008950D6"/>
    <w:rsid w:val="00895B46"/>
    <w:rsid w:val="00896474"/>
    <w:rsid w:val="00896DBC"/>
    <w:rsid w:val="00897340"/>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9C6"/>
    <w:rsid w:val="008A4C9C"/>
    <w:rsid w:val="008A516F"/>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A1"/>
    <w:rsid w:val="008B2AC0"/>
    <w:rsid w:val="008B2E96"/>
    <w:rsid w:val="008B2F53"/>
    <w:rsid w:val="008B3006"/>
    <w:rsid w:val="008B3139"/>
    <w:rsid w:val="008B31C4"/>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7DA"/>
    <w:rsid w:val="008D09D0"/>
    <w:rsid w:val="008D0B4C"/>
    <w:rsid w:val="008D0ED5"/>
    <w:rsid w:val="008D14C4"/>
    <w:rsid w:val="008D1964"/>
    <w:rsid w:val="008D221A"/>
    <w:rsid w:val="008D24D6"/>
    <w:rsid w:val="008D24E1"/>
    <w:rsid w:val="008D3E6A"/>
    <w:rsid w:val="008D3FA3"/>
    <w:rsid w:val="008D53E2"/>
    <w:rsid w:val="008D5908"/>
    <w:rsid w:val="008D5AF1"/>
    <w:rsid w:val="008D61E4"/>
    <w:rsid w:val="008D6A6E"/>
    <w:rsid w:val="008D75ED"/>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36D6"/>
    <w:rsid w:val="008E3CBF"/>
    <w:rsid w:val="008E3F94"/>
    <w:rsid w:val="008E4114"/>
    <w:rsid w:val="008E45EA"/>
    <w:rsid w:val="008E4A1A"/>
    <w:rsid w:val="008E4B9B"/>
    <w:rsid w:val="008E4EF4"/>
    <w:rsid w:val="008E5E01"/>
    <w:rsid w:val="008E69A3"/>
    <w:rsid w:val="008E6C9D"/>
    <w:rsid w:val="008E7CC9"/>
    <w:rsid w:val="008F02A1"/>
    <w:rsid w:val="008F0E69"/>
    <w:rsid w:val="008F12FF"/>
    <w:rsid w:val="008F2504"/>
    <w:rsid w:val="008F325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490"/>
    <w:rsid w:val="0090149F"/>
    <w:rsid w:val="00901570"/>
    <w:rsid w:val="00901979"/>
    <w:rsid w:val="00901F0B"/>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C34"/>
    <w:rsid w:val="00914DC4"/>
    <w:rsid w:val="00914E02"/>
    <w:rsid w:val="00915329"/>
    <w:rsid w:val="00915861"/>
    <w:rsid w:val="0091588C"/>
    <w:rsid w:val="0091589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2BFC"/>
    <w:rsid w:val="0092489D"/>
    <w:rsid w:val="00924A6C"/>
    <w:rsid w:val="00924ED4"/>
    <w:rsid w:val="00924F63"/>
    <w:rsid w:val="0092524C"/>
    <w:rsid w:val="0092560C"/>
    <w:rsid w:val="009267DA"/>
    <w:rsid w:val="00926906"/>
    <w:rsid w:val="009271AB"/>
    <w:rsid w:val="00927281"/>
    <w:rsid w:val="009273B8"/>
    <w:rsid w:val="00927A20"/>
    <w:rsid w:val="00927B80"/>
    <w:rsid w:val="00930298"/>
    <w:rsid w:val="009302A6"/>
    <w:rsid w:val="00931325"/>
    <w:rsid w:val="009319DC"/>
    <w:rsid w:val="00931AAD"/>
    <w:rsid w:val="00931E6D"/>
    <w:rsid w:val="009320B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37F74"/>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A2F"/>
    <w:rsid w:val="00945E7E"/>
    <w:rsid w:val="00945E8F"/>
    <w:rsid w:val="009463FD"/>
    <w:rsid w:val="009467FD"/>
    <w:rsid w:val="00946D2E"/>
    <w:rsid w:val="00946E64"/>
    <w:rsid w:val="009472F6"/>
    <w:rsid w:val="00947804"/>
    <w:rsid w:val="0094783F"/>
    <w:rsid w:val="00947932"/>
    <w:rsid w:val="00950327"/>
    <w:rsid w:val="00950B18"/>
    <w:rsid w:val="00950C55"/>
    <w:rsid w:val="00950CB3"/>
    <w:rsid w:val="00950FE4"/>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579BE"/>
    <w:rsid w:val="009602BA"/>
    <w:rsid w:val="009609CA"/>
    <w:rsid w:val="009615A5"/>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780"/>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1F33"/>
    <w:rsid w:val="00992008"/>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7AB"/>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2C7B"/>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B18D4"/>
    <w:rsid w:val="009B1B1B"/>
    <w:rsid w:val="009B1F3A"/>
    <w:rsid w:val="009B21F9"/>
    <w:rsid w:val="009B26B1"/>
    <w:rsid w:val="009B2766"/>
    <w:rsid w:val="009B3248"/>
    <w:rsid w:val="009B32F0"/>
    <w:rsid w:val="009B368F"/>
    <w:rsid w:val="009B3E9D"/>
    <w:rsid w:val="009B3EB4"/>
    <w:rsid w:val="009B3F21"/>
    <w:rsid w:val="009B42BE"/>
    <w:rsid w:val="009B5973"/>
    <w:rsid w:val="009B5B48"/>
    <w:rsid w:val="009B62E6"/>
    <w:rsid w:val="009B66EB"/>
    <w:rsid w:val="009B67C4"/>
    <w:rsid w:val="009B68B1"/>
    <w:rsid w:val="009B6A3F"/>
    <w:rsid w:val="009B6C5A"/>
    <w:rsid w:val="009B71E1"/>
    <w:rsid w:val="009C0448"/>
    <w:rsid w:val="009C0615"/>
    <w:rsid w:val="009C0CF8"/>
    <w:rsid w:val="009C0D49"/>
    <w:rsid w:val="009C0E2D"/>
    <w:rsid w:val="009C125A"/>
    <w:rsid w:val="009C1B3F"/>
    <w:rsid w:val="009C1EB2"/>
    <w:rsid w:val="009C2675"/>
    <w:rsid w:val="009C2839"/>
    <w:rsid w:val="009C2DC4"/>
    <w:rsid w:val="009C3007"/>
    <w:rsid w:val="009C3042"/>
    <w:rsid w:val="009C386A"/>
    <w:rsid w:val="009C3B59"/>
    <w:rsid w:val="009C3E9C"/>
    <w:rsid w:val="009C4598"/>
    <w:rsid w:val="009C473D"/>
    <w:rsid w:val="009C4A32"/>
    <w:rsid w:val="009C4B90"/>
    <w:rsid w:val="009C5559"/>
    <w:rsid w:val="009C589E"/>
    <w:rsid w:val="009C63AB"/>
    <w:rsid w:val="009C69D0"/>
    <w:rsid w:val="009C69F4"/>
    <w:rsid w:val="009C6B18"/>
    <w:rsid w:val="009C7163"/>
    <w:rsid w:val="009C77A3"/>
    <w:rsid w:val="009C7F92"/>
    <w:rsid w:val="009D1082"/>
    <w:rsid w:val="009D205A"/>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7F8"/>
    <w:rsid w:val="009F2C7D"/>
    <w:rsid w:val="009F2ED6"/>
    <w:rsid w:val="009F336F"/>
    <w:rsid w:val="009F3E13"/>
    <w:rsid w:val="009F40CE"/>
    <w:rsid w:val="009F4CDA"/>
    <w:rsid w:val="009F59BF"/>
    <w:rsid w:val="009F5F68"/>
    <w:rsid w:val="009F6051"/>
    <w:rsid w:val="009F776E"/>
    <w:rsid w:val="00A00F42"/>
    <w:rsid w:val="00A01519"/>
    <w:rsid w:val="00A0195A"/>
    <w:rsid w:val="00A01D11"/>
    <w:rsid w:val="00A02D3C"/>
    <w:rsid w:val="00A032EA"/>
    <w:rsid w:val="00A0408F"/>
    <w:rsid w:val="00A0431E"/>
    <w:rsid w:val="00A04E68"/>
    <w:rsid w:val="00A05155"/>
    <w:rsid w:val="00A05975"/>
    <w:rsid w:val="00A05EAA"/>
    <w:rsid w:val="00A0605F"/>
    <w:rsid w:val="00A0608D"/>
    <w:rsid w:val="00A060BE"/>
    <w:rsid w:val="00A0695E"/>
    <w:rsid w:val="00A0708B"/>
    <w:rsid w:val="00A07D26"/>
    <w:rsid w:val="00A1036E"/>
    <w:rsid w:val="00A104A1"/>
    <w:rsid w:val="00A10896"/>
    <w:rsid w:val="00A10AD7"/>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0BF9"/>
    <w:rsid w:val="00A21424"/>
    <w:rsid w:val="00A21997"/>
    <w:rsid w:val="00A2220B"/>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1E5"/>
    <w:rsid w:val="00A36CF6"/>
    <w:rsid w:val="00A36EC5"/>
    <w:rsid w:val="00A37EDA"/>
    <w:rsid w:val="00A4035D"/>
    <w:rsid w:val="00A403FC"/>
    <w:rsid w:val="00A413A3"/>
    <w:rsid w:val="00A41DB1"/>
    <w:rsid w:val="00A42D57"/>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415"/>
    <w:rsid w:val="00A56560"/>
    <w:rsid w:val="00A565B6"/>
    <w:rsid w:val="00A567E2"/>
    <w:rsid w:val="00A56806"/>
    <w:rsid w:val="00A57CDD"/>
    <w:rsid w:val="00A57F15"/>
    <w:rsid w:val="00A60066"/>
    <w:rsid w:val="00A60179"/>
    <w:rsid w:val="00A61355"/>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779BC"/>
    <w:rsid w:val="00A81251"/>
    <w:rsid w:val="00A81951"/>
    <w:rsid w:val="00A8226A"/>
    <w:rsid w:val="00A82941"/>
    <w:rsid w:val="00A829BD"/>
    <w:rsid w:val="00A834D6"/>
    <w:rsid w:val="00A83A31"/>
    <w:rsid w:val="00A83A61"/>
    <w:rsid w:val="00A83DBC"/>
    <w:rsid w:val="00A84746"/>
    <w:rsid w:val="00A847AE"/>
    <w:rsid w:val="00A84A8C"/>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3F9E"/>
    <w:rsid w:val="00A94084"/>
    <w:rsid w:val="00A9446E"/>
    <w:rsid w:val="00A952EF"/>
    <w:rsid w:val="00A96484"/>
    <w:rsid w:val="00A96790"/>
    <w:rsid w:val="00A96852"/>
    <w:rsid w:val="00A96C21"/>
    <w:rsid w:val="00A9791D"/>
    <w:rsid w:val="00A97D4A"/>
    <w:rsid w:val="00A97DB8"/>
    <w:rsid w:val="00AA0209"/>
    <w:rsid w:val="00AA03A6"/>
    <w:rsid w:val="00AA050F"/>
    <w:rsid w:val="00AA08E2"/>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BF8"/>
    <w:rsid w:val="00AB1C10"/>
    <w:rsid w:val="00AB212D"/>
    <w:rsid w:val="00AB32C1"/>
    <w:rsid w:val="00AB3552"/>
    <w:rsid w:val="00AB3CC9"/>
    <w:rsid w:val="00AB49C3"/>
    <w:rsid w:val="00AB55F8"/>
    <w:rsid w:val="00AB5DF2"/>
    <w:rsid w:val="00AB6C4D"/>
    <w:rsid w:val="00AB7866"/>
    <w:rsid w:val="00AC0895"/>
    <w:rsid w:val="00AC1D3B"/>
    <w:rsid w:val="00AC2035"/>
    <w:rsid w:val="00AC226A"/>
    <w:rsid w:val="00AC246C"/>
    <w:rsid w:val="00AC2A38"/>
    <w:rsid w:val="00AC2FB2"/>
    <w:rsid w:val="00AC32FB"/>
    <w:rsid w:val="00AC3ADE"/>
    <w:rsid w:val="00AC3F58"/>
    <w:rsid w:val="00AC41C9"/>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063"/>
    <w:rsid w:val="00AD1C10"/>
    <w:rsid w:val="00AD1D3D"/>
    <w:rsid w:val="00AD215C"/>
    <w:rsid w:val="00AD244E"/>
    <w:rsid w:val="00AD28FC"/>
    <w:rsid w:val="00AD2E7B"/>
    <w:rsid w:val="00AD2F8F"/>
    <w:rsid w:val="00AD330B"/>
    <w:rsid w:val="00AD3685"/>
    <w:rsid w:val="00AD3F4F"/>
    <w:rsid w:val="00AD403C"/>
    <w:rsid w:val="00AD4153"/>
    <w:rsid w:val="00AD4838"/>
    <w:rsid w:val="00AD5420"/>
    <w:rsid w:val="00AD56CF"/>
    <w:rsid w:val="00AD592B"/>
    <w:rsid w:val="00AD5B1E"/>
    <w:rsid w:val="00AD5DDB"/>
    <w:rsid w:val="00AD5E3E"/>
    <w:rsid w:val="00AD60B8"/>
    <w:rsid w:val="00AD60EF"/>
    <w:rsid w:val="00AD612C"/>
    <w:rsid w:val="00AD6E5A"/>
    <w:rsid w:val="00AD734C"/>
    <w:rsid w:val="00AD7922"/>
    <w:rsid w:val="00AE0413"/>
    <w:rsid w:val="00AE05BF"/>
    <w:rsid w:val="00AE0D8D"/>
    <w:rsid w:val="00AE23C8"/>
    <w:rsid w:val="00AE265A"/>
    <w:rsid w:val="00AE273B"/>
    <w:rsid w:val="00AE2968"/>
    <w:rsid w:val="00AE308D"/>
    <w:rsid w:val="00AE36D1"/>
    <w:rsid w:val="00AE3DDB"/>
    <w:rsid w:val="00AE4A64"/>
    <w:rsid w:val="00AE5771"/>
    <w:rsid w:val="00AE58F3"/>
    <w:rsid w:val="00AE593C"/>
    <w:rsid w:val="00AE59FC"/>
    <w:rsid w:val="00AE64F7"/>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A59"/>
    <w:rsid w:val="00AF7A12"/>
    <w:rsid w:val="00AF7BDD"/>
    <w:rsid w:val="00B00F8C"/>
    <w:rsid w:val="00B00FEC"/>
    <w:rsid w:val="00B0164A"/>
    <w:rsid w:val="00B02145"/>
    <w:rsid w:val="00B0227A"/>
    <w:rsid w:val="00B025DA"/>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758"/>
    <w:rsid w:val="00B129BD"/>
    <w:rsid w:val="00B12BDA"/>
    <w:rsid w:val="00B131C5"/>
    <w:rsid w:val="00B1333D"/>
    <w:rsid w:val="00B138D2"/>
    <w:rsid w:val="00B13D2B"/>
    <w:rsid w:val="00B13D4A"/>
    <w:rsid w:val="00B13F2E"/>
    <w:rsid w:val="00B14011"/>
    <w:rsid w:val="00B14793"/>
    <w:rsid w:val="00B15075"/>
    <w:rsid w:val="00B15774"/>
    <w:rsid w:val="00B15DB9"/>
    <w:rsid w:val="00B16637"/>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86B"/>
    <w:rsid w:val="00B319FE"/>
    <w:rsid w:val="00B3232C"/>
    <w:rsid w:val="00B331B8"/>
    <w:rsid w:val="00B33786"/>
    <w:rsid w:val="00B337A4"/>
    <w:rsid w:val="00B34725"/>
    <w:rsid w:val="00B3503A"/>
    <w:rsid w:val="00B355F0"/>
    <w:rsid w:val="00B3578C"/>
    <w:rsid w:val="00B35FE8"/>
    <w:rsid w:val="00B36759"/>
    <w:rsid w:val="00B36866"/>
    <w:rsid w:val="00B369B6"/>
    <w:rsid w:val="00B36D9E"/>
    <w:rsid w:val="00B372C8"/>
    <w:rsid w:val="00B37311"/>
    <w:rsid w:val="00B373FB"/>
    <w:rsid w:val="00B37975"/>
    <w:rsid w:val="00B37D5F"/>
    <w:rsid w:val="00B37E98"/>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19C"/>
    <w:rsid w:val="00B53B4E"/>
    <w:rsid w:val="00B53C5F"/>
    <w:rsid w:val="00B53D7D"/>
    <w:rsid w:val="00B54245"/>
    <w:rsid w:val="00B54A24"/>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ACC"/>
    <w:rsid w:val="00B94CDE"/>
    <w:rsid w:val="00B955F5"/>
    <w:rsid w:val="00B95663"/>
    <w:rsid w:val="00B95946"/>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9B8"/>
    <w:rsid w:val="00BA3A93"/>
    <w:rsid w:val="00BA3D21"/>
    <w:rsid w:val="00BA4D05"/>
    <w:rsid w:val="00BA5165"/>
    <w:rsid w:val="00BA5599"/>
    <w:rsid w:val="00BA5A40"/>
    <w:rsid w:val="00BA5FD5"/>
    <w:rsid w:val="00BA62AB"/>
    <w:rsid w:val="00BA7E0B"/>
    <w:rsid w:val="00BB05D6"/>
    <w:rsid w:val="00BB0DE3"/>
    <w:rsid w:val="00BB0EA0"/>
    <w:rsid w:val="00BB10CD"/>
    <w:rsid w:val="00BB10F0"/>
    <w:rsid w:val="00BB122E"/>
    <w:rsid w:val="00BB1CE7"/>
    <w:rsid w:val="00BB25BB"/>
    <w:rsid w:val="00BB4035"/>
    <w:rsid w:val="00BB4A6F"/>
    <w:rsid w:val="00BB56B1"/>
    <w:rsid w:val="00BB5759"/>
    <w:rsid w:val="00BB5A30"/>
    <w:rsid w:val="00BB5B98"/>
    <w:rsid w:val="00BB5E0C"/>
    <w:rsid w:val="00BB604C"/>
    <w:rsid w:val="00BB7393"/>
    <w:rsid w:val="00BB7BAC"/>
    <w:rsid w:val="00BB7BCF"/>
    <w:rsid w:val="00BC08D8"/>
    <w:rsid w:val="00BC08FC"/>
    <w:rsid w:val="00BC202D"/>
    <w:rsid w:val="00BC213B"/>
    <w:rsid w:val="00BC2651"/>
    <w:rsid w:val="00BC2964"/>
    <w:rsid w:val="00BC2A78"/>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005C"/>
    <w:rsid w:val="00BD0FD5"/>
    <w:rsid w:val="00BD1290"/>
    <w:rsid w:val="00BD17E7"/>
    <w:rsid w:val="00BD18CC"/>
    <w:rsid w:val="00BD1CFB"/>
    <w:rsid w:val="00BD2078"/>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72B"/>
    <w:rsid w:val="00BE4F8D"/>
    <w:rsid w:val="00BE590A"/>
    <w:rsid w:val="00BE644A"/>
    <w:rsid w:val="00BE770F"/>
    <w:rsid w:val="00BE778C"/>
    <w:rsid w:val="00BF01D4"/>
    <w:rsid w:val="00BF025E"/>
    <w:rsid w:val="00BF0536"/>
    <w:rsid w:val="00BF096C"/>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2612"/>
    <w:rsid w:val="00C03041"/>
    <w:rsid w:val="00C03447"/>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6E87"/>
    <w:rsid w:val="00C273ED"/>
    <w:rsid w:val="00C27447"/>
    <w:rsid w:val="00C27891"/>
    <w:rsid w:val="00C27D45"/>
    <w:rsid w:val="00C300F5"/>
    <w:rsid w:val="00C309E6"/>
    <w:rsid w:val="00C30AED"/>
    <w:rsid w:val="00C31073"/>
    <w:rsid w:val="00C314B5"/>
    <w:rsid w:val="00C323E5"/>
    <w:rsid w:val="00C32570"/>
    <w:rsid w:val="00C32A19"/>
    <w:rsid w:val="00C32C1E"/>
    <w:rsid w:val="00C32D53"/>
    <w:rsid w:val="00C32F69"/>
    <w:rsid w:val="00C3312E"/>
    <w:rsid w:val="00C33CD5"/>
    <w:rsid w:val="00C33D0A"/>
    <w:rsid w:val="00C340CF"/>
    <w:rsid w:val="00C34101"/>
    <w:rsid w:val="00C34796"/>
    <w:rsid w:val="00C348FE"/>
    <w:rsid w:val="00C3497E"/>
    <w:rsid w:val="00C34FBC"/>
    <w:rsid w:val="00C35087"/>
    <w:rsid w:val="00C3523B"/>
    <w:rsid w:val="00C35947"/>
    <w:rsid w:val="00C365FB"/>
    <w:rsid w:val="00C36B3D"/>
    <w:rsid w:val="00C36FFE"/>
    <w:rsid w:val="00C37913"/>
    <w:rsid w:val="00C37C02"/>
    <w:rsid w:val="00C40A83"/>
    <w:rsid w:val="00C40D37"/>
    <w:rsid w:val="00C412E1"/>
    <w:rsid w:val="00C4151E"/>
    <w:rsid w:val="00C416FD"/>
    <w:rsid w:val="00C41E73"/>
    <w:rsid w:val="00C41FA0"/>
    <w:rsid w:val="00C42143"/>
    <w:rsid w:val="00C4271F"/>
    <w:rsid w:val="00C42A6C"/>
    <w:rsid w:val="00C42B60"/>
    <w:rsid w:val="00C43DE4"/>
    <w:rsid w:val="00C43E4A"/>
    <w:rsid w:val="00C43FD4"/>
    <w:rsid w:val="00C4445E"/>
    <w:rsid w:val="00C44846"/>
    <w:rsid w:val="00C4522F"/>
    <w:rsid w:val="00C45A51"/>
    <w:rsid w:val="00C469E3"/>
    <w:rsid w:val="00C47155"/>
    <w:rsid w:val="00C47987"/>
    <w:rsid w:val="00C47CD2"/>
    <w:rsid w:val="00C47D56"/>
    <w:rsid w:val="00C510DE"/>
    <w:rsid w:val="00C529C6"/>
    <w:rsid w:val="00C52D66"/>
    <w:rsid w:val="00C52DA5"/>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3455"/>
    <w:rsid w:val="00C639E4"/>
    <w:rsid w:val="00C65030"/>
    <w:rsid w:val="00C6527B"/>
    <w:rsid w:val="00C652A1"/>
    <w:rsid w:val="00C655E4"/>
    <w:rsid w:val="00C65613"/>
    <w:rsid w:val="00C65738"/>
    <w:rsid w:val="00C6590A"/>
    <w:rsid w:val="00C65FFB"/>
    <w:rsid w:val="00C66613"/>
    <w:rsid w:val="00C66663"/>
    <w:rsid w:val="00C667A9"/>
    <w:rsid w:val="00C668D8"/>
    <w:rsid w:val="00C66A49"/>
    <w:rsid w:val="00C66BCD"/>
    <w:rsid w:val="00C66E74"/>
    <w:rsid w:val="00C67029"/>
    <w:rsid w:val="00C67A4B"/>
    <w:rsid w:val="00C70A17"/>
    <w:rsid w:val="00C70B38"/>
    <w:rsid w:val="00C70B43"/>
    <w:rsid w:val="00C71A56"/>
    <w:rsid w:val="00C724BD"/>
    <w:rsid w:val="00C730CC"/>
    <w:rsid w:val="00C7382E"/>
    <w:rsid w:val="00C74E7B"/>
    <w:rsid w:val="00C7532A"/>
    <w:rsid w:val="00C75721"/>
    <w:rsid w:val="00C760A6"/>
    <w:rsid w:val="00C762B7"/>
    <w:rsid w:val="00C76825"/>
    <w:rsid w:val="00C77C4B"/>
    <w:rsid w:val="00C77D50"/>
    <w:rsid w:val="00C806F5"/>
    <w:rsid w:val="00C80DC6"/>
    <w:rsid w:val="00C815E4"/>
    <w:rsid w:val="00C817F9"/>
    <w:rsid w:val="00C818C4"/>
    <w:rsid w:val="00C81C15"/>
    <w:rsid w:val="00C82276"/>
    <w:rsid w:val="00C8290C"/>
    <w:rsid w:val="00C833A2"/>
    <w:rsid w:val="00C84375"/>
    <w:rsid w:val="00C84D89"/>
    <w:rsid w:val="00C8512B"/>
    <w:rsid w:val="00C858C8"/>
    <w:rsid w:val="00C85A79"/>
    <w:rsid w:val="00C86242"/>
    <w:rsid w:val="00C86D64"/>
    <w:rsid w:val="00C87539"/>
    <w:rsid w:val="00C875B5"/>
    <w:rsid w:val="00C87CDD"/>
    <w:rsid w:val="00C90493"/>
    <w:rsid w:val="00C909EE"/>
    <w:rsid w:val="00C90A93"/>
    <w:rsid w:val="00C90C8D"/>
    <w:rsid w:val="00C90E27"/>
    <w:rsid w:val="00C910ED"/>
    <w:rsid w:val="00C91100"/>
    <w:rsid w:val="00C9135B"/>
    <w:rsid w:val="00C913A0"/>
    <w:rsid w:val="00C914C9"/>
    <w:rsid w:val="00C9156F"/>
    <w:rsid w:val="00C917AA"/>
    <w:rsid w:val="00C91E57"/>
    <w:rsid w:val="00C922E8"/>
    <w:rsid w:val="00C93188"/>
    <w:rsid w:val="00C93538"/>
    <w:rsid w:val="00C943AE"/>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DE4"/>
    <w:rsid w:val="00CA6F7C"/>
    <w:rsid w:val="00CB0652"/>
    <w:rsid w:val="00CB0A8A"/>
    <w:rsid w:val="00CB12EC"/>
    <w:rsid w:val="00CB138C"/>
    <w:rsid w:val="00CB1BD3"/>
    <w:rsid w:val="00CB1DA2"/>
    <w:rsid w:val="00CB21EF"/>
    <w:rsid w:val="00CB26B1"/>
    <w:rsid w:val="00CB2714"/>
    <w:rsid w:val="00CB2824"/>
    <w:rsid w:val="00CB2958"/>
    <w:rsid w:val="00CB2C75"/>
    <w:rsid w:val="00CB2F95"/>
    <w:rsid w:val="00CB30E7"/>
    <w:rsid w:val="00CB3270"/>
    <w:rsid w:val="00CB45BA"/>
    <w:rsid w:val="00CB4DA4"/>
    <w:rsid w:val="00CB557A"/>
    <w:rsid w:val="00CB6108"/>
    <w:rsid w:val="00CB62BB"/>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2BE2"/>
    <w:rsid w:val="00CC326E"/>
    <w:rsid w:val="00CC38EE"/>
    <w:rsid w:val="00CC3BF9"/>
    <w:rsid w:val="00CC46F6"/>
    <w:rsid w:val="00CC55C7"/>
    <w:rsid w:val="00CC566D"/>
    <w:rsid w:val="00CC6AA6"/>
    <w:rsid w:val="00CC6ACF"/>
    <w:rsid w:val="00CC6B13"/>
    <w:rsid w:val="00CC722F"/>
    <w:rsid w:val="00CC726E"/>
    <w:rsid w:val="00CC7476"/>
    <w:rsid w:val="00CC75EE"/>
    <w:rsid w:val="00CD0B6A"/>
    <w:rsid w:val="00CD0BAE"/>
    <w:rsid w:val="00CD0D3E"/>
    <w:rsid w:val="00CD1017"/>
    <w:rsid w:val="00CD107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D7A4C"/>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C7B"/>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56A"/>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59E"/>
    <w:rsid w:val="00D20886"/>
    <w:rsid w:val="00D2276B"/>
    <w:rsid w:val="00D22AB5"/>
    <w:rsid w:val="00D22E00"/>
    <w:rsid w:val="00D23172"/>
    <w:rsid w:val="00D237AB"/>
    <w:rsid w:val="00D23E97"/>
    <w:rsid w:val="00D24347"/>
    <w:rsid w:val="00D251E6"/>
    <w:rsid w:val="00D259B0"/>
    <w:rsid w:val="00D26097"/>
    <w:rsid w:val="00D261C5"/>
    <w:rsid w:val="00D26391"/>
    <w:rsid w:val="00D2662E"/>
    <w:rsid w:val="00D2699D"/>
    <w:rsid w:val="00D26D50"/>
    <w:rsid w:val="00D27747"/>
    <w:rsid w:val="00D27BF7"/>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0F4D"/>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09F"/>
    <w:rsid w:val="00D5228C"/>
    <w:rsid w:val="00D5238C"/>
    <w:rsid w:val="00D52E06"/>
    <w:rsid w:val="00D53650"/>
    <w:rsid w:val="00D54ECE"/>
    <w:rsid w:val="00D553C7"/>
    <w:rsid w:val="00D55813"/>
    <w:rsid w:val="00D5648F"/>
    <w:rsid w:val="00D5651D"/>
    <w:rsid w:val="00D5693C"/>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5F8A"/>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90B"/>
    <w:rsid w:val="00D72AC2"/>
    <w:rsid w:val="00D72CAE"/>
    <w:rsid w:val="00D730C7"/>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270"/>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11D"/>
    <w:rsid w:val="00DA3CF1"/>
    <w:rsid w:val="00DA405C"/>
    <w:rsid w:val="00DA4B0E"/>
    <w:rsid w:val="00DA4F30"/>
    <w:rsid w:val="00DA50E4"/>
    <w:rsid w:val="00DA5BEB"/>
    <w:rsid w:val="00DA5F82"/>
    <w:rsid w:val="00DA6BFD"/>
    <w:rsid w:val="00DA7645"/>
    <w:rsid w:val="00DA789E"/>
    <w:rsid w:val="00DA7E15"/>
    <w:rsid w:val="00DA7E1B"/>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D55"/>
    <w:rsid w:val="00DB4E50"/>
    <w:rsid w:val="00DB510A"/>
    <w:rsid w:val="00DB5178"/>
    <w:rsid w:val="00DB5386"/>
    <w:rsid w:val="00DB5690"/>
    <w:rsid w:val="00DB5ABE"/>
    <w:rsid w:val="00DB6292"/>
    <w:rsid w:val="00DB658C"/>
    <w:rsid w:val="00DB67E7"/>
    <w:rsid w:val="00DB68BB"/>
    <w:rsid w:val="00DB7F10"/>
    <w:rsid w:val="00DC015F"/>
    <w:rsid w:val="00DC1524"/>
    <w:rsid w:val="00DC169C"/>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AE1"/>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736"/>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795"/>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AD4"/>
    <w:rsid w:val="00E13D2C"/>
    <w:rsid w:val="00E13EE3"/>
    <w:rsid w:val="00E148CD"/>
    <w:rsid w:val="00E14E22"/>
    <w:rsid w:val="00E14FF5"/>
    <w:rsid w:val="00E15713"/>
    <w:rsid w:val="00E15E72"/>
    <w:rsid w:val="00E16682"/>
    <w:rsid w:val="00E16789"/>
    <w:rsid w:val="00E1678A"/>
    <w:rsid w:val="00E174AB"/>
    <w:rsid w:val="00E17549"/>
    <w:rsid w:val="00E17BAE"/>
    <w:rsid w:val="00E17E85"/>
    <w:rsid w:val="00E17E99"/>
    <w:rsid w:val="00E17F83"/>
    <w:rsid w:val="00E2002A"/>
    <w:rsid w:val="00E2055A"/>
    <w:rsid w:val="00E20ACE"/>
    <w:rsid w:val="00E21171"/>
    <w:rsid w:val="00E216B3"/>
    <w:rsid w:val="00E21D89"/>
    <w:rsid w:val="00E21F2D"/>
    <w:rsid w:val="00E226D2"/>
    <w:rsid w:val="00E22A26"/>
    <w:rsid w:val="00E22DD9"/>
    <w:rsid w:val="00E2336E"/>
    <w:rsid w:val="00E23655"/>
    <w:rsid w:val="00E23AB9"/>
    <w:rsid w:val="00E23AC4"/>
    <w:rsid w:val="00E23ED2"/>
    <w:rsid w:val="00E256F7"/>
    <w:rsid w:val="00E25995"/>
    <w:rsid w:val="00E25D57"/>
    <w:rsid w:val="00E25D93"/>
    <w:rsid w:val="00E26257"/>
    <w:rsid w:val="00E264AD"/>
    <w:rsid w:val="00E26500"/>
    <w:rsid w:val="00E27074"/>
    <w:rsid w:val="00E27E1C"/>
    <w:rsid w:val="00E300F2"/>
    <w:rsid w:val="00E31966"/>
    <w:rsid w:val="00E3203D"/>
    <w:rsid w:val="00E32AE4"/>
    <w:rsid w:val="00E32D6A"/>
    <w:rsid w:val="00E33396"/>
    <w:rsid w:val="00E335C5"/>
    <w:rsid w:val="00E33D24"/>
    <w:rsid w:val="00E33DB8"/>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27A"/>
    <w:rsid w:val="00E4297F"/>
    <w:rsid w:val="00E42A75"/>
    <w:rsid w:val="00E42AC9"/>
    <w:rsid w:val="00E438F7"/>
    <w:rsid w:val="00E43E29"/>
    <w:rsid w:val="00E43EE5"/>
    <w:rsid w:val="00E440C6"/>
    <w:rsid w:val="00E44ACD"/>
    <w:rsid w:val="00E44CB9"/>
    <w:rsid w:val="00E4501D"/>
    <w:rsid w:val="00E45343"/>
    <w:rsid w:val="00E45B97"/>
    <w:rsid w:val="00E463F2"/>
    <w:rsid w:val="00E465AD"/>
    <w:rsid w:val="00E46852"/>
    <w:rsid w:val="00E46AB1"/>
    <w:rsid w:val="00E46AC5"/>
    <w:rsid w:val="00E47403"/>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49E7"/>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35F3"/>
    <w:rsid w:val="00E6450D"/>
    <w:rsid w:val="00E64F58"/>
    <w:rsid w:val="00E65073"/>
    <w:rsid w:val="00E659FF"/>
    <w:rsid w:val="00E65AD7"/>
    <w:rsid w:val="00E65E8C"/>
    <w:rsid w:val="00E66152"/>
    <w:rsid w:val="00E66800"/>
    <w:rsid w:val="00E66D78"/>
    <w:rsid w:val="00E673C1"/>
    <w:rsid w:val="00E67C5C"/>
    <w:rsid w:val="00E67E55"/>
    <w:rsid w:val="00E70504"/>
    <w:rsid w:val="00E70722"/>
    <w:rsid w:val="00E70E30"/>
    <w:rsid w:val="00E71198"/>
    <w:rsid w:val="00E71230"/>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08E1"/>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B12"/>
    <w:rsid w:val="00EA4F1E"/>
    <w:rsid w:val="00EA4F7D"/>
    <w:rsid w:val="00EA5053"/>
    <w:rsid w:val="00EA542D"/>
    <w:rsid w:val="00EA5F9C"/>
    <w:rsid w:val="00EA633B"/>
    <w:rsid w:val="00EA659C"/>
    <w:rsid w:val="00EA7206"/>
    <w:rsid w:val="00EA7CB8"/>
    <w:rsid w:val="00EB0A68"/>
    <w:rsid w:val="00EB0E6A"/>
    <w:rsid w:val="00EB0FE6"/>
    <w:rsid w:val="00EB16EB"/>
    <w:rsid w:val="00EB182C"/>
    <w:rsid w:val="00EB19D9"/>
    <w:rsid w:val="00EB1A24"/>
    <w:rsid w:val="00EB1B6F"/>
    <w:rsid w:val="00EB2287"/>
    <w:rsid w:val="00EB269D"/>
    <w:rsid w:val="00EB2A08"/>
    <w:rsid w:val="00EB30E8"/>
    <w:rsid w:val="00EB344E"/>
    <w:rsid w:val="00EB41F5"/>
    <w:rsid w:val="00EB457D"/>
    <w:rsid w:val="00EB45CE"/>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535"/>
    <w:rsid w:val="00EC760B"/>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35C1"/>
    <w:rsid w:val="00EE4436"/>
    <w:rsid w:val="00EE489E"/>
    <w:rsid w:val="00EE4ACE"/>
    <w:rsid w:val="00EE4BBE"/>
    <w:rsid w:val="00EE546C"/>
    <w:rsid w:val="00EE563D"/>
    <w:rsid w:val="00EE56A0"/>
    <w:rsid w:val="00EE5DFC"/>
    <w:rsid w:val="00EE60E7"/>
    <w:rsid w:val="00EE6106"/>
    <w:rsid w:val="00EE65E2"/>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850"/>
    <w:rsid w:val="00EF3C6A"/>
    <w:rsid w:val="00EF3F1A"/>
    <w:rsid w:val="00EF463E"/>
    <w:rsid w:val="00EF541D"/>
    <w:rsid w:val="00EF571F"/>
    <w:rsid w:val="00EF579C"/>
    <w:rsid w:val="00EF57BB"/>
    <w:rsid w:val="00EF585C"/>
    <w:rsid w:val="00EF5B95"/>
    <w:rsid w:val="00EF60B7"/>
    <w:rsid w:val="00EF613D"/>
    <w:rsid w:val="00EF6606"/>
    <w:rsid w:val="00EF68D5"/>
    <w:rsid w:val="00EF7102"/>
    <w:rsid w:val="00F0076C"/>
    <w:rsid w:val="00F00922"/>
    <w:rsid w:val="00F00AB8"/>
    <w:rsid w:val="00F0102C"/>
    <w:rsid w:val="00F0106B"/>
    <w:rsid w:val="00F0137B"/>
    <w:rsid w:val="00F0139C"/>
    <w:rsid w:val="00F01591"/>
    <w:rsid w:val="00F01B16"/>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5C1"/>
    <w:rsid w:val="00F16B9D"/>
    <w:rsid w:val="00F16CE1"/>
    <w:rsid w:val="00F17125"/>
    <w:rsid w:val="00F1785E"/>
    <w:rsid w:val="00F179EF"/>
    <w:rsid w:val="00F17E02"/>
    <w:rsid w:val="00F17E22"/>
    <w:rsid w:val="00F20017"/>
    <w:rsid w:val="00F20171"/>
    <w:rsid w:val="00F20776"/>
    <w:rsid w:val="00F21051"/>
    <w:rsid w:val="00F2106E"/>
    <w:rsid w:val="00F21514"/>
    <w:rsid w:val="00F21AE7"/>
    <w:rsid w:val="00F21B78"/>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9FA"/>
    <w:rsid w:val="00F26D6D"/>
    <w:rsid w:val="00F27B88"/>
    <w:rsid w:val="00F304BB"/>
    <w:rsid w:val="00F30616"/>
    <w:rsid w:val="00F30C57"/>
    <w:rsid w:val="00F319F9"/>
    <w:rsid w:val="00F32556"/>
    <w:rsid w:val="00F32AF9"/>
    <w:rsid w:val="00F336C3"/>
    <w:rsid w:val="00F3397A"/>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69C2"/>
    <w:rsid w:val="00F4737E"/>
    <w:rsid w:val="00F47D5F"/>
    <w:rsid w:val="00F47E5F"/>
    <w:rsid w:val="00F50623"/>
    <w:rsid w:val="00F507D7"/>
    <w:rsid w:val="00F50CE9"/>
    <w:rsid w:val="00F511EE"/>
    <w:rsid w:val="00F515B1"/>
    <w:rsid w:val="00F51D28"/>
    <w:rsid w:val="00F51E4D"/>
    <w:rsid w:val="00F52365"/>
    <w:rsid w:val="00F533F9"/>
    <w:rsid w:val="00F539AC"/>
    <w:rsid w:val="00F53D94"/>
    <w:rsid w:val="00F5420D"/>
    <w:rsid w:val="00F54768"/>
    <w:rsid w:val="00F54ADC"/>
    <w:rsid w:val="00F553E8"/>
    <w:rsid w:val="00F55543"/>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D38"/>
    <w:rsid w:val="00F6557B"/>
    <w:rsid w:val="00F6574E"/>
    <w:rsid w:val="00F65F2E"/>
    <w:rsid w:val="00F66191"/>
    <w:rsid w:val="00F666B5"/>
    <w:rsid w:val="00F6680B"/>
    <w:rsid w:val="00F66951"/>
    <w:rsid w:val="00F67275"/>
    <w:rsid w:val="00F672C3"/>
    <w:rsid w:val="00F67EF9"/>
    <w:rsid w:val="00F70F34"/>
    <w:rsid w:val="00F713E2"/>
    <w:rsid w:val="00F7187B"/>
    <w:rsid w:val="00F718A4"/>
    <w:rsid w:val="00F72698"/>
    <w:rsid w:val="00F728AA"/>
    <w:rsid w:val="00F72911"/>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A96"/>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BB"/>
    <w:rsid w:val="00F95EFB"/>
    <w:rsid w:val="00F9624E"/>
    <w:rsid w:val="00F96923"/>
    <w:rsid w:val="00F96E26"/>
    <w:rsid w:val="00F970DB"/>
    <w:rsid w:val="00F9766C"/>
    <w:rsid w:val="00F97A9A"/>
    <w:rsid w:val="00FA008C"/>
    <w:rsid w:val="00FA0431"/>
    <w:rsid w:val="00FA0577"/>
    <w:rsid w:val="00FA086C"/>
    <w:rsid w:val="00FA0870"/>
    <w:rsid w:val="00FA0FFB"/>
    <w:rsid w:val="00FA1441"/>
    <w:rsid w:val="00FA1662"/>
    <w:rsid w:val="00FA1814"/>
    <w:rsid w:val="00FA203F"/>
    <w:rsid w:val="00FA2099"/>
    <w:rsid w:val="00FA2393"/>
    <w:rsid w:val="00FA38A1"/>
    <w:rsid w:val="00FA3C01"/>
    <w:rsid w:val="00FA3F41"/>
    <w:rsid w:val="00FA45F7"/>
    <w:rsid w:val="00FA4A3B"/>
    <w:rsid w:val="00FA4B7C"/>
    <w:rsid w:val="00FA5888"/>
    <w:rsid w:val="00FA62C1"/>
    <w:rsid w:val="00FA6B17"/>
    <w:rsid w:val="00FA7860"/>
    <w:rsid w:val="00FB0060"/>
    <w:rsid w:val="00FB012F"/>
    <w:rsid w:val="00FB092E"/>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B7F29"/>
    <w:rsid w:val="00FC0690"/>
    <w:rsid w:val="00FC06BF"/>
    <w:rsid w:val="00FC0AE4"/>
    <w:rsid w:val="00FC0E21"/>
    <w:rsid w:val="00FC1694"/>
    <w:rsid w:val="00FC1CF2"/>
    <w:rsid w:val="00FC2124"/>
    <w:rsid w:val="00FC253E"/>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0C"/>
    <w:rsid w:val="00FD2965"/>
    <w:rsid w:val="00FD2A64"/>
    <w:rsid w:val="00FD2CC3"/>
    <w:rsid w:val="00FD3D61"/>
    <w:rsid w:val="00FD3E32"/>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72"/>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66DF"/>
    <w:rsid w:val="00FE6845"/>
    <w:rsid w:val="00FE6AD1"/>
    <w:rsid w:val="00FE7344"/>
    <w:rsid w:val="00FE78FD"/>
    <w:rsid w:val="00FE7BA2"/>
    <w:rsid w:val="00FE7E13"/>
    <w:rsid w:val="00FF0586"/>
    <w:rsid w:val="00FF09BD"/>
    <w:rsid w:val="00FF13EB"/>
    <w:rsid w:val="00FF1653"/>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2177E"/>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character" w:styleId="Mencinsinresolver">
    <w:name w:val="Unresolved Mention"/>
    <w:basedOn w:val="Fuentedeprrafopredeter"/>
    <w:uiPriority w:val="99"/>
    <w:semiHidden/>
    <w:unhideWhenUsed/>
    <w:rsid w:val="0073177F"/>
    <w:rPr>
      <w:color w:val="605E5C"/>
      <w:shd w:val="clear" w:color="auto" w:fill="E1DFDD"/>
    </w:rPr>
  </w:style>
  <w:style w:type="paragraph" w:styleId="Revisin">
    <w:name w:val="Revision"/>
    <w:hidden/>
    <w:uiPriority w:val="99"/>
    <w:semiHidden/>
    <w:rsid w:val="00662D1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inegi.org.mx/investigacion/mcsm/desagrega_sector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mailto:comunicacionsocial@inegi.org.mx"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56BC6-142B-4982-B5B3-FCCE2A6B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1569</Words>
  <Characters>8635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Comunicado de Prensa. Desagregación Sectorial del Indicador Oportuno de la Actividad Económica</vt:lpstr>
    </vt:vector>
  </TitlesOfParts>
  <Company>INEGI</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Desagregación Sectorial del Indicador Oportuno de la Actividad Económica</dc:title>
  <dc:creator>INEGI</dc:creator>
  <cp:keywords>DSIOAE</cp:keywords>
  <cp:lastModifiedBy>MARTINEZ GALINDO MINERVA JOAQUINA</cp:lastModifiedBy>
  <cp:revision>9</cp:revision>
  <cp:lastPrinted>2023-04-25T17:22:00Z</cp:lastPrinted>
  <dcterms:created xsi:type="dcterms:W3CDTF">2023-04-25T17:22:00Z</dcterms:created>
  <dcterms:modified xsi:type="dcterms:W3CDTF">2023-04-25T19:17:00Z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29d1b248cdca8dd905d2d1707f5585a70b56dc136209f99e2a0c33a16cfe91e8</vt:lpwstr>
  </property>
</Properties>
</file>