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1EC4" w14:textId="2DED3355" w:rsidR="00CF0CA0" w:rsidRDefault="00CF0CA0" w:rsidP="004D0121">
      <w:pPr>
        <w:jc w:val="center"/>
        <w:outlineLvl w:val="0"/>
        <w:rPr>
          <w:b/>
          <w:spacing w:val="20"/>
          <w:sz w:val="28"/>
          <w:szCs w:val="28"/>
        </w:rPr>
      </w:pPr>
      <w:r>
        <w:rPr>
          <w:noProof/>
          <w:lang w:eastAsia="es-MX"/>
        </w:rPr>
        <mc:AlternateContent>
          <mc:Choice Requires="wps">
            <w:drawing>
              <wp:anchor distT="45720" distB="45720" distL="114300" distR="114300" simplePos="0" relativeHeight="251660288" behindDoc="0" locked="0" layoutInCell="1" allowOverlap="1" wp14:anchorId="68B1C300" wp14:editId="57772596">
                <wp:simplePos x="0" y="0"/>
                <wp:positionH relativeFrom="margin">
                  <wp:posOffset>2870761</wp:posOffset>
                </wp:positionH>
                <wp:positionV relativeFrom="paragraph">
                  <wp:posOffset>13335</wp:posOffset>
                </wp:positionV>
                <wp:extent cx="3307715" cy="266700"/>
                <wp:effectExtent l="0" t="0" r="698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266700"/>
                        </a:xfrm>
                        <a:prstGeom prst="rect">
                          <a:avLst/>
                        </a:prstGeom>
                        <a:solidFill>
                          <a:srgbClr val="FFFFFF"/>
                        </a:solidFill>
                        <a:ln w="9525">
                          <a:noFill/>
                          <a:miter lim="800000"/>
                          <a:headEnd/>
                          <a:tailEnd/>
                        </a:ln>
                      </wps:spPr>
                      <wps:txbx>
                        <w:txbxContent>
                          <w:p w14:paraId="66163EBC" w14:textId="0C388652" w:rsidR="00A5706D" w:rsidRPr="003D4E37" w:rsidRDefault="00A5706D" w:rsidP="00CF0CA0">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w:t>
                            </w:r>
                            <w:r>
                              <w:rPr>
                                <w:b/>
                                <w:color w:val="FFFFFF" w:themeColor="background1"/>
                                <w:shd w:val="clear" w:color="auto" w:fill="365F91" w:themeFill="accent1" w:themeFillShade="BF"/>
                                <w:lang w:val="pt-BR"/>
                              </w:rPr>
                              <w:t>ó</w:t>
                            </w:r>
                            <w:r w:rsidRPr="003D4E37">
                              <w:rPr>
                                <w:b/>
                                <w:color w:val="FFFFFF" w:themeColor="background1"/>
                                <w:shd w:val="clear" w:color="auto" w:fill="365F91" w:themeFill="accent1" w:themeFillShade="BF"/>
                                <w:lang w:val="pt-BR"/>
                              </w:rPr>
                              <w:t>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1C300" id="_x0000_t202" coordsize="21600,21600" o:spt="202" path="m,l,21600r21600,l21600,xe">
                <v:stroke joinstyle="miter"/>
                <v:path gradientshapeok="t" o:connecttype="rect"/>
              </v:shapetype>
              <v:shape id="Cuadro de texto 217" o:spid="_x0000_s1026" type="#_x0000_t202" style="position:absolute;left:0;text-align:left;margin-left:226.05pt;margin-top:1.05pt;width:260.4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" stroked="f">
                <v:textbox>
                  <w:txbxContent>
                    <w:p w14:paraId="66163EBC" w14:textId="0C388652" w:rsidR="00A5706D" w:rsidRPr="003D4E37" w:rsidRDefault="00A5706D" w:rsidP="00CF0CA0">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w:t>
                      </w:r>
                      <w:r>
                        <w:rPr>
                          <w:b/>
                          <w:color w:val="FFFFFF" w:themeColor="background1"/>
                          <w:shd w:val="clear" w:color="auto" w:fill="365F91" w:themeFill="accent1" w:themeFillShade="BF"/>
                          <w:lang w:val="pt-BR"/>
                        </w:rPr>
                        <w:t>ó</w:t>
                      </w:r>
                      <w:r w:rsidRPr="003D4E37">
                        <w:rPr>
                          <w:b/>
                          <w:color w:val="FFFFFF" w:themeColor="background1"/>
                          <w:shd w:val="clear" w:color="auto" w:fill="365F91" w:themeFill="accent1" w:themeFillShade="BF"/>
                          <w:lang w:val="pt-BR"/>
                        </w:rPr>
                        <w:t>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v:textbox>
                <w10:wrap type="square" anchorx="margin"/>
              </v:shape>
            </w:pict>
          </mc:Fallback>
        </mc:AlternateContent>
      </w:r>
    </w:p>
    <w:p w14:paraId="79937969" w14:textId="77777777" w:rsidR="001625B5" w:rsidRDefault="001625B5" w:rsidP="004D0121">
      <w:pPr>
        <w:jc w:val="center"/>
        <w:outlineLvl w:val="0"/>
        <w:rPr>
          <w:b/>
          <w:spacing w:val="20"/>
          <w:sz w:val="28"/>
          <w:szCs w:val="28"/>
        </w:rPr>
      </w:pPr>
    </w:p>
    <w:p w14:paraId="28B38F33" w14:textId="7FD716D2" w:rsidR="00A46C32" w:rsidRPr="00A5706D" w:rsidRDefault="003A6FFF" w:rsidP="00A5706D">
      <w:pPr>
        <w:ind w:left="-284" w:right="-233"/>
        <w:jc w:val="center"/>
        <w:outlineLvl w:val="0"/>
        <w:rPr>
          <w:b/>
          <w:spacing w:val="20"/>
        </w:rPr>
      </w:pPr>
      <w:r w:rsidRPr="00A5706D">
        <w:rPr>
          <w:b/>
          <w:spacing w:val="20"/>
        </w:rPr>
        <w:t xml:space="preserve">INDICADORES AGREGADOS DE TENDENCIA </w:t>
      </w:r>
      <w:r w:rsidR="00922FF5" w:rsidRPr="00A5706D">
        <w:rPr>
          <w:b/>
          <w:spacing w:val="20"/>
        </w:rPr>
        <w:br/>
      </w:r>
      <w:r w:rsidRPr="00A5706D">
        <w:rPr>
          <w:b/>
          <w:spacing w:val="20"/>
        </w:rPr>
        <w:t xml:space="preserve">Y </w:t>
      </w:r>
      <w:r w:rsidR="009D48AE" w:rsidRPr="00A5706D">
        <w:rPr>
          <w:b/>
          <w:spacing w:val="20"/>
        </w:rPr>
        <w:t>EXPECTATIVAS EMPRESARIALES</w:t>
      </w:r>
    </w:p>
    <w:p w14:paraId="0B895559" w14:textId="7D42E84C" w:rsidR="00A46C32" w:rsidRPr="00A5706D" w:rsidRDefault="00A5706D" w:rsidP="00A5706D">
      <w:pPr>
        <w:spacing w:before="40"/>
        <w:ind w:left="-284" w:right="-233"/>
        <w:jc w:val="center"/>
        <w:outlineLvl w:val="0"/>
        <w:rPr>
          <w:b/>
        </w:rPr>
      </w:pPr>
      <w:r w:rsidRPr="00A5706D">
        <w:rPr>
          <w:rFonts w:ascii="Arial Negrita" w:hAnsi="Arial Negrita"/>
          <w:b/>
          <w:bCs/>
        </w:rPr>
        <w:t>ENERO DE</w:t>
      </w:r>
      <w:r w:rsidRPr="00A5706D">
        <w:rPr>
          <w:b/>
        </w:rPr>
        <w:t xml:space="preserve"> </w:t>
      </w:r>
      <w:r w:rsidR="000F1AA6" w:rsidRPr="00A5706D">
        <w:rPr>
          <w:rFonts w:ascii="Arial Negrita" w:hAnsi="Arial Negrita"/>
          <w:b/>
          <w:bCs/>
        </w:rPr>
        <w:t>20</w:t>
      </w:r>
      <w:r w:rsidR="00D23692" w:rsidRPr="00A5706D">
        <w:rPr>
          <w:rFonts w:ascii="Arial Negrita" w:hAnsi="Arial Negrita"/>
          <w:b/>
          <w:bCs/>
        </w:rPr>
        <w:t>2</w:t>
      </w:r>
      <w:r w:rsidR="00B45B99" w:rsidRPr="00A5706D">
        <w:rPr>
          <w:rFonts w:ascii="Arial Negrita" w:hAnsi="Arial Negrita"/>
          <w:b/>
          <w:bCs/>
        </w:rPr>
        <w:t>3</w:t>
      </w:r>
    </w:p>
    <w:p w14:paraId="2E9BE531" w14:textId="38A5A422" w:rsidR="0027370D" w:rsidRPr="001625B5" w:rsidRDefault="00B45B99" w:rsidP="00A5706D">
      <w:pPr>
        <w:spacing w:before="240"/>
        <w:ind w:left="-284" w:right="-233"/>
      </w:pPr>
      <w:r w:rsidRPr="001625B5">
        <w:rPr>
          <w:spacing w:val="6"/>
        </w:rPr>
        <w:t>En enero de 2023</w:t>
      </w:r>
      <w:r w:rsidR="0027370D" w:rsidRPr="001625B5">
        <w:t xml:space="preserve"> y</w:t>
      </w:r>
      <w:r w:rsidR="0027370D" w:rsidRPr="001625B5">
        <w:rPr>
          <w:spacing w:val="6"/>
        </w:rPr>
        <w:t xml:space="preserve"> con cifras desestacionalizadas</w:t>
      </w:r>
      <w:r w:rsidR="00F2307B" w:rsidRPr="001625B5">
        <w:t>,</w:t>
      </w:r>
      <w:r w:rsidR="0027370D" w:rsidRPr="001625B5">
        <w:rPr>
          <w:spacing w:val="6"/>
          <w:vertAlign w:val="superscript"/>
        </w:rPr>
        <w:footnoteReference w:id="2"/>
      </w:r>
      <w:r w:rsidR="0027370D" w:rsidRPr="001625B5">
        <w:t xml:space="preserve"> </w:t>
      </w:r>
      <w:r w:rsidR="0027370D" w:rsidRPr="001625B5">
        <w:rPr>
          <w:spacing w:val="6"/>
        </w:rPr>
        <w:t xml:space="preserve">el Indicador Agregado de Tendencia (IAT) del sector </w:t>
      </w:r>
      <w:r w:rsidR="002D2168" w:rsidRPr="001625B5">
        <w:rPr>
          <w:spacing w:val="6"/>
        </w:rPr>
        <w:t>m</w:t>
      </w:r>
      <w:r w:rsidR="004F748C" w:rsidRPr="001625B5">
        <w:rPr>
          <w:spacing w:val="6"/>
        </w:rPr>
        <w:t xml:space="preserve">anufacturero </w:t>
      </w:r>
      <w:r w:rsidR="003A0C6C" w:rsidRPr="001625B5">
        <w:rPr>
          <w:spacing w:val="6"/>
        </w:rPr>
        <w:t>fue de</w:t>
      </w:r>
      <w:r w:rsidR="00825BFC" w:rsidRPr="001625B5">
        <w:rPr>
          <w:spacing w:val="6"/>
        </w:rPr>
        <w:t xml:space="preserve"> 52</w:t>
      </w:r>
      <w:r w:rsidR="0027370D" w:rsidRPr="001625B5">
        <w:rPr>
          <w:spacing w:val="6"/>
        </w:rPr>
        <w:t xml:space="preserve"> p</w:t>
      </w:r>
      <w:r w:rsidR="004F748C" w:rsidRPr="001625B5">
        <w:rPr>
          <w:spacing w:val="6"/>
        </w:rPr>
        <w:t>untos,</w:t>
      </w:r>
      <w:r w:rsidR="004B73DB" w:rsidRPr="001625B5">
        <w:rPr>
          <w:spacing w:val="6"/>
        </w:rPr>
        <w:t xml:space="preserve"> </w:t>
      </w:r>
      <w:r w:rsidR="00C6265C" w:rsidRPr="001625B5">
        <w:rPr>
          <w:spacing w:val="6"/>
        </w:rPr>
        <w:t>un aumento mensual de 0</w:t>
      </w:r>
      <w:r w:rsidR="00825BFC" w:rsidRPr="001625B5">
        <w:rPr>
          <w:spacing w:val="6"/>
        </w:rPr>
        <w:t>.3</w:t>
      </w:r>
      <w:r w:rsidR="00AA2387" w:rsidRPr="001625B5">
        <w:rPr>
          <w:spacing w:val="6"/>
        </w:rPr>
        <w:t xml:space="preserve"> puntos</w:t>
      </w:r>
      <w:r w:rsidR="0027370D" w:rsidRPr="001625B5">
        <w:t>.</w:t>
      </w:r>
    </w:p>
    <w:p w14:paraId="45967DB9" w14:textId="77777777" w:rsidR="001E36D2" w:rsidRDefault="001E36D2" w:rsidP="001E36D2">
      <w:pPr>
        <w:ind w:right="51"/>
        <w:rPr>
          <w:b/>
          <w:sz w:val="22"/>
          <w:szCs w:val="22"/>
        </w:rPr>
      </w:pPr>
    </w:p>
    <w:p w14:paraId="2CA58D00" w14:textId="77777777" w:rsidR="001E36D2" w:rsidRPr="000A6510" w:rsidRDefault="001E36D2" w:rsidP="001E36D2">
      <w:pPr>
        <w:keepNext/>
        <w:keepLines/>
        <w:widowControl w:val="0"/>
        <w:jc w:val="center"/>
        <w:outlineLvl w:val="0"/>
        <w:rPr>
          <w:b/>
          <w:smallCaps/>
          <w:sz w:val="22"/>
          <w:lang w:val="es-MX"/>
        </w:rPr>
      </w:pPr>
      <w:r w:rsidRPr="00E449C5">
        <w:rPr>
          <w:b/>
          <w:smallCaps/>
          <w:sz w:val="22"/>
          <w:lang w:val="es-MX"/>
        </w:rPr>
        <w:t xml:space="preserve">IAT y </w:t>
      </w:r>
      <w:r>
        <w:rPr>
          <w:b/>
          <w:smallCaps/>
          <w:sz w:val="22"/>
          <w:lang w:val="es-MX"/>
        </w:rPr>
        <w:t>e</w:t>
      </w:r>
      <w:r w:rsidRPr="00E449C5">
        <w:rPr>
          <w:b/>
          <w:smallCaps/>
          <w:sz w:val="22"/>
          <w:lang w:val="es-MX"/>
        </w:rPr>
        <w:t>xpectativas empresariales del</w:t>
      </w:r>
      <w:r w:rsidRPr="000A6510">
        <w:rPr>
          <w:b/>
          <w:smallCaps/>
          <w:sz w:val="22"/>
          <w:lang w:val="es-MX"/>
        </w:rPr>
        <w:t xml:space="preserve"> sector manufacturero</w:t>
      </w:r>
    </w:p>
    <w:p w14:paraId="661EF7B7" w14:textId="77777777" w:rsidR="001E36D2" w:rsidRPr="000A6510" w:rsidRDefault="001E36D2" w:rsidP="001E36D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1E36D2" w:rsidRPr="000A6510" w14:paraId="3E7DADEB" w14:textId="77777777" w:rsidTr="00CF0CA0">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4D120298" w14:textId="77777777" w:rsidR="001E36D2" w:rsidRPr="000A6510" w:rsidRDefault="001E36D2" w:rsidP="00CF0CA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6FA5643" w14:textId="77777777" w:rsidR="001E36D2" w:rsidRPr="000A6510" w:rsidRDefault="001E36D2" w:rsidP="00CF0CA0">
            <w:pPr>
              <w:ind w:left="-108" w:right="-82"/>
              <w:jc w:val="center"/>
              <w:rPr>
                <w:spacing w:val="-4"/>
                <w:sz w:val="18"/>
                <w:szCs w:val="18"/>
              </w:rPr>
            </w:pPr>
            <w:r>
              <w:rPr>
                <w:spacing w:val="-4"/>
                <w:sz w:val="18"/>
                <w:szCs w:val="18"/>
              </w:rPr>
              <w:t>Enero</w:t>
            </w:r>
            <w:r w:rsidRPr="000A6510">
              <w:rPr>
                <w:spacing w:val="-4"/>
                <w:sz w:val="18"/>
                <w:szCs w:val="18"/>
              </w:rPr>
              <w:br/>
              <w:t xml:space="preserve">de </w:t>
            </w:r>
            <w:r>
              <w:rPr>
                <w:spacing w:val="-4"/>
                <w:sz w:val="18"/>
                <w:szCs w:val="18"/>
              </w:rPr>
              <w:t>2023</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CCC2867" w14:textId="77777777" w:rsidR="001E36D2" w:rsidRPr="000A6510" w:rsidRDefault="001E36D2" w:rsidP="00CF0CA0">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F36A5A7" w14:textId="77777777" w:rsidR="001E36D2" w:rsidRPr="000A6510" w:rsidRDefault="001E36D2" w:rsidP="00CF0CA0">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1E36D2" w:rsidRPr="000A6510" w14:paraId="17F84BFC" w14:textId="77777777" w:rsidTr="00CF0CA0">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685D753" w14:textId="77777777" w:rsidR="001E36D2" w:rsidRPr="000A6510" w:rsidRDefault="001E36D2" w:rsidP="00CF0CA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07A28BE2" w14:textId="77777777" w:rsidR="001E36D2" w:rsidRPr="000A6510" w:rsidRDefault="001E36D2" w:rsidP="00CF0CA0">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1DD12FB" w14:textId="77777777" w:rsidR="001E36D2" w:rsidRPr="000A6510" w:rsidRDefault="001E36D2" w:rsidP="00CF0CA0">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192DCB4D" w14:textId="77777777" w:rsidR="001E36D2" w:rsidRPr="000A6510" w:rsidRDefault="001E36D2" w:rsidP="00CF0CA0">
            <w:pPr>
              <w:ind w:left="-106" w:right="-95"/>
              <w:jc w:val="center"/>
              <w:rPr>
                <w:spacing w:val="-4"/>
                <w:sz w:val="18"/>
                <w:szCs w:val="18"/>
              </w:rPr>
            </w:pPr>
            <w:r w:rsidRPr="000A6510">
              <w:rPr>
                <w:spacing w:val="-4"/>
                <w:sz w:val="18"/>
                <w:szCs w:val="18"/>
              </w:rPr>
              <w:t>Mismo mes de</w:t>
            </w:r>
            <w:r>
              <w:rPr>
                <w:spacing w:val="-4"/>
                <w:sz w:val="18"/>
                <w:szCs w:val="18"/>
              </w:rPr>
              <w:t xml:space="preserve"> 2022</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CDD1195" w14:textId="77777777" w:rsidR="001E36D2" w:rsidRPr="000A6510" w:rsidRDefault="001E36D2" w:rsidP="00CF0CA0">
            <w:pPr>
              <w:tabs>
                <w:tab w:val="center" w:pos="3348"/>
              </w:tabs>
              <w:ind w:left="-84" w:right="-99"/>
              <w:jc w:val="center"/>
              <w:rPr>
                <w:sz w:val="18"/>
                <w:szCs w:val="18"/>
              </w:rPr>
            </w:pPr>
          </w:p>
        </w:tc>
      </w:tr>
      <w:tr w:rsidR="001E36D2" w:rsidRPr="00A065C1" w14:paraId="05231322" w14:textId="77777777" w:rsidTr="00CF0CA0">
        <w:trPr>
          <w:jc w:val="center"/>
        </w:trPr>
        <w:tc>
          <w:tcPr>
            <w:tcW w:w="2430" w:type="pct"/>
            <w:tcBorders>
              <w:top w:val="nil"/>
              <w:left w:val="single" w:sz="4" w:space="0" w:color="404040"/>
              <w:bottom w:val="nil"/>
              <w:right w:val="single" w:sz="4" w:space="0" w:color="404040"/>
            </w:tcBorders>
            <w:shd w:val="clear" w:color="auto" w:fill="auto"/>
            <w:vAlign w:val="bottom"/>
          </w:tcPr>
          <w:p w14:paraId="2B87C7A2" w14:textId="77777777" w:rsidR="001E36D2" w:rsidRPr="00A065C1" w:rsidRDefault="001E36D2" w:rsidP="00CF0CA0">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Pr>
                <w:b/>
                <w:sz w:val="18"/>
                <w:szCs w:val="18"/>
                <w:lang w:val="es-MX"/>
              </w:rPr>
              <w:t>s</w:t>
            </w:r>
            <w:r w:rsidRPr="00A065C1">
              <w:rPr>
                <w:b/>
                <w:sz w:val="18"/>
                <w:szCs w:val="18"/>
                <w:lang w:val="es-MX"/>
              </w:rPr>
              <w:t>ector</w:t>
            </w:r>
            <w:r>
              <w:rPr>
                <w:b/>
                <w:sz w:val="18"/>
                <w:szCs w:val="18"/>
                <w:lang w:val="es-MX"/>
              </w:rPr>
              <w:t xml:space="preserve"> Industrias m</w:t>
            </w:r>
            <w:r w:rsidRPr="00A065C1">
              <w:rPr>
                <w:b/>
                <w:sz w:val="18"/>
                <w:szCs w:val="18"/>
                <w:lang w:val="es-MX"/>
              </w:rPr>
              <w:t>anufacturer</w:t>
            </w:r>
            <w:r>
              <w:rPr>
                <w:b/>
                <w:sz w:val="18"/>
                <w:szCs w:val="18"/>
                <w:lang w:val="es-MX"/>
              </w:rPr>
              <w:t>as</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13025777" w14:textId="77777777" w:rsidR="001E36D2" w:rsidRPr="00B00A42" w:rsidRDefault="001E36D2" w:rsidP="00CF0CA0">
            <w:pPr>
              <w:tabs>
                <w:tab w:val="decimal" w:pos="368"/>
              </w:tabs>
              <w:jc w:val="left"/>
              <w:rPr>
                <w:b/>
                <w:sz w:val="18"/>
                <w:szCs w:val="18"/>
                <w:lang w:val="es-MX" w:eastAsia="es-MX"/>
              </w:rPr>
            </w:pPr>
            <w:r w:rsidRPr="00B00A42">
              <w:rPr>
                <w:b/>
                <w:bCs/>
                <w:sz w:val="18"/>
                <w:szCs w:val="18"/>
              </w:rPr>
              <w:t>52.0</w:t>
            </w:r>
          </w:p>
        </w:tc>
        <w:tc>
          <w:tcPr>
            <w:tcW w:w="534" w:type="pct"/>
            <w:tcBorders>
              <w:top w:val="single" w:sz="4" w:space="0" w:color="404040"/>
              <w:left w:val="single" w:sz="4" w:space="0" w:color="404040"/>
              <w:bottom w:val="nil"/>
              <w:right w:val="nil"/>
            </w:tcBorders>
            <w:shd w:val="clear" w:color="auto" w:fill="auto"/>
            <w:vAlign w:val="center"/>
          </w:tcPr>
          <w:p w14:paraId="5BE219E4" w14:textId="77777777" w:rsidR="001E36D2" w:rsidRPr="00B00A42" w:rsidRDefault="001E36D2" w:rsidP="00CF0CA0">
            <w:pPr>
              <w:tabs>
                <w:tab w:val="decimal" w:pos="369"/>
              </w:tabs>
              <w:jc w:val="left"/>
              <w:rPr>
                <w:b/>
                <w:bCs/>
                <w:sz w:val="18"/>
                <w:szCs w:val="18"/>
              </w:rPr>
            </w:pPr>
            <w:r w:rsidRPr="00B00A42">
              <w:rPr>
                <w:b/>
                <w:bCs/>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0C08195F" w14:textId="77777777" w:rsidR="001E36D2" w:rsidRPr="00B00A42" w:rsidRDefault="001E36D2" w:rsidP="00CF0CA0">
            <w:pPr>
              <w:tabs>
                <w:tab w:val="decimal" w:pos="309"/>
              </w:tabs>
              <w:jc w:val="left"/>
              <w:rPr>
                <w:b/>
                <w:sz w:val="18"/>
                <w:szCs w:val="18"/>
              </w:rPr>
            </w:pPr>
            <w:r w:rsidRPr="00B00A42">
              <w:rPr>
                <w:b/>
                <w:bCs/>
                <w:sz w:val="18"/>
                <w:szCs w:val="18"/>
              </w:rPr>
              <w:t>1.2</w:t>
            </w:r>
          </w:p>
        </w:tc>
        <w:tc>
          <w:tcPr>
            <w:tcW w:w="235" w:type="pct"/>
            <w:tcBorders>
              <w:top w:val="single" w:sz="4" w:space="0" w:color="404040"/>
              <w:left w:val="single" w:sz="4" w:space="0" w:color="404040"/>
              <w:bottom w:val="nil"/>
              <w:right w:val="nil"/>
            </w:tcBorders>
            <w:shd w:val="clear" w:color="auto" w:fill="auto"/>
            <w:vAlign w:val="center"/>
          </w:tcPr>
          <w:p w14:paraId="2DC20750" w14:textId="77777777" w:rsidR="001E36D2" w:rsidRPr="00B00A42" w:rsidRDefault="001E36D2" w:rsidP="00CF0CA0">
            <w:pPr>
              <w:ind w:left="-105" w:right="-36"/>
              <w:jc w:val="right"/>
              <w:rPr>
                <w:b/>
                <w:sz w:val="18"/>
                <w:szCs w:val="18"/>
              </w:rPr>
            </w:pPr>
            <w:r w:rsidRPr="00B00A42">
              <w:rPr>
                <w:b/>
                <w:bCs/>
                <w:sz w:val="18"/>
                <w:szCs w:val="18"/>
              </w:rPr>
              <w:t>4</w:t>
            </w:r>
          </w:p>
        </w:tc>
        <w:tc>
          <w:tcPr>
            <w:tcW w:w="751" w:type="pct"/>
            <w:tcBorders>
              <w:top w:val="nil"/>
              <w:left w:val="nil"/>
              <w:bottom w:val="nil"/>
              <w:right w:val="single" w:sz="4" w:space="0" w:color="404040"/>
            </w:tcBorders>
            <w:shd w:val="clear" w:color="auto" w:fill="auto"/>
            <w:vAlign w:val="center"/>
          </w:tcPr>
          <w:p w14:paraId="079F4B94" w14:textId="77777777" w:rsidR="001E36D2" w:rsidRPr="009770E0" w:rsidRDefault="001E36D2" w:rsidP="00CF0CA0">
            <w:pPr>
              <w:tabs>
                <w:tab w:val="decimal" w:pos="810"/>
              </w:tabs>
              <w:jc w:val="left"/>
              <w:rPr>
                <w:b/>
                <w:sz w:val="18"/>
                <w:szCs w:val="18"/>
              </w:rPr>
            </w:pPr>
            <w:r>
              <w:rPr>
                <w:b/>
                <w:bCs/>
                <w:color w:val="000000"/>
                <w:sz w:val="18"/>
                <w:szCs w:val="18"/>
              </w:rPr>
              <w:t>por arriba</w:t>
            </w:r>
          </w:p>
        </w:tc>
      </w:tr>
      <w:tr w:rsidR="001E36D2" w:rsidRPr="00A065C1" w14:paraId="5A0DBEF3" w14:textId="77777777" w:rsidTr="00CF0CA0">
        <w:trPr>
          <w:jc w:val="center"/>
        </w:trPr>
        <w:tc>
          <w:tcPr>
            <w:tcW w:w="2430" w:type="pct"/>
            <w:tcBorders>
              <w:top w:val="nil"/>
              <w:left w:val="single" w:sz="4" w:space="0" w:color="404040"/>
              <w:bottom w:val="nil"/>
              <w:right w:val="single" w:sz="4" w:space="0" w:color="404040"/>
            </w:tcBorders>
            <w:shd w:val="clear" w:color="auto" w:fill="auto"/>
            <w:vAlign w:val="bottom"/>
          </w:tcPr>
          <w:p w14:paraId="2DA1B2D4" w14:textId="77777777" w:rsidR="001E36D2" w:rsidRPr="00A065C1" w:rsidRDefault="001E36D2" w:rsidP="00CF0CA0">
            <w:pPr>
              <w:pStyle w:val="Prrafodelista"/>
              <w:widowControl w:val="0"/>
              <w:numPr>
                <w:ilvl w:val="0"/>
                <w:numId w:val="9"/>
              </w:numPr>
              <w:spacing w:before="20" w:after="20"/>
              <w:ind w:left="323" w:hanging="266"/>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2F5640B0" w14:textId="77777777" w:rsidR="001E36D2" w:rsidRPr="00B00A42" w:rsidRDefault="001E36D2" w:rsidP="00CF0CA0">
            <w:pPr>
              <w:tabs>
                <w:tab w:val="decimal" w:pos="368"/>
              </w:tabs>
              <w:jc w:val="left"/>
              <w:rPr>
                <w:sz w:val="18"/>
                <w:szCs w:val="18"/>
              </w:rPr>
            </w:pPr>
            <w:r w:rsidRPr="00B00A42">
              <w:rPr>
                <w:sz w:val="18"/>
                <w:szCs w:val="18"/>
              </w:rPr>
              <w:t xml:space="preserve">51.8 </w:t>
            </w:r>
          </w:p>
        </w:tc>
        <w:tc>
          <w:tcPr>
            <w:tcW w:w="534" w:type="pct"/>
            <w:tcBorders>
              <w:top w:val="nil"/>
              <w:left w:val="single" w:sz="4" w:space="0" w:color="404040"/>
              <w:bottom w:val="nil"/>
              <w:right w:val="nil"/>
            </w:tcBorders>
            <w:shd w:val="clear" w:color="auto" w:fill="auto"/>
            <w:vAlign w:val="center"/>
          </w:tcPr>
          <w:p w14:paraId="1AFC7954" w14:textId="77777777" w:rsidR="001E36D2" w:rsidRPr="00B00A42" w:rsidRDefault="001E36D2" w:rsidP="00CF0CA0">
            <w:pPr>
              <w:tabs>
                <w:tab w:val="decimal" w:pos="369"/>
              </w:tabs>
              <w:jc w:val="left"/>
              <w:rPr>
                <w:bCs/>
                <w:sz w:val="18"/>
                <w:szCs w:val="18"/>
              </w:rPr>
            </w:pPr>
            <w:r w:rsidRPr="00B00A42">
              <w:rPr>
                <w:sz w:val="18"/>
                <w:szCs w:val="18"/>
              </w:rPr>
              <w:t>-0.8</w:t>
            </w:r>
          </w:p>
        </w:tc>
        <w:tc>
          <w:tcPr>
            <w:tcW w:w="528" w:type="pct"/>
            <w:tcBorders>
              <w:top w:val="nil"/>
              <w:left w:val="nil"/>
              <w:bottom w:val="nil"/>
              <w:right w:val="single" w:sz="4" w:space="0" w:color="404040"/>
            </w:tcBorders>
            <w:shd w:val="clear" w:color="auto" w:fill="auto"/>
            <w:vAlign w:val="center"/>
          </w:tcPr>
          <w:p w14:paraId="62C759BD" w14:textId="77777777" w:rsidR="001E36D2" w:rsidRPr="00B00A42" w:rsidRDefault="001E36D2" w:rsidP="00CF0CA0">
            <w:pPr>
              <w:tabs>
                <w:tab w:val="decimal" w:pos="309"/>
              </w:tabs>
              <w:jc w:val="left"/>
              <w:rPr>
                <w:sz w:val="18"/>
                <w:szCs w:val="18"/>
              </w:rPr>
            </w:pPr>
            <w:r w:rsidRPr="00B00A42">
              <w:rPr>
                <w:sz w:val="18"/>
                <w:szCs w:val="18"/>
              </w:rPr>
              <w:t>0.5</w:t>
            </w:r>
          </w:p>
        </w:tc>
        <w:tc>
          <w:tcPr>
            <w:tcW w:w="235" w:type="pct"/>
            <w:tcBorders>
              <w:top w:val="nil"/>
              <w:left w:val="single" w:sz="4" w:space="0" w:color="404040"/>
              <w:bottom w:val="nil"/>
              <w:right w:val="nil"/>
            </w:tcBorders>
            <w:shd w:val="clear" w:color="auto" w:fill="auto"/>
            <w:vAlign w:val="center"/>
          </w:tcPr>
          <w:p w14:paraId="14CA99C7" w14:textId="77777777" w:rsidR="001E36D2" w:rsidRPr="00B00A42" w:rsidRDefault="001E36D2" w:rsidP="00CF0CA0">
            <w:pPr>
              <w:ind w:left="-105" w:right="-36"/>
              <w:jc w:val="right"/>
              <w:rPr>
                <w:sz w:val="18"/>
                <w:szCs w:val="18"/>
              </w:rPr>
            </w:pPr>
            <w:r w:rsidRPr="00B00A42">
              <w:rPr>
                <w:sz w:val="18"/>
                <w:szCs w:val="18"/>
              </w:rPr>
              <w:t>7</w:t>
            </w:r>
          </w:p>
        </w:tc>
        <w:tc>
          <w:tcPr>
            <w:tcW w:w="751" w:type="pct"/>
            <w:tcBorders>
              <w:top w:val="nil"/>
              <w:left w:val="nil"/>
              <w:bottom w:val="nil"/>
              <w:right w:val="single" w:sz="4" w:space="0" w:color="404040"/>
            </w:tcBorders>
            <w:shd w:val="clear" w:color="auto" w:fill="auto"/>
            <w:vAlign w:val="center"/>
          </w:tcPr>
          <w:p w14:paraId="3B7A3345" w14:textId="77777777" w:rsidR="001E36D2" w:rsidRPr="009770E0" w:rsidRDefault="001E36D2" w:rsidP="00CF0CA0">
            <w:pPr>
              <w:tabs>
                <w:tab w:val="decimal" w:pos="810"/>
              </w:tabs>
              <w:jc w:val="left"/>
              <w:rPr>
                <w:sz w:val="18"/>
                <w:szCs w:val="18"/>
              </w:rPr>
            </w:pPr>
            <w:r>
              <w:rPr>
                <w:color w:val="000000"/>
                <w:sz w:val="18"/>
                <w:szCs w:val="18"/>
              </w:rPr>
              <w:t>por arriba</w:t>
            </w:r>
          </w:p>
        </w:tc>
      </w:tr>
      <w:tr w:rsidR="001E36D2" w:rsidRPr="00A065C1" w14:paraId="12D8C41A" w14:textId="77777777" w:rsidTr="00CF0CA0">
        <w:trPr>
          <w:jc w:val="center"/>
        </w:trPr>
        <w:tc>
          <w:tcPr>
            <w:tcW w:w="2430" w:type="pct"/>
            <w:tcBorders>
              <w:top w:val="nil"/>
              <w:left w:val="single" w:sz="4" w:space="0" w:color="404040"/>
              <w:bottom w:val="nil"/>
              <w:right w:val="single" w:sz="4" w:space="0" w:color="404040"/>
            </w:tcBorders>
            <w:shd w:val="clear" w:color="auto" w:fill="auto"/>
            <w:vAlign w:val="bottom"/>
          </w:tcPr>
          <w:p w14:paraId="5C6344CC" w14:textId="77777777" w:rsidR="001E36D2" w:rsidRPr="00A065C1" w:rsidRDefault="001E36D2" w:rsidP="00CF0CA0">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7531BC0" w14:textId="77777777" w:rsidR="001E36D2" w:rsidRPr="00B00A42" w:rsidRDefault="001E36D2" w:rsidP="00CF0CA0">
            <w:pPr>
              <w:tabs>
                <w:tab w:val="decimal" w:pos="368"/>
              </w:tabs>
              <w:jc w:val="left"/>
              <w:rPr>
                <w:sz w:val="18"/>
                <w:szCs w:val="18"/>
              </w:rPr>
            </w:pPr>
            <w:r w:rsidRPr="00B00A42">
              <w:rPr>
                <w:sz w:val="18"/>
                <w:szCs w:val="18"/>
              </w:rPr>
              <w:t xml:space="preserve">51.1 </w:t>
            </w:r>
          </w:p>
        </w:tc>
        <w:tc>
          <w:tcPr>
            <w:tcW w:w="534" w:type="pct"/>
            <w:tcBorders>
              <w:top w:val="nil"/>
              <w:left w:val="single" w:sz="4" w:space="0" w:color="404040"/>
              <w:bottom w:val="nil"/>
              <w:right w:val="nil"/>
            </w:tcBorders>
            <w:shd w:val="clear" w:color="auto" w:fill="auto"/>
            <w:vAlign w:val="center"/>
          </w:tcPr>
          <w:p w14:paraId="7A5C8630" w14:textId="77777777" w:rsidR="001E36D2" w:rsidRPr="00B00A42" w:rsidRDefault="001E36D2" w:rsidP="00CF0CA0">
            <w:pPr>
              <w:tabs>
                <w:tab w:val="decimal" w:pos="369"/>
              </w:tabs>
              <w:jc w:val="left"/>
              <w:rPr>
                <w:bCs/>
                <w:sz w:val="18"/>
                <w:szCs w:val="18"/>
              </w:rPr>
            </w:pPr>
            <w:r w:rsidRPr="00B00A42">
              <w:rPr>
                <w:sz w:val="18"/>
                <w:szCs w:val="18"/>
              </w:rPr>
              <w:t>0.7</w:t>
            </w:r>
          </w:p>
        </w:tc>
        <w:tc>
          <w:tcPr>
            <w:tcW w:w="528" w:type="pct"/>
            <w:tcBorders>
              <w:top w:val="nil"/>
              <w:left w:val="nil"/>
              <w:bottom w:val="nil"/>
              <w:right w:val="single" w:sz="4" w:space="0" w:color="404040"/>
            </w:tcBorders>
            <w:shd w:val="clear" w:color="auto" w:fill="auto"/>
            <w:vAlign w:val="center"/>
          </w:tcPr>
          <w:p w14:paraId="4A94DFCA" w14:textId="77777777" w:rsidR="001E36D2" w:rsidRPr="00B00A42" w:rsidRDefault="001E36D2" w:rsidP="00CF0CA0">
            <w:pPr>
              <w:tabs>
                <w:tab w:val="decimal" w:pos="309"/>
              </w:tabs>
              <w:jc w:val="left"/>
              <w:rPr>
                <w:sz w:val="18"/>
                <w:szCs w:val="18"/>
              </w:rPr>
            </w:pPr>
            <w:r w:rsidRPr="00B00A42">
              <w:rPr>
                <w:sz w:val="18"/>
                <w:szCs w:val="18"/>
              </w:rPr>
              <w:t>-1.1</w:t>
            </w:r>
          </w:p>
        </w:tc>
        <w:tc>
          <w:tcPr>
            <w:tcW w:w="235" w:type="pct"/>
            <w:tcBorders>
              <w:top w:val="nil"/>
              <w:left w:val="single" w:sz="4" w:space="0" w:color="404040"/>
              <w:bottom w:val="nil"/>
              <w:right w:val="nil"/>
            </w:tcBorders>
            <w:shd w:val="clear" w:color="auto" w:fill="auto"/>
            <w:vAlign w:val="center"/>
          </w:tcPr>
          <w:p w14:paraId="4C5A2811" w14:textId="77777777" w:rsidR="001E36D2" w:rsidRPr="00B00A42" w:rsidRDefault="001E36D2" w:rsidP="00CF0CA0">
            <w:pPr>
              <w:ind w:left="-105" w:right="-36"/>
              <w:jc w:val="right"/>
              <w:rPr>
                <w:sz w:val="18"/>
                <w:szCs w:val="18"/>
              </w:rPr>
            </w:pPr>
            <w:r w:rsidRPr="00B00A42">
              <w:rPr>
                <w:sz w:val="18"/>
                <w:szCs w:val="18"/>
              </w:rPr>
              <w:t>4</w:t>
            </w:r>
          </w:p>
        </w:tc>
        <w:tc>
          <w:tcPr>
            <w:tcW w:w="751" w:type="pct"/>
            <w:tcBorders>
              <w:top w:val="nil"/>
              <w:left w:val="nil"/>
              <w:bottom w:val="nil"/>
              <w:right w:val="single" w:sz="4" w:space="0" w:color="404040"/>
            </w:tcBorders>
            <w:shd w:val="clear" w:color="auto" w:fill="auto"/>
            <w:vAlign w:val="center"/>
          </w:tcPr>
          <w:p w14:paraId="39BFEC4B" w14:textId="77777777" w:rsidR="001E36D2" w:rsidRPr="009770E0" w:rsidRDefault="001E36D2" w:rsidP="00CF0CA0">
            <w:pPr>
              <w:tabs>
                <w:tab w:val="decimal" w:pos="810"/>
              </w:tabs>
              <w:jc w:val="left"/>
              <w:rPr>
                <w:sz w:val="18"/>
                <w:szCs w:val="18"/>
              </w:rPr>
            </w:pPr>
            <w:r>
              <w:rPr>
                <w:color w:val="000000"/>
                <w:sz w:val="18"/>
                <w:szCs w:val="18"/>
              </w:rPr>
              <w:t>por arriba</w:t>
            </w:r>
          </w:p>
        </w:tc>
      </w:tr>
      <w:tr w:rsidR="001E36D2" w:rsidRPr="00A065C1" w14:paraId="3B9E2F97" w14:textId="77777777" w:rsidTr="00CF0CA0">
        <w:trPr>
          <w:jc w:val="center"/>
        </w:trPr>
        <w:tc>
          <w:tcPr>
            <w:tcW w:w="2430" w:type="pct"/>
            <w:tcBorders>
              <w:top w:val="nil"/>
              <w:left w:val="single" w:sz="4" w:space="0" w:color="404040"/>
              <w:bottom w:val="nil"/>
              <w:right w:val="single" w:sz="4" w:space="0" w:color="404040"/>
            </w:tcBorders>
            <w:shd w:val="clear" w:color="auto" w:fill="auto"/>
            <w:vAlign w:val="bottom"/>
          </w:tcPr>
          <w:p w14:paraId="20E7DE88" w14:textId="77777777" w:rsidR="001E36D2" w:rsidRPr="00A065C1" w:rsidRDefault="001E36D2" w:rsidP="00CF0CA0">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7A50CD03" w14:textId="77777777" w:rsidR="001E36D2" w:rsidRPr="00B00A42" w:rsidRDefault="001E36D2" w:rsidP="00CF0CA0">
            <w:pPr>
              <w:tabs>
                <w:tab w:val="decimal" w:pos="368"/>
              </w:tabs>
              <w:jc w:val="left"/>
              <w:rPr>
                <w:sz w:val="18"/>
                <w:szCs w:val="18"/>
              </w:rPr>
            </w:pPr>
            <w:r w:rsidRPr="00B00A42">
              <w:rPr>
                <w:sz w:val="18"/>
                <w:szCs w:val="18"/>
              </w:rPr>
              <w:t xml:space="preserve">52.2 </w:t>
            </w:r>
          </w:p>
        </w:tc>
        <w:tc>
          <w:tcPr>
            <w:tcW w:w="534" w:type="pct"/>
            <w:tcBorders>
              <w:top w:val="nil"/>
              <w:left w:val="single" w:sz="4" w:space="0" w:color="404040"/>
              <w:bottom w:val="nil"/>
              <w:right w:val="nil"/>
            </w:tcBorders>
            <w:shd w:val="clear" w:color="auto" w:fill="auto"/>
            <w:vAlign w:val="center"/>
          </w:tcPr>
          <w:p w14:paraId="08D5E27B" w14:textId="77777777" w:rsidR="001E36D2" w:rsidRPr="00B00A42" w:rsidRDefault="001E36D2" w:rsidP="00CF0CA0">
            <w:pPr>
              <w:tabs>
                <w:tab w:val="decimal" w:pos="369"/>
              </w:tabs>
              <w:jc w:val="left"/>
              <w:rPr>
                <w:bCs/>
                <w:sz w:val="18"/>
                <w:szCs w:val="18"/>
              </w:rPr>
            </w:pPr>
            <w:r w:rsidRPr="00B00A42">
              <w:rPr>
                <w:sz w:val="18"/>
                <w:szCs w:val="18"/>
              </w:rPr>
              <w:t>0.1</w:t>
            </w:r>
          </w:p>
        </w:tc>
        <w:tc>
          <w:tcPr>
            <w:tcW w:w="528" w:type="pct"/>
            <w:tcBorders>
              <w:top w:val="nil"/>
              <w:left w:val="nil"/>
              <w:bottom w:val="nil"/>
              <w:right w:val="single" w:sz="4" w:space="0" w:color="404040"/>
            </w:tcBorders>
            <w:shd w:val="clear" w:color="auto" w:fill="auto"/>
            <w:vAlign w:val="center"/>
          </w:tcPr>
          <w:p w14:paraId="105E3BDD" w14:textId="77777777" w:rsidR="001E36D2" w:rsidRPr="00B00A42" w:rsidRDefault="001E36D2" w:rsidP="00CF0CA0">
            <w:pPr>
              <w:tabs>
                <w:tab w:val="decimal" w:pos="309"/>
              </w:tabs>
              <w:jc w:val="left"/>
              <w:rPr>
                <w:sz w:val="18"/>
                <w:szCs w:val="18"/>
              </w:rPr>
            </w:pPr>
            <w:r w:rsidRPr="00B00A42">
              <w:rPr>
                <w:sz w:val="18"/>
                <w:szCs w:val="18"/>
              </w:rPr>
              <w:t>2.0</w:t>
            </w:r>
          </w:p>
        </w:tc>
        <w:tc>
          <w:tcPr>
            <w:tcW w:w="235" w:type="pct"/>
            <w:tcBorders>
              <w:top w:val="nil"/>
              <w:left w:val="single" w:sz="4" w:space="0" w:color="404040"/>
              <w:bottom w:val="nil"/>
              <w:right w:val="nil"/>
            </w:tcBorders>
            <w:shd w:val="clear" w:color="auto" w:fill="auto"/>
            <w:vAlign w:val="center"/>
          </w:tcPr>
          <w:p w14:paraId="0A2B4316" w14:textId="77777777" w:rsidR="001E36D2" w:rsidRPr="00B00A42" w:rsidRDefault="001E36D2" w:rsidP="00CF0CA0">
            <w:pPr>
              <w:ind w:left="-105" w:right="-36"/>
              <w:jc w:val="right"/>
              <w:rPr>
                <w:sz w:val="18"/>
                <w:szCs w:val="18"/>
              </w:rPr>
            </w:pPr>
            <w:r w:rsidRPr="00B00A42">
              <w:rPr>
                <w:sz w:val="18"/>
                <w:szCs w:val="18"/>
              </w:rPr>
              <w:t>14</w:t>
            </w:r>
          </w:p>
        </w:tc>
        <w:tc>
          <w:tcPr>
            <w:tcW w:w="751" w:type="pct"/>
            <w:tcBorders>
              <w:top w:val="nil"/>
              <w:left w:val="nil"/>
              <w:bottom w:val="nil"/>
              <w:right w:val="single" w:sz="4" w:space="0" w:color="404040"/>
            </w:tcBorders>
            <w:shd w:val="clear" w:color="auto" w:fill="auto"/>
            <w:vAlign w:val="center"/>
          </w:tcPr>
          <w:p w14:paraId="38B96681" w14:textId="77777777" w:rsidR="001E36D2" w:rsidRPr="009770E0" w:rsidRDefault="001E36D2" w:rsidP="00CF0CA0">
            <w:pPr>
              <w:tabs>
                <w:tab w:val="decimal" w:pos="810"/>
              </w:tabs>
              <w:jc w:val="left"/>
              <w:rPr>
                <w:sz w:val="18"/>
                <w:szCs w:val="18"/>
              </w:rPr>
            </w:pPr>
            <w:r>
              <w:rPr>
                <w:color w:val="000000"/>
                <w:sz w:val="18"/>
                <w:szCs w:val="18"/>
              </w:rPr>
              <w:t>por arriba</w:t>
            </w:r>
          </w:p>
        </w:tc>
      </w:tr>
      <w:tr w:rsidR="001E36D2" w:rsidRPr="00A065C1" w14:paraId="70EF7EA0" w14:textId="77777777" w:rsidTr="00CF0CA0">
        <w:trPr>
          <w:jc w:val="center"/>
        </w:trPr>
        <w:tc>
          <w:tcPr>
            <w:tcW w:w="2430" w:type="pct"/>
            <w:tcBorders>
              <w:top w:val="nil"/>
              <w:left w:val="single" w:sz="4" w:space="0" w:color="404040"/>
              <w:bottom w:val="nil"/>
              <w:right w:val="single" w:sz="4" w:space="0" w:color="404040"/>
            </w:tcBorders>
            <w:shd w:val="clear" w:color="auto" w:fill="auto"/>
            <w:vAlign w:val="bottom"/>
          </w:tcPr>
          <w:p w14:paraId="3E948DB2" w14:textId="77777777" w:rsidR="001E36D2" w:rsidRPr="00A065C1" w:rsidRDefault="001E36D2" w:rsidP="00CF0CA0">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640CB756" w14:textId="77777777" w:rsidR="001E36D2" w:rsidRPr="00B00A42" w:rsidRDefault="001E36D2" w:rsidP="00CF0CA0">
            <w:pPr>
              <w:tabs>
                <w:tab w:val="decimal" w:pos="368"/>
              </w:tabs>
              <w:jc w:val="left"/>
              <w:rPr>
                <w:sz w:val="18"/>
                <w:szCs w:val="18"/>
              </w:rPr>
            </w:pPr>
            <w:r w:rsidRPr="00B00A42">
              <w:rPr>
                <w:sz w:val="18"/>
                <w:szCs w:val="18"/>
              </w:rPr>
              <w:t xml:space="preserve">52.6 </w:t>
            </w:r>
          </w:p>
        </w:tc>
        <w:tc>
          <w:tcPr>
            <w:tcW w:w="534" w:type="pct"/>
            <w:tcBorders>
              <w:top w:val="nil"/>
              <w:left w:val="single" w:sz="4" w:space="0" w:color="404040"/>
              <w:bottom w:val="nil"/>
              <w:right w:val="nil"/>
            </w:tcBorders>
            <w:shd w:val="clear" w:color="auto" w:fill="auto"/>
            <w:vAlign w:val="center"/>
          </w:tcPr>
          <w:p w14:paraId="56E237A1" w14:textId="77777777" w:rsidR="001E36D2" w:rsidRPr="00B00A42" w:rsidRDefault="001E36D2" w:rsidP="00CF0CA0">
            <w:pPr>
              <w:tabs>
                <w:tab w:val="decimal" w:pos="369"/>
              </w:tabs>
              <w:jc w:val="left"/>
              <w:rPr>
                <w:sz w:val="18"/>
                <w:szCs w:val="18"/>
              </w:rPr>
            </w:pPr>
            <w:r w:rsidRPr="00B00A42">
              <w:rPr>
                <w:sz w:val="18"/>
                <w:szCs w:val="18"/>
              </w:rPr>
              <w:t>1.8</w:t>
            </w:r>
          </w:p>
        </w:tc>
        <w:tc>
          <w:tcPr>
            <w:tcW w:w="528" w:type="pct"/>
            <w:tcBorders>
              <w:top w:val="nil"/>
              <w:left w:val="nil"/>
              <w:bottom w:val="nil"/>
              <w:right w:val="single" w:sz="4" w:space="0" w:color="404040"/>
            </w:tcBorders>
            <w:shd w:val="clear" w:color="auto" w:fill="auto"/>
            <w:vAlign w:val="center"/>
          </w:tcPr>
          <w:p w14:paraId="3F7D1014" w14:textId="77777777" w:rsidR="001E36D2" w:rsidRPr="00B00A42" w:rsidRDefault="001E36D2" w:rsidP="00CF0CA0">
            <w:pPr>
              <w:tabs>
                <w:tab w:val="decimal" w:pos="309"/>
              </w:tabs>
              <w:jc w:val="left"/>
              <w:rPr>
                <w:sz w:val="18"/>
                <w:szCs w:val="18"/>
              </w:rPr>
            </w:pPr>
            <w:r w:rsidRPr="00B00A42">
              <w:rPr>
                <w:sz w:val="18"/>
                <w:szCs w:val="18"/>
              </w:rPr>
              <w:t>4.2</w:t>
            </w:r>
          </w:p>
        </w:tc>
        <w:tc>
          <w:tcPr>
            <w:tcW w:w="235" w:type="pct"/>
            <w:tcBorders>
              <w:top w:val="nil"/>
              <w:left w:val="single" w:sz="4" w:space="0" w:color="404040"/>
              <w:bottom w:val="nil"/>
              <w:right w:val="nil"/>
            </w:tcBorders>
            <w:shd w:val="clear" w:color="auto" w:fill="auto"/>
            <w:vAlign w:val="center"/>
          </w:tcPr>
          <w:p w14:paraId="3BDE9B05" w14:textId="77777777" w:rsidR="001E36D2" w:rsidRPr="00B00A42" w:rsidRDefault="001E36D2" w:rsidP="00CF0CA0">
            <w:pPr>
              <w:ind w:left="-105" w:right="-36"/>
              <w:jc w:val="right"/>
              <w:rPr>
                <w:sz w:val="18"/>
                <w:szCs w:val="18"/>
              </w:rPr>
            </w:pPr>
            <w:r w:rsidRPr="00B00A42">
              <w:rPr>
                <w:sz w:val="18"/>
                <w:szCs w:val="18"/>
              </w:rPr>
              <w:t>3</w:t>
            </w:r>
          </w:p>
        </w:tc>
        <w:tc>
          <w:tcPr>
            <w:tcW w:w="751" w:type="pct"/>
            <w:tcBorders>
              <w:top w:val="nil"/>
              <w:left w:val="nil"/>
              <w:bottom w:val="nil"/>
              <w:right w:val="single" w:sz="4" w:space="0" w:color="404040"/>
            </w:tcBorders>
            <w:shd w:val="clear" w:color="auto" w:fill="auto"/>
            <w:vAlign w:val="center"/>
          </w:tcPr>
          <w:p w14:paraId="65EDDACB" w14:textId="77777777" w:rsidR="001E36D2" w:rsidRPr="009770E0" w:rsidRDefault="001E36D2" w:rsidP="00CF0CA0">
            <w:pPr>
              <w:tabs>
                <w:tab w:val="decimal" w:pos="810"/>
              </w:tabs>
              <w:jc w:val="left"/>
              <w:rPr>
                <w:sz w:val="18"/>
                <w:szCs w:val="18"/>
              </w:rPr>
            </w:pPr>
            <w:r>
              <w:rPr>
                <w:color w:val="000000"/>
                <w:sz w:val="18"/>
                <w:szCs w:val="18"/>
              </w:rPr>
              <w:t>por arriba</w:t>
            </w:r>
          </w:p>
        </w:tc>
      </w:tr>
      <w:tr w:rsidR="001E36D2" w:rsidRPr="00A065C1" w14:paraId="591CCFC7" w14:textId="77777777" w:rsidTr="00CF0CA0">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2ED9BB02" w14:textId="77777777" w:rsidR="001E36D2" w:rsidRPr="00A065C1" w:rsidRDefault="001E36D2" w:rsidP="00CF0CA0">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1E8115E" w14:textId="77777777" w:rsidR="001E36D2" w:rsidRPr="00B00A42" w:rsidRDefault="001E36D2" w:rsidP="00CF0CA0">
            <w:pPr>
              <w:tabs>
                <w:tab w:val="decimal" w:pos="368"/>
              </w:tabs>
              <w:jc w:val="left"/>
              <w:rPr>
                <w:sz w:val="18"/>
                <w:szCs w:val="18"/>
              </w:rPr>
            </w:pPr>
            <w:r w:rsidRPr="00B00A42">
              <w:rPr>
                <w:sz w:val="18"/>
                <w:szCs w:val="18"/>
              </w:rPr>
              <w:t xml:space="preserve">51.1 </w:t>
            </w:r>
          </w:p>
        </w:tc>
        <w:tc>
          <w:tcPr>
            <w:tcW w:w="534" w:type="pct"/>
            <w:tcBorders>
              <w:top w:val="nil"/>
              <w:left w:val="single" w:sz="4" w:space="0" w:color="404040"/>
              <w:bottom w:val="single" w:sz="4" w:space="0" w:color="404040"/>
              <w:right w:val="nil"/>
            </w:tcBorders>
            <w:shd w:val="clear" w:color="auto" w:fill="auto"/>
            <w:vAlign w:val="center"/>
          </w:tcPr>
          <w:p w14:paraId="6EEF3496" w14:textId="77777777" w:rsidR="001E36D2" w:rsidRPr="00B00A42" w:rsidRDefault="001E36D2" w:rsidP="00CF0CA0">
            <w:pPr>
              <w:tabs>
                <w:tab w:val="decimal" w:pos="369"/>
              </w:tabs>
              <w:jc w:val="left"/>
              <w:rPr>
                <w:bCs/>
                <w:sz w:val="18"/>
                <w:szCs w:val="18"/>
              </w:rPr>
            </w:pPr>
            <w:r w:rsidRPr="00B00A42">
              <w:rPr>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69C15EFE" w14:textId="77777777" w:rsidR="001E36D2" w:rsidRPr="00B00A42" w:rsidRDefault="001E36D2" w:rsidP="00CF0CA0">
            <w:pPr>
              <w:tabs>
                <w:tab w:val="decimal" w:pos="309"/>
              </w:tabs>
              <w:jc w:val="left"/>
              <w:rPr>
                <w:sz w:val="18"/>
                <w:szCs w:val="18"/>
              </w:rPr>
            </w:pPr>
            <w:r w:rsidRPr="00B00A42">
              <w:rPr>
                <w:sz w:val="18"/>
                <w:szCs w:val="18"/>
              </w:rPr>
              <w:t>1.3</w:t>
            </w:r>
          </w:p>
        </w:tc>
        <w:tc>
          <w:tcPr>
            <w:tcW w:w="235" w:type="pct"/>
            <w:tcBorders>
              <w:top w:val="nil"/>
              <w:left w:val="single" w:sz="4" w:space="0" w:color="404040"/>
              <w:bottom w:val="single" w:sz="4" w:space="0" w:color="404040"/>
              <w:right w:val="nil"/>
            </w:tcBorders>
            <w:shd w:val="clear" w:color="auto" w:fill="auto"/>
            <w:vAlign w:val="center"/>
          </w:tcPr>
          <w:p w14:paraId="3A6623E5" w14:textId="77777777" w:rsidR="001E36D2" w:rsidRPr="00B00A42" w:rsidRDefault="001E36D2" w:rsidP="00CF0CA0">
            <w:pPr>
              <w:ind w:left="-105" w:right="-36"/>
              <w:jc w:val="right"/>
              <w:rPr>
                <w:sz w:val="18"/>
                <w:szCs w:val="18"/>
              </w:rPr>
            </w:pPr>
            <w:r w:rsidRPr="00B00A42">
              <w:rPr>
                <w:sz w:val="18"/>
                <w:szCs w:val="18"/>
              </w:rPr>
              <w:t>4</w:t>
            </w:r>
          </w:p>
        </w:tc>
        <w:tc>
          <w:tcPr>
            <w:tcW w:w="751" w:type="pct"/>
            <w:tcBorders>
              <w:top w:val="nil"/>
              <w:left w:val="nil"/>
              <w:bottom w:val="single" w:sz="4" w:space="0" w:color="404040"/>
              <w:right w:val="single" w:sz="4" w:space="0" w:color="404040"/>
            </w:tcBorders>
            <w:shd w:val="clear" w:color="auto" w:fill="auto"/>
            <w:vAlign w:val="center"/>
          </w:tcPr>
          <w:p w14:paraId="7B7BD810" w14:textId="77777777" w:rsidR="001E36D2" w:rsidRPr="009770E0" w:rsidRDefault="001E36D2" w:rsidP="00CF0CA0">
            <w:pPr>
              <w:tabs>
                <w:tab w:val="decimal" w:pos="810"/>
              </w:tabs>
              <w:jc w:val="left"/>
              <w:rPr>
                <w:sz w:val="18"/>
                <w:szCs w:val="18"/>
              </w:rPr>
            </w:pPr>
            <w:r>
              <w:rPr>
                <w:sz w:val="18"/>
                <w:szCs w:val="18"/>
              </w:rPr>
              <w:t>por arriba</w:t>
            </w:r>
          </w:p>
        </w:tc>
      </w:tr>
    </w:tbl>
    <w:p w14:paraId="415BE9C6" w14:textId="77777777" w:rsidR="001E36D2" w:rsidRPr="00294891" w:rsidRDefault="001E36D2" w:rsidP="004D6300">
      <w:pPr>
        <w:widowControl w:val="0"/>
        <w:spacing w:before="20"/>
        <w:ind w:left="567" w:right="23"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7E241AA8" w14:textId="77777777" w:rsidR="001E36D2" w:rsidRPr="00294891" w:rsidRDefault="001E36D2" w:rsidP="004D6300">
      <w:pPr>
        <w:widowControl w:val="0"/>
        <w:ind w:left="567"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A1F950B" w14:textId="77777777" w:rsidR="001E36D2" w:rsidRPr="00294891" w:rsidRDefault="001E36D2" w:rsidP="004D6300">
      <w:pPr>
        <w:widowControl w:val="0"/>
        <w:ind w:left="567" w:right="25" w:hanging="597"/>
        <w:rPr>
          <w:sz w:val="16"/>
          <w:szCs w:val="14"/>
          <w:lang w:val="es-MX"/>
        </w:rPr>
      </w:pPr>
      <w:r w:rsidRPr="00294891">
        <w:rPr>
          <w:sz w:val="16"/>
          <w:szCs w:val="14"/>
          <w:lang w:val="es-MX"/>
        </w:rPr>
        <w:t>Fuente:</w:t>
      </w:r>
      <w:r>
        <w:rPr>
          <w:sz w:val="16"/>
          <w:szCs w:val="14"/>
          <w:lang w:val="es-MX"/>
        </w:rPr>
        <w:t xml:space="preserve"> INEGI</w:t>
      </w:r>
    </w:p>
    <w:p w14:paraId="44AB2EBA" w14:textId="77777777" w:rsidR="001E36D2" w:rsidRDefault="001E36D2" w:rsidP="001E36D2">
      <w:pPr>
        <w:spacing w:before="240"/>
        <w:ind w:right="-92"/>
        <w:rPr>
          <w:b/>
          <w:spacing w:val="6"/>
          <w:sz w:val="22"/>
          <w:szCs w:val="22"/>
        </w:rPr>
      </w:pPr>
    </w:p>
    <w:p w14:paraId="2DB44292" w14:textId="60B78D6B" w:rsidR="00DB16CD" w:rsidRPr="001625B5" w:rsidRDefault="00711D85" w:rsidP="00A5706D">
      <w:pPr>
        <w:ind w:left="-284" w:right="-233"/>
        <w:rPr>
          <w:spacing w:val="6"/>
        </w:rPr>
      </w:pPr>
      <w:r w:rsidRPr="001625B5">
        <w:rPr>
          <w:spacing w:val="6"/>
        </w:rPr>
        <w:t xml:space="preserve">El </w:t>
      </w:r>
      <w:r w:rsidR="0035103C" w:rsidRPr="001625B5">
        <w:rPr>
          <w:spacing w:val="6"/>
        </w:rPr>
        <w:t>IAT de</w:t>
      </w:r>
      <w:r w:rsidR="00825BFC" w:rsidRPr="001625B5">
        <w:rPr>
          <w:spacing w:val="6"/>
        </w:rPr>
        <w:t>l sector</w:t>
      </w:r>
      <w:r w:rsidR="00DB16CD" w:rsidRPr="001625B5">
        <w:rPr>
          <w:spacing w:val="6"/>
        </w:rPr>
        <w:t xml:space="preserve"> Construcción, </w:t>
      </w:r>
      <w:r w:rsidR="001A3327" w:rsidRPr="001625B5">
        <w:rPr>
          <w:spacing w:val="6"/>
        </w:rPr>
        <w:t>con</w:t>
      </w:r>
      <w:r w:rsidR="00F93A93" w:rsidRPr="001625B5">
        <w:rPr>
          <w:spacing w:val="6"/>
        </w:rPr>
        <w:t xml:space="preserve"> </w:t>
      </w:r>
      <w:r w:rsidR="00763001" w:rsidRPr="001625B5">
        <w:rPr>
          <w:spacing w:val="6"/>
        </w:rPr>
        <w:t xml:space="preserve">cifras </w:t>
      </w:r>
      <w:r w:rsidR="002B414F" w:rsidRPr="001625B5">
        <w:rPr>
          <w:spacing w:val="6"/>
        </w:rPr>
        <w:t>ajust</w:t>
      </w:r>
      <w:r w:rsidR="001A3327" w:rsidRPr="001625B5">
        <w:rPr>
          <w:spacing w:val="6"/>
        </w:rPr>
        <w:t>adas</w:t>
      </w:r>
      <w:r w:rsidR="002B414F" w:rsidRPr="001625B5">
        <w:rPr>
          <w:spacing w:val="6"/>
        </w:rPr>
        <w:t xml:space="preserve"> estacional</w:t>
      </w:r>
      <w:r w:rsidR="001A3327" w:rsidRPr="001625B5">
        <w:rPr>
          <w:spacing w:val="6"/>
        </w:rPr>
        <w:t>mente</w:t>
      </w:r>
      <w:r w:rsidR="00683426" w:rsidRPr="001625B5">
        <w:rPr>
          <w:spacing w:val="6"/>
        </w:rPr>
        <w:t>,</w:t>
      </w:r>
      <w:r w:rsidR="004F748C" w:rsidRPr="001625B5">
        <w:rPr>
          <w:spacing w:val="6"/>
        </w:rPr>
        <w:t xml:space="preserve"> </w:t>
      </w:r>
      <w:r w:rsidR="00683426" w:rsidRPr="001625B5">
        <w:rPr>
          <w:spacing w:val="6"/>
        </w:rPr>
        <w:t>fue de</w:t>
      </w:r>
      <w:r w:rsidR="00DB16CD" w:rsidRPr="001625B5">
        <w:rPr>
          <w:spacing w:val="6"/>
        </w:rPr>
        <w:t xml:space="preserve"> 5</w:t>
      </w:r>
      <w:r w:rsidR="008E3C5E" w:rsidRPr="001625B5">
        <w:rPr>
          <w:spacing w:val="6"/>
        </w:rPr>
        <w:t>4</w:t>
      </w:r>
      <w:r w:rsidR="00B36983" w:rsidRPr="001625B5">
        <w:rPr>
          <w:spacing w:val="6"/>
        </w:rPr>
        <w:t>.1</w:t>
      </w:r>
      <w:r w:rsidR="00DB16CD" w:rsidRPr="001625B5">
        <w:rPr>
          <w:spacing w:val="6"/>
        </w:rPr>
        <w:t xml:space="preserve"> puntos</w:t>
      </w:r>
      <w:r w:rsidR="0042325D" w:rsidRPr="001625B5">
        <w:rPr>
          <w:spacing w:val="6"/>
        </w:rPr>
        <w:t>,</w:t>
      </w:r>
      <w:r w:rsidR="00DB16CD" w:rsidRPr="001625B5">
        <w:rPr>
          <w:spacing w:val="6"/>
        </w:rPr>
        <w:t xml:space="preserve"> </w:t>
      </w:r>
      <w:r w:rsidR="00EC00C6" w:rsidRPr="001625B5">
        <w:rPr>
          <w:spacing w:val="6"/>
        </w:rPr>
        <w:t>0.1</w:t>
      </w:r>
      <w:r w:rsidR="008E3C5E" w:rsidRPr="001625B5">
        <w:rPr>
          <w:spacing w:val="6"/>
        </w:rPr>
        <w:t xml:space="preserve"> punto</w:t>
      </w:r>
      <w:r w:rsidR="00EC00C6" w:rsidRPr="001625B5">
        <w:rPr>
          <w:spacing w:val="6"/>
        </w:rPr>
        <w:t>s</w:t>
      </w:r>
      <w:r w:rsidR="00186144" w:rsidRPr="001625B5">
        <w:rPr>
          <w:spacing w:val="6"/>
        </w:rPr>
        <w:t xml:space="preserve"> </w:t>
      </w:r>
      <w:r w:rsidR="00EC00C6" w:rsidRPr="001625B5">
        <w:rPr>
          <w:spacing w:val="6"/>
        </w:rPr>
        <w:t>más</w:t>
      </w:r>
      <w:r w:rsidR="00186144" w:rsidRPr="001625B5">
        <w:rPr>
          <w:spacing w:val="6"/>
        </w:rPr>
        <w:t xml:space="preserve"> </w:t>
      </w:r>
      <w:r w:rsidR="00683426" w:rsidRPr="001625B5">
        <w:rPr>
          <w:spacing w:val="6"/>
        </w:rPr>
        <w:t>que</w:t>
      </w:r>
      <w:r w:rsidR="00D32B64" w:rsidRPr="001625B5">
        <w:rPr>
          <w:spacing w:val="6"/>
        </w:rPr>
        <w:t xml:space="preserve"> </w:t>
      </w:r>
      <w:r w:rsidR="00F2307B" w:rsidRPr="001625B5">
        <w:rPr>
          <w:spacing w:val="6"/>
        </w:rPr>
        <w:t>en</w:t>
      </w:r>
      <w:r w:rsidR="00DB16CD" w:rsidRPr="001625B5">
        <w:rPr>
          <w:spacing w:val="6"/>
        </w:rPr>
        <w:t xml:space="preserve"> </w:t>
      </w:r>
      <w:r w:rsidR="00B45B99" w:rsidRPr="001625B5">
        <w:rPr>
          <w:spacing w:val="6"/>
        </w:rPr>
        <w:t>diciembre de 2022</w:t>
      </w:r>
      <w:r w:rsidR="00DB16CD" w:rsidRPr="001625B5">
        <w:rPr>
          <w:spacing w:val="6"/>
        </w:rPr>
        <w:t xml:space="preserve">. </w:t>
      </w:r>
    </w:p>
    <w:p w14:paraId="7CB938DB" w14:textId="77777777" w:rsidR="001E36D2" w:rsidRPr="001625B5" w:rsidRDefault="001E36D2" w:rsidP="001E36D2">
      <w:pPr>
        <w:ind w:right="-91"/>
        <w:rPr>
          <w:spacing w:val="6"/>
        </w:rPr>
      </w:pPr>
    </w:p>
    <w:p w14:paraId="34FD7247" w14:textId="77777777" w:rsidR="001E36D2" w:rsidRPr="000A6510" w:rsidRDefault="001E36D2" w:rsidP="001E36D2">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w:t>
      </w:r>
      <w:r>
        <w:rPr>
          <w:b/>
          <w:smallCaps/>
          <w:sz w:val="22"/>
          <w:lang w:val="es-MX"/>
        </w:rPr>
        <w:t>C</w:t>
      </w:r>
      <w:r w:rsidRPr="000A6510">
        <w:rPr>
          <w:b/>
          <w:smallCaps/>
          <w:sz w:val="22"/>
          <w:lang w:val="es-MX"/>
        </w:rPr>
        <w:t>onstrucción</w:t>
      </w:r>
    </w:p>
    <w:p w14:paraId="7A15E083" w14:textId="77777777" w:rsidR="001E36D2" w:rsidRPr="000A6510" w:rsidRDefault="001E36D2" w:rsidP="001E36D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1E36D2" w:rsidRPr="000A6510" w14:paraId="313999D1" w14:textId="77777777" w:rsidTr="00CF0CA0">
        <w:trPr>
          <w:trHeight w:val="518"/>
          <w:tblHeader/>
        </w:trPr>
        <w:tc>
          <w:tcPr>
            <w:tcW w:w="4815" w:type="dxa"/>
            <w:vMerge w:val="restart"/>
            <w:tcBorders>
              <w:top w:val="single" w:sz="4" w:space="0" w:color="404040" w:themeColor="text1" w:themeTint="BF"/>
              <w:left w:val="single" w:sz="4" w:space="0" w:color="404040" w:themeColor="text1" w:themeTint="BF"/>
              <w:right w:val="single" w:sz="4" w:space="0" w:color="404040" w:themeColor="text1" w:themeTint="BF"/>
            </w:tcBorders>
            <w:shd w:val="clear" w:color="auto" w:fill="CCCCFF"/>
            <w:vAlign w:val="center"/>
          </w:tcPr>
          <w:p w14:paraId="3452EFCF" w14:textId="77777777" w:rsidR="001E36D2" w:rsidRPr="000A6510" w:rsidRDefault="001E36D2" w:rsidP="00CF0CA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themeColor="text1" w:themeTint="BF"/>
              <w:left w:val="single" w:sz="4" w:space="0" w:color="404040" w:themeColor="text1" w:themeTint="BF"/>
              <w:right w:val="single" w:sz="4" w:space="0" w:color="404040" w:themeColor="text1" w:themeTint="BF"/>
            </w:tcBorders>
            <w:shd w:val="clear" w:color="auto" w:fill="CCCCFF"/>
            <w:vAlign w:val="center"/>
          </w:tcPr>
          <w:p w14:paraId="6CC6B987" w14:textId="77777777" w:rsidR="001E36D2" w:rsidRPr="000A6510" w:rsidRDefault="001E36D2" w:rsidP="00CF0CA0">
            <w:pPr>
              <w:ind w:left="-108" w:right="-82"/>
              <w:jc w:val="center"/>
              <w:rPr>
                <w:spacing w:val="-4"/>
                <w:sz w:val="18"/>
                <w:szCs w:val="18"/>
              </w:rPr>
            </w:pPr>
            <w:r>
              <w:rPr>
                <w:spacing w:val="-4"/>
                <w:sz w:val="18"/>
                <w:szCs w:val="18"/>
              </w:rPr>
              <w:t>Enero</w:t>
            </w:r>
            <w:r w:rsidRPr="000A6510">
              <w:rPr>
                <w:spacing w:val="-4"/>
                <w:sz w:val="18"/>
                <w:szCs w:val="18"/>
              </w:rPr>
              <w:br/>
              <w:t xml:space="preserve">de </w:t>
            </w:r>
            <w:r>
              <w:rPr>
                <w:spacing w:val="-4"/>
                <w:sz w:val="18"/>
                <w:szCs w:val="18"/>
              </w:rPr>
              <w:t>2023</w:t>
            </w:r>
          </w:p>
        </w:tc>
        <w:tc>
          <w:tcPr>
            <w:tcW w:w="187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vAlign w:val="center"/>
          </w:tcPr>
          <w:p w14:paraId="1EC86E60" w14:textId="77777777" w:rsidR="001E36D2" w:rsidRPr="000A6510" w:rsidRDefault="001E36D2" w:rsidP="00CF0CA0">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themeColor="text1" w:themeTint="BF"/>
              <w:left w:val="single" w:sz="4" w:space="0" w:color="404040" w:themeColor="text1" w:themeTint="BF"/>
              <w:right w:val="single" w:sz="4" w:space="0" w:color="404040" w:themeColor="text1" w:themeTint="BF"/>
            </w:tcBorders>
            <w:shd w:val="clear" w:color="auto" w:fill="CCCCFF"/>
            <w:vAlign w:val="center"/>
          </w:tcPr>
          <w:p w14:paraId="0A3F15F2" w14:textId="77777777" w:rsidR="001E36D2" w:rsidRPr="000A6510" w:rsidRDefault="001E36D2" w:rsidP="00CF0CA0">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1E36D2" w:rsidRPr="000A6510" w14:paraId="44C26CF2" w14:textId="77777777" w:rsidTr="00CF0CA0">
        <w:trPr>
          <w:trHeight w:val="517"/>
          <w:tblHeader/>
        </w:trPr>
        <w:tc>
          <w:tcPr>
            <w:tcW w:w="4815" w:type="dxa"/>
            <w:vMerge/>
            <w:vAlign w:val="center"/>
          </w:tcPr>
          <w:p w14:paraId="09CEA38C" w14:textId="77777777" w:rsidR="001E36D2" w:rsidRPr="000A6510" w:rsidRDefault="001E36D2" w:rsidP="00CF0CA0">
            <w:pPr>
              <w:widowControl w:val="0"/>
              <w:tabs>
                <w:tab w:val="left" w:pos="708"/>
                <w:tab w:val="center" w:pos="3348"/>
              </w:tabs>
              <w:ind w:firstLine="307"/>
              <w:jc w:val="left"/>
              <w:rPr>
                <w:spacing w:val="-4"/>
                <w:sz w:val="18"/>
                <w:szCs w:val="18"/>
              </w:rPr>
            </w:pPr>
          </w:p>
        </w:tc>
        <w:tc>
          <w:tcPr>
            <w:tcW w:w="993" w:type="dxa"/>
            <w:vMerge/>
            <w:vAlign w:val="center"/>
          </w:tcPr>
          <w:p w14:paraId="5764E350" w14:textId="77777777" w:rsidR="001E36D2" w:rsidRPr="000A6510" w:rsidRDefault="001E36D2" w:rsidP="00CF0CA0">
            <w:pPr>
              <w:ind w:left="-108" w:right="-82"/>
              <w:jc w:val="center"/>
              <w:rPr>
                <w:sz w:val="18"/>
                <w:szCs w:val="18"/>
              </w:rPr>
            </w:pPr>
          </w:p>
        </w:tc>
        <w:tc>
          <w:tcPr>
            <w:tcW w:w="9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vAlign w:val="center"/>
          </w:tcPr>
          <w:p w14:paraId="54714968" w14:textId="77777777" w:rsidR="001E36D2" w:rsidRPr="000A6510" w:rsidRDefault="001E36D2" w:rsidP="00CF0CA0">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vAlign w:val="center"/>
          </w:tcPr>
          <w:p w14:paraId="1919F05A" w14:textId="77777777" w:rsidR="001E36D2" w:rsidRPr="000A6510" w:rsidRDefault="001E36D2" w:rsidP="00CF0CA0">
            <w:pPr>
              <w:ind w:left="-106" w:right="-95"/>
              <w:jc w:val="center"/>
              <w:rPr>
                <w:spacing w:val="-4"/>
                <w:sz w:val="18"/>
                <w:szCs w:val="18"/>
              </w:rPr>
            </w:pPr>
            <w:r w:rsidRPr="000A6510">
              <w:rPr>
                <w:spacing w:val="-4"/>
                <w:sz w:val="18"/>
                <w:szCs w:val="18"/>
              </w:rPr>
              <w:t>Mismo mes de</w:t>
            </w:r>
            <w:r>
              <w:rPr>
                <w:spacing w:val="-4"/>
                <w:sz w:val="18"/>
                <w:szCs w:val="18"/>
              </w:rPr>
              <w:t xml:space="preserve"> 2022</w:t>
            </w:r>
          </w:p>
        </w:tc>
        <w:tc>
          <w:tcPr>
            <w:tcW w:w="1688" w:type="dxa"/>
            <w:gridSpan w:val="2"/>
            <w:vMerge/>
            <w:vAlign w:val="center"/>
          </w:tcPr>
          <w:p w14:paraId="132670CF" w14:textId="77777777" w:rsidR="001E36D2" w:rsidRPr="000A6510" w:rsidRDefault="001E36D2" w:rsidP="00CF0CA0">
            <w:pPr>
              <w:tabs>
                <w:tab w:val="center" w:pos="3348"/>
              </w:tabs>
              <w:ind w:left="-84" w:right="-99"/>
              <w:jc w:val="center"/>
              <w:rPr>
                <w:sz w:val="18"/>
                <w:szCs w:val="18"/>
              </w:rPr>
            </w:pPr>
          </w:p>
        </w:tc>
      </w:tr>
      <w:tr w:rsidR="001E36D2" w:rsidRPr="000A6510" w14:paraId="4B6F55F4" w14:textId="77777777" w:rsidTr="00CF0CA0">
        <w:tc>
          <w:tcPr>
            <w:tcW w:w="4815" w:type="dxa"/>
            <w:tcBorders>
              <w:top w:val="single" w:sz="4" w:space="0" w:color="404040" w:themeColor="text1" w:themeTint="BF"/>
              <w:left w:val="single" w:sz="4" w:space="0" w:color="404040" w:themeColor="text1" w:themeTint="BF"/>
              <w:bottom w:val="nil"/>
              <w:right w:val="single" w:sz="4" w:space="0" w:color="404040" w:themeColor="text1" w:themeTint="BF"/>
            </w:tcBorders>
            <w:shd w:val="clear" w:color="auto" w:fill="auto"/>
            <w:vAlign w:val="bottom"/>
          </w:tcPr>
          <w:p w14:paraId="71DA5F25" w14:textId="77777777" w:rsidR="001E36D2" w:rsidRPr="000A6510" w:rsidRDefault="001E36D2" w:rsidP="00CF0CA0">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Construcción</w:t>
            </w:r>
          </w:p>
        </w:tc>
        <w:tc>
          <w:tcPr>
            <w:tcW w:w="993" w:type="dxa"/>
            <w:tcBorders>
              <w:top w:val="single" w:sz="4" w:space="0" w:color="404040" w:themeColor="text1" w:themeTint="BF"/>
              <w:left w:val="single" w:sz="4" w:space="0" w:color="404040" w:themeColor="text1" w:themeTint="BF"/>
              <w:bottom w:val="nil"/>
              <w:right w:val="single" w:sz="4" w:space="0" w:color="404040" w:themeColor="text1" w:themeTint="BF"/>
            </w:tcBorders>
            <w:shd w:val="clear" w:color="auto" w:fill="auto"/>
            <w:vAlign w:val="center"/>
          </w:tcPr>
          <w:p w14:paraId="61810979" w14:textId="77777777" w:rsidR="001E36D2" w:rsidRPr="00706AED" w:rsidRDefault="001E36D2" w:rsidP="00CF0CA0">
            <w:pPr>
              <w:tabs>
                <w:tab w:val="decimal" w:pos="390"/>
              </w:tabs>
              <w:jc w:val="left"/>
              <w:rPr>
                <w:b/>
                <w:sz w:val="18"/>
                <w:szCs w:val="18"/>
              </w:rPr>
            </w:pPr>
            <w:r w:rsidRPr="00706AED">
              <w:rPr>
                <w:b/>
                <w:bCs/>
                <w:sz w:val="18"/>
                <w:szCs w:val="18"/>
              </w:rPr>
              <w:t xml:space="preserve">54.1 </w:t>
            </w:r>
          </w:p>
        </w:tc>
        <w:tc>
          <w:tcPr>
            <w:tcW w:w="908" w:type="dxa"/>
            <w:tcBorders>
              <w:top w:val="single" w:sz="4" w:space="0" w:color="404040" w:themeColor="text1" w:themeTint="BF"/>
              <w:left w:val="single" w:sz="4" w:space="0" w:color="404040" w:themeColor="text1" w:themeTint="BF"/>
              <w:bottom w:val="nil"/>
              <w:right w:val="nil"/>
            </w:tcBorders>
            <w:shd w:val="clear" w:color="auto" w:fill="auto"/>
            <w:vAlign w:val="center"/>
          </w:tcPr>
          <w:p w14:paraId="2E554AB0" w14:textId="77777777" w:rsidR="001E36D2" w:rsidRPr="00706AED" w:rsidRDefault="001E36D2" w:rsidP="00CF0CA0">
            <w:pPr>
              <w:tabs>
                <w:tab w:val="decimal" w:pos="302"/>
              </w:tabs>
              <w:ind w:left="-142"/>
              <w:jc w:val="left"/>
              <w:rPr>
                <w:b/>
                <w:sz w:val="18"/>
                <w:szCs w:val="18"/>
              </w:rPr>
            </w:pPr>
            <w:r w:rsidRPr="00706AED">
              <w:rPr>
                <w:b/>
                <w:bCs/>
                <w:sz w:val="18"/>
                <w:szCs w:val="18"/>
              </w:rPr>
              <w:t>0</w:t>
            </w:r>
            <w:r>
              <w:rPr>
                <w:b/>
                <w:bCs/>
                <w:sz w:val="18"/>
                <w:szCs w:val="18"/>
              </w:rPr>
              <w:t>.1</w:t>
            </w:r>
          </w:p>
        </w:tc>
        <w:tc>
          <w:tcPr>
            <w:tcW w:w="964" w:type="dxa"/>
            <w:tcBorders>
              <w:top w:val="single" w:sz="4" w:space="0" w:color="404040" w:themeColor="text1" w:themeTint="BF"/>
              <w:left w:val="nil"/>
              <w:bottom w:val="nil"/>
              <w:right w:val="single" w:sz="4" w:space="0" w:color="404040" w:themeColor="text1" w:themeTint="BF"/>
            </w:tcBorders>
            <w:shd w:val="clear" w:color="auto" w:fill="auto"/>
            <w:vAlign w:val="center"/>
          </w:tcPr>
          <w:p w14:paraId="191F12B7" w14:textId="77777777" w:rsidR="001E36D2" w:rsidRPr="00706AED" w:rsidRDefault="001E36D2" w:rsidP="00CF0CA0">
            <w:pPr>
              <w:tabs>
                <w:tab w:val="decimal" w:pos="282"/>
              </w:tabs>
              <w:jc w:val="left"/>
              <w:rPr>
                <w:b/>
                <w:sz w:val="18"/>
                <w:szCs w:val="18"/>
              </w:rPr>
            </w:pPr>
            <w:r w:rsidRPr="00706AED">
              <w:rPr>
                <w:b/>
                <w:bCs/>
                <w:sz w:val="18"/>
                <w:szCs w:val="18"/>
              </w:rPr>
              <w:t>-0.2</w:t>
            </w:r>
          </w:p>
        </w:tc>
        <w:tc>
          <w:tcPr>
            <w:tcW w:w="438" w:type="dxa"/>
            <w:tcBorders>
              <w:top w:val="single" w:sz="4" w:space="0" w:color="404040" w:themeColor="text1" w:themeTint="BF"/>
              <w:left w:val="single" w:sz="4" w:space="0" w:color="404040" w:themeColor="text1" w:themeTint="BF"/>
              <w:bottom w:val="nil"/>
              <w:right w:val="nil"/>
            </w:tcBorders>
            <w:shd w:val="clear" w:color="auto" w:fill="auto"/>
            <w:vAlign w:val="center"/>
          </w:tcPr>
          <w:p w14:paraId="581DA29D" w14:textId="77777777" w:rsidR="001E36D2" w:rsidRPr="00706AED" w:rsidRDefault="001E36D2" w:rsidP="00CF0CA0">
            <w:pPr>
              <w:jc w:val="right"/>
              <w:rPr>
                <w:b/>
                <w:sz w:val="18"/>
                <w:szCs w:val="18"/>
              </w:rPr>
            </w:pPr>
            <w:r w:rsidRPr="00706AED">
              <w:rPr>
                <w:b/>
                <w:bCs/>
                <w:sz w:val="18"/>
                <w:szCs w:val="18"/>
              </w:rPr>
              <w:t>28</w:t>
            </w:r>
          </w:p>
        </w:tc>
        <w:tc>
          <w:tcPr>
            <w:tcW w:w="1250" w:type="dxa"/>
            <w:tcBorders>
              <w:top w:val="single" w:sz="4" w:space="0" w:color="404040" w:themeColor="text1" w:themeTint="BF"/>
              <w:left w:val="nil"/>
              <w:bottom w:val="nil"/>
              <w:right w:val="single" w:sz="4" w:space="0" w:color="404040" w:themeColor="text1" w:themeTint="BF"/>
            </w:tcBorders>
            <w:shd w:val="clear" w:color="auto" w:fill="auto"/>
            <w:vAlign w:val="center"/>
          </w:tcPr>
          <w:p w14:paraId="03F43A5B" w14:textId="77777777" w:rsidR="001E36D2" w:rsidRPr="006C1B78" w:rsidRDefault="001E36D2" w:rsidP="00CF0CA0">
            <w:pPr>
              <w:tabs>
                <w:tab w:val="decimal" w:pos="810"/>
              </w:tabs>
              <w:jc w:val="left"/>
              <w:rPr>
                <w:b/>
                <w:sz w:val="18"/>
                <w:szCs w:val="18"/>
              </w:rPr>
            </w:pPr>
            <w:r>
              <w:rPr>
                <w:b/>
                <w:bCs/>
                <w:color w:val="000000"/>
                <w:sz w:val="18"/>
                <w:szCs w:val="18"/>
              </w:rPr>
              <w:t>por arriba</w:t>
            </w:r>
          </w:p>
        </w:tc>
      </w:tr>
      <w:tr w:rsidR="001E36D2" w:rsidRPr="000A6510" w14:paraId="69A682B6" w14:textId="77777777" w:rsidTr="00CF0CA0">
        <w:tc>
          <w:tcPr>
            <w:tcW w:w="4815" w:type="dxa"/>
            <w:tcBorders>
              <w:top w:val="nil"/>
              <w:left w:val="single" w:sz="4" w:space="0" w:color="404040" w:themeColor="text1" w:themeTint="BF"/>
              <w:bottom w:val="nil"/>
              <w:right w:val="single" w:sz="4" w:space="0" w:color="404040" w:themeColor="text1" w:themeTint="BF"/>
            </w:tcBorders>
            <w:shd w:val="clear" w:color="auto" w:fill="auto"/>
            <w:vAlign w:val="bottom"/>
          </w:tcPr>
          <w:p w14:paraId="09414185" w14:textId="77777777" w:rsidR="001E36D2" w:rsidRPr="000A6510" w:rsidRDefault="001E36D2" w:rsidP="00CF0CA0">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themeColor="text1" w:themeTint="BF"/>
              <w:bottom w:val="nil"/>
              <w:right w:val="single" w:sz="4" w:space="0" w:color="404040" w:themeColor="text1" w:themeTint="BF"/>
            </w:tcBorders>
            <w:shd w:val="clear" w:color="auto" w:fill="auto"/>
            <w:vAlign w:val="center"/>
          </w:tcPr>
          <w:p w14:paraId="277B308F" w14:textId="77777777" w:rsidR="001E36D2" w:rsidRPr="00706AED" w:rsidRDefault="001E36D2" w:rsidP="00CF0CA0">
            <w:pPr>
              <w:tabs>
                <w:tab w:val="decimal" w:pos="390"/>
              </w:tabs>
              <w:jc w:val="left"/>
              <w:rPr>
                <w:sz w:val="18"/>
                <w:szCs w:val="18"/>
                <w:lang w:val="es-MX" w:eastAsia="es-MX"/>
              </w:rPr>
            </w:pPr>
            <w:r w:rsidRPr="00706AED">
              <w:rPr>
                <w:sz w:val="18"/>
                <w:szCs w:val="18"/>
              </w:rPr>
              <w:t xml:space="preserve">55.4 </w:t>
            </w:r>
          </w:p>
        </w:tc>
        <w:tc>
          <w:tcPr>
            <w:tcW w:w="908" w:type="dxa"/>
            <w:tcBorders>
              <w:top w:val="nil"/>
              <w:left w:val="single" w:sz="4" w:space="0" w:color="404040" w:themeColor="text1" w:themeTint="BF"/>
              <w:bottom w:val="nil"/>
              <w:right w:val="nil"/>
            </w:tcBorders>
            <w:shd w:val="clear" w:color="auto" w:fill="auto"/>
            <w:vAlign w:val="center"/>
          </w:tcPr>
          <w:p w14:paraId="3C029BFE" w14:textId="77777777" w:rsidR="001E36D2" w:rsidRPr="00706AED" w:rsidRDefault="001E36D2" w:rsidP="00CF0CA0">
            <w:pPr>
              <w:tabs>
                <w:tab w:val="decimal" w:pos="302"/>
              </w:tabs>
              <w:ind w:left="-142"/>
              <w:jc w:val="left"/>
              <w:rPr>
                <w:sz w:val="18"/>
                <w:szCs w:val="18"/>
              </w:rPr>
            </w:pPr>
            <w:r w:rsidRPr="00706AED">
              <w:rPr>
                <w:sz w:val="18"/>
                <w:szCs w:val="18"/>
              </w:rPr>
              <w:t>0.3</w:t>
            </w:r>
          </w:p>
        </w:tc>
        <w:tc>
          <w:tcPr>
            <w:tcW w:w="964" w:type="dxa"/>
            <w:tcBorders>
              <w:top w:val="nil"/>
              <w:left w:val="nil"/>
              <w:bottom w:val="nil"/>
              <w:right w:val="single" w:sz="4" w:space="0" w:color="404040" w:themeColor="text1" w:themeTint="BF"/>
            </w:tcBorders>
            <w:shd w:val="clear" w:color="auto" w:fill="auto"/>
            <w:vAlign w:val="center"/>
          </w:tcPr>
          <w:p w14:paraId="4B272209" w14:textId="77777777" w:rsidR="001E36D2" w:rsidRPr="00706AED" w:rsidRDefault="001E36D2" w:rsidP="00CF0CA0">
            <w:pPr>
              <w:tabs>
                <w:tab w:val="decimal" w:pos="282"/>
              </w:tabs>
              <w:jc w:val="left"/>
              <w:rPr>
                <w:sz w:val="18"/>
                <w:szCs w:val="18"/>
              </w:rPr>
            </w:pPr>
            <w:r w:rsidRPr="00706AED">
              <w:rPr>
                <w:sz w:val="18"/>
                <w:szCs w:val="18"/>
              </w:rPr>
              <w:t>-0.1</w:t>
            </w:r>
          </w:p>
        </w:tc>
        <w:tc>
          <w:tcPr>
            <w:tcW w:w="438" w:type="dxa"/>
            <w:tcBorders>
              <w:top w:val="nil"/>
              <w:left w:val="single" w:sz="4" w:space="0" w:color="404040" w:themeColor="text1" w:themeTint="BF"/>
              <w:bottom w:val="nil"/>
              <w:right w:val="nil"/>
            </w:tcBorders>
            <w:shd w:val="clear" w:color="auto" w:fill="auto"/>
            <w:vAlign w:val="center"/>
          </w:tcPr>
          <w:p w14:paraId="3751870A" w14:textId="77777777" w:rsidR="001E36D2" w:rsidRPr="00706AED" w:rsidRDefault="001E36D2" w:rsidP="00CF0CA0">
            <w:pPr>
              <w:jc w:val="right"/>
              <w:rPr>
                <w:sz w:val="18"/>
                <w:szCs w:val="18"/>
              </w:rPr>
            </w:pPr>
            <w:r w:rsidRPr="00706AED">
              <w:rPr>
                <w:sz w:val="18"/>
                <w:szCs w:val="18"/>
              </w:rPr>
              <w:t>31</w:t>
            </w:r>
          </w:p>
        </w:tc>
        <w:tc>
          <w:tcPr>
            <w:tcW w:w="1250" w:type="dxa"/>
            <w:tcBorders>
              <w:top w:val="nil"/>
              <w:left w:val="nil"/>
              <w:bottom w:val="nil"/>
              <w:right w:val="single" w:sz="4" w:space="0" w:color="404040" w:themeColor="text1" w:themeTint="BF"/>
            </w:tcBorders>
            <w:shd w:val="clear" w:color="auto" w:fill="auto"/>
            <w:vAlign w:val="center"/>
          </w:tcPr>
          <w:p w14:paraId="4DB66752" w14:textId="77777777" w:rsidR="001E36D2" w:rsidRPr="00C245FA" w:rsidRDefault="001E36D2" w:rsidP="00CF0CA0">
            <w:pPr>
              <w:tabs>
                <w:tab w:val="decimal" w:pos="810"/>
              </w:tabs>
              <w:jc w:val="left"/>
              <w:rPr>
                <w:sz w:val="18"/>
                <w:szCs w:val="18"/>
              </w:rPr>
            </w:pPr>
            <w:r>
              <w:rPr>
                <w:color w:val="000000"/>
                <w:sz w:val="18"/>
                <w:szCs w:val="18"/>
              </w:rPr>
              <w:t>por arriba</w:t>
            </w:r>
          </w:p>
        </w:tc>
      </w:tr>
      <w:tr w:rsidR="001E36D2" w:rsidRPr="000A6510" w14:paraId="656128D6" w14:textId="77777777" w:rsidTr="00CF0CA0">
        <w:tc>
          <w:tcPr>
            <w:tcW w:w="4815" w:type="dxa"/>
            <w:tcBorders>
              <w:top w:val="nil"/>
              <w:left w:val="single" w:sz="4" w:space="0" w:color="404040" w:themeColor="text1" w:themeTint="BF"/>
              <w:bottom w:val="nil"/>
              <w:right w:val="single" w:sz="4" w:space="0" w:color="404040" w:themeColor="text1" w:themeTint="BF"/>
            </w:tcBorders>
            <w:shd w:val="clear" w:color="auto" w:fill="auto"/>
            <w:vAlign w:val="bottom"/>
          </w:tcPr>
          <w:p w14:paraId="33F17CB9" w14:textId="77777777" w:rsidR="001E36D2" w:rsidRPr="000A6510" w:rsidRDefault="001E36D2" w:rsidP="00CF0CA0">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themeColor="text1" w:themeTint="BF"/>
              <w:bottom w:val="nil"/>
              <w:right w:val="single" w:sz="4" w:space="0" w:color="404040" w:themeColor="text1" w:themeTint="BF"/>
            </w:tcBorders>
            <w:shd w:val="clear" w:color="auto" w:fill="auto"/>
            <w:vAlign w:val="center"/>
          </w:tcPr>
          <w:p w14:paraId="524AA1AB" w14:textId="77777777" w:rsidR="001E36D2" w:rsidRPr="00706AED" w:rsidRDefault="001E36D2" w:rsidP="00CF0CA0">
            <w:pPr>
              <w:tabs>
                <w:tab w:val="decimal" w:pos="390"/>
              </w:tabs>
              <w:jc w:val="left"/>
              <w:rPr>
                <w:sz w:val="18"/>
                <w:szCs w:val="18"/>
              </w:rPr>
            </w:pPr>
            <w:r w:rsidRPr="00706AED">
              <w:rPr>
                <w:sz w:val="18"/>
                <w:szCs w:val="18"/>
              </w:rPr>
              <w:t xml:space="preserve">54.0 </w:t>
            </w:r>
          </w:p>
        </w:tc>
        <w:tc>
          <w:tcPr>
            <w:tcW w:w="908" w:type="dxa"/>
            <w:tcBorders>
              <w:top w:val="nil"/>
              <w:left w:val="single" w:sz="4" w:space="0" w:color="404040" w:themeColor="text1" w:themeTint="BF"/>
              <w:bottom w:val="nil"/>
              <w:right w:val="nil"/>
            </w:tcBorders>
            <w:shd w:val="clear" w:color="auto" w:fill="auto"/>
            <w:vAlign w:val="center"/>
          </w:tcPr>
          <w:p w14:paraId="1428FC82" w14:textId="77777777" w:rsidR="001E36D2" w:rsidRPr="00706AED" w:rsidRDefault="001E36D2" w:rsidP="00CF0CA0">
            <w:pPr>
              <w:tabs>
                <w:tab w:val="decimal" w:pos="302"/>
              </w:tabs>
              <w:ind w:left="-142"/>
              <w:jc w:val="left"/>
              <w:rPr>
                <w:sz w:val="18"/>
                <w:szCs w:val="18"/>
              </w:rPr>
            </w:pPr>
            <w:r w:rsidRPr="00706AED">
              <w:rPr>
                <w:sz w:val="18"/>
                <w:szCs w:val="18"/>
              </w:rPr>
              <w:t>0.1</w:t>
            </w:r>
          </w:p>
        </w:tc>
        <w:tc>
          <w:tcPr>
            <w:tcW w:w="964" w:type="dxa"/>
            <w:tcBorders>
              <w:top w:val="nil"/>
              <w:left w:val="nil"/>
              <w:bottom w:val="nil"/>
              <w:right w:val="single" w:sz="4" w:space="0" w:color="404040" w:themeColor="text1" w:themeTint="BF"/>
            </w:tcBorders>
            <w:shd w:val="clear" w:color="auto" w:fill="auto"/>
            <w:vAlign w:val="center"/>
          </w:tcPr>
          <w:p w14:paraId="036BC379" w14:textId="77777777" w:rsidR="001E36D2" w:rsidRPr="00706AED" w:rsidRDefault="001E36D2" w:rsidP="00CF0CA0">
            <w:pPr>
              <w:tabs>
                <w:tab w:val="decimal" w:pos="282"/>
              </w:tabs>
              <w:jc w:val="left"/>
              <w:rPr>
                <w:sz w:val="18"/>
                <w:szCs w:val="18"/>
              </w:rPr>
            </w:pPr>
            <w:r w:rsidRPr="00706AED">
              <w:rPr>
                <w:sz w:val="18"/>
                <w:szCs w:val="18"/>
              </w:rPr>
              <w:t>-1.1</w:t>
            </w:r>
          </w:p>
        </w:tc>
        <w:tc>
          <w:tcPr>
            <w:tcW w:w="438" w:type="dxa"/>
            <w:tcBorders>
              <w:top w:val="nil"/>
              <w:left w:val="single" w:sz="4" w:space="0" w:color="404040" w:themeColor="text1" w:themeTint="BF"/>
              <w:bottom w:val="nil"/>
              <w:right w:val="nil"/>
            </w:tcBorders>
            <w:shd w:val="clear" w:color="auto" w:fill="auto"/>
            <w:vAlign w:val="center"/>
          </w:tcPr>
          <w:p w14:paraId="5836ADEE" w14:textId="77777777" w:rsidR="001E36D2" w:rsidRPr="00706AED" w:rsidRDefault="001E36D2" w:rsidP="00CF0CA0">
            <w:pPr>
              <w:jc w:val="right"/>
              <w:rPr>
                <w:sz w:val="18"/>
                <w:szCs w:val="18"/>
              </w:rPr>
            </w:pPr>
            <w:r w:rsidRPr="00706AED">
              <w:rPr>
                <w:sz w:val="18"/>
                <w:szCs w:val="18"/>
              </w:rPr>
              <w:t>27</w:t>
            </w:r>
          </w:p>
        </w:tc>
        <w:tc>
          <w:tcPr>
            <w:tcW w:w="1250" w:type="dxa"/>
            <w:tcBorders>
              <w:top w:val="nil"/>
              <w:left w:val="nil"/>
              <w:bottom w:val="nil"/>
              <w:right w:val="single" w:sz="4" w:space="0" w:color="404040" w:themeColor="text1" w:themeTint="BF"/>
            </w:tcBorders>
            <w:shd w:val="clear" w:color="auto" w:fill="auto"/>
            <w:vAlign w:val="center"/>
          </w:tcPr>
          <w:p w14:paraId="44BB6D69" w14:textId="77777777" w:rsidR="001E36D2" w:rsidRPr="00C245FA" w:rsidRDefault="001E36D2" w:rsidP="00CF0CA0">
            <w:pPr>
              <w:tabs>
                <w:tab w:val="decimal" w:pos="810"/>
              </w:tabs>
              <w:jc w:val="left"/>
              <w:rPr>
                <w:sz w:val="18"/>
                <w:szCs w:val="18"/>
              </w:rPr>
            </w:pPr>
            <w:r>
              <w:rPr>
                <w:color w:val="000000"/>
                <w:sz w:val="18"/>
                <w:szCs w:val="18"/>
              </w:rPr>
              <w:t>por arriba</w:t>
            </w:r>
          </w:p>
        </w:tc>
      </w:tr>
      <w:tr w:rsidR="001E36D2" w:rsidRPr="000A6510" w14:paraId="77636861" w14:textId="77777777" w:rsidTr="00CF0CA0">
        <w:tc>
          <w:tcPr>
            <w:tcW w:w="4815" w:type="dxa"/>
            <w:tcBorders>
              <w:top w:val="nil"/>
              <w:left w:val="single" w:sz="4" w:space="0" w:color="404040" w:themeColor="text1" w:themeTint="BF"/>
              <w:bottom w:val="nil"/>
              <w:right w:val="single" w:sz="4" w:space="0" w:color="404040" w:themeColor="text1" w:themeTint="BF"/>
            </w:tcBorders>
            <w:shd w:val="clear" w:color="auto" w:fill="auto"/>
            <w:vAlign w:val="bottom"/>
          </w:tcPr>
          <w:p w14:paraId="5B6895D2" w14:textId="77777777" w:rsidR="001E36D2" w:rsidRPr="000A6510" w:rsidRDefault="001E36D2" w:rsidP="00CF0CA0">
            <w:pPr>
              <w:pStyle w:val="Prrafodelista"/>
              <w:widowControl w:val="0"/>
              <w:numPr>
                <w:ilvl w:val="0"/>
                <w:numId w:val="14"/>
              </w:numPr>
              <w:spacing w:before="20" w:after="20"/>
              <w:ind w:left="313" w:hanging="284"/>
              <w:contextualSpacing/>
              <w:jc w:val="left"/>
              <w:rPr>
                <w:spacing w:val="-4"/>
                <w:sz w:val="18"/>
                <w:szCs w:val="18"/>
                <w:lang w:val="es-MX"/>
              </w:rPr>
            </w:pPr>
            <w:proofErr w:type="gramStart"/>
            <w:r w:rsidRPr="000A6510">
              <w:rPr>
                <w:spacing w:val="-4"/>
                <w:sz w:val="18"/>
                <w:szCs w:val="18"/>
                <w:lang w:val="es-MX"/>
              </w:rPr>
              <w:t>Total</w:t>
            </w:r>
            <w:proofErr w:type="gramEnd"/>
            <w:r w:rsidRPr="000A6510">
              <w:rPr>
                <w:spacing w:val="-4"/>
                <w:sz w:val="18"/>
                <w:szCs w:val="18"/>
                <w:lang w:val="es-MX"/>
              </w:rPr>
              <w:t xml:space="preserve"> de contratos y subcontratos</w:t>
            </w:r>
          </w:p>
        </w:tc>
        <w:tc>
          <w:tcPr>
            <w:tcW w:w="993" w:type="dxa"/>
            <w:tcBorders>
              <w:top w:val="nil"/>
              <w:left w:val="single" w:sz="4" w:space="0" w:color="404040" w:themeColor="text1" w:themeTint="BF"/>
              <w:bottom w:val="nil"/>
              <w:right w:val="single" w:sz="4" w:space="0" w:color="404040" w:themeColor="text1" w:themeTint="BF"/>
            </w:tcBorders>
            <w:shd w:val="clear" w:color="auto" w:fill="auto"/>
            <w:vAlign w:val="center"/>
          </w:tcPr>
          <w:p w14:paraId="564891B3" w14:textId="77777777" w:rsidR="001E36D2" w:rsidRPr="00706AED" w:rsidRDefault="001E36D2" w:rsidP="00CF0CA0">
            <w:pPr>
              <w:tabs>
                <w:tab w:val="decimal" w:pos="390"/>
              </w:tabs>
              <w:jc w:val="left"/>
              <w:rPr>
                <w:sz w:val="18"/>
                <w:szCs w:val="18"/>
              </w:rPr>
            </w:pPr>
            <w:r w:rsidRPr="00706AED">
              <w:rPr>
                <w:sz w:val="18"/>
                <w:szCs w:val="18"/>
              </w:rPr>
              <w:t xml:space="preserve">54.5 </w:t>
            </w:r>
          </w:p>
        </w:tc>
        <w:tc>
          <w:tcPr>
            <w:tcW w:w="908" w:type="dxa"/>
            <w:tcBorders>
              <w:top w:val="nil"/>
              <w:left w:val="single" w:sz="4" w:space="0" w:color="404040" w:themeColor="text1" w:themeTint="BF"/>
              <w:bottom w:val="nil"/>
              <w:right w:val="nil"/>
            </w:tcBorders>
            <w:shd w:val="clear" w:color="auto" w:fill="auto"/>
            <w:vAlign w:val="center"/>
          </w:tcPr>
          <w:p w14:paraId="390A55E5" w14:textId="77777777" w:rsidR="001E36D2" w:rsidRPr="00706AED" w:rsidRDefault="001E36D2" w:rsidP="00CF0CA0">
            <w:pPr>
              <w:tabs>
                <w:tab w:val="decimal" w:pos="302"/>
              </w:tabs>
              <w:ind w:left="-142"/>
              <w:jc w:val="left"/>
              <w:rPr>
                <w:sz w:val="18"/>
                <w:szCs w:val="18"/>
              </w:rPr>
            </w:pPr>
            <w:r w:rsidRPr="00706AED">
              <w:rPr>
                <w:sz w:val="18"/>
                <w:szCs w:val="18"/>
              </w:rPr>
              <w:t>0.2</w:t>
            </w:r>
          </w:p>
        </w:tc>
        <w:tc>
          <w:tcPr>
            <w:tcW w:w="964" w:type="dxa"/>
            <w:tcBorders>
              <w:top w:val="nil"/>
              <w:left w:val="nil"/>
              <w:bottom w:val="nil"/>
              <w:right w:val="single" w:sz="4" w:space="0" w:color="404040" w:themeColor="text1" w:themeTint="BF"/>
            </w:tcBorders>
            <w:shd w:val="clear" w:color="auto" w:fill="auto"/>
            <w:vAlign w:val="center"/>
          </w:tcPr>
          <w:p w14:paraId="5C8E122C" w14:textId="77777777" w:rsidR="001E36D2" w:rsidRPr="00706AED" w:rsidRDefault="001E36D2" w:rsidP="00CF0CA0">
            <w:pPr>
              <w:tabs>
                <w:tab w:val="decimal" w:pos="282"/>
              </w:tabs>
              <w:jc w:val="left"/>
              <w:rPr>
                <w:sz w:val="18"/>
                <w:szCs w:val="18"/>
              </w:rPr>
            </w:pPr>
            <w:r w:rsidRPr="00706AED">
              <w:rPr>
                <w:sz w:val="18"/>
                <w:szCs w:val="18"/>
              </w:rPr>
              <w:t>0.4</w:t>
            </w:r>
          </w:p>
        </w:tc>
        <w:tc>
          <w:tcPr>
            <w:tcW w:w="438" w:type="dxa"/>
            <w:tcBorders>
              <w:top w:val="nil"/>
              <w:left w:val="single" w:sz="4" w:space="0" w:color="404040" w:themeColor="text1" w:themeTint="BF"/>
              <w:bottom w:val="nil"/>
              <w:right w:val="nil"/>
            </w:tcBorders>
            <w:shd w:val="clear" w:color="auto" w:fill="auto"/>
            <w:vAlign w:val="center"/>
          </w:tcPr>
          <w:p w14:paraId="515C15F9" w14:textId="77777777" w:rsidR="001E36D2" w:rsidRPr="00706AED" w:rsidRDefault="001E36D2" w:rsidP="00CF0CA0">
            <w:pPr>
              <w:jc w:val="right"/>
              <w:rPr>
                <w:sz w:val="18"/>
                <w:szCs w:val="18"/>
              </w:rPr>
            </w:pPr>
            <w:r w:rsidRPr="00706AED">
              <w:rPr>
                <w:sz w:val="18"/>
                <w:szCs w:val="18"/>
              </w:rPr>
              <w:t>30</w:t>
            </w:r>
          </w:p>
        </w:tc>
        <w:tc>
          <w:tcPr>
            <w:tcW w:w="1250" w:type="dxa"/>
            <w:tcBorders>
              <w:top w:val="nil"/>
              <w:left w:val="nil"/>
              <w:bottom w:val="nil"/>
              <w:right w:val="single" w:sz="4" w:space="0" w:color="404040" w:themeColor="text1" w:themeTint="BF"/>
            </w:tcBorders>
            <w:shd w:val="clear" w:color="auto" w:fill="auto"/>
            <w:vAlign w:val="center"/>
          </w:tcPr>
          <w:p w14:paraId="54C3D230" w14:textId="77777777" w:rsidR="001E36D2" w:rsidRPr="00C245FA" w:rsidRDefault="001E36D2" w:rsidP="00CF0CA0">
            <w:pPr>
              <w:tabs>
                <w:tab w:val="decimal" w:pos="810"/>
              </w:tabs>
              <w:jc w:val="left"/>
              <w:rPr>
                <w:sz w:val="18"/>
                <w:szCs w:val="18"/>
              </w:rPr>
            </w:pPr>
            <w:r>
              <w:rPr>
                <w:color w:val="000000"/>
                <w:sz w:val="18"/>
                <w:szCs w:val="18"/>
              </w:rPr>
              <w:t>por arriba</w:t>
            </w:r>
          </w:p>
        </w:tc>
      </w:tr>
      <w:tr w:rsidR="001E36D2" w:rsidRPr="000A6510" w14:paraId="5BEA979A" w14:textId="77777777" w:rsidTr="00CF0CA0">
        <w:tc>
          <w:tcPr>
            <w:tcW w:w="4815" w:type="dxa"/>
            <w:tcBorders>
              <w:top w:val="nil"/>
              <w:left w:val="single" w:sz="4" w:space="0" w:color="404040" w:themeColor="text1" w:themeTint="BF"/>
              <w:bottom w:val="single" w:sz="4" w:space="0" w:color="auto"/>
              <w:right w:val="single" w:sz="4" w:space="0" w:color="404040" w:themeColor="text1" w:themeTint="BF"/>
            </w:tcBorders>
            <w:shd w:val="clear" w:color="auto" w:fill="auto"/>
            <w:vAlign w:val="bottom"/>
          </w:tcPr>
          <w:p w14:paraId="3BA8557D" w14:textId="77777777" w:rsidR="001E36D2" w:rsidRPr="000A6510" w:rsidRDefault="001E36D2" w:rsidP="00CF0CA0">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themeColor="text1" w:themeTint="BF"/>
              <w:bottom w:val="single" w:sz="4" w:space="0" w:color="auto"/>
              <w:right w:val="single" w:sz="4" w:space="0" w:color="404040" w:themeColor="text1" w:themeTint="BF"/>
            </w:tcBorders>
            <w:shd w:val="clear" w:color="auto" w:fill="auto"/>
            <w:vAlign w:val="center"/>
          </w:tcPr>
          <w:p w14:paraId="43E466D0" w14:textId="77777777" w:rsidR="001E36D2" w:rsidRPr="00706AED" w:rsidRDefault="001E36D2" w:rsidP="00CF0CA0">
            <w:pPr>
              <w:tabs>
                <w:tab w:val="decimal" w:pos="390"/>
              </w:tabs>
              <w:jc w:val="left"/>
              <w:rPr>
                <w:sz w:val="18"/>
                <w:szCs w:val="18"/>
              </w:rPr>
            </w:pPr>
            <w:r w:rsidRPr="00706AED">
              <w:rPr>
                <w:sz w:val="18"/>
                <w:szCs w:val="18"/>
              </w:rPr>
              <w:t xml:space="preserve">52.8 </w:t>
            </w:r>
          </w:p>
        </w:tc>
        <w:tc>
          <w:tcPr>
            <w:tcW w:w="908" w:type="dxa"/>
            <w:tcBorders>
              <w:top w:val="nil"/>
              <w:left w:val="single" w:sz="4" w:space="0" w:color="404040" w:themeColor="text1" w:themeTint="BF"/>
              <w:bottom w:val="single" w:sz="4" w:space="0" w:color="auto"/>
              <w:right w:val="nil"/>
            </w:tcBorders>
            <w:shd w:val="clear" w:color="auto" w:fill="auto"/>
            <w:vAlign w:val="center"/>
          </w:tcPr>
          <w:p w14:paraId="2C492191" w14:textId="77777777" w:rsidR="001E36D2" w:rsidRPr="00706AED" w:rsidRDefault="001E36D2" w:rsidP="00CF0CA0">
            <w:pPr>
              <w:tabs>
                <w:tab w:val="decimal" w:pos="302"/>
              </w:tabs>
              <w:ind w:left="-142"/>
              <w:jc w:val="left"/>
              <w:rPr>
                <w:bCs/>
                <w:sz w:val="18"/>
                <w:szCs w:val="18"/>
              </w:rPr>
            </w:pPr>
            <w:r w:rsidRPr="00706AED">
              <w:rPr>
                <w:sz w:val="18"/>
                <w:szCs w:val="18"/>
              </w:rPr>
              <w:t>0.1</w:t>
            </w:r>
          </w:p>
        </w:tc>
        <w:tc>
          <w:tcPr>
            <w:tcW w:w="964" w:type="dxa"/>
            <w:tcBorders>
              <w:top w:val="nil"/>
              <w:left w:val="nil"/>
              <w:bottom w:val="single" w:sz="4" w:space="0" w:color="auto"/>
              <w:right w:val="single" w:sz="4" w:space="0" w:color="404040" w:themeColor="text1" w:themeTint="BF"/>
            </w:tcBorders>
            <w:shd w:val="clear" w:color="auto" w:fill="auto"/>
            <w:vAlign w:val="center"/>
          </w:tcPr>
          <w:p w14:paraId="0C996FA7" w14:textId="77777777" w:rsidR="001E36D2" w:rsidRPr="00706AED" w:rsidRDefault="001E36D2" w:rsidP="00CF0CA0">
            <w:pPr>
              <w:tabs>
                <w:tab w:val="decimal" w:pos="282"/>
              </w:tabs>
              <w:ind w:left="-30"/>
              <w:jc w:val="left"/>
              <w:rPr>
                <w:sz w:val="18"/>
                <w:szCs w:val="18"/>
              </w:rPr>
            </w:pPr>
            <w:r w:rsidRPr="00706AED">
              <w:rPr>
                <w:sz w:val="18"/>
                <w:szCs w:val="18"/>
              </w:rPr>
              <w:t>0.2</w:t>
            </w:r>
          </w:p>
        </w:tc>
        <w:tc>
          <w:tcPr>
            <w:tcW w:w="438" w:type="dxa"/>
            <w:tcBorders>
              <w:top w:val="nil"/>
              <w:left w:val="single" w:sz="4" w:space="0" w:color="404040" w:themeColor="text1" w:themeTint="BF"/>
              <w:bottom w:val="single" w:sz="4" w:space="0" w:color="auto"/>
              <w:right w:val="nil"/>
            </w:tcBorders>
            <w:shd w:val="clear" w:color="auto" w:fill="auto"/>
            <w:vAlign w:val="center"/>
          </w:tcPr>
          <w:p w14:paraId="755D0114" w14:textId="77777777" w:rsidR="001E36D2" w:rsidRPr="00706AED" w:rsidRDefault="001E36D2" w:rsidP="00CF0CA0">
            <w:pPr>
              <w:jc w:val="right"/>
              <w:rPr>
                <w:sz w:val="18"/>
                <w:szCs w:val="18"/>
              </w:rPr>
            </w:pPr>
            <w:r w:rsidRPr="00706AED">
              <w:rPr>
                <w:sz w:val="18"/>
                <w:szCs w:val="18"/>
              </w:rPr>
              <w:t>26</w:t>
            </w:r>
          </w:p>
        </w:tc>
        <w:tc>
          <w:tcPr>
            <w:tcW w:w="1250" w:type="dxa"/>
            <w:tcBorders>
              <w:top w:val="nil"/>
              <w:left w:val="nil"/>
              <w:bottom w:val="single" w:sz="4" w:space="0" w:color="auto"/>
              <w:right w:val="single" w:sz="4" w:space="0" w:color="404040" w:themeColor="text1" w:themeTint="BF"/>
            </w:tcBorders>
            <w:shd w:val="clear" w:color="auto" w:fill="auto"/>
            <w:vAlign w:val="center"/>
          </w:tcPr>
          <w:p w14:paraId="0BFF4AF0" w14:textId="77777777" w:rsidR="001E36D2" w:rsidRPr="00C245FA" w:rsidRDefault="001E36D2" w:rsidP="00CF0CA0">
            <w:pPr>
              <w:tabs>
                <w:tab w:val="decimal" w:pos="810"/>
              </w:tabs>
              <w:jc w:val="left"/>
              <w:rPr>
                <w:sz w:val="18"/>
                <w:szCs w:val="18"/>
              </w:rPr>
            </w:pPr>
            <w:r>
              <w:rPr>
                <w:color w:val="000000"/>
                <w:sz w:val="18"/>
                <w:szCs w:val="18"/>
              </w:rPr>
              <w:t>por arriba</w:t>
            </w:r>
          </w:p>
        </w:tc>
      </w:tr>
    </w:tbl>
    <w:p w14:paraId="51C6D48C" w14:textId="77777777" w:rsidR="001E36D2" w:rsidRPr="00294891" w:rsidRDefault="001E36D2" w:rsidP="004D6300">
      <w:pPr>
        <w:widowControl w:val="0"/>
        <w:spacing w:before="20"/>
        <w:ind w:left="567" w:right="23"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53D4E463" w14:textId="77777777" w:rsidR="001E36D2" w:rsidRPr="00294891" w:rsidRDefault="001E36D2" w:rsidP="004D6300">
      <w:pPr>
        <w:widowControl w:val="0"/>
        <w:ind w:left="567"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294A8887" w14:textId="77777777" w:rsidR="001E36D2" w:rsidRPr="00294891" w:rsidRDefault="001E36D2" w:rsidP="004D6300">
      <w:pPr>
        <w:widowControl w:val="0"/>
        <w:spacing w:before="20"/>
        <w:ind w:left="567" w:right="25" w:hanging="527"/>
        <w:rPr>
          <w:sz w:val="16"/>
          <w:szCs w:val="14"/>
          <w:lang w:val="es-MX"/>
        </w:rPr>
      </w:pPr>
      <w:r w:rsidRPr="00294891">
        <w:rPr>
          <w:sz w:val="16"/>
          <w:szCs w:val="14"/>
          <w:lang w:val="es-MX"/>
        </w:rPr>
        <w:t>Fuente:</w:t>
      </w:r>
      <w:r>
        <w:rPr>
          <w:sz w:val="16"/>
          <w:szCs w:val="14"/>
          <w:lang w:val="es-MX"/>
        </w:rPr>
        <w:t xml:space="preserve"> INEGI</w:t>
      </w:r>
    </w:p>
    <w:p w14:paraId="4FC2B811" w14:textId="77777777" w:rsidR="002476DD" w:rsidRDefault="002476DD" w:rsidP="001E36D2">
      <w:pPr>
        <w:tabs>
          <w:tab w:val="left" w:pos="567"/>
        </w:tabs>
        <w:spacing w:before="240"/>
        <w:ind w:right="-92"/>
        <w:rPr>
          <w:b/>
          <w:spacing w:val="6"/>
          <w:sz w:val="22"/>
          <w:szCs w:val="22"/>
        </w:rPr>
      </w:pPr>
    </w:p>
    <w:p w14:paraId="03782338" w14:textId="77777777" w:rsidR="00A5706D" w:rsidRDefault="00A5706D" w:rsidP="00A5706D">
      <w:pPr>
        <w:tabs>
          <w:tab w:val="left" w:pos="567"/>
        </w:tabs>
        <w:spacing w:before="240"/>
        <w:ind w:left="-284" w:right="-92"/>
        <w:rPr>
          <w:spacing w:val="6"/>
        </w:rPr>
      </w:pPr>
    </w:p>
    <w:p w14:paraId="776AB699" w14:textId="073B27F2" w:rsidR="00DB16CD" w:rsidRPr="002476DD" w:rsidRDefault="00711D85" w:rsidP="00A5706D">
      <w:pPr>
        <w:tabs>
          <w:tab w:val="left" w:pos="567"/>
        </w:tabs>
        <w:spacing w:before="240"/>
        <w:ind w:left="-284" w:right="-233"/>
        <w:rPr>
          <w:spacing w:val="6"/>
        </w:rPr>
      </w:pPr>
      <w:r w:rsidRPr="002476DD">
        <w:rPr>
          <w:spacing w:val="6"/>
        </w:rPr>
        <w:t>En el mes de referencia</w:t>
      </w:r>
      <w:r w:rsidRPr="002476DD">
        <w:t xml:space="preserve"> </w:t>
      </w:r>
      <w:r w:rsidR="002B414F" w:rsidRPr="002476DD">
        <w:t xml:space="preserve">y </w:t>
      </w:r>
      <w:r w:rsidR="002B414F" w:rsidRPr="002476DD">
        <w:rPr>
          <w:spacing w:val="6"/>
        </w:rPr>
        <w:t>con ci</w:t>
      </w:r>
      <w:r w:rsidR="001E36D2" w:rsidRPr="002476DD">
        <w:rPr>
          <w:spacing w:val="6"/>
        </w:rPr>
        <w:t>f</w:t>
      </w:r>
      <w:r w:rsidR="002B414F" w:rsidRPr="002476DD">
        <w:rPr>
          <w:spacing w:val="6"/>
        </w:rPr>
        <w:t>ras desestacionalizadas,</w:t>
      </w:r>
      <w:r w:rsidR="002C0AE7" w:rsidRPr="002476DD">
        <w:rPr>
          <w:spacing w:val="6"/>
        </w:rPr>
        <w:t xml:space="preserve"> </w:t>
      </w:r>
      <w:r w:rsidR="00DB16CD" w:rsidRPr="002476DD">
        <w:rPr>
          <w:spacing w:val="6"/>
        </w:rPr>
        <w:t xml:space="preserve">el </w:t>
      </w:r>
      <w:r w:rsidR="002C0AE7" w:rsidRPr="002476DD">
        <w:rPr>
          <w:spacing w:val="6"/>
        </w:rPr>
        <w:t>IAT</w:t>
      </w:r>
      <w:r w:rsidR="00DB16CD" w:rsidRPr="002476DD">
        <w:rPr>
          <w:spacing w:val="6"/>
        </w:rPr>
        <w:t xml:space="preserve"> del sector Comercio se </w:t>
      </w:r>
      <w:r w:rsidR="004F748C" w:rsidRPr="002476DD">
        <w:rPr>
          <w:spacing w:val="6"/>
        </w:rPr>
        <w:t>situó</w:t>
      </w:r>
      <w:r w:rsidR="002C0AE7" w:rsidRPr="002476DD">
        <w:rPr>
          <w:spacing w:val="6"/>
        </w:rPr>
        <w:t xml:space="preserve"> </w:t>
      </w:r>
      <w:r w:rsidR="00DB16CD" w:rsidRPr="002476DD">
        <w:rPr>
          <w:spacing w:val="6"/>
        </w:rPr>
        <w:t>en 5</w:t>
      </w:r>
      <w:r w:rsidR="002B24E2" w:rsidRPr="002476DD">
        <w:rPr>
          <w:spacing w:val="6"/>
        </w:rPr>
        <w:t>2.8</w:t>
      </w:r>
      <w:r w:rsidR="00DB16CD" w:rsidRPr="002476DD">
        <w:rPr>
          <w:spacing w:val="6"/>
        </w:rPr>
        <w:t xml:space="preserve"> puntos,</w:t>
      </w:r>
      <w:r w:rsidR="00296D4F" w:rsidRPr="002476DD">
        <w:rPr>
          <w:spacing w:val="6"/>
        </w:rPr>
        <w:t xml:space="preserve"> </w:t>
      </w:r>
      <w:r w:rsidR="002B24E2" w:rsidRPr="002476DD">
        <w:rPr>
          <w:spacing w:val="6"/>
        </w:rPr>
        <w:t>un a</w:t>
      </w:r>
      <w:r w:rsidR="00DD6581" w:rsidRPr="002476DD">
        <w:rPr>
          <w:spacing w:val="6"/>
        </w:rPr>
        <w:t>scenso</w:t>
      </w:r>
      <w:r w:rsidR="000711F2" w:rsidRPr="002476DD">
        <w:rPr>
          <w:spacing w:val="6"/>
        </w:rPr>
        <w:t xml:space="preserve"> </w:t>
      </w:r>
      <w:r w:rsidR="0085108D" w:rsidRPr="002476DD">
        <w:rPr>
          <w:spacing w:val="6"/>
        </w:rPr>
        <w:t xml:space="preserve">de </w:t>
      </w:r>
      <w:r w:rsidR="00B36983" w:rsidRPr="002476DD">
        <w:rPr>
          <w:spacing w:val="6"/>
        </w:rPr>
        <w:t>0.</w:t>
      </w:r>
      <w:r w:rsidR="002B24E2" w:rsidRPr="002476DD">
        <w:rPr>
          <w:spacing w:val="6"/>
        </w:rPr>
        <w:t>6</w:t>
      </w:r>
      <w:r w:rsidR="0085108D" w:rsidRPr="002476DD">
        <w:rPr>
          <w:spacing w:val="6"/>
        </w:rPr>
        <w:t xml:space="preserve"> punto</w:t>
      </w:r>
      <w:r w:rsidR="004C0F7B" w:rsidRPr="002476DD">
        <w:rPr>
          <w:spacing w:val="6"/>
        </w:rPr>
        <w:t>s</w:t>
      </w:r>
      <w:r w:rsidR="00DB16CD" w:rsidRPr="002476DD">
        <w:rPr>
          <w:spacing w:val="6"/>
        </w:rPr>
        <w:t xml:space="preserve"> en comparación con el mes anterior.</w:t>
      </w:r>
    </w:p>
    <w:p w14:paraId="7F16FCC8" w14:textId="77777777" w:rsidR="001E36D2" w:rsidRPr="002476DD" w:rsidRDefault="001E36D2" w:rsidP="001E36D2">
      <w:pPr>
        <w:tabs>
          <w:tab w:val="left" w:pos="567"/>
        </w:tabs>
        <w:ind w:right="-91"/>
        <w:rPr>
          <w:spacing w:val="6"/>
        </w:rPr>
      </w:pPr>
    </w:p>
    <w:p w14:paraId="4451FD05" w14:textId="77777777" w:rsidR="001E36D2" w:rsidRPr="000A6510" w:rsidRDefault="001E36D2" w:rsidP="001E36D2">
      <w:pPr>
        <w:keepNext/>
        <w:keepLines/>
        <w:widowControl w:val="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 xml:space="preserve">del sector </w:t>
      </w:r>
      <w:r>
        <w:rPr>
          <w:b/>
          <w:smallCaps/>
          <w:sz w:val="22"/>
          <w:lang w:val="es-MX"/>
        </w:rPr>
        <w:t>C</w:t>
      </w:r>
      <w:r w:rsidRPr="000A6510">
        <w:rPr>
          <w:b/>
          <w:smallCaps/>
          <w:sz w:val="22"/>
          <w:lang w:val="es-MX"/>
        </w:rPr>
        <w:t>omercio</w:t>
      </w:r>
    </w:p>
    <w:p w14:paraId="18647FE3" w14:textId="77777777" w:rsidR="001E36D2" w:rsidRPr="000A6510" w:rsidRDefault="001E36D2" w:rsidP="001E36D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1E36D2" w:rsidRPr="000A6510" w14:paraId="41C49F26" w14:textId="77777777" w:rsidTr="00CF0CA0">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628ADD7D" w14:textId="77777777" w:rsidR="001E36D2" w:rsidRPr="000A6510" w:rsidRDefault="001E36D2" w:rsidP="00CF0CA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045FDCD4" w14:textId="77777777" w:rsidR="001E36D2" w:rsidRPr="000A6510" w:rsidRDefault="001E36D2" w:rsidP="00CF0CA0">
            <w:pPr>
              <w:ind w:left="-108" w:right="-82"/>
              <w:jc w:val="center"/>
              <w:rPr>
                <w:spacing w:val="-4"/>
                <w:sz w:val="18"/>
                <w:szCs w:val="18"/>
              </w:rPr>
            </w:pPr>
            <w:r>
              <w:rPr>
                <w:spacing w:val="-4"/>
                <w:sz w:val="18"/>
                <w:szCs w:val="18"/>
              </w:rPr>
              <w:t>Enero</w:t>
            </w:r>
            <w:r>
              <w:rPr>
                <w:spacing w:val="-4"/>
                <w:sz w:val="18"/>
                <w:szCs w:val="18"/>
              </w:rPr>
              <w:br/>
            </w:r>
            <w:r w:rsidRPr="000A6510">
              <w:rPr>
                <w:spacing w:val="-4"/>
                <w:sz w:val="18"/>
                <w:szCs w:val="18"/>
              </w:rPr>
              <w:t xml:space="preserve">de </w:t>
            </w:r>
            <w:r>
              <w:rPr>
                <w:spacing w:val="-4"/>
                <w:sz w:val="18"/>
                <w:szCs w:val="18"/>
              </w:rPr>
              <w:t>2023</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CA77160" w14:textId="77777777" w:rsidR="001E36D2" w:rsidRPr="000A6510" w:rsidRDefault="001E36D2" w:rsidP="00CF0CA0">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6EB57133" w14:textId="77777777" w:rsidR="001E36D2" w:rsidRPr="000A6510" w:rsidRDefault="001E36D2" w:rsidP="00CF0CA0">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1E36D2" w:rsidRPr="000A6510" w14:paraId="4EE3701C" w14:textId="77777777" w:rsidTr="00CF0CA0">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2F1A44C1" w14:textId="77777777" w:rsidR="001E36D2" w:rsidRPr="000A6510" w:rsidRDefault="001E36D2" w:rsidP="00CF0CA0">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DCC72B0" w14:textId="77777777" w:rsidR="001E36D2" w:rsidRPr="000A6510" w:rsidRDefault="001E36D2" w:rsidP="00CF0CA0">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75883DB" w14:textId="77777777" w:rsidR="001E36D2" w:rsidRPr="000A6510" w:rsidRDefault="001E36D2" w:rsidP="00CF0CA0">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9C7520F" w14:textId="77777777" w:rsidR="001E36D2" w:rsidRPr="000A6510" w:rsidRDefault="001E36D2" w:rsidP="00CF0CA0">
            <w:pPr>
              <w:ind w:left="-106" w:right="-95"/>
              <w:jc w:val="center"/>
              <w:rPr>
                <w:spacing w:val="-4"/>
                <w:sz w:val="18"/>
                <w:szCs w:val="18"/>
              </w:rPr>
            </w:pPr>
            <w:r w:rsidRPr="000A6510">
              <w:rPr>
                <w:spacing w:val="-4"/>
                <w:sz w:val="18"/>
                <w:szCs w:val="18"/>
              </w:rPr>
              <w:t>Mismo mes de</w:t>
            </w:r>
            <w:r>
              <w:rPr>
                <w:spacing w:val="-4"/>
                <w:sz w:val="18"/>
                <w:szCs w:val="18"/>
              </w:rPr>
              <w:t xml:space="preserve"> 2022</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5EA3D9B2" w14:textId="77777777" w:rsidR="001E36D2" w:rsidRPr="000A6510" w:rsidRDefault="001E36D2" w:rsidP="00CF0CA0">
            <w:pPr>
              <w:tabs>
                <w:tab w:val="center" w:pos="3348"/>
              </w:tabs>
              <w:ind w:left="-84" w:right="-99"/>
              <w:jc w:val="center"/>
              <w:rPr>
                <w:sz w:val="18"/>
                <w:szCs w:val="18"/>
              </w:rPr>
            </w:pPr>
          </w:p>
        </w:tc>
      </w:tr>
      <w:tr w:rsidR="001E36D2" w:rsidRPr="000A6510" w14:paraId="0A9CB824" w14:textId="77777777" w:rsidTr="00CF0CA0">
        <w:trPr>
          <w:jc w:val="center"/>
        </w:trPr>
        <w:tc>
          <w:tcPr>
            <w:tcW w:w="4420" w:type="dxa"/>
            <w:tcBorders>
              <w:top w:val="nil"/>
              <w:left w:val="single" w:sz="4" w:space="0" w:color="404040"/>
              <w:bottom w:val="nil"/>
              <w:right w:val="single" w:sz="4" w:space="0" w:color="404040"/>
            </w:tcBorders>
            <w:shd w:val="clear" w:color="auto" w:fill="auto"/>
            <w:vAlign w:val="center"/>
          </w:tcPr>
          <w:p w14:paraId="0650B1F9" w14:textId="77777777" w:rsidR="001E36D2" w:rsidRPr="000A6510" w:rsidRDefault="001E36D2" w:rsidP="00CF0CA0">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60C86217" w14:textId="77777777" w:rsidR="001E36D2" w:rsidRPr="004E2A07" w:rsidRDefault="001E36D2" w:rsidP="00CF0CA0">
            <w:pPr>
              <w:tabs>
                <w:tab w:val="decimal" w:pos="381"/>
              </w:tabs>
              <w:jc w:val="left"/>
              <w:rPr>
                <w:b/>
                <w:sz w:val="18"/>
                <w:szCs w:val="18"/>
              </w:rPr>
            </w:pPr>
            <w:r w:rsidRPr="004E2A07">
              <w:rPr>
                <w:b/>
                <w:bCs/>
                <w:sz w:val="18"/>
                <w:szCs w:val="18"/>
              </w:rPr>
              <w:t xml:space="preserve">52.8 </w:t>
            </w:r>
          </w:p>
        </w:tc>
        <w:tc>
          <w:tcPr>
            <w:tcW w:w="1043" w:type="dxa"/>
            <w:tcBorders>
              <w:top w:val="single" w:sz="4" w:space="0" w:color="404040"/>
              <w:left w:val="single" w:sz="4" w:space="0" w:color="404040"/>
              <w:bottom w:val="nil"/>
              <w:right w:val="nil"/>
            </w:tcBorders>
            <w:shd w:val="clear" w:color="auto" w:fill="auto"/>
            <w:vAlign w:val="center"/>
          </w:tcPr>
          <w:p w14:paraId="0267F4E2" w14:textId="77777777" w:rsidR="001E36D2" w:rsidRPr="004E2A07" w:rsidRDefault="001E36D2" w:rsidP="00CF0CA0">
            <w:pPr>
              <w:tabs>
                <w:tab w:val="decimal" w:pos="409"/>
              </w:tabs>
              <w:jc w:val="left"/>
              <w:rPr>
                <w:b/>
                <w:sz w:val="18"/>
                <w:szCs w:val="18"/>
              </w:rPr>
            </w:pPr>
            <w:r w:rsidRPr="004E2A07">
              <w:rPr>
                <w:b/>
                <w:bCs/>
                <w:sz w:val="18"/>
                <w:szCs w:val="18"/>
              </w:rPr>
              <w:t>0.6</w:t>
            </w:r>
          </w:p>
        </w:tc>
        <w:tc>
          <w:tcPr>
            <w:tcW w:w="1043" w:type="dxa"/>
            <w:tcBorders>
              <w:top w:val="single" w:sz="4" w:space="0" w:color="404040"/>
              <w:left w:val="nil"/>
              <w:bottom w:val="nil"/>
              <w:right w:val="single" w:sz="4" w:space="0" w:color="404040"/>
            </w:tcBorders>
            <w:shd w:val="clear" w:color="auto" w:fill="auto"/>
            <w:vAlign w:val="center"/>
          </w:tcPr>
          <w:p w14:paraId="692A447C" w14:textId="77777777" w:rsidR="001E36D2" w:rsidRPr="004E2A07" w:rsidRDefault="001E36D2" w:rsidP="00CF0CA0">
            <w:pPr>
              <w:tabs>
                <w:tab w:val="decimal" w:pos="357"/>
              </w:tabs>
              <w:jc w:val="left"/>
              <w:rPr>
                <w:b/>
                <w:bCs/>
                <w:sz w:val="18"/>
                <w:szCs w:val="18"/>
              </w:rPr>
            </w:pPr>
            <w:r w:rsidRPr="004E2A07">
              <w:rPr>
                <w:b/>
                <w:bCs/>
                <w:sz w:val="18"/>
                <w:szCs w:val="18"/>
              </w:rPr>
              <w:t>2.7</w:t>
            </w:r>
          </w:p>
        </w:tc>
        <w:tc>
          <w:tcPr>
            <w:tcW w:w="557" w:type="dxa"/>
            <w:tcBorders>
              <w:top w:val="nil"/>
              <w:left w:val="single" w:sz="4" w:space="0" w:color="404040"/>
              <w:bottom w:val="nil"/>
              <w:right w:val="nil"/>
            </w:tcBorders>
            <w:shd w:val="clear" w:color="auto" w:fill="auto"/>
            <w:vAlign w:val="center"/>
          </w:tcPr>
          <w:p w14:paraId="159246B5" w14:textId="77777777" w:rsidR="001E36D2" w:rsidRPr="004E2A07" w:rsidRDefault="001E36D2" w:rsidP="00CF0CA0">
            <w:pPr>
              <w:jc w:val="right"/>
              <w:rPr>
                <w:b/>
                <w:sz w:val="18"/>
                <w:szCs w:val="18"/>
              </w:rPr>
            </w:pPr>
            <w:r w:rsidRPr="004E2A07">
              <w:rPr>
                <w:b/>
                <w:bCs/>
                <w:sz w:val="18"/>
                <w:szCs w:val="18"/>
              </w:rPr>
              <w:t>32</w:t>
            </w:r>
          </w:p>
        </w:tc>
        <w:tc>
          <w:tcPr>
            <w:tcW w:w="1249" w:type="dxa"/>
            <w:tcBorders>
              <w:top w:val="nil"/>
              <w:left w:val="nil"/>
              <w:bottom w:val="nil"/>
              <w:right w:val="single" w:sz="4" w:space="0" w:color="404040"/>
            </w:tcBorders>
            <w:shd w:val="clear" w:color="auto" w:fill="auto"/>
            <w:vAlign w:val="center"/>
          </w:tcPr>
          <w:p w14:paraId="27AF4953" w14:textId="77777777" w:rsidR="001E36D2" w:rsidRPr="00C245FA" w:rsidRDefault="001E36D2" w:rsidP="00CF0CA0">
            <w:pPr>
              <w:tabs>
                <w:tab w:val="decimal" w:pos="810"/>
              </w:tabs>
              <w:jc w:val="left"/>
              <w:rPr>
                <w:b/>
                <w:sz w:val="18"/>
                <w:szCs w:val="18"/>
              </w:rPr>
            </w:pPr>
            <w:r>
              <w:rPr>
                <w:b/>
                <w:bCs/>
                <w:color w:val="000000"/>
                <w:sz w:val="18"/>
                <w:szCs w:val="18"/>
              </w:rPr>
              <w:t>por arriba</w:t>
            </w:r>
          </w:p>
        </w:tc>
      </w:tr>
      <w:tr w:rsidR="001E36D2" w:rsidRPr="000A6510" w14:paraId="5F4CD4E5" w14:textId="77777777" w:rsidTr="00CF0CA0">
        <w:trPr>
          <w:jc w:val="center"/>
        </w:trPr>
        <w:tc>
          <w:tcPr>
            <w:tcW w:w="4420" w:type="dxa"/>
            <w:tcBorders>
              <w:top w:val="nil"/>
              <w:left w:val="single" w:sz="4" w:space="0" w:color="404040"/>
              <w:bottom w:val="nil"/>
              <w:right w:val="single" w:sz="4" w:space="0" w:color="404040"/>
            </w:tcBorders>
            <w:shd w:val="clear" w:color="auto" w:fill="auto"/>
            <w:vAlign w:val="bottom"/>
          </w:tcPr>
          <w:p w14:paraId="3950FF64" w14:textId="77777777" w:rsidR="001E36D2" w:rsidRPr="000A6510" w:rsidRDefault="001E36D2" w:rsidP="00CF0CA0">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73626FA6" w14:textId="77777777" w:rsidR="001E36D2" w:rsidRPr="004E2A07" w:rsidRDefault="001E36D2" w:rsidP="00CF0CA0">
            <w:pPr>
              <w:tabs>
                <w:tab w:val="decimal" w:pos="381"/>
              </w:tabs>
              <w:jc w:val="left"/>
              <w:rPr>
                <w:sz w:val="18"/>
                <w:szCs w:val="18"/>
                <w:lang w:val="es-MX" w:eastAsia="es-MX"/>
              </w:rPr>
            </w:pPr>
            <w:r w:rsidRPr="004E2A07">
              <w:rPr>
                <w:sz w:val="18"/>
                <w:szCs w:val="18"/>
              </w:rPr>
              <w:t xml:space="preserve">53.8 </w:t>
            </w:r>
          </w:p>
        </w:tc>
        <w:tc>
          <w:tcPr>
            <w:tcW w:w="1043" w:type="dxa"/>
            <w:tcBorders>
              <w:top w:val="nil"/>
              <w:left w:val="single" w:sz="4" w:space="0" w:color="404040"/>
              <w:bottom w:val="nil"/>
              <w:right w:val="nil"/>
            </w:tcBorders>
            <w:shd w:val="clear" w:color="auto" w:fill="auto"/>
            <w:vAlign w:val="center"/>
          </w:tcPr>
          <w:p w14:paraId="226228B8" w14:textId="77777777" w:rsidR="001E36D2" w:rsidRPr="004E2A07" w:rsidRDefault="001E36D2" w:rsidP="00CF0CA0">
            <w:pPr>
              <w:tabs>
                <w:tab w:val="decimal" w:pos="409"/>
              </w:tabs>
              <w:jc w:val="left"/>
              <w:rPr>
                <w:sz w:val="18"/>
                <w:szCs w:val="18"/>
              </w:rPr>
            </w:pPr>
            <w:r w:rsidRPr="004E2A07">
              <w:rPr>
                <w:sz w:val="18"/>
                <w:szCs w:val="18"/>
              </w:rPr>
              <w:t>0.4</w:t>
            </w:r>
          </w:p>
        </w:tc>
        <w:tc>
          <w:tcPr>
            <w:tcW w:w="1043" w:type="dxa"/>
            <w:tcBorders>
              <w:top w:val="nil"/>
              <w:left w:val="nil"/>
              <w:bottom w:val="nil"/>
              <w:right w:val="single" w:sz="4" w:space="0" w:color="404040"/>
            </w:tcBorders>
            <w:shd w:val="clear" w:color="auto" w:fill="auto"/>
            <w:vAlign w:val="center"/>
          </w:tcPr>
          <w:p w14:paraId="2AC0E699" w14:textId="77777777" w:rsidR="001E36D2" w:rsidRPr="004E2A07" w:rsidRDefault="001E36D2" w:rsidP="00CF0CA0">
            <w:pPr>
              <w:tabs>
                <w:tab w:val="decimal" w:pos="357"/>
              </w:tabs>
              <w:jc w:val="left"/>
              <w:rPr>
                <w:bCs/>
                <w:sz w:val="18"/>
                <w:szCs w:val="18"/>
              </w:rPr>
            </w:pPr>
            <w:r w:rsidRPr="004E2A07">
              <w:rPr>
                <w:sz w:val="18"/>
                <w:szCs w:val="18"/>
              </w:rPr>
              <w:t>-0.6</w:t>
            </w:r>
          </w:p>
        </w:tc>
        <w:tc>
          <w:tcPr>
            <w:tcW w:w="557" w:type="dxa"/>
            <w:tcBorders>
              <w:top w:val="nil"/>
              <w:left w:val="single" w:sz="4" w:space="0" w:color="404040"/>
              <w:bottom w:val="nil"/>
              <w:right w:val="nil"/>
            </w:tcBorders>
            <w:shd w:val="clear" w:color="auto" w:fill="auto"/>
            <w:vAlign w:val="center"/>
          </w:tcPr>
          <w:p w14:paraId="455B478F" w14:textId="77777777" w:rsidR="001E36D2" w:rsidRPr="004E2A07" w:rsidRDefault="001E36D2" w:rsidP="00CF0CA0">
            <w:pPr>
              <w:jc w:val="right"/>
              <w:rPr>
                <w:sz w:val="18"/>
                <w:szCs w:val="18"/>
              </w:rPr>
            </w:pPr>
            <w:r w:rsidRPr="004E2A07">
              <w:rPr>
                <w:sz w:val="18"/>
                <w:szCs w:val="18"/>
              </w:rPr>
              <w:t>32</w:t>
            </w:r>
          </w:p>
        </w:tc>
        <w:tc>
          <w:tcPr>
            <w:tcW w:w="1249" w:type="dxa"/>
            <w:tcBorders>
              <w:top w:val="nil"/>
              <w:left w:val="nil"/>
              <w:bottom w:val="nil"/>
              <w:right w:val="single" w:sz="4" w:space="0" w:color="404040"/>
            </w:tcBorders>
            <w:shd w:val="clear" w:color="auto" w:fill="auto"/>
            <w:vAlign w:val="center"/>
          </w:tcPr>
          <w:p w14:paraId="59D519D5" w14:textId="77777777" w:rsidR="001E36D2" w:rsidRPr="00C245FA" w:rsidRDefault="001E36D2" w:rsidP="00CF0CA0">
            <w:pPr>
              <w:tabs>
                <w:tab w:val="decimal" w:pos="810"/>
              </w:tabs>
              <w:jc w:val="left"/>
              <w:rPr>
                <w:sz w:val="18"/>
                <w:szCs w:val="18"/>
              </w:rPr>
            </w:pPr>
            <w:r>
              <w:rPr>
                <w:color w:val="000000"/>
                <w:sz w:val="18"/>
                <w:szCs w:val="18"/>
              </w:rPr>
              <w:t>por arriba</w:t>
            </w:r>
          </w:p>
        </w:tc>
      </w:tr>
      <w:tr w:rsidR="001E36D2" w:rsidRPr="000A6510" w14:paraId="253C669C" w14:textId="77777777" w:rsidTr="00CF0CA0">
        <w:trPr>
          <w:jc w:val="center"/>
        </w:trPr>
        <w:tc>
          <w:tcPr>
            <w:tcW w:w="4420" w:type="dxa"/>
            <w:tcBorders>
              <w:top w:val="nil"/>
              <w:left w:val="single" w:sz="4" w:space="0" w:color="404040"/>
              <w:bottom w:val="nil"/>
              <w:right w:val="single" w:sz="4" w:space="0" w:color="404040"/>
            </w:tcBorders>
            <w:shd w:val="clear" w:color="auto" w:fill="auto"/>
            <w:vAlign w:val="bottom"/>
          </w:tcPr>
          <w:p w14:paraId="21905133" w14:textId="77777777" w:rsidR="001E36D2" w:rsidRPr="000A6510" w:rsidRDefault="001E36D2" w:rsidP="00CF0CA0">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887DC9B" w14:textId="77777777" w:rsidR="001E36D2" w:rsidRPr="004E2A07" w:rsidRDefault="001E36D2" w:rsidP="00CF0CA0">
            <w:pPr>
              <w:tabs>
                <w:tab w:val="decimal" w:pos="381"/>
              </w:tabs>
              <w:jc w:val="left"/>
              <w:rPr>
                <w:sz w:val="18"/>
                <w:szCs w:val="18"/>
              </w:rPr>
            </w:pPr>
            <w:r w:rsidRPr="004E2A07">
              <w:rPr>
                <w:sz w:val="18"/>
                <w:szCs w:val="18"/>
              </w:rPr>
              <w:t xml:space="preserve">53.1 </w:t>
            </w:r>
          </w:p>
        </w:tc>
        <w:tc>
          <w:tcPr>
            <w:tcW w:w="1043" w:type="dxa"/>
            <w:tcBorders>
              <w:top w:val="nil"/>
              <w:left w:val="single" w:sz="4" w:space="0" w:color="404040"/>
              <w:bottom w:val="nil"/>
              <w:right w:val="nil"/>
            </w:tcBorders>
            <w:shd w:val="clear" w:color="auto" w:fill="auto"/>
            <w:vAlign w:val="center"/>
          </w:tcPr>
          <w:p w14:paraId="4F27004C" w14:textId="77777777" w:rsidR="001E36D2" w:rsidRPr="004E2A07" w:rsidRDefault="001E36D2" w:rsidP="00CF0CA0">
            <w:pPr>
              <w:tabs>
                <w:tab w:val="decimal" w:pos="409"/>
              </w:tabs>
              <w:jc w:val="left"/>
              <w:rPr>
                <w:sz w:val="18"/>
                <w:szCs w:val="18"/>
              </w:rPr>
            </w:pPr>
            <w:r w:rsidRPr="004E2A07">
              <w:rPr>
                <w:sz w:val="18"/>
                <w:szCs w:val="18"/>
              </w:rPr>
              <w:t>0.4</w:t>
            </w:r>
          </w:p>
        </w:tc>
        <w:tc>
          <w:tcPr>
            <w:tcW w:w="1043" w:type="dxa"/>
            <w:tcBorders>
              <w:top w:val="nil"/>
              <w:left w:val="nil"/>
              <w:bottom w:val="nil"/>
              <w:right w:val="single" w:sz="4" w:space="0" w:color="404040"/>
            </w:tcBorders>
            <w:shd w:val="clear" w:color="auto" w:fill="auto"/>
            <w:vAlign w:val="center"/>
          </w:tcPr>
          <w:p w14:paraId="26434338" w14:textId="77777777" w:rsidR="001E36D2" w:rsidRPr="004E2A07" w:rsidRDefault="001E36D2" w:rsidP="00CF0CA0">
            <w:pPr>
              <w:tabs>
                <w:tab w:val="decimal" w:pos="357"/>
              </w:tabs>
              <w:jc w:val="left"/>
              <w:rPr>
                <w:bCs/>
                <w:sz w:val="18"/>
                <w:szCs w:val="18"/>
              </w:rPr>
            </w:pPr>
            <w:r w:rsidRPr="004E2A07">
              <w:rPr>
                <w:sz w:val="18"/>
                <w:szCs w:val="18"/>
              </w:rPr>
              <w:t>11.4</w:t>
            </w:r>
          </w:p>
        </w:tc>
        <w:tc>
          <w:tcPr>
            <w:tcW w:w="557" w:type="dxa"/>
            <w:tcBorders>
              <w:top w:val="nil"/>
              <w:left w:val="single" w:sz="4" w:space="0" w:color="404040"/>
              <w:bottom w:val="nil"/>
              <w:right w:val="nil"/>
            </w:tcBorders>
            <w:shd w:val="clear" w:color="auto" w:fill="auto"/>
            <w:vAlign w:val="center"/>
          </w:tcPr>
          <w:p w14:paraId="7D768C7D" w14:textId="77777777" w:rsidR="001E36D2" w:rsidRPr="004E2A07" w:rsidRDefault="001E36D2" w:rsidP="00CF0CA0">
            <w:pPr>
              <w:jc w:val="right"/>
              <w:rPr>
                <w:sz w:val="18"/>
                <w:szCs w:val="18"/>
              </w:rPr>
            </w:pPr>
            <w:r w:rsidRPr="004E2A07">
              <w:rPr>
                <w:sz w:val="18"/>
                <w:szCs w:val="18"/>
              </w:rPr>
              <w:t>4</w:t>
            </w:r>
          </w:p>
        </w:tc>
        <w:tc>
          <w:tcPr>
            <w:tcW w:w="1249" w:type="dxa"/>
            <w:tcBorders>
              <w:top w:val="nil"/>
              <w:left w:val="nil"/>
              <w:bottom w:val="nil"/>
              <w:right w:val="single" w:sz="4" w:space="0" w:color="404040"/>
            </w:tcBorders>
            <w:shd w:val="clear" w:color="auto" w:fill="auto"/>
            <w:vAlign w:val="center"/>
          </w:tcPr>
          <w:p w14:paraId="47F88CBF" w14:textId="77777777" w:rsidR="001E36D2" w:rsidRPr="002B7915" w:rsidRDefault="001E36D2" w:rsidP="00CF0CA0">
            <w:pPr>
              <w:tabs>
                <w:tab w:val="decimal" w:pos="810"/>
              </w:tabs>
              <w:jc w:val="left"/>
              <w:rPr>
                <w:sz w:val="18"/>
                <w:szCs w:val="18"/>
              </w:rPr>
            </w:pPr>
            <w:r>
              <w:rPr>
                <w:color w:val="000000"/>
                <w:sz w:val="18"/>
                <w:szCs w:val="18"/>
              </w:rPr>
              <w:t>por arriba</w:t>
            </w:r>
          </w:p>
        </w:tc>
      </w:tr>
      <w:tr w:rsidR="001E36D2" w:rsidRPr="000A6510" w14:paraId="7364DE53" w14:textId="77777777" w:rsidTr="00CF0CA0">
        <w:trPr>
          <w:jc w:val="center"/>
        </w:trPr>
        <w:tc>
          <w:tcPr>
            <w:tcW w:w="4420" w:type="dxa"/>
            <w:tcBorders>
              <w:top w:val="nil"/>
              <w:left w:val="single" w:sz="4" w:space="0" w:color="404040"/>
              <w:bottom w:val="nil"/>
              <w:right w:val="single" w:sz="4" w:space="0" w:color="404040"/>
            </w:tcBorders>
            <w:shd w:val="clear" w:color="auto" w:fill="auto"/>
            <w:vAlign w:val="bottom"/>
          </w:tcPr>
          <w:p w14:paraId="193945BE" w14:textId="77777777" w:rsidR="001E36D2" w:rsidRPr="000A6510" w:rsidRDefault="001E36D2" w:rsidP="00CF0CA0">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4535400C" w14:textId="77777777" w:rsidR="001E36D2" w:rsidRPr="004E2A07" w:rsidRDefault="001E36D2" w:rsidP="00CF0CA0">
            <w:pPr>
              <w:tabs>
                <w:tab w:val="decimal" w:pos="381"/>
              </w:tabs>
              <w:jc w:val="left"/>
              <w:rPr>
                <w:sz w:val="18"/>
                <w:szCs w:val="18"/>
              </w:rPr>
            </w:pPr>
            <w:r w:rsidRPr="004E2A07">
              <w:rPr>
                <w:sz w:val="18"/>
                <w:szCs w:val="18"/>
              </w:rPr>
              <w:t xml:space="preserve">52.3 </w:t>
            </w:r>
          </w:p>
        </w:tc>
        <w:tc>
          <w:tcPr>
            <w:tcW w:w="1043" w:type="dxa"/>
            <w:tcBorders>
              <w:top w:val="nil"/>
              <w:left w:val="single" w:sz="4" w:space="0" w:color="404040"/>
              <w:bottom w:val="nil"/>
              <w:right w:val="nil"/>
            </w:tcBorders>
            <w:shd w:val="clear" w:color="auto" w:fill="auto"/>
            <w:vAlign w:val="center"/>
          </w:tcPr>
          <w:p w14:paraId="26E6E4C7" w14:textId="77777777" w:rsidR="001E36D2" w:rsidRPr="004E2A07" w:rsidRDefault="001E36D2" w:rsidP="00CF0CA0">
            <w:pPr>
              <w:tabs>
                <w:tab w:val="decimal" w:pos="409"/>
              </w:tabs>
              <w:jc w:val="left"/>
              <w:rPr>
                <w:sz w:val="18"/>
                <w:szCs w:val="18"/>
              </w:rPr>
            </w:pPr>
            <w:r w:rsidRPr="004E2A07">
              <w:rPr>
                <w:sz w:val="18"/>
                <w:szCs w:val="18"/>
              </w:rPr>
              <w:t>1.0</w:t>
            </w:r>
          </w:p>
        </w:tc>
        <w:tc>
          <w:tcPr>
            <w:tcW w:w="1043" w:type="dxa"/>
            <w:tcBorders>
              <w:top w:val="nil"/>
              <w:left w:val="nil"/>
              <w:bottom w:val="nil"/>
              <w:right w:val="single" w:sz="4" w:space="0" w:color="404040"/>
            </w:tcBorders>
            <w:shd w:val="clear" w:color="auto" w:fill="auto"/>
            <w:vAlign w:val="center"/>
          </w:tcPr>
          <w:p w14:paraId="02E366A9" w14:textId="77777777" w:rsidR="001E36D2" w:rsidRPr="004E2A07" w:rsidRDefault="001E36D2" w:rsidP="00CF0CA0">
            <w:pPr>
              <w:tabs>
                <w:tab w:val="decimal" w:pos="357"/>
              </w:tabs>
              <w:jc w:val="left"/>
              <w:rPr>
                <w:bCs/>
                <w:sz w:val="18"/>
                <w:szCs w:val="18"/>
              </w:rPr>
            </w:pPr>
            <w:r w:rsidRPr="004E2A07">
              <w:rPr>
                <w:sz w:val="18"/>
                <w:szCs w:val="18"/>
              </w:rPr>
              <w:t>0.0</w:t>
            </w:r>
          </w:p>
        </w:tc>
        <w:tc>
          <w:tcPr>
            <w:tcW w:w="557" w:type="dxa"/>
            <w:tcBorders>
              <w:top w:val="nil"/>
              <w:left w:val="single" w:sz="4" w:space="0" w:color="404040"/>
              <w:bottom w:val="nil"/>
              <w:right w:val="nil"/>
            </w:tcBorders>
            <w:shd w:val="clear" w:color="auto" w:fill="auto"/>
            <w:vAlign w:val="center"/>
          </w:tcPr>
          <w:p w14:paraId="68E615FE" w14:textId="77777777" w:rsidR="001E36D2" w:rsidRPr="004E2A07" w:rsidRDefault="001E36D2" w:rsidP="00CF0CA0">
            <w:pPr>
              <w:jc w:val="right"/>
              <w:rPr>
                <w:sz w:val="18"/>
                <w:szCs w:val="18"/>
              </w:rPr>
            </w:pPr>
            <w:r w:rsidRPr="004E2A07">
              <w:rPr>
                <w:sz w:val="18"/>
                <w:szCs w:val="18"/>
              </w:rPr>
              <w:t>32</w:t>
            </w:r>
          </w:p>
        </w:tc>
        <w:tc>
          <w:tcPr>
            <w:tcW w:w="1249" w:type="dxa"/>
            <w:tcBorders>
              <w:top w:val="nil"/>
              <w:left w:val="nil"/>
              <w:bottom w:val="nil"/>
              <w:right w:val="single" w:sz="4" w:space="0" w:color="404040"/>
            </w:tcBorders>
            <w:shd w:val="clear" w:color="auto" w:fill="auto"/>
            <w:vAlign w:val="center"/>
          </w:tcPr>
          <w:p w14:paraId="5DE69EBF" w14:textId="77777777" w:rsidR="001E36D2" w:rsidRPr="002B7915" w:rsidRDefault="001E36D2" w:rsidP="00CF0CA0">
            <w:pPr>
              <w:tabs>
                <w:tab w:val="decimal" w:pos="810"/>
              </w:tabs>
              <w:jc w:val="left"/>
              <w:rPr>
                <w:sz w:val="18"/>
                <w:szCs w:val="18"/>
              </w:rPr>
            </w:pPr>
            <w:r>
              <w:rPr>
                <w:color w:val="000000"/>
                <w:sz w:val="18"/>
                <w:szCs w:val="18"/>
              </w:rPr>
              <w:t>p</w:t>
            </w:r>
            <w:r w:rsidRPr="002B7915">
              <w:rPr>
                <w:color w:val="000000"/>
                <w:sz w:val="18"/>
                <w:szCs w:val="18"/>
              </w:rPr>
              <w:t>or arriba</w:t>
            </w:r>
          </w:p>
        </w:tc>
      </w:tr>
      <w:tr w:rsidR="001E36D2" w:rsidRPr="000A6510" w14:paraId="5D603F3B" w14:textId="77777777" w:rsidTr="00CF0CA0">
        <w:trPr>
          <w:jc w:val="center"/>
        </w:trPr>
        <w:tc>
          <w:tcPr>
            <w:tcW w:w="4420" w:type="dxa"/>
            <w:tcBorders>
              <w:top w:val="nil"/>
              <w:left w:val="single" w:sz="4" w:space="0" w:color="404040"/>
              <w:bottom w:val="nil"/>
              <w:right w:val="single" w:sz="4" w:space="0" w:color="404040"/>
            </w:tcBorders>
            <w:shd w:val="clear" w:color="auto" w:fill="auto"/>
            <w:vAlign w:val="bottom"/>
          </w:tcPr>
          <w:p w14:paraId="7FB2074A" w14:textId="77777777" w:rsidR="001E36D2" w:rsidRPr="000A6510" w:rsidRDefault="001E36D2" w:rsidP="00CF0CA0">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BCEACDF" w14:textId="77777777" w:rsidR="001E36D2" w:rsidRPr="004E2A07" w:rsidRDefault="001E36D2" w:rsidP="00CF0CA0">
            <w:pPr>
              <w:tabs>
                <w:tab w:val="decimal" w:pos="381"/>
              </w:tabs>
              <w:jc w:val="left"/>
              <w:rPr>
                <w:sz w:val="18"/>
                <w:szCs w:val="18"/>
              </w:rPr>
            </w:pPr>
            <w:r w:rsidRPr="004E2A07">
              <w:rPr>
                <w:sz w:val="18"/>
                <w:szCs w:val="18"/>
              </w:rPr>
              <w:t xml:space="preserve">50.7 </w:t>
            </w:r>
          </w:p>
        </w:tc>
        <w:tc>
          <w:tcPr>
            <w:tcW w:w="1043" w:type="dxa"/>
            <w:tcBorders>
              <w:top w:val="nil"/>
              <w:left w:val="single" w:sz="4" w:space="0" w:color="404040"/>
              <w:bottom w:val="nil"/>
              <w:right w:val="nil"/>
            </w:tcBorders>
            <w:shd w:val="clear" w:color="auto" w:fill="auto"/>
            <w:vAlign w:val="center"/>
          </w:tcPr>
          <w:p w14:paraId="72CAE51D" w14:textId="77777777" w:rsidR="001E36D2" w:rsidRPr="004E2A07" w:rsidRDefault="001E36D2" w:rsidP="00CF0CA0">
            <w:pPr>
              <w:tabs>
                <w:tab w:val="decimal" w:pos="409"/>
              </w:tabs>
              <w:jc w:val="left"/>
              <w:rPr>
                <w:sz w:val="18"/>
                <w:szCs w:val="18"/>
              </w:rPr>
            </w:pPr>
            <w:r w:rsidRPr="004E2A07">
              <w:rPr>
                <w:sz w:val="18"/>
                <w:szCs w:val="18"/>
              </w:rPr>
              <w:t>0.1</w:t>
            </w:r>
          </w:p>
        </w:tc>
        <w:tc>
          <w:tcPr>
            <w:tcW w:w="1043" w:type="dxa"/>
            <w:tcBorders>
              <w:top w:val="nil"/>
              <w:left w:val="nil"/>
              <w:bottom w:val="nil"/>
              <w:right w:val="single" w:sz="4" w:space="0" w:color="404040"/>
            </w:tcBorders>
            <w:shd w:val="clear" w:color="auto" w:fill="auto"/>
            <w:vAlign w:val="center"/>
          </w:tcPr>
          <w:p w14:paraId="6CC47E59" w14:textId="77777777" w:rsidR="001E36D2" w:rsidRPr="004E2A07" w:rsidRDefault="001E36D2" w:rsidP="00CF0CA0">
            <w:pPr>
              <w:tabs>
                <w:tab w:val="decimal" w:pos="357"/>
              </w:tabs>
              <w:jc w:val="left"/>
              <w:rPr>
                <w:bCs/>
                <w:sz w:val="18"/>
                <w:szCs w:val="18"/>
              </w:rPr>
            </w:pPr>
            <w:r w:rsidRPr="004E2A07">
              <w:rPr>
                <w:sz w:val="18"/>
                <w:szCs w:val="18"/>
              </w:rPr>
              <w:t>-0.8</w:t>
            </w:r>
          </w:p>
        </w:tc>
        <w:tc>
          <w:tcPr>
            <w:tcW w:w="557" w:type="dxa"/>
            <w:tcBorders>
              <w:top w:val="nil"/>
              <w:left w:val="single" w:sz="4" w:space="0" w:color="404040"/>
              <w:bottom w:val="nil"/>
              <w:right w:val="nil"/>
            </w:tcBorders>
            <w:shd w:val="clear" w:color="auto" w:fill="auto"/>
            <w:vAlign w:val="center"/>
          </w:tcPr>
          <w:p w14:paraId="492FFD10" w14:textId="77777777" w:rsidR="001E36D2" w:rsidRPr="004E2A07" w:rsidRDefault="001E36D2" w:rsidP="00CF0CA0">
            <w:pPr>
              <w:jc w:val="right"/>
              <w:rPr>
                <w:sz w:val="18"/>
                <w:szCs w:val="18"/>
              </w:rPr>
            </w:pPr>
            <w:r w:rsidRPr="004E2A07">
              <w:rPr>
                <w:sz w:val="18"/>
                <w:szCs w:val="18"/>
              </w:rPr>
              <w:t>8</w:t>
            </w:r>
          </w:p>
        </w:tc>
        <w:tc>
          <w:tcPr>
            <w:tcW w:w="1249" w:type="dxa"/>
            <w:tcBorders>
              <w:top w:val="nil"/>
              <w:left w:val="nil"/>
              <w:bottom w:val="nil"/>
              <w:right w:val="single" w:sz="4" w:space="0" w:color="404040"/>
            </w:tcBorders>
            <w:shd w:val="clear" w:color="auto" w:fill="auto"/>
            <w:vAlign w:val="center"/>
          </w:tcPr>
          <w:p w14:paraId="510C3BD5" w14:textId="77777777" w:rsidR="001E36D2" w:rsidRPr="00C245FA" w:rsidRDefault="001E36D2" w:rsidP="00CF0CA0">
            <w:pPr>
              <w:tabs>
                <w:tab w:val="decimal" w:pos="810"/>
              </w:tabs>
              <w:jc w:val="left"/>
              <w:rPr>
                <w:sz w:val="18"/>
                <w:szCs w:val="18"/>
              </w:rPr>
            </w:pPr>
            <w:r>
              <w:rPr>
                <w:color w:val="000000"/>
                <w:sz w:val="18"/>
                <w:szCs w:val="18"/>
              </w:rPr>
              <w:t>por arriba</w:t>
            </w:r>
          </w:p>
        </w:tc>
      </w:tr>
      <w:tr w:rsidR="001E36D2" w:rsidRPr="000A6510" w14:paraId="60F209B2" w14:textId="77777777" w:rsidTr="00CF0CA0">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066A701" w14:textId="77777777" w:rsidR="001E36D2" w:rsidRPr="000A6510" w:rsidRDefault="001E36D2" w:rsidP="00CF0CA0">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D21B2C6" w14:textId="77777777" w:rsidR="001E36D2" w:rsidRPr="004E2A07" w:rsidRDefault="001E36D2" w:rsidP="00CF0CA0">
            <w:pPr>
              <w:tabs>
                <w:tab w:val="decimal" w:pos="381"/>
              </w:tabs>
              <w:jc w:val="left"/>
              <w:rPr>
                <w:sz w:val="18"/>
                <w:szCs w:val="18"/>
              </w:rPr>
            </w:pPr>
            <w:r w:rsidRPr="004E2A07">
              <w:rPr>
                <w:sz w:val="18"/>
                <w:szCs w:val="18"/>
              </w:rPr>
              <w:t xml:space="preserve">54.3 </w:t>
            </w:r>
          </w:p>
        </w:tc>
        <w:tc>
          <w:tcPr>
            <w:tcW w:w="1043" w:type="dxa"/>
            <w:tcBorders>
              <w:top w:val="nil"/>
              <w:left w:val="single" w:sz="4" w:space="0" w:color="404040"/>
              <w:bottom w:val="single" w:sz="4" w:space="0" w:color="404040"/>
              <w:right w:val="nil"/>
            </w:tcBorders>
            <w:shd w:val="clear" w:color="auto" w:fill="auto"/>
            <w:vAlign w:val="center"/>
          </w:tcPr>
          <w:p w14:paraId="60D40E80" w14:textId="77777777" w:rsidR="001E36D2" w:rsidRPr="004E2A07" w:rsidRDefault="001E36D2" w:rsidP="00CF0CA0">
            <w:pPr>
              <w:tabs>
                <w:tab w:val="decimal" w:pos="409"/>
              </w:tabs>
              <w:jc w:val="left"/>
              <w:rPr>
                <w:sz w:val="18"/>
                <w:szCs w:val="18"/>
              </w:rPr>
            </w:pPr>
            <w:r w:rsidRPr="004E2A07">
              <w:rPr>
                <w:sz w:val="18"/>
                <w:szCs w:val="18"/>
              </w:rPr>
              <w:t>0.9</w:t>
            </w:r>
          </w:p>
        </w:tc>
        <w:tc>
          <w:tcPr>
            <w:tcW w:w="1043" w:type="dxa"/>
            <w:tcBorders>
              <w:top w:val="nil"/>
              <w:left w:val="nil"/>
              <w:bottom w:val="single" w:sz="4" w:space="0" w:color="404040"/>
              <w:right w:val="single" w:sz="4" w:space="0" w:color="404040"/>
            </w:tcBorders>
            <w:shd w:val="clear" w:color="auto" w:fill="auto"/>
            <w:vAlign w:val="center"/>
          </w:tcPr>
          <w:p w14:paraId="423D23A9" w14:textId="77777777" w:rsidR="001E36D2" w:rsidRPr="004E2A07" w:rsidRDefault="001E36D2" w:rsidP="00CF0CA0">
            <w:pPr>
              <w:tabs>
                <w:tab w:val="decimal" w:pos="357"/>
              </w:tabs>
              <w:jc w:val="left"/>
              <w:rPr>
                <w:bCs/>
                <w:sz w:val="18"/>
                <w:szCs w:val="18"/>
              </w:rPr>
            </w:pPr>
            <w:r w:rsidRPr="004E2A07">
              <w:rPr>
                <w:sz w:val="18"/>
                <w:szCs w:val="18"/>
              </w:rPr>
              <w:t>2.6</w:t>
            </w:r>
          </w:p>
        </w:tc>
        <w:tc>
          <w:tcPr>
            <w:tcW w:w="557" w:type="dxa"/>
            <w:tcBorders>
              <w:top w:val="nil"/>
              <w:left w:val="single" w:sz="4" w:space="0" w:color="404040"/>
              <w:bottom w:val="single" w:sz="4" w:space="0" w:color="auto"/>
              <w:right w:val="nil"/>
            </w:tcBorders>
            <w:shd w:val="clear" w:color="auto" w:fill="auto"/>
            <w:vAlign w:val="center"/>
          </w:tcPr>
          <w:p w14:paraId="3E8DD818" w14:textId="77777777" w:rsidR="001E36D2" w:rsidRPr="004E2A07" w:rsidRDefault="001E36D2" w:rsidP="00CF0CA0">
            <w:pPr>
              <w:jc w:val="right"/>
              <w:rPr>
                <w:sz w:val="18"/>
                <w:szCs w:val="18"/>
              </w:rPr>
            </w:pPr>
            <w:r w:rsidRPr="004E2A07">
              <w:rPr>
                <w:sz w:val="18"/>
                <w:szCs w:val="18"/>
              </w:rPr>
              <w:t>22</w:t>
            </w:r>
          </w:p>
        </w:tc>
        <w:tc>
          <w:tcPr>
            <w:tcW w:w="1249" w:type="dxa"/>
            <w:tcBorders>
              <w:top w:val="nil"/>
              <w:left w:val="nil"/>
              <w:bottom w:val="single" w:sz="4" w:space="0" w:color="auto"/>
              <w:right w:val="single" w:sz="4" w:space="0" w:color="404040"/>
            </w:tcBorders>
            <w:shd w:val="clear" w:color="auto" w:fill="auto"/>
            <w:vAlign w:val="center"/>
          </w:tcPr>
          <w:p w14:paraId="62A7F86B" w14:textId="77777777" w:rsidR="001E36D2" w:rsidRPr="00C245FA" w:rsidRDefault="001E36D2" w:rsidP="00CF0CA0">
            <w:pPr>
              <w:tabs>
                <w:tab w:val="decimal" w:pos="810"/>
              </w:tabs>
              <w:jc w:val="left"/>
              <w:rPr>
                <w:sz w:val="18"/>
                <w:szCs w:val="18"/>
              </w:rPr>
            </w:pPr>
            <w:r>
              <w:rPr>
                <w:color w:val="000000"/>
                <w:sz w:val="18"/>
                <w:szCs w:val="18"/>
              </w:rPr>
              <w:t>por arriba</w:t>
            </w:r>
          </w:p>
        </w:tc>
      </w:tr>
    </w:tbl>
    <w:p w14:paraId="406ACFED" w14:textId="77777777" w:rsidR="001E36D2" w:rsidRPr="00294891" w:rsidRDefault="001E36D2" w:rsidP="004D6300">
      <w:pPr>
        <w:widowControl w:val="0"/>
        <w:spacing w:before="20"/>
        <w:ind w:left="709" w:right="125"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5CB77DE7" w14:textId="77777777" w:rsidR="001E36D2" w:rsidRPr="00294891" w:rsidRDefault="001E36D2" w:rsidP="004D6300">
      <w:pPr>
        <w:widowControl w:val="0"/>
        <w:ind w:left="709"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665F9B6" w14:textId="77777777" w:rsidR="001E36D2" w:rsidRPr="00294891" w:rsidRDefault="001E36D2" w:rsidP="004D6300">
      <w:pPr>
        <w:widowControl w:val="0"/>
        <w:spacing w:before="20"/>
        <w:ind w:left="709" w:right="25" w:hanging="527"/>
        <w:rPr>
          <w:sz w:val="16"/>
          <w:szCs w:val="14"/>
          <w:lang w:val="es-MX"/>
        </w:rPr>
      </w:pPr>
      <w:r w:rsidRPr="00294891">
        <w:rPr>
          <w:sz w:val="16"/>
          <w:szCs w:val="14"/>
          <w:lang w:val="es-MX"/>
        </w:rPr>
        <w:t>Fuente:</w:t>
      </w:r>
      <w:r>
        <w:rPr>
          <w:sz w:val="16"/>
          <w:szCs w:val="14"/>
          <w:lang w:val="es-MX"/>
        </w:rPr>
        <w:t xml:space="preserve"> INEGI</w:t>
      </w:r>
    </w:p>
    <w:p w14:paraId="6AA61E54" w14:textId="78B5B748" w:rsidR="002476DD" w:rsidRDefault="002476DD" w:rsidP="002476DD">
      <w:pPr>
        <w:ind w:right="51"/>
        <w:rPr>
          <w:spacing w:val="6"/>
        </w:rPr>
      </w:pPr>
    </w:p>
    <w:p w14:paraId="6E453CBD" w14:textId="77777777" w:rsidR="00A5706D" w:rsidRDefault="00A5706D" w:rsidP="002476DD">
      <w:pPr>
        <w:ind w:right="51"/>
        <w:rPr>
          <w:spacing w:val="6"/>
        </w:rPr>
      </w:pPr>
    </w:p>
    <w:p w14:paraId="53EC0A6F" w14:textId="57D6E899" w:rsidR="009E3120" w:rsidRPr="002476DD" w:rsidRDefault="0027370D" w:rsidP="00A5706D">
      <w:pPr>
        <w:ind w:left="-284" w:right="-233"/>
        <w:rPr>
          <w:spacing w:val="6"/>
        </w:rPr>
      </w:pPr>
      <w:r w:rsidRPr="002476DD">
        <w:rPr>
          <w:spacing w:val="6"/>
        </w:rPr>
        <w:t>C</w:t>
      </w:r>
      <w:r w:rsidR="009E3120" w:rsidRPr="002476DD">
        <w:rPr>
          <w:spacing w:val="6"/>
        </w:rPr>
        <w:t>on cifras ajust</w:t>
      </w:r>
      <w:r w:rsidR="00294891" w:rsidRPr="002476DD">
        <w:rPr>
          <w:spacing w:val="6"/>
        </w:rPr>
        <w:t>adas por</w:t>
      </w:r>
      <w:r w:rsidR="009E3120" w:rsidRPr="002476DD">
        <w:rPr>
          <w:spacing w:val="6"/>
        </w:rPr>
        <w:t xml:space="preserve"> estacional</w:t>
      </w:r>
      <w:r w:rsidR="00294891" w:rsidRPr="002476DD">
        <w:rPr>
          <w:spacing w:val="6"/>
        </w:rPr>
        <w:t>idad,</w:t>
      </w:r>
      <w:r w:rsidR="009E3120" w:rsidRPr="002476DD">
        <w:rPr>
          <w:spacing w:val="6"/>
        </w:rPr>
        <w:t xml:space="preserve"> el IAT de Servicios </w:t>
      </w:r>
      <w:r w:rsidR="00C469E9" w:rsidRPr="002476DD">
        <w:rPr>
          <w:spacing w:val="6"/>
        </w:rPr>
        <w:t>p</w:t>
      </w:r>
      <w:r w:rsidR="009E3120" w:rsidRPr="002476DD">
        <w:rPr>
          <w:spacing w:val="6"/>
        </w:rPr>
        <w:t>rivados</w:t>
      </w:r>
      <w:r w:rsidR="008E3C5E" w:rsidRPr="002476DD">
        <w:rPr>
          <w:spacing w:val="6"/>
        </w:rPr>
        <w:t xml:space="preserve"> no </w:t>
      </w:r>
      <w:r w:rsidR="00C469E9" w:rsidRPr="002476DD">
        <w:rPr>
          <w:spacing w:val="6"/>
        </w:rPr>
        <w:t>f</w:t>
      </w:r>
      <w:r w:rsidR="002B24E2" w:rsidRPr="002476DD">
        <w:rPr>
          <w:spacing w:val="6"/>
        </w:rPr>
        <w:t>inancieros se ubicó en 48.2</w:t>
      </w:r>
      <w:r w:rsidR="009E3120" w:rsidRPr="002476DD">
        <w:rPr>
          <w:spacing w:val="6"/>
        </w:rPr>
        <w:t xml:space="preserve"> </w:t>
      </w:r>
      <w:r w:rsidR="00136509" w:rsidRPr="002476DD">
        <w:rPr>
          <w:spacing w:val="6"/>
        </w:rPr>
        <w:t xml:space="preserve">puntos </w:t>
      </w:r>
      <w:r w:rsidR="00B45B99" w:rsidRPr="002476DD">
        <w:rPr>
          <w:spacing w:val="6"/>
        </w:rPr>
        <w:t xml:space="preserve">en </w:t>
      </w:r>
      <w:r w:rsidR="00B45B99" w:rsidRPr="002476DD">
        <w:t>enero</w:t>
      </w:r>
      <w:r w:rsidR="0042325D" w:rsidRPr="002476DD">
        <w:t xml:space="preserve"> pasado</w:t>
      </w:r>
      <w:r w:rsidR="002B24E2" w:rsidRPr="002476DD">
        <w:t>:</w:t>
      </w:r>
      <w:r w:rsidR="002B24E2" w:rsidRPr="002476DD">
        <w:rPr>
          <w:spacing w:val="6"/>
        </w:rPr>
        <w:t xml:space="preserve"> cayó 4.3</w:t>
      </w:r>
      <w:r w:rsidR="001C18B4" w:rsidRPr="002476DD">
        <w:rPr>
          <w:spacing w:val="6"/>
        </w:rPr>
        <w:t xml:space="preserve"> puntos en el lapso de un </w:t>
      </w:r>
      <w:r w:rsidR="0042325D" w:rsidRPr="002476DD">
        <w:rPr>
          <w:spacing w:val="6"/>
        </w:rPr>
        <w:t>me</w:t>
      </w:r>
      <w:r w:rsidR="001C18B4" w:rsidRPr="002476DD">
        <w:rPr>
          <w:spacing w:val="6"/>
        </w:rPr>
        <w:t>s</w:t>
      </w:r>
      <w:r w:rsidR="0042325D" w:rsidRPr="002476DD">
        <w:rPr>
          <w:spacing w:val="6"/>
        </w:rPr>
        <w:t>.</w:t>
      </w:r>
    </w:p>
    <w:p w14:paraId="7C784DF7" w14:textId="77777777" w:rsidR="001E36D2" w:rsidRDefault="001E36D2" w:rsidP="002476DD">
      <w:pPr>
        <w:ind w:right="51"/>
        <w:rPr>
          <w:b/>
          <w:spacing w:val="6"/>
          <w:sz w:val="22"/>
          <w:szCs w:val="22"/>
        </w:rPr>
      </w:pPr>
    </w:p>
    <w:p w14:paraId="1560FCA5" w14:textId="77777777" w:rsidR="001E36D2" w:rsidRPr="00200988" w:rsidRDefault="001E36D2" w:rsidP="001E36D2">
      <w:pPr>
        <w:keepNext/>
        <w:keepLines/>
        <w:widowControl w:val="0"/>
        <w:jc w:val="center"/>
        <w:outlineLvl w:val="0"/>
        <w:rPr>
          <w:b/>
          <w:smallCaps/>
          <w:sz w:val="22"/>
          <w:lang w:val="es-MX"/>
        </w:rPr>
      </w:pPr>
      <w:r w:rsidRPr="00200988">
        <w:rPr>
          <w:b/>
          <w:smallCaps/>
          <w:sz w:val="22"/>
          <w:lang w:val="es-MX"/>
        </w:rPr>
        <w:t xml:space="preserve">IAT y Expectativas empresariales de </w:t>
      </w:r>
      <w:r>
        <w:rPr>
          <w:b/>
          <w:smallCaps/>
          <w:sz w:val="22"/>
          <w:lang w:val="es-MX"/>
        </w:rPr>
        <w:t>S</w:t>
      </w:r>
      <w:r w:rsidRPr="00200988">
        <w:rPr>
          <w:b/>
          <w:smallCaps/>
          <w:sz w:val="22"/>
          <w:lang w:val="es-MX"/>
        </w:rPr>
        <w:t>ervicios privados no financieros</w:t>
      </w:r>
    </w:p>
    <w:p w14:paraId="44C8F4FF" w14:textId="77777777" w:rsidR="001E36D2" w:rsidRPr="00294891" w:rsidRDefault="001E36D2" w:rsidP="001E36D2">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1E36D2" w:rsidRPr="00294891" w14:paraId="014DB93D" w14:textId="77777777" w:rsidTr="00CF0CA0">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6C6BB72C" w14:textId="77777777" w:rsidR="001E36D2" w:rsidRPr="00294891" w:rsidRDefault="001E36D2" w:rsidP="00CF0CA0">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B5EF955" w14:textId="77777777" w:rsidR="001E36D2" w:rsidRPr="00294891" w:rsidRDefault="001E36D2" w:rsidP="00CF0CA0">
            <w:pPr>
              <w:ind w:left="-108" w:right="-82"/>
              <w:jc w:val="center"/>
              <w:rPr>
                <w:spacing w:val="-4"/>
                <w:sz w:val="18"/>
                <w:szCs w:val="18"/>
              </w:rPr>
            </w:pPr>
            <w:r>
              <w:rPr>
                <w:spacing w:val="-4"/>
                <w:sz w:val="18"/>
                <w:szCs w:val="18"/>
              </w:rPr>
              <w:t>Enero</w:t>
            </w:r>
            <w:r w:rsidRPr="00294891">
              <w:rPr>
                <w:spacing w:val="-4"/>
                <w:sz w:val="18"/>
                <w:szCs w:val="18"/>
              </w:rPr>
              <w:br/>
              <w:t>de 202</w:t>
            </w:r>
            <w:r>
              <w:rPr>
                <w:spacing w:val="-4"/>
                <w:sz w:val="18"/>
                <w:szCs w:val="18"/>
              </w:rPr>
              <w:t>3</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59036E1" w14:textId="77777777" w:rsidR="001E36D2" w:rsidRPr="00294891" w:rsidRDefault="001E36D2" w:rsidP="00CF0CA0">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0896191A" w14:textId="77777777" w:rsidR="001E36D2" w:rsidRPr="00294891" w:rsidRDefault="001E36D2" w:rsidP="00CF0CA0">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1E36D2" w:rsidRPr="00294891" w14:paraId="28D2C2CE" w14:textId="77777777" w:rsidTr="00CF0CA0">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DC814E1" w14:textId="77777777" w:rsidR="001E36D2" w:rsidRPr="00294891" w:rsidRDefault="001E36D2" w:rsidP="00CF0CA0">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FD5CCAA" w14:textId="77777777" w:rsidR="001E36D2" w:rsidRPr="00294891" w:rsidRDefault="001E36D2" w:rsidP="00CF0CA0">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8195B54" w14:textId="77777777" w:rsidR="001E36D2" w:rsidRPr="00294891" w:rsidRDefault="001E36D2" w:rsidP="00CF0CA0">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FD1853D" w14:textId="77777777" w:rsidR="001E36D2" w:rsidRPr="00294891" w:rsidRDefault="001E36D2" w:rsidP="00CF0CA0">
            <w:pPr>
              <w:ind w:left="-106" w:right="-95"/>
              <w:jc w:val="center"/>
              <w:rPr>
                <w:spacing w:val="-4"/>
                <w:sz w:val="18"/>
                <w:szCs w:val="18"/>
              </w:rPr>
            </w:pPr>
            <w:r w:rsidRPr="000A6510">
              <w:rPr>
                <w:spacing w:val="-4"/>
                <w:sz w:val="18"/>
                <w:szCs w:val="18"/>
              </w:rPr>
              <w:t>Mismo mes de</w:t>
            </w:r>
            <w:r>
              <w:rPr>
                <w:spacing w:val="-4"/>
                <w:sz w:val="18"/>
                <w:szCs w:val="18"/>
              </w:rPr>
              <w:t xml:space="preserve"> 2022</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13F13D8B" w14:textId="77777777" w:rsidR="001E36D2" w:rsidRPr="00294891" w:rsidRDefault="001E36D2" w:rsidP="00CF0CA0">
            <w:pPr>
              <w:tabs>
                <w:tab w:val="center" w:pos="3348"/>
              </w:tabs>
              <w:ind w:left="-84" w:right="-99"/>
              <w:jc w:val="center"/>
              <w:rPr>
                <w:sz w:val="18"/>
                <w:szCs w:val="18"/>
              </w:rPr>
            </w:pPr>
          </w:p>
        </w:tc>
      </w:tr>
      <w:tr w:rsidR="001E36D2" w:rsidRPr="00294891" w14:paraId="5DE84C87" w14:textId="77777777" w:rsidTr="00CF0CA0">
        <w:trPr>
          <w:jc w:val="center"/>
        </w:trPr>
        <w:tc>
          <w:tcPr>
            <w:tcW w:w="4420" w:type="dxa"/>
            <w:tcBorders>
              <w:top w:val="nil"/>
              <w:left w:val="single" w:sz="4" w:space="0" w:color="404040"/>
              <w:bottom w:val="nil"/>
              <w:right w:val="single" w:sz="4" w:space="0" w:color="404040"/>
            </w:tcBorders>
            <w:shd w:val="clear" w:color="auto" w:fill="auto"/>
            <w:vAlign w:val="center"/>
          </w:tcPr>
          <w:p w14:paraId="3888335A" w14:textId="77777777" w:rsidR="001E36D2" w:rsidRPr="00294891" w:rsidRDefault="001E36D2" w:rsidP="00CF0CA0">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r w:rsidRPr="00294891">
              <w:rPr>
                <w:b/>
                <w:sz w:val="18"/>
                <w:szCs w:val="18"/>
                <w:lang w:val="es-MX"/>
              </w:rPr>
              <w:t xml:space="preserve">Servicios </w:t>
            </w:r>
            <w:r>
              <w:rPr>
                <w:b/>
                <w:sz w:val="18"/>
                <w:szCs w:val="18"/>
                <w:lang w:val="es-MX"/>
              </w:rPr>
              <w:t>p</w:t>
            </w:r>
            <w:r w:rsidRPr="00294891">
              <w:rPr>
                <w:b/>
                <w:sz w:val="18"/>
                <w:szCs w:val="18"/>
                <w:lang w:val="es-MX"/>
              </w:rPr>
              <w:t xml:space="preserve">rivados no </w:t>
            </w:r>
            <w:r>
              <w:rPr>
                <w:b/>
                <w:sz w:val="18"/>
                <w:szCs w:val="18"/>
                <w:lang w:val="es-MX"/>
              </w:rPr>
              <w:t>f</w:t>
            </w:r>
            <w:r w:rsidRPr="00294891">
              <w:rPr>
                <w:b/>
                <w:sz w:val="18"/>
                <w:szCs w:val="18"/>
                <w:lang w:val="es-MX"/>
              </w:rPr>
              <w:t>inancieros</w:t>
            </w:r>
          </w:p>
        </w:tc>
        <w:tc>
          <w:tcPr>
            <w:tcW w:w="992" w:type="dxa"/>
            <w:tcBorders>
              <w:top w:val="nil"/>
              <w:left w:val="single" w:sz="4" w:space="0" w:color="404040"/>
              <w:bottom w:val="nil"/>
              <w:right w:val="single" w:sz="4" w:space="0" w:color="404040"/>
            </w:tcBorders>
            <w:shd w:val="clear" w:color="auto" w:fill="auto"/>
            <w:vAlign w:val="center"/>
          </w:tcPr>
          <w:p w14:paraId="5C26C75B" w14:textId="77777777" w:rsidR="001E36D2" w:rsidRPr="00971FD5" w:rsidRDefault="001E36D2" w:rsidP="00CF0CA0">
            <w:pPr>
              <w:tabs>
                <w:tab w:val="decimal" w:pos="381"/>
              </w:tabs>
              <w:jc w:val="left"/>
              <w:rPr>
                <w:b/>
                <w:sz w:val="18"/>
                <w:szCs w:val="18"/>
              </w:rPr>
            </w:pPr>
            <w:r w:rsidRPr="00971FD5">
              <w:rPr>
                <w:b/>
                <w:bCs/>
                <w:sz w:val="18"/>
                <w:szCs w:val="18"/>
              </w:rPr>
              <w:t xml:space="preserve">48.2 </w:t>
            </w:r>
          </w:p>
        </w:tc>
        <w:tc>
          <w:tcPr>
            <w:tcW w:w="1043" w:type="dxa"/>
            <w:tcBorders>
              <w:top w:val="single" w:sz="4" w:space="0" w:color="404040"/>
              <w:left w:val="single" w:sz="4" w:space="0" w:color="404040"/>
              <w:bottom w:val="nil"/>
              <w:right w:val="nil"/>
            </w:tcBorders>
            <w:shd w:val="clear" w:color="auto" w:fill="auto"/>
            <w:vAlign w:val="center"/>
          </w:tcPr>
          <w:p w14:paraId="56BAC8B9" w14:textId="77777777" w:rsidR="001E36D2" w:rsidRPr="00971FD5" w:rsidRDefault="001E36D2" w:rsidP="00CF0CA0">
            <w:pPr>
              <w:tabs>
                <w:tab w:val="decimal" w:pos="409"/>
              </w:tabs>
              <w:jc w:val="left"/>
              <w:rPr>
                <w:b/>
                <w:sz w:val="18"/>
                <w:szCs w:val="18"/>
              </w:rPr>
            </w:pPr>
            <w:r w:rsidRPr="00971FD5">
              <w:rPr>
                <w:b/>
                <w:bCs/>
                <w:sz w:val="18"/>
                <w:szCs w:val="18"/>
              </w:rPr>
              <w:t>-4.3</w:t>
            </w:r>
          </w:p>
        </w:tc>
        <w:tc>
          <w:tcPr>
            <w:tcW w:w="1043" w:type="dxa"/>
            <w:tcBorders>
              <w:top w:val="single" w:sz="4" w:space="0" w:color="404040"/>
              <w:left w:val="nil"/>
              <w:bottom w:val="nil"/>
              <w:right w:val="single" w:sz="4" w:space="0" w:color="404040"/>
            </w:tcBorders>
            <w:shd w:val="clear" w:color="auto" w:fill="auto"/>
            <w:vAlign w:val="center"/>
          </w:tcPr>
          <w:p w14:paraId="56B332CE" w14:textId="77777777" w:rsidR="001E36D2" w:rsidRPr="00971FD5" w:rsidRDefault="001E36D2" w:rsidP="00CF0CA0">
            <w:pPr>
              <w:tabs>
                <w:tab w:val="decimal" w:pos="357"/>
              </w:tabs>
              <w:jc w:val="left"/>
              <w:rPr>
                <w:b/>
                <w:bCs/>
                <w:sz w:val="18"/>
                <w:szCs w:val="18"/>
              </w:rPr>
            </w:pPr>
            <w:r w:rsidRPr="00971FD5">
              <w:rPr>
                <w:b/>
                <w:bCs/>
                <w:sz w:val="18"/>
                <w:szCs w:val="18"/>
              </w:rPr>
              <w:t>-1.3</w:t>
            </w:r>
          </w:p>
        </w:tc>
        <w:tc>
          <w:tcPr>
            <w:tcW w:w="557" w:type="dxa"/>
            <w:tcBorders>
              <w:top w:val="nil"/>
              <w:left w:val="single" w:sz="4" w:space="0" w:color="404040"/>
              <w:bottom w:val="nil"/>
              <w:right w:val="nil"/>
            </w:tcBorders>
            <w:shd w:val="clear" w:color="auto" w:fill="auto"/>
            <w:vAlign w:val="center"/>
          </w:tcPr>
          <w:p w14:paraId="33B0DB42" w14:textId="77777777" w:rsidR="001E36D2" w:rsidRPr="00971FD5" w:rsidRDefault="001E36D2" w:rsidP="00CF0CA0">
            <w:pPr>
              <w:jc w:val="right"/>
              <w:rPr>
                <w:b/>
                <w:sz w:val="18"/>
                <w:szCs w:val="18"/>
              </w:rPr>
            </w:pPr>
            <w:r w:rsidRPr="00971FD5">
              <w:rPr>
                <w:b/>
                <w:bCs/>
                <w:sz w:val="18"/>
                <w:szCs w:val="18"/>
              </w:rPr>
              <w:t>1</w:t>
            </w:r>
          </w:p>
        </w:tc>
        <w:tc>
          <w:tcPr>
            <w:tcW w:w="1249" w:type="dxa"/>
            <w:tcBorders>
              <w:top w:val="nil"/>
              <w:left w:val="nil"/>
              <w:bottom w:val="nil"/>
              <w:right w:val="single" w:sz="4" w:space="0" w:color="404040"/>
            </w:tcBorders>
            <w:shd w:val="clear" w:color="auto" w:fill="auto"/>
            <w:vAlign w:val="center"/>
          </w:tcPr>
          <w:p w14:paraId="22D84553" w14:textId="77777777" w:rsidR="001E36D2" w:rsidRPr="00294891" w:rsidRDefault="001E36D2" w:rsidP="00CF0CA0">
            <w:pPr>
              <w:tabs>
                <w:tab w:val="decimal" w:pos="810"/>
              </w:tabs>
              <w:jc w:val="left"/>
              <w:rPr>
                <w:b/>
                <w:sz w:val="18"/>
                <w:szCs w:val="18"/>
              </w:rPr>
            </w:pPr>
            <w:r>
              <w:rPr>
                <w:b/>
                <w:bCs/>
                <w:color w:val="000000"/>
                <w:sz w:val="18"/>
                <w:szCs w:val="18"/>
              </w:rPr>
              <w:t>p</w:t>
            </w:r>
            <w:r w:rsidRPr="00294891">
              <w:rPr>
                <w:b/>
                <w:bCs/>
                <w:color w:val="000000"/>
                <w:sz w:val="18"/>
                <w:szCs w:val="18"/>
              </w:rPr>
              <w:t>or</w:t>
            </w:r>
            <w:r>
              <w:rPr>
                <w:b/>
                <w:bCs/>
                <w:color w:val="000000"/>
                <w:sz w:val="18"/>
                <w:szCs w:val="18"/>
              </w:rPr>
              <w:t xml:space="preserve"> debajo</w:t>
            </w:r>
          </w:p>
        </w:tc>
      </w:tr>
      <w:tr w:rsidR="001E36D2" w:rsidRPr="00294891" w14:paraId="584587F4" w14:textId="77777777" w:rsidTr="00CF0CA0">
        <w:trPr>
          <w:jc w:val="center"/>
        </w:trPr>
        <w:tc>
          <w:tcPr>
            <w:tcW w:w="4420" w:type="dxa"/>
            <w:tcBorders>
              <w:top w:val="nil"/>
              <w:left w:val="single" w:sz="4" w:space="0" w:color="404040"/>
              <w:bottom w:val="nil"/>
              <w:right w:val="single" w:sz="4" w:space="0" w:color="404040"/>
            </w:tcBorders>
            <w:shd w:val="clear" w:color="auto" w:fill="auto"/>
            <w:vAlign w:val="bottom"/>
          </w:tcPr>
          <w:p w14:paraId="33CCCCE8" w14:textId="77777777" w:rsidR="001E36D2" w:rsidRPr="00294891" w:rsidRDefault="001E36D2" w:rsidP="00CF0CA0">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52DDAF68" w14:textId="77777777" w:rsidR="001E36D2" w:rsidRPr="00971FD5" w:rsidRDefault="001E36D2" w:rsidP="00CF0CA0">
            <w:pPr>
              <w:tabs>
                <w:tab w:val="decimal" w:pos="381"/>
              </w:tabs>
              <w:jc w:val="left"/>
              <w:rPr>
                <w:sz w:val="18"/>
                <w:szCs w:val="18"/>
              </w:rPr>
            </w:pPr>
            <w:r w:rsidRPr="00971FD5">
              <w:rPr>
                <w:sz w:val="18"/>
                <w:szCs w:val="18"/>
              </w:rPr>
              <w:t xml:space="preserve">49.1 </w:t>
            </w:r>
          </w:p>
        </w:tc>
        <w:tc>
          <w:tcPr>
            <w:tcW w:w="1043" w:type="dxa"/>
            <w:tcBorders>
              <w:top w:val="nil"/>
              <w:left w:val="single" w:sz="4" w:space="0" w:color="404040"/>
              <w:bottom w:val="nil"/>
              <w:right w:val="nil"/>
            </w:tcBorders>
            <w:shd w:val="clear" w:color="auto" w:fill="auto"/>
            <w:vAlign w:val="center"/>
          </w:tcPr>
          <w:p w14:paraId="1D9EFB6E" w14:textId="77777777" w:rsidR="001E36D2" w:rsidRPr="00971FD5" w:rsidRDefault="001E36D2" w:rsidP="00CF0CA0">
            <w:pPr>
              <w:tabs>
                <w:tab w:val="decimal" w:pos="409"/>
              </w:tabs>
              <w:jc w:val="left"/>
              <w:rPr>
                <w:sz w:val="18"/>
                <w:szCs w:val="18"/>
              </w:rPr>
            </w:pPr>
            <w:r w:rsidRPr="00971FD5">
              <w:rPr>
                <w:sz w:val="18"/>
                <w:szCs w:val="18"/>
              </w:rPr>
              <w:t>-5.7</w:t>
            </w:r>
          </w:p>
        </w:tc>
        <w:tc>
          <w:tcPr>
            <w:tcW w:w="1043" w:type="dxa"/>
            <w:tcBorders>
              <w:top w:val="nil"/>
              <w:left w:val="nil"/>
              <w:bottom w:val="nil"/>
              <w:right w:val="single" w:sz="4" w:space="0" w:color="404040"/>
            </w:tcBorders>
            <w:shd w:val="clear" w:color="auto" w:fill="auto"/>
            <w:vAlign w:val="center"/>
          </w:tcPr>
          <w:p w14:paraId="77206BD9" w14:textId="77777777" w:rsidR="001E36D2" w:rsidRPr="00971FD5" w:rsidRDefault="001E36D2" w:rsidP="00CF0CA0">
            <w:pPr>
              <w:tabs>
                <w:tab w:val="decimal" w:pos="357"/>
              </w:tabs>
              <w:jc w:val="left"/>
              <w:rPr>
                <w:bCs/>
                <w:sz w:val="18"/>
                <w:szCs w:val="18"/>
              </w:rPr>
            </w:pPr>
            <w:r w:rsidRPr="00971FD5">
              <w:rPr>
                <w:sz w:val="18"/>
                <w:szCs w:val="18"/>
              </w:rPr>
              <w:t>-1.6</w:t>
            </w:r>
          </w:p>
        </w:tc>
        <w:tc>
          <w:tcPr>
            <w:tcW w:w="557" w:type="dxa"/>
            <w:tcBorders>
              <w:top w:val="nil"/>
              <w:left w:val="single" w:sz="4" w:space="0" w:color="404040"/>
              <w:bottom w:val="nil"/>
              <w:right w:val="nil"/>
            </w:tcBorders>
            <w:shd w:val="clear" w:color="auto" w:fill="auto"/>
            <w:vAlign w:val="center"/>
          </w:tcPr>
          <w:p w14:paraId="31D64936" w14:textId="77777777" w:rsidR="001E36D2" w:rsidRPr="00971FD5" w:rsidRDefault="001E36D2" w:rsidP="00CF0CA0">
            <w:pPr>
              <w:jc w:val="right"/>
              <w:rPr>
                <w:sz w:val="18"/>
                <w:szCs w:val="18"/>
              </w:rPr>
            </w:pPr>
            <w:r w:rsidRPr="00971FD5">
              <w:rPr>
                <w:sz w:val="18"/>
                <w:szCs w:val="18"/>
              </w:rPr>
              <w:t>1</w:t>
            </w:r>
          </w:p>
        </w:tc>
        <w:tc>
          <w:tcPr>
            <w:tcW w:w="1249" w:type="dxa"/>
            <w:tcBorders>
              <w:top w:val="nil"/>
              <w:left w:val="nil"/>
              <w:bottom w:val="nil"/>
              <w:right w:val="single" w:sz="4" w:space="0" w:color="404040"/>
            </w:tcBorders>
            <w:shd w:val="clear" w:color="auto" w:fill="auto"/>
            <w:vAlign w:val="center"/>
          </w:tcPr>
          <w:p w14:paraId="04C36D52" w14:textId="77777777" w:rsidR="001E36D2" w:rsidRPr="002B7915" w:rsidRDefault="001E36D2" w:rsidP="00CF0CA0">
            <w:pPr>
              <w:tabs>
                <w:tab w:val="decimal" w:pos="810"/>
              </w:tabs>
              <w:jc w:val="left"/>
              <w:rPr>
                <w:sz w:val="18"/>
                <w:szCs w:val="18"/>
              </w:rPr>
            </w:pPr>
            <w:r>
              <w:rPr>
                <w:color w:val="000000"/>
                <w:sz w:val="18"/>
                <w:szCs w:val="18"/>
              </w:rPr>
              <w:t>por debajo</w:t>
            </w:r>
          </w:p>
        </w:tc>
      </w:tr>
      <w:tr w:rsidR="001E36D2" w:rsidRPr="00294891" w14:paraId="254D6399" w14:textId="77777777" w:rsidTr="00CF0CA0">
        <w:trPr>
          <w:jc w:val="center"/>
        </w:trPr>
        <w:tc>
          <w:tcPr>
            <w:tcW w:w="4420" w:type="dxa"/>
            <w:tcBorders>
              <w:top w:val="nil"/>
              <w:left w:val="single" w:sz="4" w:space="0" w:color="404040"/>
              <w:bottom w:val="nil"/>
              <w:right w:val="single" w:sz="4" w:space="0" w:color="404040"/>
            </w:tcBorders>
            <w:shd w:val="clear" w:color="auto" w:fill="auto"/>
            <w:vAlign w:val="bottom"/>
          </w:tcPr>
          <w:p w14:paraId="7E7D7913" w14:textId="77777777" w:rsidR="001E36D2" w:rsidRPr="00294891" w:rsidRDefault="001E36D2" w:rsidP="00CF0CA0">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2E9ABB26" w14:textId="77777777" w:rsidR="001E36D2" w:rsidRPr="00971FD5" w:rsidRDefault="001E36D2" w:rsidP="00CF0CA0">
            <w:pPr>
              <w:tabs>
                <w:tab w:val="decimal" w:pos="381"/>
              </w:tabs>
              <w:jc w:val="left"/>
              <w:rPr>
                <w:sz w:val="18"/>
                <w:szCs w:val="18"/>
              </w:rPr>
            </w:pPr>
            <w:r w:rsidRPr="00971FD5">
              <w:rPr>
                <w:sz w:val="18"/>
                <w:szCs w:val="18"/>
              </w:rPr>
              <w:t xml:space="preserve">49.9 </w:t>
            </w:r>
          </w:p>
        </w:tc>
        <w:tc>
          <w:tcPr>
            <w:tcW w:w="1043" w:type="dxa"/>
            <w:tcBorders>
              <w:top w:val="nil"/>
              <w:left w:val="single" w:sz="4" w:space="0" w:color="404040"/>
              <w:bottom w:val="nil"/>
              <w:right w:val="nil"/>
            </w:tcBorders>
            <w:shd w:val="clear" w:color="auto" w:fill="auto"/>
            <w:vAlign w:val="center"/>
          </w:tcPr>
          <w:p w14:paraId="010A745B" w14:textId="77777777" w:rsidR="001E36D2" w:rsidRPr="00971FD5" w:rsidRDefault="001E36D2" w:rsidP="00CF0CA0">
            <w:pPr>
              <w:tabs>
                <w:tab w:val="decimal" w:pos="409"/>
              </w:tabs>
              <w:jc w:val="left"/>
              <w:rPr>
                <w:sz w:val="18"/>
                <w:szCs w:val="18"/>
              </w:rPr>
            </w:pPr>
            <w:r w:rsidRPr="00971FD5">
              <w:rPr>
                <w:sz w:val="18"/>
                <w:szCs w:val="18"/>
              </w:rPr>
              <w:t>-3.8</w:t>
            </w:r>
          </w:p>
        </w:tc>
        <w:tc>
          <w:tcPr>
            <w:tcW w:w="1043" w:type="dxa"/>
            <w:tcBorders>
              <w:top w:val="nil"/>
              <w:left w:val="nil"/>
              <w:bottom w:val="nil"/>
              <w:right w:val="single" w:sz="4" w:space="0" w:color="404040"/>
            </w:tcBorders>
            <w:shd w:val="clear" w:color="auto" w:fill="auto"/>
            <w:vAlign w:val="center"/>
          </w:tcPr>
          <w:p w14:paraId="091E687B" w14:textId="77777777" w:rsidR="001E36D2" w:rsidRPr="00971FD5" w:rsidRDefault="001E36D2" w:rsidP="00CF0CA0">
            <w:pPr>
              <w:tabs>
                <w:tab w:val="decimal" w:pos="357"/>
              </w:tabs>
              <w:jc w:val="left"/>
              <w:rPr>
                <w:bCs/>
                <w:sz w:val="18"/>
                <w:szCs w:val="18"/>
              </w:rPr>
            </w:pPr>
            <w:r w:rsidRPr="00971FD5">
              <w:rPr>
                <w:sz w:val="18"/>
                <w:szCs w:val="18"/>
              </w:rPr>
              <w:t>0.1</w:t>
            </w:r>
          </w:p>
        </w:tc>
        <w:tc>
          <w:tcPr>
            <w:tcW w:w="557" w:type="dxa"/>
            <w:tcBorders>
              <w:top w:val="nil"/>
              <w:left w:val="single" w:sz="4" w:space="0" w:color="404040"/>
              <w:bottom w:val="nil"/>
              <w:right w:val="nil"/>
            </w:tcBorders>
            <w:shd w:val="clear" w:color="auto" w:fill="auto"/>
            <w:vAlign w:val="center"/>
          </w:tcPr>
          <w:p w14:paraId="6E9AEA9C" w14:textId="77777777" w:rsidR="001E36D2" w:rsidRPr="00971FD5" w:rsidRDefault="001E36D2" w:rsidP="00CF0CA0">
            <w:pPr>
              <w:jc w:val="right"/>
              <w:rPr>
                <w:sz w:val="18"/>
                <w:szCs w:val="18"/>
              </w:rPr>
            </w:pPr>
            <w:r w:rsidRPr="00971FD5">
              <w:rPr>
                <w:sz w:val="18"/>
                <w:szCs w:val="18"/>
              </w:rPr>
              <w:t>1</w:t>
            </w:r>
          </w:p>
        </w:tc>
        <w:tc>
          <w:tcPr>
            <w:tcW w:w="1249" w:type="dxa"/>
            <w:tcBorders>
              <w:top w:val="nil"/>
              <w:left w:val="nil"/>
              <w:bottom w:val="nil"/>
              <w:right w:val="single" w:sz="4" w:space="0" w:color="404040"/>
            </w:tcBorders>
            <w:shd w:val="clear" w:color="auto" w:fill="auto"/>
            <w:vAlign w:val="center"/>
          </w:tcPr>
          <w:p w14:paraId="4827434B" w14:textId="77777777" w:rsidR="001E36D2" w:rsidRPr="00294891" w:rsidRDefault="001E36D2" w:rsidP="00CF0CA0">
            <w:pPr>
              <w:tabs>
                <w:tab w:val="decimal" w:pos="810"/>
              </w:tabs>
              <w:jc w:val="left"/>
              <w:rPr>
                <w:sz w:val="18"/>
                <w:szCs w:val="18"/>
              </w:rPr>
            </w:pPr>
            <w:r>
              <w:rPr>
                <w:color w:val="000000"/>
                <w:sz w:val="18"/>
                <w:szCs w:val="18"/>
              </w:rPr>
              <w:t>p</w:t>
            </w:r>
            <w:r w:rsidRPr="00294891">
              <w:rPr>
                <w:color w:val="000000"/>
                <w:sz w:val="18"/>
                <w:szCs w:val="18"/>
              </w:rPr>
              <w:t>or</w:t>
            </w:r>
            <w:r>
              <w:rPr>
                <w:color w:val="000000"/>
                <w:sz w:val="18"/>
                <w:szCs w:val="18"/>
              </w:rPr>
              <w:t xml:space="preserve"> debajo</w:t>
            </w:r>
          </w:p>
        </w:tc>
      </w:tr>
      <w:tr w:rsidR="001E36D2" w:rsidRPr="00294891" w14:paraId="52B62DB7" w14:textId="77777777" w:rsidTr="00CF0CA0">
        <w:trPr>
          <w:jc w:val="center"/>
        </w:trPr>
        <w:tc>
          <w:tcPr>
            <w:tcW w:w="4420" w:type="dxa"/>
            <w:tcBorders>
              <w:top w:val="nil"/>
              <w:left w:val="single" w:sz="4" w:space="0" w:color="404040"/>
              <w:bottom w:val="nil"/>
              <w:right w:val="single" w:sz="4" w:space="0" w:color="404040"/>
            </w:tcBorders>
            <w:shd w:val="clear" w:color="auto" w:fill="auto"/>
            <w:vAlign w:val="bottom"/>
          </w:tcPr>
          <w:p w14:paraId="24F2A5C6" w14:textId="77777777" w:rsidR="001E36D2" w:rsidRPr="00294891" w:rsidRDefault="001E36D2" w:rsidP="00CF0CA0">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0BCE5175" w14:textId="77777777" w:rsidR="001E36D2" w:rsidRPr="00971FD5" w:rsidRDefault="001E36D2" w:rsidP="00CF0CA0">
            <w:pPr>
              <w:tabs>
                <w:tab w:val="decimal" w:pos="381"/>
              </w:tabs>
              <w:jc w:val="left"/>
              <w:rPr>
                <w:sz w:val="18"/>
                <w:szCs w:val="18"/>
              </w:rPr>
            </w:pPr>
            <w:r w:rsidRPr="00971FD5">
              <w:rPr>
                <w:sz w:val="18"/>
                <w:szCs w:val="18"/>
              </w:rPr>
              <w:t xml:space="preserve">44.7 </w:t>
            </w:r>
          </w:p>
        </w:tc>
        <w:tc>
          <w:tcPr>
            <w:tcW w:w="1043" w:type="dxa"/>
            <w:tcBorders>
              <w:top w:val="nil"/>
              <w:left w:val="single" w:sz="4" w:space="0" w:color="404040"/>
              <w:bottom w:val="nil"/>
              <w:right w:val="nil"/>
            </w:tcBorders>
            <w:shd w:val="clear" w:color="auto" w:fill="auto"/>
            <w:vAlign w:val="center"/>
          </w:tcPr>
          <w:p w14:paraId="0517B5A5" w14:textId="77777777" w:rsidR="001E36D2" w:rsidRPr="00971FD5" w:rsidRDefault="001E36D2" w:rsidP="00CF0CA0">
            <w:pPr>
              <w:tabs>
                <w:tab w:val="decimal" w:pos="409"/>
              </w:tabs>
              <w:jc w:val="left"/>
              <w:rPr>
                <w:sz w:val="18"/>
                <w:szCs w:val="18"/>
              </w:rPr>
            </w:pPr>
            <w:r w:rsidRPr="00971FD5">
              <w:rPr>
                <w:sz w:val="18"/>
                <w:szCs w:val="18"/>
              </w:rPr>
              <w:t>-8.3</w:t>
            </w:r>
          </w:p>
        </w:tc>
        <w:tc>
          <w:tcPr>
            <w:tcW w:w="1043" w:type="dxa"/>
            <w:tcBorders>
              <w:top w:val="nil"/>
              <w:left w:val="nil"/>
              <w:bottom w:val="nil"/>
              <w:right w:val="single" w:sz="4" w:space="0" w:color="404040"/>
            </w:tcBorders>
            <w:shd w:val="clear" w:color="auto" w:fill="auto"/>
            <w:vAlign w:val="center"/>
          </w:tcPr>
          <w:p w14:paraId="79A040FF" w14:textId="77777777" w:rsidR="001E36D2" w:rsidRPr="00971FD5" w:rsidRDefault="001E36D2" w:rsidP="00CF0CA0">
            <w:pPr>
              <w:tabs>
                <w:tab w:val="decimal" w:pos="357"/>
              </w:tabs>
              <w:jc w:val="left"/>
              <w:rPr>
                <w:bCs/>
                <w:sz w:val="18"/>
                <w:szCs w:val="18"/>
              </w:rPr>
            </w:pPr>
            <w:r w:rsidRPr="00971FD5">
              <w:rPr>
                <w:sz w:val="18"/>
                <w:szCs w:val="18"/>
              </w:rPr>
              <w:t>-5.4</w:t>
            </w:r>
          </w:p>
        </w:tc>
        <w:tc>
          <w:tcPr>
            <w:tcW w:w="557" w:type="dxa"/>
            <w:tcBorders>
              <w:top w:val="nil"/>
              <w:left w:val="single" w:sz="4" w:space="0" w:color="404040"/>
              <w:bottom w:val="nil"/>
              <w:right w:val="nil"/>
            </w:tcBorders>
            <w:shd w:val="clear" w:color="auto" w:fill="auto"/>
            <w:vAlign w:val="center"/>
          </w:tcPr>
          <w:p w14:paraId="13EA7079" w14:textId="77777777" w:rsidR="001E36D2" w:rsidRPr="00971FD5" w:rsidRDefault="001E36D2" w:rsidP="00CF0CA0">
            <w:pPr>
              <w:jc w:val="right"/>
              <w:rPr>
                <w:sz w:val="18"/>
                <w:szCs w:val="18"/>
              </w:rPr>
            </w:pPr>
            <w:r w:rsidRPr="00971FD5">
              <w:rPr>
                <w:sz w:val="18"/>
                <w:szCs w:val="18"/>
              </w:rPr>
              <w:t>1</w:t>
            </w:r>
          </w:p>
        </w:tc>
        <w:tc>
          <w:tcPr>
            <w:tcW w:w="1249" w:type="dxa"/>
            <w:tcBorders>
              <w:top w:val="nil"/>
              <w:left w:val="nil"/>
              <w:bottom w:val="nil"/>
              <w:right w:val="single" w:sz="4" w:space="0" w:color="404040"/>
            </w:tcBorders>
            <w:shd w:val="clear" w:color="auto" w:fill="auto"/>
            <w:vAlign w:val="center"/>
          </w:tcPr>
          <w:p w14:paraId="23E992EC" w14:textId="77777777" w:rsidR="001E36D2" w:rsidRPr="00294891" w:rsidRDefault="001E36D2" w:rsidP="00CF0CA0">
            <w:pPr>
              <w:tabs>
                <w:tab w:val="decimal" w:pos="810"/>
              </w:tabs>
              <w:jc w:val="left"/>
              <w:rPr>
                <w:sz w:val="18"/>
                <w:szCs w:val="18"/>
              </w:rPr>
            </w:pPr>
            <w:r>
              <w:rPr>
                <w:color w:val="000000"/>
                <w:sz w:val="18"/>
                <w:szCs w:val="18"/>
              </w:rPr>
              <w:t>por debajo</w:t>
            </w:r>
          </w:p>
        </w:tc>
      </w:tr>
      <w:tr w:rsidR="001E36D2" w:rsidRPr="00294891" w14:paraId="05B23B0C" w14:textId="77777777" w:rsidTr="00CF0CA0">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204B859" w14:textId="77777777" w:rsidR="001E36D2" w:rsidRPr="00294891" w:rsidRDefault="001E36D2" w:rsidP="00CF0CA0">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A20F343" w14:textId="77777777" w:rsidR="001E36D2" w:rsidRPr="00971FD5" w:rsidRDefault="001E36D2" w:rsidP="00CF0CA0">
            <w:pPr>
              <w:tabs>
                <w:tab w:val="decimal" w:pos="381"/>
              </w:tabs>
              <w:jc w:val="left"/>
              <w:rPr>
                <w:sz w:val="18"/>
                <w:szCs w:val="18"/>
              </w:rPr>
            </w:pPr>
            <w:r w:rsidRPr="00971FD5">
              <w:rPr>
                <w:sz w:val="18"/>
                <w:szCs w:val="18"/>
              </w:rPr>
              <w:t xml:space="preserve">50.8 </w:t>
            </w:r>
          </w:p>
        </w:tc>
        <w:tc>
          <w:tcPr>
            <w:tcW w:w="1043" w:type="dxa"/>
            <w:tcBorders>
              <w:top w:val="nil"/>
              <w:left w:val="single" w:sz="4" w:space="0" w:color="404040"/>
              <w:bottom w:val="single" w:sz="4" w:space="0" w:color="404040"/>
              <w:right w:val="nil"/>
            </w:tcBorders>
            <w:shd w:val="clear" w:color="auto" w:fill="auto"/>
            <w:vAlign w:val="center"/>
          </w:tcPr>
          <w:p w14:paraId="5D2155BD" w14:textId="77777777" w:rsidR="001E36D2" w:rsidRPr="00971FD5" w:rsidRDefault="001E36D2" w:rsidP="00CF0CA0">
            <w:pPr>
              <w:tabs>
                <w:tab w:val="decimal" w:pos="409"/>
              </w:tabs>
              <w:jc w:val="left"/>
              <w:rPr>
                <w:sz w:val="18"/>
                <w:szCs w:val="18"/>
              </w:rPr>
            </w:pPr>
            <w:r w:rsidRPr="00971FD5">
              <w:rPr>
                <w:sz w:val="18"/>
                <w:szCs w:val="18"/>
              </w:rPr>
              <w:t>1.1</w:t>
            </w:r>
          </w:p>
        </w:tc>
        <w:tc>
          <w:tcPr>
            <w:tcW w:w="1043" w:type="dxa"/>
            <w:tcBorders>
              <w:top w:val="nil"/>
              <w:left w:val="nil"/>
              <w:bottom w:val="single" w:sz="4" w:space="0" w:color="404040"/>
              <w:right w:val="single" w:sz="4" w:space="0" w:color="404040"/>
            </w:tcBorders>
            <w:shd w:val="clear" w:color="auto" w:fill="auto"/>
            <w:vAlign w:val="center"/>
          </w:tcPr>
          <w:p w14:paraId="62E30C00" w14:textId="77777777" w:rsidR="001E36D2" w:rsidRPr="00971FD5" w:rsidRDefault="001E36D2" w:rsidP="00CF0CA0">
            <w:pPr>
              <w:tabs>
                <w:tab w:val="decimal" w:pos="357"/>
              </w:tabs>
              <w:jc w:val="left"/>
              <w:rPr>
                <w:bCs/>
                <w:sz w:val="18"/>
                <w:szCs w:val="18"/>
              </w:rPr>
            </w:pPr>
            <w:r w:rsidRPr="00971FD5">
              <w:rPr>
                <w:sz w:val="18"/>
                <w:szCs w:val="18"/>
              </w:rPr>
              <w:t>1.3</w:t>
            </w:r>
          </w:p>
        </w:tc>
        <w:tc>
          <w:tcPr>
            <w:tcW w:w="557" w:type="dxa"/>
            <w:tcBorders>
              <w:top w:val="nil"/>
              <w:left w:val="single" w:sz="4" w:space="0" w:color="404040"/>
              <w:bottom w:val="single" w:sz="4" w:space="0" w:color="404040"/>
              <w:right w:val="nil"/>
            </w:tcBorders>
            <w:shd w:val="clear" w:color="auto" w:fill="auto"/>
            <w:vAlign w:val="center"/>
          </w:tcPr>
          <w:p w14:paraId="3B503BC2" w14:textId="77777777" w:rsidR="001E36D2" w:rsidRPr="00971FD5" w:rsidRDefault="001E36D2" w:rsidP="00CF0CA0">
            <w:pPr>
              <w:jc w:val="right"/>
              <w:rPr>
                <w:sz w:val="18"/>
                <w:szCs w:val="18"/>
              </w:rPr>
            </w:pPr>
            <w:r w:rsidRPr="00971FD5">
              <w:rPr>
                <w:sz w:val="18"/>
                <w:szCs w:val="18"/>
              </w:rPr>
              <w:t>1</w:t>
            </w:r>
          </w:p>
        </w:tc>
        <w:tc>
          <w:tcPr>
            <w:tcW w:w="1249" w:type="dxa"/>
            <w:tcBorders>
              <w:top w:val="nil"/>
              <w:left w:val="nil"/>
              <w:bottom w:val="single" w:sz="4" w:space="0" w:color="404040"/>
              <w:right w:val="single" w:sz="4" w:space="0" w:color="404040"/>
            </w:tcBorders>
            <w:shd w:val="clear" w:color="auto" w:fill="auto"/>
            <w:vAlign w:val="center"/>
          </w:tcPr>
          <w:p w14:paraId="10116090" w14:textId="77777777" w:rsidR="001E36D2" w:rsidRPr="000A567E" w:rsidRDefault="001E36D2" w:rsidP="00CF0CA0">
            <w:pPr>
              <w:tabs>
                <w:tab w:val="decimal" w:pos="810"/>
              </w:tabs>
              <w:jc w:val="left"/>
              <w:rPr>
                <w:color w:val="000000"/>
                <w:sz w:val="18"/>
                <w:szCs w:val="18"/>
              </w:rPr>
            </w:pPr>
            <w:r>
              <w:rPr>
                <w:color w:val="000000"/>
                <w:sz w:val="18"/>
                <w:szCs w:val="18"/>
              </w:rPr>
              <w:t>por arriba</w:t>
            </w:r>
          </w:p>
        </w:tc>
      </w:tr>
    </w:tbl>
    <w:p w14:paraId="219000D2" w14:textId="77777777" w:rsidR="001E36D2" w:rsidRPr="00D337D1" w:rsidRDefault="001E36D2" w:rsidP="004D6300">
      <w:pPr>
        <w:widowControl w:val="0"/>
        <w:spacing w:before="20"/>
        <w:ind w:left="567"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2C7C3A61" w14:textId="77777777" w:rsidR="001E36D2" w:rsidRPr="00D337D1" w:rsidRDefault="001E36D2" w:rsidP="004D6300">
      <w:pPr>
        <w:widowControl w:val="0"/>
        <w:ind w:left="567"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34D856A8" w14:textId="77777777" w:rsidR="001E36D2" w:rsidRPr="00D337D1" w:rsidRDefault="001E36D2" w:rsidP="004D6300">
      <w:pPr>
        <w:widowControl w:val="0"/>
        <w:spacing w:before="20"/>
        <w:ind w:left="567" w:right="25" w:hanging="527"/>
        <w:rPr>
          <w:sz w:val="16"/>
          <w:szCs w:val="16"/>
          <w:lang w:val="es-MX"/>
        </w:rPr>
      </w:pPr>
      <w:r w:rsidRPr="00D337D1">
        <w:rPr>
          <w:sz w:val="16"/>
          <w:szCs w:val="16"/>
          <w:lang w:val="es-MX"/>
        </w:rPr>
        <w:t xml:space="preserve">Fuente: </w:t>
      </w:r>
      <w:r>
        <w:rPr>
          <w:sz w:val="16"/>
          <w:szCs w:val="16"/>
          <w:lang w:val="es-MX"/>
        </w:rPr>
        <w:t>INEGI</w:t>
      </w:r>
    </w:p>
    <w:p w14:paraId="47058DF1" w14:textId="77777777" w:rsidR="00A5706D" w:rsidRDefault="00A5706D" w:rsidP="00A5706D">
      <w:pPr>
        <w:spacing w:before="240"/>
        <w:ind w:left="-284" w:right="-233"/>
        <w:rPr>
          <w:spacing w:val="6"/>
        </w:rPr>
      </w:pPr>
    </w:p>
    <w:p w14:paraId="21593219" w14:textId="5158641D" w:rsidR="0027370D" w:rsidRPr="002476DD" w:rsidRDefault="00B45B99" w:rsidP="00A5706D">
      <w:pPr>
        <w:spacing w:before="240"/>
        <w:ind w:left="-284" w:right="-233"/>
        <w:rPr>
          <w:spacing w:val="6"/>
        </w:rPr>
      </w:pPr>
      <w:r w:rsidRPr="002476DD">
        <w:rPr>
          <w:spacing w:val="6"/>
        </w:rPr>
        <w:t>En enero de 2023</w:t>
      </w:r>
      <w:r w:rsidR="00B4181D" w:rsidRPr="002476DD">
        <w:t xml:space="preserve"> y</w:t>
      </w:r>
      <w:r w:rsidR="00B4181D" w:rsidRPr="002476DD">
        <w:rPr>
          <w:spacing w:val="6"/>
        </w:rPr>
        <w:t xml:space="preserve"> c</w:t>
      </w:r>
      <w:r w:rsidR="0027370D" w:rsidRPr="002476DD">
        <w:rPr>
          <w:spacing w:val="6"/>
        </w:rPr>
        <w:t xml:space="preserve">on datos originales, el Indicador Global de Opinión Empresarial de Tendencia (IGOET) </w:t>
      </w:r>
      <w:r w:rsidR="00C7044B" w:rsidRPr="002476DD">
        <w:rPr>
          <w:spacing w:val="6"/>
        </w:rPr>
        <w:t>—</w:t>
      </w:r>
      <w:r w:rsidR="0027370D" w:rsidRPr="002476DD">
        <w:rPr>
          <w:spacing w:val="6"/>
        </w:rPr>
        <w:t>que es el promedio ponderado de los indicadores de los cuatro se</w:t>
      </w:r>
      <w:r w:rsidR="00436C79" w:rsidRPr="002476DD">
        <w:rPr>
          <w:spacing w:val="6"/>
        </w:rPr>
        <w:t>ctores que lo integran</w:t>
      </w:r>
      <w:r w:rsidR="00C7044B" w:rsidRPr="002476DD">
        <w:rPr>
          <w:spacing w:val="6"/>
        </w:rPr>
        <w:t>—</w:t>
      </w:r>
      <w:r w:rsidR="00436C79" w:rsidRPr="002476DD">
        <w:rPr>
          <w:spacing w:val="6"/>
        </w:rPr>
        <w:t xml:space="preserve"> </w:t>
      </w:r>
      <w:r w:rsidR="00912A62" w:rsidRPr="002476DD">
        <w:rPr>
          <w:spacing w:val="6"/>
        </w:rPr>
        <w:t>fue de</w:t>
      </w:r>
      <w:r w:rsidR="00090E59" w:rsidRPr="002476DD">
        <w:rPr>
          <w:spacing w:val="6"/>
        </w:rPr>
        <w:t xml:space="preserve"> 45.9</w:t>
      </w:r>
      <w:r w:rsidR="0027370D" w:rsidRPr="002476DD">
        <w:rPr>
          <w:spacing w:val="6"/>
        </w:rPr>
        <w:t xml:space="preserve"> puntos</w:t>
      </w:r>
      <w:r w:rsidR="00820B8C" w:rsidRPr="002476DD">
        <w:rPr>
          <w:spacing w:val="6"/>
        </w:rPr>
        <w:t>,</w:t>
      </w:r>
      <w:r w:rsidR="00007941" w:rsidRPr="002476DD">
        <w:rPr>
          <w:spacing w:val="6"/>
        </w:rPr>
        <w:t xml:space="preserve"> </w:t>
      </w:r>
      <w:r w:rsidR="00090E59" w:rsidRPr="002476DD">
        <w:rPr>
          <w:spacing w:val="6"/>
        </w:rPr>
        <w:t>d</w:t>
      </w:r>
      <w:r w:rsidR="001E284B" w:rsidRPr="002476DD">
        <w:rPr>
          <w:spacing w:val="6"/>
        </w:rPr>
        <w:t xml:space="preserve">ato similar al </w:t>
      </w:r>
      <w:r w:rsidR="21A8BF91" w:rsidRPr="002476DD">
        <w:rPr>
          <w:bCs/>
          <w:spacing w:val="6"/>
        </w:rPr>
        <w:t>de</w:t>
      </w:r>
      <w:r w:rsidR="21A8BF91" w:rsidRPr="002476DD">
        <w:t xml:space="preserve"> </w:t>
      </w:r>
      <w:r w:rsidR="00711D85" w:rsidRPr="002476DD">
        <w:t xml:space="preserve">enero </w:t>
      </w:r>
      <w:r w:rsidR="00090E59" w:rsidRPr="002476DD">
        <w:t>de 2022</w:t>
      </w:r>
      <w:r w:rsidR="0027370D" w:rsidRPr="002476DD">
        <w:rPr>
          <w:spacing w:val="6"/>
        </w:rPr>
        <w:t>.</w:t>
      </w:r>
    </w:p>
    <w:p w14:paraId="04A01FE5" w14:textId="77777777" w:rsidR="00932F52" w:rsidRDefault="00932F52" w:rsidP="001E36D2">
      <w:pPr>
        <w:keepNext/>
        <w:keepLines/>
        <w:tabs>
          <w:tab w:val="left" w:pos="2835"/>
          <w:tab w:val="left" w:pos="9432"/>
        </w:tabs>
        <w:spacing w:before="360"/>
        <w:ind w:right="431"/>
        <w:outlineLvl w:val="0"/>
        <w:rPr>
          <w:b/>
        </w:rPr>
      </w:pPr>
    </w:p>
    <w:p w14:paraId="500CC5C0" w14:textId="6754DDAE" w:rsidR="001E36D2" w:rsidRPr="00A5706D" w:rsidRDefault="00AB69C8" w:rsidP="00A5706D">
      <w:pPr>
        <w:keepNext/>
        <w:keepLines/>
        <w:tabs>
          <w:tab w:val="left" w:pos="2835"/>
          <w:tab w:val="left" w:pos="9432"/>
        </w:tabs>
        <w:spacing w:before="360"/>
        <w:ind w:left="-284" w:right="-233"/>
        <w:outlineLvl w:val="0"/>
        <w:rPr>
          <w:rFonts w:ascii="Arial Negrita" w:hAnsi="Arial Negrita"/>
          <w:b/>
          <w:smallCaps/>
        </w:rPr>
      </w:pPr>
      <w:r>
        <w:rPr>
          <w:rFonts w:ascii="Arial Negrita" w:hAnsi="Arial Negrita"/>
          <w:b/>
          <w:smallCaps/>
        </w:rPr>
        <w:t>N</w:t>
      </w:r>
      <w:r w:rsidR="00A5706D" w:rsidRPr="00A5706D">
        <w:rPr>
          <w:rFonts w:ascii="Arial Negrita" w:hAnsi="Arial Negrita"/>
          <w:b/>
          <w:smallCaps/>
        </w:rPr>
        <w:t>ota al usuario</w:t>
      </w:r>
    </w:p>
    <w:p w14:paraId="150B347D" w14:textId="45B0FAC3" w:rsidR="001E36D2" w:rsidRDefault="001E36D2" w:rsidP="00A5706D">
      <w:pPr>
        <w:keepNext/>
        <w:keepLines/>
        <w:spacing w:before="200"/>
        <w:ind w:left="-284" w:right="-233"/>
      </w:pPr>
      <w:r w:rsidRPr="00ED1139">
        <w:t xml:space="preserve">La tasa de no </w:t>
      </w:r>
      <w:r w:rsidRPr="004A7A7A">
        <w:t>respuesta de la EMOE, correspondiente a enero de 2023, registró porcentajes apropiados conforme al diseño estadístico de la encuesta. Esto permitió generar estadísticas con niveles altos de precisión. Se recomienda usar con reserva las estimaciones del dominio Servicios profesionales, científicos y técnicos, que tiene una participación de 0.5 %</w:t>
      </w:r>
      <w:r w:rsidRPr="0058535B">
        <w:t xml:space="preserve"> en los ingresos representados por la encuesta.</w:t>
      </w:r>
    </w:p>
    <w:p w14:paraId="3190F04B" w14:textId="205F44D7" w:rsidR="00932F52" w:rsidRDefault="00932F52" w:rsidP="001E36D2">
      <w:pPr>
        <w:keepNext/>
        <w:keepLines/>
        <w:spacing w:before="200"/>
      </w:pPr>
    </w:p>
    <w:p w14:paraId="01E0AC8C" w14:textId="2348326E" w:rsidR="00932F52" w:rsidRDefault="00932F52" w:rsidP="001E36D2">
      <w:pPr>
        <w:keepNext/>
        <w:keepLines/>
        <w:spacing w:before="200"/>
      </w:pPr>
    </w:p>
    <w:p w14:paraId="23C368F4" w14:textId="1A9E0B98" w:rsidR="00932F52" w:rsidRDefault="00932F52" w:rsidP="001E36D2">
      <w:pPr>
        <w:keepNext/>
        <w:keepLines/>
        <w:spacing w:before="200"/>
      </w:pPr>
    </w:p>
    <w:p w14:paraId="3C2F8D7A" w14:textId="07535133" w:rsidR="00932F52" w:rsidRDefault="00932F52" w:rsidP="001E36D2">
      <w:pPr>
        <w:keepNext/>
        <w:keepLines/>
        <w:spacing w:before="200"/>
      </w:pPr>
    </w:p>
    <w:p w14:paraId="225EB6C5" w14:textId="77777777" w:rsidR="00932F52" w:rsidRDefault="00932F52" w:rsidP="001E36D2">
      <w:pPr>
        <w:keepNext/>
        <w:keepLines/>
        <w:spacing w:before="200"/>
      </w:pPr>
    </w:p>
    <w:p w14:paraId="79F19C53" w14:textId="362BB44F" w:rsidR="00932F52" w:rsidRPr="00932F52" w:rsidRDefault="00932F52" w:rsidP="00932F52">
      <w:pPr>
        <w:pStyle w:val="NormalWeb"/>
        <w:ind w:left="-426" w:right="-518"/>
        <w:contextualSpacing/>
        <w:jc w:val="center"/>
        <w:rPr>
          <w:rFonts w:ascii="Arial" w:hAnsi="Arial" w:cs="Arial"/>
          <w:sz w:val="22"/>
          <w:szCs w:val="22"/>
          <w:lang w:val="es-ES_tradnl"/>
        </w:rPr>
      </w:pPr>
      <w:r w:rsidRPr="00932F52">
        <w:rPr>
          <w:rFonts w:ascii="Arial" w:hAnsi="Arial" w:cs="Arial"/>
          <w:sz w:val="22"/>
          <w:szCs w:val="22"/>
          <w:lang w:val="es-ES_tradnl"/>
        </w:rPr>
        <w:t xml:space="preserve">Para consultas de medios y periodistas, escribir a: </w:t>
      </w:r>
      <w:hyperlink r:id="rId8" w:history="1">
        <w:r w:rsidRPr="00932F52">
          <w:rPr>
            <w:rStyle w:val="Hipervnculo"/>
            <w:rFonts w:ascii="Arial" w:hAnsi="Arial" w:cs="Arial"/>
            <w:sz w:val="22"/>
            <w:szCs w:val="22"/>
            <w:lang w:val="es-ES_tradnl"/>
          </w:rPr>
          <w:t>comunicacionsocial@inegi.org.mx</w:t>
        </w:r>
      </w:hyperlink>
      <w:r w:rsidRPr="00932F52">
        <w:rPr>
          <w:rFonts w:ascii="Arial" w:hAnsi="Arial" w:cs="Arial"/>
          <w:sz w:val="22"/>
          <w:szCs w:val="22"/>
          <w:lang w:val="es-ES_tradnl"/>
        </w:rPr>
        <w:t xml:space="preserve">    </w:t>
      </w:r>
    </w:p>
    <w:p w14:paraId="45070FB1" w14:textId="77777777" w:rsidR="00932F52" w:rsidRPr="00932F52" w:rsidRDefault="00932F52" w:rsidP="00932F52">
      <w:pPr>
        <w:pStyle w:val="NormalWeb"/>
        <w:spacing w:before="0" w:beforeAutospacing="0" w:after="0" w:afterAutospacing="0"/>
        <w:ind w:left="-426" w:right="-518"/>
        <w:contextualSpacing/>
        <w:jc w:val="center"/>
        <w:rPr>
          <w:rFonts w:ascii="Arial" w:hAnsi="Arial" w:cs="Arial"/>
          <w:sz w:val="22"/>
          <w:szCs w:val="22"/>
          <w:lang w:val="es-ES_tradnl"/>
        </w:rPr>
      </w:pPr>
      <w:r w:rsidRPr="00932F52">
        <w:rPr>
          <w:rFonts w:ascii="Arial" w:hAnsi="Arial" w:cs="Arial"/>
          <w:sz w:val="22"/>
          <w:szCs w:val="22"/>
          <w:lang w:val="es-ES_tradnl"/>
        </w:rPr>
        <w:t xml:space="preserve">o llamar al teléfono (55) 52-78-10-00, </w:t>
      </w:r>
      <w:proofErr w:type="spellStart"/>
      <w:r w:rsidRPr="00932F52">
        <w:rPr>
          <w:rFonts w:ascii="Arial" w:hAnsi="Arial" w:cs="Arial"/>
          <w:sz w:val="22"/>
          <w:szCs w:val="22"/>
          <w:lang w:val="es-ES_tradnl"/>
        </w:rPr>
        <w:t>exts</w:t>
      </w:r>
      <w:proofErr w:type="spellEnd"/>
      <w:r w:rsidRPr="00932F52">
        <w:rPr>
          <w:rFonts w:ascii="Arial" w:hAnsi="Arial" w:cs="Arial"/>
          <w:sz w:val="22"/>
          <w:szCs w:val="22"/>
          <w:lang w:val="es-ES_tradnl"/>
        </w:rPr>
        <w:t>. 321064, 321134 y 321241</w:t>
      </w:r>
    </w:p>
    <w:p w14:paraId="3AF1D6BD" w14:textId="77777777" w:rsidR="00932F52" w:rsidRPr="00932F52" w:rsidRDefault="00932F52" w:rsidP="00932F52">
      <w:pPr>
        <w:pStyle w:val="NormalWeb"/>
        <w:spacing w:before="0" w:beforeAutospacing="0" w:after="0" w:afterAutospacing="0"/>
        <w:ind w:left="-426" w:right="-518"/>
        <w:contextualSpacing/>
        <w:jc w:val="center"/>
        <w:rPr>
          <w:rFonts w:ascii="Arial" w:hAnsi="Arial" w:cs="Arial"/>
        </w:rPr>
      </w:pPr>
    </w:p>
    <w:p w14:paraId="6AC7D78A" w14:textId="77777777" w:rsidR="00932F52" w:rsidRPr="00932F52" w:rsidRDefault="00932F52" w:rsidP="00932F52">
      <w:pPr>
        <w:pStyle w:val="NormalWeb"/>
        <w:spacing w:before="0" w:beforeAutospacing="0" w:after="0" w:afterAutospacing="0"/>
        <w:ind w:left="-426" w:right="-518"/>
        <w:contextualSpacing/>
        <w:jc w:val="center"/>
        <w:rPr>
          <w:rFonts w:ascii="Arial" w:hAnsi="Arial" w:cs="Arial"/>
          <w:sz w:val="22"/>
          <w:szCs w:val="22"/>
        </w:rPr>
      </w:pPr>
      <w:r w:rsidRPr="00932F52">
        <w:rPr>
          <w:rFonts w:ascii="Arial" w:hAnsi="Arial" w:cs="Arial"/>
          <w:sz w:val="22"/>
          <w:szCs w:val="22"/>
        </w:rPr>
        <w:t>Dirección de Atención a Medios / Dirección General Adjunta de Comunicación</w:t>
      </w:r>
    </w:p>
    <w:p w14:paraId="0FA4C2E5" w14:textId="77777777" w:rsidR="00932F52" w:rsidRPr="000C3230" w:rsidRDefault="00932F52" w:rsidP="00932F52">
      <w:pPr>
        <w:pStyle w:val="NormalWeb"/>
        <w:spacing w:before="0" w:beforeAutospacing="0" w:after="0" w:afterAutospacing="0"/>
        <w:ind w:left="-426" w:right="-518"/>
        <w:contextualSpacing/>
        <w:jc w:val="center"/>
      </w:pPr>
    </w:p>
    <w:p w14:paraId="15AEAA65" w14:textId="77777777" w:rsidR="00AB69C8" w:rsidRPr="0028467E" w:rsidRDefault="00AB69C8" w:rsidP="00AB69C8">
      <w:pPr>
        <w:pStyle w:val="NormalWeb"/>
        <w:spacing w:before="0" w:beforeAutospacing="0" w:after="0" w:afterAutospacing="0"/>
        <w:ind w:left="-426" w:right="-518"/>
        <w:contextualSpacing/>
        <w:jc w:val="center"/>
        <w:rPr>
          <w:rFonts w:ascii="Arial" w:hAnsi="Arial" w:cs="Arial"/>
        </w:rPr>
      </w:pPr>
    </w:p>
    <w:p w14:paraId="68CBAD42" w14:textId="77777777" w:rsidR="00AB69C8" w:rsidRPr="008F0992" w:rsidRDefault="00AB69C8" w:rsidP="00AB69C8">
      <w:pPr>
        <w:spacing w:before="120"/>
        <w:ind w:left="-425" w:right="-516"/>
        <w:contextualSpacing/>
        <w:jc w:val="center"/>
        <w:rPr>
          <w:noProof/>
          <w:lang w:eastAsia="es-MX"/>
        </w:rPr>
      </w:pPr>
      <w:r w:rsidRPr="00FF1218">
        <w:rPr>
          <w:noProof/>
          <w:lang w:val="es-MX" w:eastAsia="es-MX"/>
        </w:rPr>
        <w:drawing>
          <wp:inline distT="0" distB="0" distL="0" distR="0" wp14:anchorId="68C2A6E3" wp14:editId="08B95223">
            <wp:extent cx="393073" cy="365760"/>
            <wp:effectExtent l="0" t="0" r="6985"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698" cy="366342"/>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E28D95" wp14:editId="4E5E743B">
            <wp:extent cx="365760" cy="365760"/>
            <wp:effectExtent l="0" t="0" r="0" b="0"/>
            <wp:docPr id="7" name="Imagen 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9DD2E1" wp14:editId="79AFB43D">
            <wp:extent cx="365760" cy="365760"/>
            <wp:effectExtent l="0" t="0" r="0"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A27255" wp14:editId="47090F8E">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1A68AE9" wp14:editId="2D2BDBB2">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18E09AB" w14:textId="11159501" w:rsidR="00932F52" w:rsidRDefault="00932F52" w:rsidP="001E36D2">
      <w:pPr>
        <w:keepNext/>
        <w:keepLines/>
        <w:spacing w:before="200"/>
      </w:pPr>
    </w:p>
    <w:p w14:paraId="0401FD77" w14:textId="77777777" w:rsidR="00932F52" w:rsidRPr="0058535B" w:rsidRDefault="00932F52" w:rsidP="001E36D2">
      <w:pPr>
        <w:keepNext/>
        <w:keepLines/>
        <w:spacing w:before="200"/>
      </w:pPr>
    </w:p>
    <w:p w14:paraId="4CEAC1C8" w14:textId="6518EF91" w:rsidR="001E36D2" w:rsidRDefault="001E36D2" w:rsidP="001E36D2">
      <w:pPr>
        <w:spacing w:before="240"/>
        <w:ind w:right="50"/>
        <w:rPr>
          <w:b/>
          <w:spacing w:val="6"/>
          <w:sz w:val="22"/>
          <w:szCs w:val="22"/>
        </w:rPr>
      </w:pPr>
    </w:p>
    <w:p w14:paraId="08D1B366" w14:textId="77777777" w:rsidR="00CF0CA0" w:rsidRDefault="00CF0CA0">
      <w:pPr>
        <w:jc w:val="left"/>
        <w:rPr>
          <w:b/>
          <w:spacing w:val="6"/>
          <w:sz w:val="22"/>
          <w:szCs w:val="22"/>
        </w:rPr>
        <w:sectPr w:rsidR="00CF0CA0" w:rsidSect="001625B5">
          <w:headerReference w:type="default" r:id="rId19"/>
          <w:footerReference w:type="default" r:id="rId20"/>
          <w:pgSz w:w="12242" w:h="15842" w:code="119"/>
          <w:pgMar w:top="1701" w:right="1418" w:bottom="1134" w:left="1418" w:header="567" w:footer="680" w:gutter="0"/>
          <w:paperSrc w:first="15" w:other="15"/>
          <w:pgNumType w:start="1"/>
          <w:cols w:space="720"/>
          <w:docGrid w:linePitch="360"/>
        </w:sectPr>
      </w:pPr>
      <w:r>
        <w:rPr>
          <w:b/>
          <w:spacing w:val="6"/>
          <w:sz w:val="22"/>
          <w:szCs w:val="22"/>
        </w:rPr>
        <w:br w:type="page"/>
      </w:r>
    </w:p>
    <w:p w14:paraId="4EA57402" w14:textId="77777777" w:rsidR="00AB69C8" w:rsidRPr="00AB69C8" w:rsidRDefault="00AB69C8" w:rsidP="00932F52">
      <w:pPr>
        <w:jc w:val="center"/>
        <w:rPr>
          <w:b/>
          <w:spacing w:val="6"/>
        </w:rPr>
      </w:pPr>
      <w:r w:rsidRPr="00AB69C8">
        <w:rPr>
          <w:b/>
          <w:spacing w:val="6"/>
        </w:rPr>
        <w:lastRenderedPageBreak/>
        <w:t>ANEXO</w:t>
      </w:r>
    </w:p>
    <w:p w14:paraId="563041CD" w14:textId="77777777" w:rsidR="00AB69C8" w:rsidRPr="00AB69C8" w:rsidRDefault="00AB69C8" w:rsidP="00932F52">
      <w:pPr>
        <w:jc w:val="center"/>
        <w:rPr>
          <w:b/>
          <w:spacing w:val="6"/>
        </w:rPr>
      </w:pPr>
    </w:p>
    <w:p w14:paraId="08AB8CAF" w14:textId="3C6051D6" w:rsidR="00CF0CA0" w:rsidRPr="00AB69C8" w:rsidRDefault="00CF0CA0" w:rsidP="00932F52">
      <w:pPr>
        <w:jc w:val="center"/>
        <w:rPr>
          <w:b/>
          <w:spacing w:val="6"/>
        </w:rPr>
      </w:pPr>
      <w:r w:rsidRPr="00AB69C8">
        <w:rPr>
          <w:b/>
          <w:spacing w:val="6"/>
        </w:rPr>
        <w:t>NOTA TÉCNICA</w:t>
      </w:r>
    </w:p>
    <w:p w14:paraId="5D2B1C47" w14:textId="60B203C8" w:rsidR="00CF0CA0" w:rsidRDefault="00CF0CA0">
      <w:pPr>
        <w:jc w:val="left"/>
        <w:rPr>
          <w:b/>
          <w:spacing w:val="6"/>
          <w:sz w:val="22"/>
          <w:szCs w:val="22"/>
        </w:rPr>
      </w:pPr>
    </w:p>
    <w:p w14:paraId="18DCE30E" w14:textId="1E36B38F" w:rsidR="005B5378" w:rsidRDefault="00A46C32" w:rsidP="00AB69C8">
      <w:pPr>
        <w:widowControl w:val="0"/>
        <w:spacing w:before="200"/>
        <w:ind w:left="-284" w:right="-233"/>
      </w:pPr>
      <w:r w:rsidRPr="000A6510">
        <w:t xml:space="preserve">El Instituto Nacional de Estadística y Geografía </w:t>
      </w:r>
      <w:r w:rsidR="00296D4F">
        <w:t xml:space="preserve">(INEGI) </w:t>
      </w:r>
      <w:r w:rsidRPr="000A6510">
        <w:t xml:space="preserve">da a </w:t>
      </w:r>
      <w:r w:rsidRPr="00B71F94">
        <w:t>conocer</w:t>
      </w:r>
      <w:r w:rsidR="0024401E" w:rsidRPr="00B71F94">
        <w:t xml:space="preserve"> el Indicador Global de Opinión Empresarial de Tendencia (IGOET)</w:t>
      </w:r>
      <w:r w:rsidR="00760F98" w:rsidRPr="00B71F94">
        <w:t>,</w:t>
      </w:r>
      <w:r w:rsidR="00BE01E0">
        <w:t xml:space="preserve"> así como</w:t>
      </w:r>
      <w:r w:rsidRPr="00B71F94">
        <w:t xml:space="preserve"> </w:t>
      </w:r>
      <w:r w:rsidR="008153B0" w:rsidRPr="00B71F94">
        <w:t>los</w:t>
      </w:r>
      <w:r w:rsidR="003A66EA" w:rsidRPr="00B71F94">
        <w:t xml:space="preserve"> Indicador</w:t>
      </w:r>
      <w:r w:rsidR="006B4A2E" w:rsidRPr="00B71F94">
        <w:t>es</w:t>
      </w:r>
      <w:r w:rsidR="003A66EA" w:rsidRPr="00B71F94">
        <w:t xml:space="preserve"> Agregado</w:t>
      </w:r>
      <w:r w:rsidR="006B4A2E" w:rsidRPr="00B71F94">
        <w:t>s</w:t>
      </w:r>
      <w:r w:rsidR="003A66EA" w:rsidRPr="00B71F94">
        <w:t xml:space="preserve"> de Tendencia (IAT) </w:t>
      </w:r>
      <w:r w:rsidR="008153B0" w:rsidRPr="00B71F94">
        <w:t xml:space="preserve">y las </w:t>
      </w:r>
      <w:r w:rsidR="007D4EE5" w:rsidRPr="00B71F94">
        <w:t>e</w:t>
      </w:r>
      <w:r w:rsidR="008153B0" w:rsidRPr="00B71F94">
        <w:t xml:space="preserve">xpectativas </w:t>
      </w:r>
      <w:r w:rsidR="007D4EE5" w:rsidRPr="00B71F94">
        <w:t>e</w:t>
      </w:r>
      <w:r w:rsidR="008153B0" w:rsidRPr="00B71F94">
        <w:t xml:space="preserve">mpresariales </w:t>
      </w:r>
      <w:r w:rsidR="008577B8">
        <w:t>que</w:t>
      </w:r>
      <w:r w:rsidR="006B4A2E" w:rsidRPr="00B71F94">
        <w:t xml:space="preserve"> </w:t>
      </w:r>
      <w:r w:rsidR="0061069F" w:rsidRPr="00B71F94">
        <w:t xml:space="preserve">se basan en </w:t>
      </w:r>
      <w:r w:rsidRPr="00B71F94">
        <w:t>la opinión de</w:t>
      </w:r>
      <w:r w:rsidR="00D47916">
        <w:t xml:space="preserve"> las y</w:t>
      </w:r>
      <w:r w:rsidR="00DF63B1" w:rsidRPr="00B71F94">
        <w:t xml:space="preserve"> </w:t>
      </w:r>
      <w:r w:rsidRPr="00B71F94">
        <w:t>l</w:t>
      </w:r>
      <w:r w:rsidR="00DF63B1" w:rsidRPr="00B71F94">
        <w:t>os</w:t>
      </w:r>
      <w:r w:rsidRPr="00B71F94">
        <w:t xml:space="preserve"> directivo</w:t>
      </w:r>
      <w:r w:rsidR="00DF63B1" w:rsidRPr="00B71F94">
        <w:t>s</w:t>
      </w:r>
      <w:r w:rsidRPr="00B71F94">
        <w:t xml:space="preserve"> empresarial</w:t>
      </w:r>
      <w:r w:rsidR="00DF63B1" w:rsidRPr="00B71F94">
        <w:t>es</w:t>
      </w:r>
      <w:r w:rsidR="00125A8E" w:rsidRPr="00B71F94">
        <w:t xml:space="preserve">. </w:t>
      </w:r>
      <w:r w:rsidR="00D23FCD" w:rsidRPr="00B71F94">
        <w:t>Estos indicadores</w:t>
      </w:r>
      <w:r w:rsidR="00125A8E" w:rsidRPr="00B71F94">
        <w:t xml:space="preserve"> permiten dar seguimiento a la percepción en</w:t>
      </w:r>
      <w:r w:rsidR="0070016D" w:rsidRPr="00B71F94">
        <w:t xml:space="preserve"> </w:t>
      </w:r>
      <w:r w:rsidRPr="00B71F94">
        <w:t>l</w:t>
      </w:r>
      <w:r w:rsidR="0070016D" w:rsidRPr="00B71F94">
        <w:t>os</w:t>
      </w:r>
      <w:r w:rsidRPr="00B71F94">
        <w:t xml:space="preserve"> sector</w:t>
      </w:r>
      <w:r w:rsidR="0070016D" w:rsidRPr="00B71F94">
        <w:t>es</w:t>
      </w:r>
      <w:r w:rsidR="00546288">
        <w:t xml:space="preserve"> Industrias m</w:t>
      </w:r>
      <w:r w:rsidRPr="00B71F94">
        <w:t>anufacturer</w:t>
      </w:r>
      <w:r w:rsidR="00546288">
        <w:t>as</w:t>
      </w:r>
      <w:r w:rsidRPr="00B71F94">
        <w:t xml:space="preserve">, </w:t>
      </w:r>
      <w:r w:rsidR="00AD52BC" w:rsidRPr="00B71F94">
        <w:t>C</w:t>
      </w:r>
      <w:r w:rsidRPr="00B71F94">
        <w:t>onstrucción</w:t>
      </w:r>
      <w:r w:rsidR="00DC0118" w:rsidRPr="00B71F94">
        <w:t>,</w:t>
      </w:r>
      <w:r w:rsidRPr="00B71F94">
        <w:t xml:space="preserve"> </w:t>
      </w:r>
      <w:r w:rsidR="00AD52BC" w:rsidRPr="00B71F94">
        <w:t>C</w:t>
      </w:r>
      <w:r w:rsidRPr="00B71F94">
        <w:t>omercio</w:t>
      </w:r>
      <w:r w:rsidR="00DC0118" w:rsidRPr="00B71F94">
        <w:t xml:space="preserve"> y </w:t>
      </w:r>
      <w:r w:rsidR="00AD52BC" w:rsidRPr="00B71F94">
        <w:t>S</w:t>
      </w:r>
      <w:r w:rsidR="00DC0118" w:rsidRPr="00B71F94">
        <w:t xml:space="preserve">ervicios </w:t>
      </w:r>
      <w:r w:rsidR="00C469E9">
        <w:t>p</w:t>
      </w:r>
      <w:r w:rsidR="00DC0118" w:rsidRPr="00B71F94">
        <w:t xml:space="preserve">rivados </w:t>
      </w:r>
      <w:r w:rsidR="000D33ED" w:rsidRPr="00B71F94">
        <w:t>n</w:t>
      </w:r>
      <w:r w:rsidR="00DC0118" w:rsidRPr="00B71F94">
        <w:t xml:space="preserve">o </w:t>
      </w:r>
      <w:r w:rsidR="00C469E9">
        <w:t>f</w:t>
      </w:r>
      <w:r w:rsidR="00DC0118" w:rsidRPr="00B71F94">
        <w:t>inancieros</w:t>
      </w:r>
      <w:r w:rsidR="00546288">
        <w:t>,</w:t>
      </w:r>
      <w:r w:rsidRPr="00B71F94">
        <w:t xml:space="preserve"> sobre la situación que presenta su empresa con relación a variables </w:t>
      </w:r>
      <w:r w:rsidR="00D23FCD" w:rsidRPr="00B71F94">
        <w:t>específicas</w:t>
      </w:r>
      <w:r w:rsidR="00DB16CD">
        <w:t>.</w:t>
      </w:r>
      <w:r w:rsidRPr="00B71F94">
        <w:t xml:space="preserve"> </w:t>
      </w:r>
    </w:p>
    <w:p w14:paraId="2F83B833" w14:textId="25F1DDA2" w:rsidR="00EF7DF9" w:rsidRPr="000A6510" w:rsidRDefault="00DB16CD" w:rsidP="00AB69C8">
      <w:pPr>
        <w:widowControl w:val="0"/>
        <w:spacing w:before="240"/>
        <w:ind w:left="-284" w:right="-233"/>
      </w:pPr>
      <w:r>
        <w:t>E</w:t>
      </w:r>
      <w:r w:rsidR="00A46C32" w:rsidRPr="00B71F94">
        <w:t>n los establecimientos manufactureros</w:t>
      </w:r>
      <w:r w:rsidR="000F7D9A">
        <w:t>,</w:t>
      </w:r>
      <w:r w:rsidR="00A46C32" w:rsidRPr="00B71F94">
        <w:t xml:space="preserve"> </w:t>
      </w:r>
      <w:r>
        <w:t xml:space="preserve">estas variables se refieren a </w:t>
      </w:r>
      <w:r w:rsidR="00A46C32" w:rsidRPr="00B71F94">
        <w:t>la producción</w:t>
      </w:r>
      <w:r>
        <w:t>,</w:t>
      </w:r>
      <w:r w:rsidR="00A46C32" w:rsidRPr="00B71F94">
        <w:t xml:space="preserve"> </w:t>
      </w:r>
      <w:r w:rsidR="0070016D" w:rsidRPr="00B71F94">
        <w:t xml:space="preserve">capacidad de planta </w:t>
      </w:r>
      <w:r w:rsidR="00A46C32" w:rsidRPr="00B71F94">
        <w:t>utiliza</w:t>
      </w:r>
      <w:r w:rsidR="0070016D" w:rsidRPr="00B71F94">
        <w:t>da</w:t>
      </w:r>
      <w:r w:rsidR="00A46C32" w:rsidRPr="00B71F94">
        <w:t>, demanda nacional de sus productos, exportaciones</w:t>
      </w:r>
      <w:r w:rsidR="00807592" w:rsidRPr="00B71F94">
        <w:t xml:space="preserve"> y</w:t>
      </w:r>
      <w:r w:rsidR="00A46C32" w:rsidRPr="00B71F94">
        <w:t xml:space="preserve"> personal ocupado</w:t>
      </w:r>
      <w:r w:rsidR="002A4CB2" w:rsidRPr="00B71F94">
        <w:t xml:space="preserve"> total</w:t>
      </w:r>
      <w:r w:rsidR="00F2307B">
        <w:t>.</w:t>
      </w:r>
      <w:r w:rsidR="00D4687A" w:rsidRPr="00B71F94">
        <w:rPr>
          <w:rStyle w:val="Refdenotaalpie"/>
        </w:rPr>
        <w:footnoteReference w:id="3"/>
      </w:r>
      <w:r w:rsidR="00A46C32" w:rsidRPr="00B71F94">
        <w:t xml:space="preserve"> </w:t>
      </w:r>
      <w:r>
        <w:t>E</w:t>
      </w:r>
      <w:r w:rsidR="00A46C32" w:rsidRPr="00B71F94">
        <w:t>n la construcción</w:t>
      </w:r>
      <w:r w:rsidR="00597A9B">
        <w:t>,</w:t>
      </w:r>
      <w:r w:rsidR="007E5851">
        <w:t xml:space="preserve"> las variables son: </w:t>
      </w:r>
      <w:r w:rsidR="004754EB">
        <w:t xml:space="preserve">valor de </w:t>
      </w:r>
      <w:r w:rsidR="00A46C32" w:rsidRPr="00B71F94">
        <w:t xml:space="preserve">las obras ejecutadas como contratista principal, valor de las obras ejecutadas como subcontratista, total de contratos y subcontratos, </w:t>
      </w:r>
      <w:r w:rsidR="2EBF987D" w:rsidRPr="00B71F94">
        <w:t xml:space="preserve">así como </w:t>
      </w:r>
      <w:r w:rsidR="00A46C32" w:rsidRPr="00B71F94">
        <w:t>personal ocupado</w:t>
      </w:r>
      <w:r w:rsidR="002A4CB2" w:rsidRPr="00B71F94">
        <w:t xml:space="preserve"> total</w:t>
      </w:r>
      <w:r>
        <w:t>. E</w:t>
      </w:r>
      <w:r w:rsidR="00A46C32" w:rsidRPr="00B71F94">
        <w:t xml:space="preserve">n </w:t>
      </w:r>
      <w:r w:rsidR="002A4E01">
        <w:t>e</w:t>
      </w:r>
      <w:r w:rsidR="00A46C32" w:rsidRPr="00B71F94">
        <w:t>l comercio</w:t>
      </w:r>
      <w:r w:rsidR="00D21E86">
        <w:t>:</w:t>
      </w:r>
      <w:r w:rsidR="00A46C32" w:rsidRPr="00B71F94">
        <w:t xml:space="preserve"> </w:t>
      </w:r>
      <w:r>
        <w:t xml:space="preserve">las </w:t>
      </w:r>
      <w:r w:rsidR="00A46C32" w:rsidRPr="00B71F94">
        <w:t>ventas netas, ingresos por consignación y/</w:t>
      </w:r>
      <w:r w:rsidR="005F6058">
        <w:t xml:space="preserve"> </w:t>
      </w:r>
      <w:r w:rsidR="00A46C32" w:rsidRPr="00B71F94">
        <w:t>o comisión, compras netas, inventarios de mercancías y personal ocupado</w:t>
      </w:r>
      <w:r w:rsidR="002A4CB2" w:rsidRPr="00B71F94">
        <w:t xml:space="preserve"> total</w:t>
      </w:r>
      <w:r w:rsidR="0093152D">
        <w:t>. P</w:t>
      </w:r>
      <w:r>
        <w:t xml:space="preserve">or último, </w:t>
      </w:r>
      <w:r w:rsidR="009F087D" w:rsidRPr="00B71F94">
        <w:t>en los servicios privados no financieros</w:t>
      </w:r>
      <w:r w:rsidR="00D23FCD" w:rsidRPr="00B71F94">
        <w:t xml:space="preserve">, </w:t>
      </w:r>
      <w:r>
        <w:t xml:space="preserve">las variables corresponden a </w:t>
      </w:r>
      <w:r w:rsidR="002A4CB2" w:rsidRPr="00B71F94">
        <w:t>los i</w:t>
      </w:r>
      <w:r w:rsidR="009F087D" w:rsidRPr="00B71F94">
        <w:t>ngresos por la prestación de servicios</w:t>
      </w:r>
      <w:r w:rsidR="002A4CB2" w:rsidRPr="00B71F94">
        <w:t>, d</w:t>
      </w:r>
      <w:r w:rsidR="009F087D" w:rsidRPr="00B71F94">
        <w:t>emanda nacional</w:t>
      </w:r>
      <w:r w:rsidR="00C841C5" w:rsidRPr="00B71F94">
        <w:t xml:space="preserve"> de servicios</w:t>
      </w:r>
      <w:r w:rsidR="002A4CB2" w:rsidRPr="00B71F94">
        <w:t>, g</w:t>
      </w:r>
      <w:r w:rsidR="009F087D" w:rsidRPr="00B71F94">
        <w:t>astos por consumo de bienes y servicios</w:t>
      </w:r>
      <w:r w:rsidR="002A4CB2" w:rsidRPr="00B71F94">
        <w:t xml:space="preserve">, </w:t>
      </w:r>
      <w:r w:rsidR="05534359" w:rsidRPr="00B71F94">
        <w:t>además de</w:t>
      </w:r>
      <w:r w:rsidR="76E04669" w:rsidRPr="00B71F94">
        <w:t xml:space="preserve"> </w:t>
      </w:r>
      <w:r w:rsidR="002A4CB2" w:rsidRPr="00B71F94">
        <w:t>p</w:t>
      </w:r>
      <w:r w:rsidR="009F087D" w:rsidRPr="00B71F94">
        <w:t>ersonal ocupado total</w:t>
      </w:r>
      <w:r w:rsidR="00A46C32" w:rsidRPr="00B71F94">
        <w:t xml:space="preserve">. </w:t>
      </w:r>
      <w:r w:rsidR="00EF7DF9">
        <w:t>Estos indicadores tienen</w:t>
      </w:r>
      <w:r w:rsidR="00EF7DF9" w:rsidRPr="000A6510">
        <w:t xml:space="preserve"> periodicidad mensual y se elabora</w:t>
      </w:r>
      <w:r w:rsidR="00EF7DF9">
        <w:t>n</w:t>
      </w:r>
      <w:r w:rsidR="00EF7DF9" w:rsidRPr="000A6510">
        <w:t xml:space="preserve"> con base en los resultados de la Encuesta Mensual de Opinión Empresarial (EMOE).</w:t>
      </w:r>
    </w:p>
    <w:p w14:paraId="0217A8E5" w14:textId="77777777" w:rsidR="00DB16CD" w:rsidRPr="00DF29FC" w:rsidRDefault="00DB16CD" w:rsidP="00AB69C8">
      <w:pPr>
        <w:pStyle w:val="Textoindependiente"/>
        <w:widowControl w:val="0"/>
        <w:spacing w:before="360"/>
        <w:ind w:left="-284" w:right="-233"/>
        <w:rPr>
          <w:b/>
          <w:smallCaps/>
          <w:color w:val="auto"/>
          <w:szCs w:val="22"/>
          <w:lang w:val="es-ES"/>
        </w:rPr>
      </w:pPr>
      <w:r w:rsidRPr="00DF29FC">
        <w:rPr>
          <w:b/>
          <w:smallCaps/>
          <w:color w:val="auto"/>
          <w:szCs w:val="22"/>
          <w:lang w:val="es-ES"/>
        </w:rPr>
        <w:t>Cifras desestacionalizadas</w:t>
      </w:r>
    </w:p>
    <w:p w14:paraId="60B713A2" w14:textId="4180B9B6" w:rsidR="00932F52" w:rsidRDefault="00B45B99" w:rsidP="00AB69C8">
      <w:pPr>
        <w:widowControl w:val="0"/>
        <w:spacing w:before="240"/>
        <w:ind w:left="-284" w:right="-233"/>
      </w:pPr>
      <w:r>
        <w:rPr>
          <w:lang w:val="es-ES"/>
        </w:rPr>
        <w:t>En enero</w:t>
      </w:r>
      <w:r>
        <w:t xml:space="preserve"> de 2023</w:t>
      </w:r>
      <w:r w:rsidR="00BC05F9">
        <w:t>,</w:t>
      </w:r>
      <w:r w:rsidR="00703413">
        <w:t xml:space="preserve"> </w:t>
      </w:r>
      <w:r w:rsidR="00244AA7" w:rsidRPr="000A6510">
        <w:t xml:space="preserve">el </w:t>
      </w:r>
      <w:r w:rsidR="00244AA7" w:rsidRPr="000A6510">
        <w:rPr>
          <w:b/>
        </w:rPr>
        <w:t>I</w:t>
      </w:r>
      <w:r w:rsidR="00B16016">
        <w:rPr>
          <w:b/>
        </w:rPr>
        <w:t xml:space="preserve">AT </w:t>
      </w:r>
      <w:r w:rsidR="00244AA7" w:rsidRPr="000A6510">
        <w:rPr>
          <w:b/>
        </w:rPr>
        <w:t xml:space="preserve">del </w:t>
      </w:r>
      <w:r w:rsidR="0079792F">
        <w:rPr>
          <w:b/>
        </w:rPr>
        <w:t>s</w:t>
      </w:r>
      <w:r w:rsidR="00244AA7" w:rsidRPr="000A6510">
        <w:rPr>
          <w:b/>
        </w:rPr>
        <w:t xml:space="preserve">ector </w:t>
      </w:r>
      <w:r w:rsidR="002D2168">
        <w:rPr>
          <w:b/>
        </w:rPr>
        <w:t>Industrias manufactureras</w:t>
      </w:r>
      <w:r w:rsidR="002778D5">
        <w:t xml:space="preserve"> se </w:t>
      </w:r>
      <w:r w:rsidR="00551D6B">
        <w:t>situó</w:t>
      </w:r>
      <w:r w:rsidR="0093152D" w:rsidRPr="000A6510">
        <w:t xml:space="preserve"> </w:t>
      </w:r>
      <w:r w:rsidR="00244AA7" w:rsidRPr="000A6510">
        <w:t xml:space="preserve">en </w:t>
      </w:r>
      <w:r w:rsidR="002672D3">
        <w:t>5</w:t>
      </w:r>
      <w:r w:rsidR="006D24A7">
        <w:t>2</w:t>
      </w:r>
      <w:r w:rsidR="00703413">
        <w:t xml:space="preserve"> puntos</w:t>
      </w:r>
      <w:r w:rsidR="76EBDF9E">
        <w:t>,</w:t>
      </w:r>
      <w:r w:rsidR="00711D85">
        <w:t xml:space="preserve"> </w:t>
      </w:r>
      <w:r w:rsidR="00BF68BD">
        <w:t xml:space="preserve">lo que </w:t>
      </w:r>
      <w:r w:rsidR="00711D85">
        <w:t>significó</w:t>
      </w:r>
      <w:r w:rsidR="00703413">
        <w:t xml:space="preserve"> </w:t>
      </w:r>
      <w:r w:rsidR="00F11D08">
        <w:t>un crecimiento de</w:t>
      </w:r>
      <w:r w:rsidR="004C0018">
        <w:t xml:space="preserve"> 0</w:t>
      </w:r>
      <w:r w:rsidR="006D24A7">
        <w:t>.3</w:t>
      </w:r>
      <w:r w:rsidR="00853139">
        <w:t xml:space="preserve"> punto</w:t>
      </w:r>
      <w:r w:rsidR="001F69FD">
        <w:t>s</w:t>
      </w:r>
      <w:r w:rsidR="00FF31A9">
        <w:t xml:space="preserve"> </w:t>
      </w:r>
      <w:r>
        <w:t>con relación al nivel del último mes de 2022</w:t>
      </w:r>
      <w:r w:rsidR="00244AA7" w:rsidRPr="000A6510">
        <w:t xml:space="preserve">. </w:t>
      </w:r>
      <w:r w:rsidR="008D4E8D" w:rsidRPr="000A6510">
        <w:t>De esta manera,</w:t>
      </w:r>
      <w:r w:rsidR="00244AA7" w:rsidRPr="000A6510">
        <w:t xml:space="preserve"> el </w:t>
      </w:r>
      <w:r w:rsidR="008D4E8D" w:rsidRPr="000A6510">
        <w:t xml:space="preserve">indicador </w:t>
      </w:r>
      <w:r w:rsidR="000711F2">
        <w:t>permanece</w:t>
      </w:r>
      <w:r w:rsidR="006D24A7">
        <w:t>, por cuarto</w:t>
      </w:r>
      <w:r w:rsidR="008B6522">
        <w:t xml:space="preserve"> mes consecutivo, </w:t>
      </w:r>
      <w:r w:rsidR="0079792F" w:rsidRPr="00B00B81">
        <w:t>por arriba del umbral de los 50 puntos</w:t>
      </w:r>
      <w:r w:rsidR="00552630" w:rsidRPr="00B00B81">
        <w:t>.</w:t>
      </w:r>
    </w:p>
    <w:p w14:paraId="026145AD" w14:textId="77777777" w:rsidR="00932F52" w:rsidRDefault="00932F52">
      <w:pPr>
        <w:jc w:val="left"/>
      </w:pPr>
      <w:r>
        <w:br w:type="page"/>
      </w:r>
    </w:p>
    <w:p w14:paraId="6A7921C4" w14:textId="77777777" w:rsidR="00BC05F9" w:rsidRPr="00BC05F9" w:rsidRDefault="00BC05F9" w:rsidP="00BA60B3">
      <w:pPr>
        <w:spacing w:before="240"/>
        <w:jc w:val="center"/>
        <w:rPr>
          <w:sz w:val="20"/>
        </w:rPr>
      </w:pPr>
      <w:r w:rsidRPr="00BC05F9">
        <w:rPr>
          <w:sz w:val="20"/>
        </w:rPr>
        <w:lastRenderedPageBreak/>
        <w:t xml:space="preserve">Gráfica </w:t>
      </w:r>
      <w:r w:rsidR="0027370D">
        <w:rPr>
          <w:sz w:val="20"/>
        </w:rPr>
        <w:t>1</w:t>
      </w:r>
    </w:p>
    <w:p w14:paraId="44114CF8" w14:textId="707943DE" w:rsidR="00552630" w:rsidRPr="000A6510" w:rsidRDefault="00552630" w:rsidP="00BC05F9">
      <w:pPr>
        <w:jc w:val="center"/>
        <w:rPr>
          <w:b/>
          <w:smallCaps/>
          <w:sz w:val="22"/>
        </w:rPr>
      </w:pPr>
      <w:r w:rsidRPr="000A6510">
        <w:rPr>
          <w:b/>
          <w:smallCaps/>
          <w:sz w:val="22"/>
        </w:rPr>
        <w:t xml:space="preserve">Indicador </w:t>
      </w:r>
      <w:r w:rsidR="009C2B95">
        <w:rPr>
          <w:b/>
          <w:smallCaps/>
          <w:sz w:val="22"/>
        </w:rPr>
        <w:t>A</w:t>
      </w:r>
      <w:r w:rsidRPr="000A6510">
        <w:rPr>
          <w:b/>
          <w:smallCaps/>
          <w:sz w:val="22"/>
        </w:rPr>
        <w:t xml:space="preserve">gregado de </w:t>
      </w:r>
      <w:r w:rsidR="009C2B95">
        <w:rPr>
          <w:b/>
          <w:smallCaps/>
          <w:sz w:val="22"/>
        </w:rPr>
        <w:t>T</w:t>
      </w:r>
      <w:r w:rsidRPr="000A6510">
        <w:rPr>
          <w:b/>
          <w:smallCaps/>
          <w:sz w:val="22"/>
        </w:rPr>
        <w:t>endencia</w:t>
      </w:r>
      <w:r w:rsidR="0079792F">
        <w:rPr>
          <w:b/>
          <w:smallCaps/>
          <w:sz w:val="22"/>
        </w:rPr>
        <w:t xml:space="preserve"> del sector</w:t>
      </w:r>
      <w:r w:rsidRPr="000A6510">
        <w:rPr>
          <w:b/>
          <w:smallCaps/>
          <w:sz w:val="22"/>
        </w:rPr>
        <w:t xml:space="preserve"> manufacturero</w:t>
      </w:r>
    </w:p>
    <w:p w14:paraId="66C2AE18" w14:textId="406C7044" w:rsidR="00552630" w:rsidRPr="000A6510" w:rsidRDefault="00BF15FF" w:rsidP="00552630">
      <w:pPr>
        <w:jc w:val="center"/>
        <w:rPr>
          <w:b/>
          <w:smallCaps/>
          <w:sz w:val="22"/>
          <w:szCs w:val="22"/>
        </w:rPr>
      </w:pPr>
      <w:r>
        <w:rPr>
          <w:noProof/>
          <w:lang w:val="es-MX" w:eastAsia="es-MX"/>
        </w:rPr>
        <w:drawing>
          <wp:inline distT="0" distB="0" distL="0" distR="0" wp14:anchorId="1B1BC629" wp14:editId="0C47ED60">
            <wp:extent cx="4320000" cy="2520000"/>
            <wp:effectExtent l="0" t="0" r="23495" b="33020"/>
            <wp:docPr id="11" name="Gráfico 11">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9DAD0D"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1D04BFDD" w14:textId="60EB4D2F" w:rsidR="00552630" w:rsidRPr="000A6510" w:rsidRDefault="00552630" w:rsidP="00AB69C8">
      <w:pPr>
        <w:keepNext/>
        <w:keepLines/>
        <w:widowControl w:val="0"/>
        <w:spacing w:before="360"/>
        <w:ind w:left="-284" w:right="-233"/>
      </w:pPr>
      <w:r w:rsidRPr="000A6510">
        <w:t xml:space="preserve">El resultado mensual se derivó </w:t>
      </w:r>
      <w:r w:rsidR="007504AB">
        <w:t>de alzas en</w:t>
      </w:r>
      <w:r w:rsidR="000F2739">
        <w:t xml:space="preserve"> </w:t>
      </w:r>
      <w:r w:rsidR="00C61D6E">
        <w:t xml:space="preserve">cuatro de </w:t>
      </w:r>
      <w:r w:rsidR="000F2739">
        <w:t>sus</w:t>
      </w:r>
      <w:r w:rsidR="00BC05F9">
        <w:t xml:space="preserve"> cinco</w:t>
      </w:r>
      <w:r w:rsidR="00EE0DF1">
        <w:t xml:space="preserve"> </w:t>
      </w:r>
      <w:r w:rsidRPr="000A6510">
        <w:t>componente</w:t>
      </w:r>
      <w:r w:rsidR="002C0D8A" w:rsidRPr="000A6510">
        <w:t>s</w:t>
      </w:r>
      <w:r w:rsidR="00C61D6E">
        <w:t xml:space="preserve"> y de la disminución </w:t>
      </w:r>
      <w:r w:rsidR="00147434">
        <w:t xml:space="preserve">en </w:t>
      </w:r>
      <w:r w:rsidR="00C61D6E">
        <w:t xml:space="preserve">el restante, </w:t>
      </w:r>
      <w:r w:rsidRPr="000A6510">
        <w:t>como se muestra en el cuadro siguiente:</w:t>
      </w:r>
    </w:p>
    <w:p w14:paraId="5A414997"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15B10A90" w14:textId="0F3A6015"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w:t>
      </w:r>
      <w:r w:rsidR="0079792F">
        <w:rPr>
          <w:b/>
          <w:smallCaps/>
          <w:sz w:val="22"/>
          <w:lang w:val="es-MX"/>
        </w:rPr>
        <w:t>e</w:t>
      </w:r>
      <w:r w:rsidRPr="00E449C5">
        <w:rPr>
          <w:b/>
          <w:smallCaps/>
          <w:sz w:val="22"/>
          <w:lang w:val="es-MX"/>
        </w:rPr>
        <w:t xml:space="preserv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43EEEE95" w14:textId="77777777"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658"/>
        <w:gridCol w:w="1001"/>
        <w:gridCol w:w="1023"/>
        <w:gridCol w:w="1012"/>
        <w:gridCol w:w="450"/>
        <w:gridCol w:w="1439"/>
      </w:tblGrid>
      <w:tr w:rsidR="003355C9" w:rsidRPr="000A6510" w14:paraId="0017856A"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4043B3C7"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054B77B" w14:textId="4BCA5EAF" w:rsidR="003355C9" w:rsidRPr="000A6510" w:rsidRDefault="00B45B99" w:rsidP="00BD00AB">
            <w:pPr>
              <w:ind w:left="-108" w:right="-82"/>
              <w:jc w:val="center"/>
              <w:rPr>
                <w:spacing w:val="-4"/>
                <w:sz w:val="18"/>
                <w:szCs w:val="18"/>
              </w:rPr>
            </w:pPr>
            <w:r>
              <w:rPr>
                <w:spacing w:val="-4"/>
                <w:sz w:val="18"/>
                <w:szCs w:val="18"/>
              </w:rPr>
              <w:t>Enero</w:t>
            </w:r>
            <w:r w:rsidR="00C8701F" w:rsidRPr="000A6510">
              <w:rPr>
                <w:spacing w:val="-4"/>
                <w:sz w:val="18"/>
                <w:szCs w:val="18"/>
              </w:rPr>
              <w:br/>
              <w:t xml:space="preserve">de </w:t>
            </w:r>
            <w:r w:rsidR="00BC05F9">
              <w:rPr>
                <w:spacing w:val="-4"/>
                <w:sz w:val="18"/>
                <w:szCs w:val="18"/>
              </w:rPr>
              <w:t>202</w:t>
            </w:r>
            <w:r>
              <w:rPr>
                <w:spacing w:val="-4"/>
                <w:sz w:val="18"/>
                <w:szCs w:val="18"/>
              </w:rPr>
              <w:t>3</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D0FA986"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6CE74A3A" w14:textId="77777777"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1835F83A"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165EE2E"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E6F16CE"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6CAB7DF" w14:textId="77777777"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9FCDA74" w14:textId="597998E6"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w:t>
            </w:r>
            <w:r w:rsidR="009E52F9">
              <w:rPr>
                <w:spacing w:val="-4"/>
                <w:sz w:val="18"/>
                <w:szCs w:val="18"/>
              </w:rPr>
              <w:t>2</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45551F5" w14:textId="77777777" w:rsidR="003355C9" w:rsidRPr="000A6510" w:rsidRDefault="003355C9" w:rsidP="00D76DC5">
            <w:pPr>
              <w:tabs>
                <w:tab w:val="center" w:pos="3348"/>
              </w:tabs>
              <w:ind w:left="-84" w:right="-99"/>
              <w:jc w:val="center"/>
              <w:rPr>
                <w:sz w:val="18"/>
                <w:szCs w:val="18"/>
              </w:rPr>
            </w:pPr>
          </w:p>
        </w:tc>
      </w:tr>
      <w:tr w:rsidR="00B00A42" w:rsidRPr="00A065C1" w14:paraId="448CFB53"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98082D6" w14:textId="3DB3443B" w:rsidR="00B00A42" w:rsidRPr="00A065C1" w:rsidRDefault="00B00A42" w:rsidP="00B00A42">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Pr>
                <w:b/>
                <w:sz w:val="18"/>
                <w:szCs w:val="18"/>
                <w:lang w:val="es-MX"/>
              </w:rPr>
              <w:t>s</w:t>
            </w:r>
            <w:r w:rsidRPr="00A065C1">
              <w:rPr>
                <w:b/>
                <w:sz w:val="18"/>
                <w:szCs w:val="18"/>
                <w:lang w:val="es-MX"/>
              </w:rPr>
              <w:t>ector</w:t>
            </w:r>
            <w:r>
              <w:rPr>
                <w:b/>
                <w:sz w:val="18"/>
                <w:szCs w:val="18"/>
                <w:lang w:val="es-MX"/>
              </w:rPr>
              <w:t xml:space="preserve"> Industrias m</w:t>
            </w:r>
            <w:r w:rsidRPr="00A065C1">
              <w:rPr>
                <w:b/>
                <w:sz w:val="18"/>
                <w:szCs w:val="18"/>
                <w:lang w:val="es-MX"/>
              </w:rPr>
              <w:t>anufacturer</w:t>
            </w:r>
            <w:r>
              <w:rPr>
                <w:b/>
                <w:sz w:val="18"/>
                <w:szCs w:val="18"/>
                <w:lang w:val="es-MX"/>
              </w:rPr>
              <w:t>as</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02284DAC" w14:textId="0CE6B44D" w:rsidR="00B00A42" w:rsidRPr="00B00A42" w:rsidRDefault="00B00A42" w:rsidP="00B00A42">
            <w:pPr>
              <w:tabs>
                <w:tab w:val="decimal" w:pos="368"/>
              </w:tabs>
              <w:jc w:val="left"/>
              <w:rPr>
                <w:b/>
                <w:sz w:val="18"/>
                <w:szCs w:val="18"/>
                <w:lang w:val="es-MX" w:eastAsia="es-MX"/>
              </w:rPr>
            </w:pPr>
            <w:r w:rsidRPr="00B00A42">
              <w:rPr>
                <w:b/>
                <w:bCs/>
                <w:sz w:val="18"/>
                <w:szCs w:val="18"/>
              </w:rPr>
              <w:t>52.0</w:t>
            </w:r>
          </w:p>
        </w:tc>
        <w:tc>
          <w:tcPr>
            <w:tcW w:w="534" w:type="pct"/>
            <w:tcBorders>
              <w:top w:val="single" w:sz="4" w:space="0" w:color="404040"/>
              <w:left w:val="single" w:sz="4" w:space="0" w:color="404040"/>
              <w:bottom w:val="nil"/>
              <w:right w:val="nil"/>
            </w:tcBorders>
            <w:shd w:val="clear" w:color="auto" w:fill="auto"/>
            <w:vAlign w:val="center"/>
          </w:tcPr>
          <w:p w14:paraId="5F38719C" w14:textId="4D911879" w:rsidR="00B00A42" w:rsidRPr="00B00A42" w:rsidRDefault="00B00A42" w:rsidP="00B00A42">
            <w:pPr>
              <w:tabs>
                <w:tab w:val="decimal" w:pos="369"/>
              </w:tabs>
              <w:jc w:val="left"/>
              <w:rPr>
                <w:b/>
                <w:bCs/>
                <w:sz w:val="18"/>
                <w:szCs w:val="18"/>
              </w:rPr>
            </w:pPr>
            <w:r w:rsidRPr="00B00A42">
              <w:rPr>
                <w:b/>
                <w:bCs/>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136B5B5F" w14:textId="7CA5C707" w:rsidR="00B00A42" w:rsidRPr="00B00A42" w:rsidRDefault="00B00A42" w:rsidP="00B00A42">
            <w:pPr>
              <w:tabs>
                <w:tab w:val="decimal" w:pos="309"/>
              </w:tabs>
              <w:jc w:val="left"/>
              <w:rPr>
                <w:b/>
                <w:sz w:val="18"/>
                <w:szCs w:val="18"/>
              </w:rPr>
            </w:pPr>
            <w:r w:rsidRPr="00B00A42">
              <w:rPr>
                <w:b/>
                <w:bCs/>
                <w:sz w:val="18"/>
                <w:szCs w:val="18"/>
              </w:rPr>
              <w:t>1.2</w:t>
            </w:r>
          </w:p>
        </w:tc>
        <w:tc>
          <w:tcPr>
            <w:tcW w:w="235" w:type="pct"/>
            <w:tcBorders>
              <w:top w:val="single" w:sz="4" w:space="0" w:color="404040"/>
              <w:left w:val="single" w:sz="4" w:space="0" w:color="404040"/>
              <w:bottom w:val="nil"/>
              <w:right w:val="nil"/>
            </w:tcBorders>
            <w:shd w:val="clear" w:color="auto" w:fill="auto"/>
            <w:vAlign w:val="center"/>
          </w:tcPr>
          <w:p w14:paraId="189D12FF" w14:textId="3F65349D" w:rsidR="00B00A42" w:rsidRPr="00B00A42" w:rsidRDefault="00B00A42" w:rsidP="00B00A42">
            <w:pPr>
              <w:ind w:left="-105" w:right="-36"/>
              <w:jc w:val="right"/>
              <w:rPr>
                <w:b/>
                <w:sz w:val="18"/>
                <w:szCs w:val="18"/>
              </w:rPr>
            </w:pPr>
            <w:r w:rsidRPr="00B00A42">
              <w:rPr>
                <w:b/>
                <w:bCs/>
                <w:sz w:val="18"/>
                <w:szCs w:val="18"/>
              </w:rPr>
              <w:t>4</w:t>
            </w:r>
          </w:p>
        </w:tc>
        <w:tc>
          <w:tcPr>
            <w:tcW w:w="751" w:type="pct"/>
            <w:tcBorders>
              <w:top w:val="nil"/>
              <w:left w:val="nil"/>
              <w:bottom w:val="nil"/>
              <w:right w:val="single" w:sz="4" w:space="0" w:color="404040"/>
            </w:tcBorders>
            <w:shd w:val="clear" w:color="auto" w:fill="auto"/>
            <w:vAlign w:val="center"/>
          </w:tcPr>
          <w:p w14:paraId="5CEE7F0D" w14:textId="2D47F31E" w:rsidR="00B00A42" w:rsidRPr="009770E0" w:rsidRDefault="00EF7DF9" w:rsidP="00B00A42">
            <w:pPr>
              <w:tabs>
                <w:tab w:val="decimal" w:pos="810"/>
              </w:tabs>
              <w:jc w:val="left"/>
              <w:rPr>
                <w:b/>
                <w:sz w:val="18"/>
                <w:szCs w:val="18"/>
              </w:rPr>
            </w:pPr>
            <w:r>
              <w:rPr>
                <w:b/>
                <w:bCs/>
                <w:color w:val="000000"/>
                <w:sz w:val="18"/>
                <w:szCs w:val="18"/>
              </w:rPr>
              <w:t>p</w:t>
            </w:r>
            <w:r w:rsidR="00B00A42">
              <w:rPr>
                <w:b/>
                <w:bCs/>
                <w:color w:val="000000"/>
                <w:sz w:val="18"/>
                <w:szCs w:val="18"/>
              </w:rPr>
              <w:t>or arriba</w:t>
            </w:r>
          </w:p>
        </w:tc>
      </w:tr>
      <w:tr w:rsidR="00B00A42" w:rsidRPr="00A065C1" w14:paraId="67053C11"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F9284AD" w14:textId="77777777" w:rsidR="00B00A42" w:rsidRPr="00A065C1" w:rsidRDefault="00B00A42" w:rsidP="008628D1">
            <w:pPr>
              <w:pStyle w:val="Prrafodelista"/>
              <w:widowControl w:val="0"/>
              <w:numPr>
                <w:ilvl w:val="0"/>
                <w:numId w:val="22"/>
              </w:numPr>
              <w:spacing w:before="20" w:after="20"/>
              <w:ind w:left="306" w:hanging="284"/>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2F8E5C5" w14:textId="296D80CE" w:rsidR="00B00A42" w:rsidRPr="00B00A42" w:rsidRDefault="00B00A42" w:rsidP="00B00A42">
            <w:pPr>
              <w:tabs>
                <w:tab w:val="decimal" w:pos="368"/>
              </w:tabs>
              <w:jc w:val="left"/>
              <w:rPr>
                <w:sz w:val="18"/>
                <w:szCs w:val="18"/>
              </w:rPr>
            </w:pPr>
            <w:r w:rsidRPr="00B00A42">
              <w:rPr>
                <w:sz w:val="18"/>
                <w:szCs w:val="18"/>
              </w:rPr>
              <w:t xml:space="preserve">51.8 </w:t>
            </w:r>
          </w:p>
        </w:tc>
        <w:tc>
          <w:tcPr>
            <w:tcW w:w="534" w:type="pct"/>
            <w:tcBorders>
              <w:top w:val="nil"/>
              <w:left w:val="single" w:sz="4" w:space="0" w:color="404040"/>
              <w:bottom w:val="nil"/>
              <w:right w:val="nil"/>
            </w:tcBorders>
            <w:shd w:val="clear" w:color="auto" w:fill="auto"/>
            <w:vAlign w:val="center"/>
          </w:tcPr>
          <w:p w14:paraId="01939967" w14:textId="530376DA" w:rsidR="00B00A42" w:rsidRPr="00B00A42" w:rsidRDefault="00B00A42" w:rsidP="00B00A42">
            <w:pPr>
              <w:tabs>
                <w:tab w:val="decimal" w:pos="369"/>
              </w:tabs>
              <w:jc w:val="left"/>
              <w:rPr>
                <w:bCs/>
                <w:sz w:val="18"/>
                <w:szCs w:val="18"/>
              </w:rPr>
            </w:pPr>
            <w:r w:rsidRPr="00B00A42">
              <w:rPr>
                <w:sz w:val="18"/>
                <w:szCs w:val="18"/>
              </w:rPr>
              <w:t>-0.8</w:t>
            </w:r>
          </w:p>
        </w:tc>
        <w:tc>
          <w:tcPr>
            <w:tcW w:w="528" w:type="pct"/>
            <w:tcBorders>
              <w:top w:val="nil"/>
              <w:left w:val="nil"/>
              <w:bottom w:val="nil"/>
              <w:right w:val="single" w:sz="4" w:space="0" w:color="404040"/>
            </w:tcBorders>
            <w:shd w:val="clear" w:color="auto" w:fill="auto"/>
            <w:vAlign w:val="center"/>
          </w:tcPr>
          <w:p w14:paraId="1670A7F0" w14:textId="01452C4B" w:rsidR="00B00A42" w:rsidRPr="00B00A42" w:rsidRDefault="00B00A42" w:rsidP="00B00A42">
            <w:pPr>
              <w:tabs>
                <w:tab w:val="decimal" w:pos="309"/>
              </w:tabs>
              <w:jc w:val="left"/>
              <w:rPr>
                <w:sz w:val="18"/>
                <w:szCs w:val="18"/>
              </w:rPr>
            </w:pPr>
            <w:r w:rsidRPr="00B00A42">
              <w:rPr>
                <w:sz w:val="18"/>
                <w:szCs w:val="18"/>
              </w:rPr>
              <w:t>0.5</w:t>
            </w:r>
          </w:p>
        </w:tc>
        <w:tc>
          <w:tcPr>
            <w:tcW w:w="235" w:type="pct"/>
            <w:tcBorders>
              <w:top w:val="nil"/>
              <w:left w:val="single" w:sz="4" w:space="0" w:color="404040"/>
              <w:bottom w:val="nil"/>
              <w:right w:val="nil"/>
            </w:tcBorders>
            <w:shd w:val="clear" w:color="auto" w:fill="auto"/>
            <w:vAlign w:val="center"/>
          </w:tcPr>
          <w:p w14:paraId="7AE75968" w14:textId="62DF228E" w:rsidR="00B00A42" w:rsidRPr="00B00A42" w:rsidRDefault="00B00A42" w:rsidP="00B00A42">
            <w:pPr>
              <w:ind w:left="-105" w:right="-36"/>
              <w:jc w:val="right"/>
              <w:rPr>
                <w:sz w:val="18"/>
                <w:szCs w:val="18"/>
              </w:rPr>
            </w:pPr>
            <w:r w:rsidRPr="00B00A42">
              <w:rPr>
                <w:sz w:val="18"/>
                <w:szCs w:val="18"/>
              </w:rPr>
              <w:t>7</w:t>
            </w:r>
          </w:p>
        </w:tc>
        <w:tc>
          <w:tcPr>
            <w:tcW w:w="751" w:type="pct"/>
            <w:tcBorders>
              <w:top w:val="nil"/>
              <w:left w:val="nil"/>
              <w:bottom w:val="nil"/>
              <w:right w:val="single" w:sz="4" w:space="0" w:color="404040"/>
            </w:tcBorders>
            <w:shd w:val="clear" w:color="auto" w:fill="auto"/>
            <w:vAlign w:val="center"/>
          </w:tcPr>
          <w:p w14:paraId="185DF178" w14:textId="70234E54" w:rsidR="00B00A42" w:rsidRPr="009770E0" w:rsidRDefault="00EF7DF9" w:rsidP="00B00A42">
            <w:pPr>
              <w:tabs>
                <w:tab w:val="decimal" w:pos="810"/>
              </w:tabs>
              <w:jc w:val="left"/>
              <w:rPr>
                <w:sz w:val="18"/>
                <w:szCs w:val="18"/>
              </w:rPr>
            </w:pPr>
            <w:r>
              <w:rPr>
                <w:color w:val="000000"/>
                <w:sz w:val="18"/>
                <w:szCs w:val="18"/>
              </w:rPr>
              <w:t>p</w:t>
            </w:r>
            <w:r w:rsidR="00B00A42">
              <w:rPr>
                <w:color w:val="000000"/>
                <w:sz w:val="18"/>
                <w:szCs w:val="18"/>
              </w:rPr>
              <w:t>or arriba</w:t>
            </w:r>
          </w:p>
        </w:tc>
      </w:tr>
      <w:tr w:rsidR="00B00A42" w:rsidRPr="00A065C1" w14:paraId="55E7A8F5"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4EDE5036" w14:textId="77777777" w:rsidR="00B00A42" w:rsidRPr="00A065C1" w:rsidRDefault="00B00A42" w:rsidP="008628D1">
            <w:pPr>
              <w:pStyle w:val="Prrafodelista"/>
              <w:widowControl w:val="0"/>
              <w:numPr>
                <w:ilvl w:val="0"/>
                <w:numId w:val="22"/>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41B80102" w14:textId="444A2409" w:rsidR="00B00A42" w:rsidRPr="00B00A42" w:rsidRDefault="00B00A42" w:rsidP="00B00A42">
            <w:pPr>
              <w:tabs>
                <w:tab w:val="decimal" w:pos="368"/>
              </w:tabs>
              <w:jc w:val="left"/>
              <w:rPr>
                <w:sz w:val="18"/>
                <w:szCs w:val="18"/>
              </w:rPr>
            </w:pPr>
            <w:r w:rsidRPr="00B00A42">
              <w:rPr>
                <w:sz w:val="18"/>
                <w:szCs w:val="18"/>
              </w:rPr>
              <w:t xml:space="preserve">51.1 </w:t>
            </w:r>
          </w:p>
        </w:tc>
        <w:tc>
          <w:tcPr>
            <w:tcW w:w="534" w:type="pct"/>
            <w:tcBorders>
              <w:top w:val="nil"/>
              <w:left w:val="single" w:sz="4" w:space="0" w:color="404040"/>
              <w:bottom w:val="nil"/>
              <w:right w:val="nil"/>
            </w:tcBorders>
            <w:shd w:val="clear" w:color="auto" w:fill="auto"/>
            <w:vAlign w:val="center"/>
          </w:tcPr>
          <w:p w14:paraId="4B0B77F4" w14:textId="40ACF952" w:rsidR="00B00A42" w:rsidRPr="00B00A42" w:rsidRDefault="00B00A42" w:rsidP="00B00A42">
            <w:pPr>
              <w:tabs>
                <w:tab w:val="decimal" w:pos="369"/>
              </w:tabs>
              <w:jc w:val="left"/>
              <w:rPr>
                <w:bCs/>
                <w:sz w:val="18"/>
                <w:szCs w:val="18"/>
              </w:rPr>
            </w:pPr>
            <w:r w:rsidRPr="00B00A42">
              <w:rPr>
                <w:sz w:val="18"/>
                <w:szCs w:val="18"/>
              </w:rPr>
              <w:t>0.7</w:t>
            </w:r>
          </w:p>
        </w:tc>
        <w:tc>
          <w:tcPr>
            <w:tcW w:w="528" w:type="pct"/>
            <w:tcBorders>
              <w:top w:val="nil"/>
              <w:left w:val="nil"/>
              <w:bottom w:val="nil"/>
              <w:right w:val="single" w:sz="4" w:space="0" w:color="404040"/>
            </w:tcBorders>
            <w:shd w:val="clear" w:color="auto" w:fill="auto"/>
            <w:vAlign w:val="center"/>
          </w:tcPr>
          <w:p w14:paraId="12059765" w14:textId="6F56FE97" w:rsidR="00B00A42" w:rsidRPr="00B00A42" w:rsidRDefault="00B00A42" w:rsidP="00B00A42">
            <w:pPr>
              <w:tabs>
                <w:tab w:val="decimal" w:pos="309"/>
              </w:tabs>
              <w:jc w:val="left"/>
              <w:rPr>
                <w:sz w:val="18"/>
                <w:szCs w:val="18"/>
              </w:rPr>
            </w:pPr>
            <w:r w:rsidRPr="00B00A42">
              <w:rPr>
                <w:sz w:val="18"/>
                <w:szCs w:val="18"/>
              </w:rPr>
              <w:t>-1.1</w:t>
            </w:r>
          </w:p>
        </w:tc>
        <w:tc>
          <w:tcPr>
            <w:tcW w:w="235" w:type="pct"/>
            <w:tcBorders>
              <w:top w:val="nil"/>
              <w:left w:val="single" w:sz="4" w:space="0" w:color="404040"/>
              <w:bottom w:val="nil"/>
              <w:right w:val="nil"/>
            </w:tcBorders>
            <w:shd w:val="clear" w:color="auto" w:fill="auto"/>
            <w:vAlign w:val="center"/>
          </w:tcPr>
          <w:p w14:paraId="7B8DC9AA" w14:textId="67807EC8" w:rsidR="00B00A42" w:rsidRPr="00B00A42" w:rsidRDefault="00B00A42" w:rsidP="00B00A42">
            <w:pPr>
              <w:ind w:left="-105" w:right="-36"/>
              <w:jc w:val="right"/>
              <w:rPr>
                <w:sz w:val="18"/>
                <w:szCs w:val="18"/>
              </w:rPr>
            </w:pPr>
            <w:r w:rsidRPr="00B00A42">
              <w:rPr>
                <w:sz w:val="18"/>
                <w:szCs w:val="18"/>
              </w:rPr>
              <w:t>4</w:t>
            </w:r>
          </w:p>
        </w:tc>
        <w:tc>
          <w:tcPr>
            <w:tcW w:w="751" w:type="pct"/>
            <w:tcBorders>
              <w:top w:val="nil"/>
              <w:left w:val="nil"/>
              <w:bottom w:val="nil"/>
              <w:right w:val="single" w:sz="4" w:space="0" w:color="404040"/>
            </w:tcBorders>
            <w:shd w:val="clear" w:color="auto" w:fill="auto"/>
            <w:vAlign w:val="center"/>
          </w:tcPr>
          <w:p w14:paraId="097E8602" w14:textId="3871E6A6" w:rsidR="00B00A42" w:rsidRPr="009770E0" w:rsidRDefault="00EF7DF9" w:rsidP="00B00A42">
            <w:pPr>
              <w:tabs>
                <w:tab w:val="decimal" w:pos="810"/>
              </w:tabs>
              <w:jc w:val="left"/>
              <w:rPr>
                <w:sz w:val="18"/>
                <w:szCs w:val="18"/>
              </w:rPr>
            </w:pPr>
            <w:r>
              <w:rPr>
                <w:color w:val="000000"/>
                <w:sz w:val="18"/>
                <w:szCs w:val="18"/>
              </w:rPr>
              <w:t>p</w:t>
            </w:r>
            <w:r w:rsidR="00B00A42">
              <w:rPr>
                <w:color w:val="000000"/>
                <w:sz w:val="18"/>
                <w:szCs w:val="18"/>
              </w:rPr>
              <w:t>or arriba</w:t>
            </w:r>
          </w:p>
        </w:tc>
      </w:tr>
      <w:tr w:rsidR="00B00A42" w:rsidRPr="00A065C1" w14:paraId="4C6A3B0E"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33499B9E" w14:textId="77777777" w:rsidR="00B00A42" w:rsidRPr="00A065C1" w:rsidRDefault="00B00A42" w:rsidP="008628D1">
            <w:pPr>
              <w:pStyle w:val="Prrafodelista"/>
              <w:widowControl w:val="0"/>
              <w:numPr>
                <w:ilvl w:val="0"/>
                <w:numId w:val="22"/>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9E3C35B" w14:textId="799A7C99" w:rsidR="00B00A42" w:rsidRPr="00B00A42" w:rsidRDefault="00B00A42" w:rsidP="00B00A42">
            <w:pPr>
              <w:tabs>
                <w:tab w:val="decimal" w:pos="368"/>
              </w:tabs>
              <w:jc w:val="left"/>
              <w:rPr>
                <w:sz w:val="18"/>
                <w:szCs w:val="18"/>
              </w:rPr>
            </w:pPr>
            <w:r w:rsidRPr="00B00A42">
              <w:rPr>
                <w:sz w:val="18"/>
                <w:szCs w:val="18"/>
              </w:rPr>
              <w:t xml:space="preserve">52.2 </w:t>
            </w:r>
          </w:p>
        </w:tc>
        <w:tc>
          <w:tcPr>
            <w:tcW w:w="534" w:type="pct"/>
            <w:tcBorders>
              <w:top w:val="nil"/>
              <w:left w:val="single" w:sz="4" w:space="0" w:color="404040"/>
              <w:bottom w:val="nil"/>
              <w:right w:val="nil"/>
            </w:tcBorders>
            <w:shd w:val="clear" w:color="auto" w:fill="auto"/>
            <w:vAlign w:val="center"/>
          </w:tcPr>
          <w:p w14:paraId="21CA546D" w14:textId="549FCF69" w:rsidR="00B00A42" w:rsidRPr="00B00A42" w:rsidRDefault="00B00A42" w:rsidP="00B00A42">
            <w:pPr>
              <w:tabs>
                <w:tab w:val="decimal" w:pos="369"/>
              </w:tabs>
              <w:jc w:val="left"/>
              <w:rPr>
                <w:bCs/>
                <w:sz w:val="18"/>
                <w:szCs w:val="18"/>
              </w:rPr>
            </w:pPr>
            <w:r w:rsidRPr="00B00A42">
              <w:rPr>
                <w:sz w:val="18"/>
                <w:szCs w:val="18"/>
              </w:rPr>
              <w:t>0.1</w:t>
            </w:r>
          </w:p>
        </w:tc>
        <w:tc>
          <w:tcPr>
            <w:tcW w:w="528" w:type="pct"/>
            <w:tcBorders>
              <w:top w:val="nil"/>
              <w:left w:val="nil"/>
              <w:bottom w:val="nil"/>
              <w:right w:val="single" w:sz="4" w:space="0" w:color="404040"/>
            </w:tcBorders>
            <w:shd w:val="clear" w:color="auto" w:fill="auto"/>
            <w:vAlign w:val="center"/>
          </w:tcPr>
          <w:p w14:paraId="6A158F52" w14:textId="0F9DAD21" w:rsidR="00B00A42" w:rsidRPr="00B00A42" w:rsidRDefault="00B00A42" w:rsidP="00B00A42">
            <w:pPr>
              <w:tabs>
                <w:tab w:val="decimal" w:pos="309"/>
              </w:tabs>
              <w:jc w:val="left"/>
              <w:rPr>
                <w:sz w:val="18"/>
                <w:szCs w:val="18"/>
              </w:rPr>
            </w:pPr>
            <w:r w:rsidRPr="00B00A42">
              <w:rPr>
                <w:sz w:val="18"/>
                <w:szCs w:val="18"/>
              </w:rPr>
              <w:t>2.0</w:t>
            </w:r>
          </w:p>
        </w:tc>
        <w:tc>
          <w:tcPr>
            <w:tcW w:w="235" w:type="pct"/>
            <w:tcBorders>
              <w:top w:val="nil"/>
              <w:left w:val="single" w:sz="4" w:space="0" w:color="404040"/>
              <w:bottom w:val="nil"/>
              <w:right w:val="nil"/>
            </w:tcBorders>
            <w:shd w:val="clear" w:color="auto" w:fill="auto"/>
            <w:vAlign w:val="center"/>
          </w:tcPr>
          <w:p w14:paraId="58281FB1" w14:textId="4EB37F95" w:rsidR="00B00A42" w:rsidRPr="00B00A42" w:rsidRDefault="00B00A42" w:rsidP="00B00A42">
            <w:pPr>
              <w:ind w:left="-105" w:right="-36"/>
              <w:jc w:val="right"/>
              <w:rPr>
                <w:sz w:val="18"/>
                <w:szCs w:val="18"/>
              </w:rPr>
            </w:pPr>
            <w:r w:rsidRPr="00B00A42">
              <w:rPr>
                <w:sz w:val="18"/>
                <w:szCs w:val="18"/>
              </w:rPr>
              <w:t>14</w:t>
            </w:r>
          </w:p>
        </w:tc>
        <w:tc>
          <w:tcPr>
            <w:tcW w:w="751" w:type="pct"/>
            <w:tcBorders>
              <w:top w:val="nil"/>
              <w:left w:val="nil"/>
              <w:bottom w:val="nil"/>
              <w:right w:val="single" w:sz="4" w:space="0" w:color="404040"/>
            </w:tcBorders>
            <w:shd w:val="clear" w:color="auto" w:fill="auto"/>
            <w:vAlign w:val="center"/>
          </w:tcPr>
          <w:p w14:paraId="1654C084" w14:textId="72D4B7EF" w:rsidR="00B00A42" w:rsidRPr="009770E0" w:rsidRDefault="00EF7DF9" w:rsidP="00B00A42">
            <w:pPr>
              <w:tabs>
                <w:tab w:val="decimal" w:pos="810"/>
              </w:tabs>
              <w:jc w:val="left"/>
              <w:rPr>
                <w:sz w:val="18"/>
                <w:szCs w:val="18"/>
              </w:rPr>
            </w:pPr>
            <w:r>
              <w:rPr>
                <w:color w:val="000000"/>
                <w:sz w:val="18"/>
                <w:szCs w:val="18"/>
              </w:rPr>
              <w:t>p</w:t>
            </w:r>
            <w:r w:rsidR="00B00A42">
              <w:rPr>
                <w:color w:val="000000"/>
                <w:sz w:val="18"/>
                <w:szCs w:val="18"/>
              </w:rPr>
              <w:t>or arriba</w:t>
            </w:r>
          </w:p>
        </w:tc>
      </w:tr>
      <w:tr w:rsidR="00B00A42" w:rsidRPr="00A065C1" w14:paraId="44AF9ED0"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22685D48" w14:textId="77777777" w:rsidR="00B00A42" w:rsidRPr="00A065C1" w:rsidRDefault="00B00A42" w:rsidP="008628D1">
            <w:pPr>
              <w:pStyle w:val="Prrafodelista"/>
              <w:widowControl w:val="0"/>
              <w:numPr>
                <w:ilvl w:val="0"/>
                <w:numId w:val="22"/>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8CF5ACA" w14:textId="3FE8F0CF" w:rsidR="00B00A42" w:rsidRPr="00B00A42" w:rsidRDefault="00B00A42" w:rsidP="00B00A42">
            <w:pPr>
              <w:tabs>
                <w:tab w:val="decimal" w:pos="368"/>
              </w:tabs>
              <w:jc w:val="left"/>
              <w:rPr>
                <w:sz w:val="18"/>
                <w:szCs w:val="18"/>
              </w:rPr>
            </w:pPr>
            <w:r w:rsidRPr="00B00A42">
              <w:rPr>
                <w:sz w:val="18"/>
                <w:szCs w:val="18"/>
              </w:rPr>
              <w:t xml:space="preserve">52.6 </w:t>
            </w:r>
          </w:p>
        </w:tc>
        <w:tc>
          <w:tcPr>
            <w:tcW w:w="534" w:type="pct"/>
            <w:tcBorders>
              <w:top w:val="nil"/>
              <w:left w:val="single" w:sz="4" w:space="0" w:color="404040"/>
              <w:bottom w:val="nil"/>
              <w:right w:val="nil"/>
            </w:tcBorders>
            <w:shd w:val="clear" w:color="auto" w:fill="auto"/>
            <w:vAlign w:val="center"/>
          </w:tcPr>
          <w:p w14:paraId="65DAC3BC" w14:textId="35325889" w:rsidR="00B00A42" w:rsidRPr="00B00A42" w:rsidRDefault="00B00A42" w:rsidP="00B00A42">
            <w:pPr>
              <w:tabs>
                <w:tab w:val="decimal" w:pos="369"/>
              </w:tabs>
              <w:jc w:val="left"/>
              <w:rPr>
                <w:sz w:val="18"/>
                <w:szCs w:val="18"/>
              </w:rPr>
            </w:pPr>
            <w:r w:rsidRPr="00B00A42">
              <w:rPr>
                <w:sz w:val="18"/>
                <w:szCs w:val="18"/>
              </w:rPr>
              <w:t>1.8</w:t>
            </w:r>
          </w:p>
        </w:tc>
        <w:tc>
          <w:tcPr>
            <w:tcW w:w="528" w:type="pct"/>
            <w:tcBorders>
              <w:top w:val="nil"/>
              <w:left w:val="nil"/>
              <w:bottom w:val="nil"/>
              <w:right w:val="single" w:sz="4" w:space="0" w:color="404040"/>
            </w:tcBorders>
            <w:shd w:val="clear" w:color="auto" w:fill="auto"/>
            <w:vAlign w:val="center"/>
          </w:tcPr>
          <w:p w14:paraId="1493E0A9" w14:textId="0362D940" w:rsidR="00B00A42" w:rsidRPr="00B00A42" w:rsidRDefault="00B00A42" w:rsidP="00B00A42">
            <w:pPr>
              <w:tabs>
                <w:tab w:val="decimal" w:pos="309"/>
              </w:tabs>
              <w:jc w:val="left"/>
              <w:rPr>
                <w:sz w:val="18"/>
                <w:szCs w:val="18"/>
              </w:rPr>
            </w:pPr>
            <w:r w:rsidRPr="00B00A42">
              <w:rPr>
                <w:sz w:val="18"/>
                <w:szCs w:val="18"/>
              </w:rPr>
              <w:t>4.2</w:t>
            </w:r>
          </w:p>
        </w:tc>
        <w:tc>
          <w:tcPr>
            <w:tcW w:w="235" w:type="pct"/>
            <w:tcBorders>
              <w:top w:val="nil"/>
              <w:left w:val="single" w:sz="4" w:space="0" w:color="404040"/>
              <w:bottom w:val="nil"/>
              <w:right w:val="nil"/>
            </w:tcBorders>
            <w:shd w:val="clear" w:color="auto" w:fill="auto"/>
            <w:vAlign w:val="center"/>
          </w:tcPr>
          <w:p w14:paraId="081E7350" w14:textId="4CAA01C0" w:rsidR="00B00A42" w:rsidRPr="00B00A42" w:rsidRDefault="00B00A42" w:rsidP="00B00A42">
            <w:pPr>
              <w:ind w:left="-105" w:right="-36"/>
              <w:jc w:val="right"/>
              <w:rPr>
                <w:sz w:val="18"/>
                <w:szCs w:val="18"/>
              </w:rPr>
            </w:pPr>
            <w:r w:rsidRPr="00B00A42">
              <w:rPr>
                <w:sz w:val="18"/>
                <w:szCs w:val="18"/>
              </w:rPr>
              <w:t>3</w:t>
            </w:r>
          </w:p>
        </w:tc>
        <w:tc>
          <w:tcPr>
            <w:tcW w:w="751" w:type="pct"/>
            <w:tcBorders>
              <w:top w:val="nil"/>
              <w:left w:val="nil"/>
              <w:bottom w:val="nil"/>
              <w:right w:val="single" w:sz="4" w:space="0" w:color="404040"/>
            </w:tcBorders>
            <w:shd w:val="clear" w:color="auto" w:fill="auto"/>
            <w:vAlign w:val="center"/>
          </w:tcPr>
          <w:p w14:paraId="133A7538" w14:textId="1D1617B0" w:rsidR="00B00A42" w:rsidRPr="009770E0" w:rsidRDefault="00EF7DF9" w:rsidP="00B00A42">
            <w:pPr>
              <w:tabs>
                <w:tab w:val="decimal" w:pos="810"/>
              </w:tabs>
              <w:jc w:val="left"/>
              <w:rPr>
                <w:sz w:val="18"/>
                <w:szCs w:val="18"/>
              </w:rPr>
            </w:pPr>
            <w:r>
              <w:rPr>
                <w:color w:val="000000"/>
                <w:sz w:val="18"/>
                <w:szCs w:val="18"/>
              </w:rPr>
              <w:t>p</w:t>
            </w:r>
            <w:r w:rsidR="00B00A42">
              <w:rPr>
                <w:color w:val="000000"/>
                <w:sz w:val="18"/>
                <w:szCs w:val="18"/>
              </w:rPr>
              <w:t>or arriba</w:t>
            </w:r>
          </w:p>
        </w:tc>
      </w:tr>
      <w:tr w:rsidR="00B00A42" w:rsidRPr="00A065C1" w14:paraId="2C668E7B" w14:textId="77777777" w:rsidTr="00DE62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206C779E" w14:textId="77777777" w:rsidR="00B00A42" w:rsidRPr="00A065C1" w:rsidRDefault="00B00A42" w:rsidP="008628D1">
            <w:pPr>
              <w:pStyle w:val="Prrafodelista"/>
              <w:widowControl w:val="0"/>
              <w:numPr>
                <w:ilvl w:val="0"/>
                <w:numId w:val="22"/>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C35AB02" w14:textId="17EF0E3C" w:rsidR="00B00A42" w:rsidRPr="00B00A42" w:rsidRDefault="00B00A42" w:rsidP="00B00A42">
            <w:pPr>
              <w:tabs>
                <w:tab w:val="decimal" w:pos="368"/>
              </w:tabs>
              <w:jc w:val="left"/>
              <w:rPr>
                <w:sz w:val="18"/>
                <w:szCs w:val="18"/>
              </w:rPr>
            </w:pPr>
            <w:r w:rsidRPr="00B00A42">
              <w:rPr>
                <w:sz w:val="18"/>
                <w:szCs w:val="18"/>
              </w:rPr>
              <w:t xml:space="preserve">51.1 </w:t>
            </w:r>
          </w:p>
        </w:tc>
        <w:tc>
          <w:tcPr>
            <w:tcW w:w="534" w:type="pct"/>
            <w:tcBorders>
              <w:top w:val="nil"/>
              <w:left w:val="single" w:sz="4" w:space="0" w:color="404040"/>
              <w:bottom w:val="single" w:sz="4" w:space="0" w:color="404040"/>
              <w:right w:val="nil"/>
            </w:tcBorders>
            <w:shd w:val="clear" w:color="auto" w:fill="auto"/>
            <w:vAlign w:val="center"/>
          </w:tcPr>
          <w:p w14:paraId="31EE57ED" w14:textId="65D34841" w:rsidR="00B00A42" w:rsidRPr="00B00A42" w:rsidRDefault="00B00A42" w:rsidP="00B00A42">
            <w:pPr>
              <w:tabs>
                <w:tab w:val="decimal" w:pos="369"/>
              </w:tabs>
              <w:jc w:val="left"/>
              <w:rPr>
                <w:bCs/>
                <w:sz w:val="18"/>
                <w:szCs w:val="18"/>
              </w:rPr>
            </w:pPr>
            <w:r w:rsidRPr="00B00A42">
              <w:rPr>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1FAFDDAA" w14:textId="74BA0BF2" w:rsidR="00B00A42" w:rsidRPr="00B00A42" w:rsidRDefault="00B00A42" w:rsidP="00B00A42">
            <w:pPr>
              <w:tabs>
                <w:tab w:val="decimal" w:pos="309"/>
              </w:tabs>
              <w:jc w:val="left"/>
              <w:rPr>
                <w:sz w:val="18"/>
                <w:szCs w:val="18"/>
              </w:rPr>
            </w:pPr>
            <w:r w:rsidRPr="00B00A42">
              <w:rPr>
                <w:sz w:val="18"/>
                <w:szCs w:val="18"/>
              </w:rPr>
              <w:t>1.3</w:t>
            </w:r>
          </w:p>
        </w:tc>
        <w:tc>
          <w:tcPr>
            <w:tcW w:w="235" w:type="pct"/>
            <w:tcBorders>
              <w:top w:val="nil"/>
              <w:left w:val="single" w:sz="4" w:space="0" w:color="404040"/>
              <w:bottom w:val="single" w:sz="4" w:space="0" w:color="404040"/>
              <w:right w:val="nil"/>
            </w:tcBorders>
            <w:shd w:val="clear" w:color="auto" w:fill="auto"/>
            <w:vAlign w:val="center"/>
          </w:tcPr>
          <w:p w14:paraId="38D78FEF" w14:textId="0112A9B8" w:rsidR="00B00A42" w:rsidRPr="00B00A42" w:rsidRDefault="00B00A42" w:rsidP="00B00A42">
            <w:pPr>
              <w:ind w:left="-105" w:right="-36"/>
              <w:jc w:val="right"/>
              <w:rPr>
                <w:sz w:val="18"/>
                <w:szCs w:val="18"/>
              </w:rPr>
            </w:pPr>
            <w:r w:rsidRPr="00B00A42">
              <w:rPr>
                <w:sz w:val="18"/>
                <w:szCs w:val="18"/>
              </w:rPr>
              <w:t>4</w:t>
            </w:r>
          </w:p>
        </w:tc>
        <w:tc>
          <w:tcPr>
            <w:tcW w:w="751" w:type="pct"/>
            <w:tcBorders>
              <w:top w:val="nil"/>
              <w:left w:val="nil"/>
              <w:bottom w:val="single" w:sz="4" w:space="0" w:color="404040"/>
              <w:right w:val="single" w:sz="4" w:space="0" w:color="404040"/>
            </w:tcBorders>
            <w:shd w:val="clear" w:color="auto" w:fill="auto"/>
            <w:vAlign w:val="center"/>
          </w:tcPr>
          <w:p w14:paraId="40B9A11C" w14:textId="1891B49C" w:rsidR="00B00A42" w:rsidRPr="009770E0" w:rsidRDefault="00EF7DF9" w:rsidP="00B00A42">
            <w:pPr>
              <w:tabs>
                <w:tab w:val="decimal" w:pos="810"/>
              </w:tabs>
              <w:jc w:val="left"/>
              <w:rPr>
                <w:sz w:val="18"/>
                <w:szCs w:val="18"/>
              </w:rPr>
            </w:pPr>
            <w:r>
              <w:rPr>
                <w:sz w:val="18"/>
                <w:szCs w:val="18"/>
              </w:rPr>
              <w:t>p</w:t>
            </w:r>
            <w:r w:rsidR="00B00A42">
              <w:rPr>
                <w:sz w:val="18"/>
                <w:szCs w:val="18"/>
              </w:rPr>
              <w:t>or arriba</w:t>
            </w:r>
          </w:p>
        </w:tc>
      </w:tr>
    </w:tbl>
    <w:p w14:paraId="7574E051" w14:textId="77777777" w:rsidR="00A46C32" w:rsidRPr="00294891" w:rsidRDefault="00A46C32" w:rsidP="004D6300">
      <w:pPr>
        <w:widowControl w:val="0"/>
        <w:spacing w:before="20"/>
        <w:ind w:left="567"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1FCE8940" w14:textId="77777777" w:rsidR="00A46C32" w:rsidRPr="00294891" w:rsidRDefault="00A46C32" w:rsidP="004D6300">
      <w:pPr>
        <w:widowControl w:val="0"/>
        <w:ind w:left="567"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51741F9C" w14:textId="77777777" w:rsidR="00A46C32" w:rsidRPr="00294891" w:rsidRDefault="00A46C32" w:rsidP="004D6300">
      <w:pPr>
        <w:widowControl w:val="0"/>
        <w:ind w:left="567" w:right="25" w:hanging="59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6EED88D3" w14:textId="77777777" w:rsidR="0022330D" w:rsidRPr="00BC05F9" w:rsidRDefault="0022330D" w:rsidP="00435774">
      <w:pPr>
        <w:keepNext/>
        <w:keepLines/>
        <w:widowControl w:val="0"/>
        <w:spacing w:before="240"/>
        <w:jc w:val="center"/>
        <w:outlineLvl w:val="0"/>
        <w:rPr>
          <w:sz w:val="20"/>
          <w:lang w:val="es-MX"/>
        </w:rPr>
      </w:pPr>
      <w:r>
        <w:rPr>
          <w:sz w:val="20"/>
          <w:lang w:val="es-MX"/>
        </w:rPr>
        <w:lastRenderedPageBreak/>
        <w:t>Gráfica</w:t>
      </w:r>
      <w:r w:rsidRPr="00BC05F9">
        <w:rPr>
          <w:sz w:val="20"/>
          <w:lang w:val="es-MX"/>
        </w:rPr>
        <w:t xml:space="preserve"> </w:t>
      </w:r>
      <w:r w:rsidR="0027370D">
        <w:rPr>
          <w:sz w:val="20"/>
          <w:lang w:val="es-MX"/>
        </w:rPr>
        <w:t>2</w:t>
      </w:r>
    </w:p>
    <w:p w14:paraId="29A6E8BC" w14:textId="7777777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4EBCEE42" w14:textId="77777777" w:rsidTr="00EF3B9F">
        <w:trPr>
          <w:trHeight w:val="1871"/>
          <w:jc w:val="center"/>
        </w:trPr>
        <w:tc>
          <w:tcPr>
            <w:tcW w:w="5305" w:type="dxa"/>
          </w:tcPr>
          <w:p w14:paraId="033B454C" w14:textId="0649FBF8" w:rsidR="000C1EFB" w:rsidRPr="000A6510" w:rsidRDefault="00BF15FF" w:rsidP="00A6587D">
            <w:pPr>
              <w:pStyle w:val="p0"/>
              <w:spacing w:before="0"/>
              <w:rPr>
                <w:color w:val="auto"/>
                <w:sz w:val="16"/>
                <w:szCs w:val="16"/>
                <w:lang w:val="es-MX"/>
              </w:rPr>
            </w:pPr>
            <w:r>
              <w:rPr>
                <w:noProof/>
                <w:lang w:val="es-MX" w:eastAsia="es-MX"/>
              </w:rPr>
              <w:drawing>
                <wp:inline distT="0" distB="0" distL="0" distR="0" wp14:anchorId="5F541E2D" wp14:editId="566E5373">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13DE35A6" w14:textId="568DAD2D" w:rsidR="000C1EFB" w:rsidRPr="000A6510" w:rsidRDefault="00BF15FF" w:rsidP="00A6587D">
            <w:pPr>
              <w:pStyle w:val="p0"/>
              <w:spacing w:before="0"/>
              <w:rPr>
                <w:color w:val="auto"/>
                <w:sz w:val="16"/>
                <w:szCs w:val="16"/>
                <w:lang w:val="es-MX"/>
              </w:rPr>
            </w:pPr>
            <w:r>
              <w:rPr>
                <w:noProof/>
                <w:lang w:val="es-MX" w:eastAsia="es-MX"/>
              </w:rPr>
              <w:drawing>
                <wp:inline distT="0" distB="0" distL="0" distR="0" wp14:anchorId="143972FD" wp14:editId="2A6F3B8E">
                  <wp:extent cx="3276000" cy="1152000"/>
                  <wp:effectExtent l="0" t="0" r="0" b="0"/>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46BD24E1" w14:textId="77777777" w:rsidTr="00A6587D">
        <w:tblPrEx>
          <w:tblCellMar>
            <w:left w:w="28" w:type="dxa"/>
            <w:right w:w="28" w:type="dxa"/>
          </w:tblCellMar>
        </w:tblPrEx>
        <w:trPr>
          <w:jc w:val="center"/>
        </w:trPr>
        <w:tc>
          <w:tcPr>
            <w:tcW w:w="5305" w:type="dxa"/>
          </w:tcPr>
          <w:p w14:paraId="410D395C" w14:textId="77777777" w:rsidR="000C1EFB" w:rsidRPr="000A6510" w:rsidRDefault="000C1EFB" w:rsidP="00A6587D">
            <w:pPr>
              <w:pStyle w:val="p0"/>
              <w:spacing w:before="0"/>
              <w:rPr>
                <w:noProof/>
                <w:color w:val="auto"/>
                <w:sz w:val="10"/>
                <w:szCs w:val="10"/>
                <w:lang w:val="es-MX" w:eastAsia="es-MX"/>
              </w:rPr>
            </w:pPr>
          </w:p>
        </w:tc>
        <w:tc>
          <w:tcPr>
            <w:tcW w:w="5304" w:type="dxa"/>
          </w:tcPr>
          <w:p w14:paraId="335E6107" w14:textId="77777777" w:rsidR="000C1EFB" w:rsidRPr="000A6510" w:rsidRDefault="000C1EFB" w:rsidP="00A6587D">
            <w:pPr>
              <w:pStyle w:val="p0"/>
              <w:spacing w:before="0"/>
              <w:rPr>
                <w:noProof/>
                <w:color w:val="auto"/>
                <w:sz w:val="10"/>
                <w:szCs w:val="10"/>
                <w:lang w:val="es-MX" w:eastAsia="es-MX"/>
              </w:rPr>
            </w:pPr>
          </w:p>
        </w:tc>
      </w:tr>
      <w:tr w:rsidR="000C1EFB" w:rsidRPr="000A6510" w14:paraId="7F3FC091" w14:textId="77777777" w:rsidTr="00EF3B9F">
        <w:trPr>
          <w:trHeight w:val="1871"/>
          <w:jc w:val="center"/>
        </w:trPr>
        <w:tc>
          <w:tcPr>
            <w:tcW w:w="5305" w:type="dxa"/>
          </w:tcPr>
          <w:p w14:paraId="613CB5AF" w14:textId="0B3B84E1" w:rsidR="000C1EFB" w:rsidRPr="000A6510" w:rsidRDefault="00BF15FF" w:rsidP="00A6587D">
            <w:pPr>
              <w:pStyle w:val="p0"/>
              <w:spacing w:before="0"/>
              <w:rPr>
                <w:color w:val="auto"/>
                <w:sz w:val="16"/>
                <w:szCs w:val="16"/>
                <w:lang w:val="es-MX"/>
              </w:rPr>
            </w:pPr>
            <w:r>
              <w:rPr>
                <w:noProof/>
                <w:lang w:val="es-MX" w:eastAsia="es-MX"/>
              </w:rPr>
              <w:drawing>
                <wp:inline distT="0" distB="0" distL="0" distR="0" wp14:anchorId="0565510E" wp14:editId="771D7304">
                  <wp:extent cx="3276000" cy="1152000"/>
                  <wp:effectExtent l="0" t="0" r="0" b="0"/>
                  <wp:docPr id="14" name="Gráfico 14">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7112F4A1" w14:textId="4B8E4A38" w:rsidR="000C1EFB" w:rsidRPr="000A6510" w:rsidRDefault="00BF15FF" w:rsidP="00A6587D">
            <w:pPr>
              <w:pStyle w:val="p0"/>
              <w:spacing w:before="0"/>
              <w:rPr>
                <w:color w:val="auto"/>
                <w:sz w:val="16"/>
                <w:szCs w:val="16"/>
                <w:lang w:val="es-MX"/>
              </w:rPr>
            </w:pPr>
            <w:r>
              <w:rPr>
                <w:noProof/>
                <w:lang w:val="es-MX" w:eastAsia="es-MX"/>
              </w:rPr>
              <w:drawing>
                <wp:inline distT="0" distB="0" distL="0" distR="0" wp14:anchorId="2CC22415" wp14:editId="029F7821">
                  <wp:extent cx="3276000" cy="1152000"/>
                  <wp:effectExtent l="0" t="0" r="0" b="0"/>
                  <wp:docPr id="27" name="Gráfico 27">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5896FFC6" w14:textId="77777777" w:rsidTr="00A6587D">
        <w:tblPrEx>
          <w:tblCellMar>
            <w:left w:w="28" w:type="dxa"/>
            <w:right w:w="28" w:type="dxa"/>
          </w:tblCellMar>
        </w:tblPrEx>
        <w:trPr>
          <w:jc w:val="center"/>
        </w:trPr>
        <w:tc>
          <w:tcPr>
            <w:tcW w:w="5305" w:type="dxa"/>
          </w:tcPr>
          <w:p w14:paraId="4BCB7316" w14:textId="77777777" w:rsidR="000C1EFB" w:rsidRPr="000A6510" w:rsidRDefault="000C1EFB" w:rsidP="00A6587D">
            <w:pPr>
              <w:pStyle w:val="p0"/>
              <w:spacing w:before="0"/>
              <w:rPr>
                <w:noProof/>
                <w:color w:val="auto"/>
                <w:sz w:val="10"/>
                <w:szCs w:val="10"/>
                <w:lang w:val="es-MX" w:eastAsia="es-MX"/>
              </w:rPr>
            </w:pPr>
          </w:p>
        </w:tc>
        <w:tc>
          <w:tcPr>
            <w:tcW w:w="5304" w:type="dxa"/>
          </w:tcPr>
          <w:p w14:paraId="570AE8EF" w14:textId="77777777" w:rsidR="000C1EFB" w:rsidRPr="000A6510" w:rsidRDefault="000C1EFB" w:rsidP="00A6587D">
            <w:pPr>
              <w:pStyle w:val="p0"/>
              <w:spacing w:before="0"/>
              <w:rPr>
                <w:noProof/>
                <w:color w:val="auto"/>
                <w:sz w:val="10"/>
                <w:szCs w:val="10"/>
                <w:lang w:val="es-MX" w:eastAsia="es-MX"/>
              </w:rPr>
            </w:pPr>
          </w:p>
        </w:tc>
      </w:tr>
      <w:tr w:rsidR="00391908" w:rsidRPr="000A6510" w14:paraId="1678F938" w14:textId="77777777" w:rsidTr="00EF3B9F">
        <w:trPr>
          <w:trHeight w:val="1871"/>
          <w:jc w:val="center"/>
        </w:trPr>
        <w:tc>
          <w:tcPr>
            <w:tcW w:w="10609" w:type="dxa"/>
            <w:gridSpan w:val="2"/>
          </w:tcPr>
          <w:p w14:paraId="33DF3ECC" w14:textId="5E048BA4" w:rsidR="00391908" w:rsidRPr="000A6510" w:rsidRDefault="00BF15FF" w:rsidP="00391908">
            <w:pPr>
              <w:pStyle w:val="p0"/>
              <w:spacing w:before="0"/>
              <w:jc w:val="center"/>
              <w:rPr>
                <w:noProof/>
                <w:color w:val="auto"/>
                <w:sz w:val="16"/>
                <w:szCs w:val="16"/>
                <w:lang w:val="es-MX" w:eastAsia="es-MX"/>
              </w:rPr>
            </w:pPr>
            <w:r>
              <w:rPr>
                <w:noProof/>
                <w:lang w:val="es-MX" w:eastAsia="es-MX"/>
              </w:rPr>
              <w:drawing>
                <wp:inline distT="0" distB="0" distL="0" distR="0" wp14:anchorId="6F6E0E48" wp14:editId="631D6108">
                  <wp:extent cx="3276000" cy="1152000"/>
                  <wp:effectExtent l="0" t="0" r="0" b="0"/>
                  <wp:docPr id="28" name="Gráfico 28">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39FD9C68" w14:textId="77777777" w:rsidR="001B1EDC" w:rsidRPr="00294891" w:rsidRDefault="00642E03" w:rsidP="009065D6">
      <w:pPr>
        <w:widowControl w:val="0"/>
        <w:spacing w:before="20"/>
        <w:ind w:left="142" w:right="25" w:hanging="588"/>
        <w:rPr>
          <w:sz w:val="16"/>
          <w:szCs w:val="14"/>
          <w:lang w:val="es-MX"/>
        </w:rPr>
      </w:pPr>
      <w:r>
        <w:rPr>
          <w:sz w:val="16"/>
          <w:szCs w:val="14"/>
          <w:lang w:val="es-MX"/>
        </w:rPr>
        <w:t>Fuente:</w:t>
      </w:r>
      <w:r>
        <w:rPr>
          <w:sz w:val="16"/>
          <w:szCs w:val="14"/>
          <w:lang w:val="es-MX"/>
        </w:rPr>
        <w:tab/>
        <w:t>INEGI</w:t>
      </w:r>
    </w:p>
    <w:p w14:paraId="51660B0F" w14:textId="4D927A06" w:rsidR="00932F52" w:rsidRDefault="00CB76E7" w:rsidP="00AB69C8">
      <w:pPr>
        <w:keepNext/>
        <w:keepLines/>
        <w:widowControl w:val="0"/>
        <w:spacing w:before="600"/>
        <w:ind w:left="-284" w:right="-233"/>
        <w:outlineLvl w:val="0"/>
      </w:pPr>
      <w:r>
        <w:rPr>
          <w:lang w:val="es-MX"/>
        </w:rPr>
        <w:t>Durante</w:t>
      </w:r>
      <w:r w:rsidR="001071E0">
        <w:rPr>
          <w:lang w:val="es-MX"/>
        </w:rPr>
        <w:t xml:space="preserve"> </w:t>
      </w:r>
      <w:r w:rsidR="009E52F9">
        <w:t>el primer</w:t>
      </w:r>
      <w:r w:rsidR="006F5F6B">
        <w:t xml:space="preserve"> mes de </w:t>
      </w:r>
      <w:r w:rsidR="009E52F9">
        <w:t>2023</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79792F">
        <w:rPr>
          <w:b/>
        </w:rPr>
        <w:t>s</w:t>
      </w:r>
      <w:r w:rsidR="009C4C14" w:rsidRPr="000A6510">
        <w:rPr>
          <w:b/>
        </w:rPr>
        <w:t>ector Construcción</w:t>
      </w:r>
      <w:r w:rsidR="000A3817">
        <w:t xml:space="preserve"> </w:t>
      </w:r>
      <w:r w:rsidR="00BF15DD">
        <w:t>fue de</w:t>
      </w:r>
      <w:r w:rsidR="00552630" w:rsidRPr="000A6510">
        <w:t xml:space="preserve"> 5</w:t>
      </w:r>
      <w:r w:rsidR="0065559B">
        <w:t>4</w:t>
      </w:r>
      <w:r w:rsidR="00D632C6">
        <w:t>.1</w:t>
      </w:r>
      <w:r w:rsidR="00552630" w:rsidRPr="000A6510">
        <w:t xml:space="preserve"> puntos</w:t>
      </w:r>
      <w:r w:rsidR="006D1E9C" w:rsidRPr="000A6510">
        <w:t>,</w:t>
      </w:r>
      <w:r w:rsidR="00BB35BC">
        <w:t xml:space="preserve"> </w:t>
      </w:r>
      <w:r w:rsidR="00706AED">
        <w:t>0.1</w:t>
      </w:r>
      <w:r w:rsidR="0065559B">
        <w:t xml:space="preserve"> punto</w:t>
      </w:r>
      <w:r w:rsidR="00706AED">
        <w:t>s</w:t>
      </w:r>
      <w:r w:rsidR="0065559B">
        <w:t xml:space="preserve"> </w:t>
      </w:r>
      <w:r w:rsidR="00706AED">
        <w:t>más</w:t>
      </w:r>
      <w:r w:rsidR="00AD16D5">
        <w:t xml:space="preserve"> </w:t>
      </w:r>
      <w:r w:rsidR="005F6B33">
        <w:t>que e</w:t>
      </w:r>
      <w:r w:rsidR="00762D7F">
        <w:t>n</w:t>
      </w:r>
      <w:r w:rsidR="009E52F9">
        <w:t xml:space="preserve"> diciembre de 2022</w:t>
      </w:r>
      <w:r w:rsidR="00552630" w:rsidRPr="000A6510">
        <w:t>.</w:t>
      </w:r>
      <w:r w:rsidR="002C0D8A" w:rsidRPr="000A6510">
        <w:t xml:space="preserve"> Con este dato</w:t>
      </w:r>
      <w:r w:rsidR="00D44C03">
        <w:t>,</w:t>
      </w:r>
      <w:r w:rsidR="002C0D8A" w:rsidRPr="000A6510">
        <w:t xml:space="preserve"> el IA</w:t>
      </w:r>
      <w:r w:rsidR="0013373C">
        <w:t xml:space="preserve">T de la </w:t>
      </w:r>
      <w:r w:rsidR="0079792F">
        <w:t>c</w:t>
      </w:r>
      <w:r w:rsidR="0013373C">
        <w:t>onstrucción s</w:t>
      </w:r>
      <w:r w:rsidR="0000710C">
        <w:t>uma</w:t>
      </w:r>
      <w:r w:rsidR="00BB4A61" w:rsidRPr="000A6510">
        <w:t xml:space="preserve"> </w:t>
      </w:r>
      <w:r w:rsidR="00706AED">
        <w:t>28</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076016BE" w14:textId="77777777" w:rsidR="00932F52" w:rsidRDefault="00932F52" w:rsidP="00AB69C8">
      <w:pPr>
        <w:ind w:left="-284" w:right="-233"/>
        <w:jc w:val="left"/>
      </w:pPr>
      <w:r>
        <w:br w:type="page"/>
      </w:r>
    </w:p>
    <w:p w14:paraId="52C33104" w14:textId="77777777" w:rsidR="0022330D" w:rsidRPr="00BC05F9" w:rsidRDefault="0022330D" w:rsidP="00D36B25">
      <w:pPr>
        <w:spacing w:before="360"/>
        <w:jc w:val="center"/>
        <w:rPr>
          <w:sz w:val="20"/>
        </w:rPr>
      </w:pPr>
      <w:r w:rsidRPr="00BC05F9">
        <w:rPr>
          <w:sz w:val="20"/>
        </w:rPr>
        <w:lastRenderedPageBreak/>
        <w:t xml:space="preserve">Gráfica </w:t>
      </w:r>
      <w:r w:rsidR="0027370D">
        <w:rPr>
          <w:sz w:val="20"/>
        </w:rPr>
        <w:t>3</w:t>
      </w:r>
    </w:p>
    <w:p w14:paraId="253C35E1" w14:textId="174BCE54" w:rsidR="0022330D" w:rsidRDefault="002C0D8A" w:rsidP="002C0D8A">
      <w:pPr>
        <w:jc w:val="center"/>
        <w:rPr>
          <w:b/>
          <w:smallCaps/>
          <w:sz w:val="22"/>
        </w:rPr>
      </w:pPr>
      <w:r w:rsidRPr="000A6510">
        <w:rPr>
          <w:b/>
          <w:smallCaps/>
          <w:sz w:val="22"/>
        </w:rPr>
        <w:t xml:space="preserve">Indicador </w:t>
      </w:r>
      <w:r w:rsidR="009C2B95">
        <w:rPr>
          <w:b/>
          <w:smallCaps/>
          <w:sz w:val="22"/>
        </w:rPr>
        <w:t>A</w:t>
      </w:r>
      <w:r w:rsidRPr="000A6510">
        <w:rPr>
          <w:b/>
          <w:smallCaps/>
          <w:sz w:val="22"/>
        </w:rPr>
        <w:t xml:space="preserve">gregado de </w:t>
      </w:r>
      <w:r w:rsidR="009C2B95">
        <w:rPr>
          <w:b/>
          <w:smallCaps/>
          <w:sz w:val="22"/>
        </w:rPr>
        <w:t>T</w:t>
      </w:r>
      <w:r w:rsidRPr="000A6510">
        <w:rPr>
          <w:b/>
          <w:smallCaps/>
          <w:sz w:val="22"/>
        </w:rPr>
        <w:t>endencia de</w:t>
      </w:r>
      <w:r w:rsidR="00FD4EA5">
        <w:rPr>
          <w:b/>
          <w:smallCaps/>
          <w:sz w:val="22"/>
        </w:rPr>
        <w:t>l sector</w:t>
      </w:r>
      <w:r w:rsidRPr="000A6510">
        <w:rPr>
          <w:b/>
          <w:smallCaps/>
          <w:sz w:val="22"/>
        </w:rPr>
        <w:t xml:space="preserve"> construcción</w:t>
      </w:r>
    </w:p>
    <w:p w14:paraId="11EBC0E6" w14:textId="38B8FEAF" w:rsidR="002C0D8A" w:rsidRPr="000A6510" w:rsidRDefault="00F84779" w:rsidP="002C0D8A">
      <w:pPr>
        <w:jc w:val="center"/>
        <w:rPr>
          <w:b/>
          <w:smallCaps/>
          <w:sz w:val="22"/>
          <w:szCs w:val="22"/>
        </w:rPr>
      </w:pPr>
      <w:r>
        <w:rPr>
          <w:noProof/>
          <w:lang w:val="es-MX" w:eastAsia="es-MX"/>
        </w:rPr>
        <w:drawing>
          <wp:inline distT="0" distB="0" distL="0" distR="0" wp14:anchorId="2C0F55AB" wp14:editId="4CABE3CA">
            <wp:extent cx="4320000" cy="2520000"/>
            <wp:effectExtent l="0" t="0" r="23495" b="33020"/>
            <wp:docPr id="29" name="Gráfico 29">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53E7F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59F688E1" w14:textId="64753FBE"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w:t>
      </w:r>
      <w:r w:rsidR="00546288">
        <w:rPr>
          <w:lang w:val="es-MX"/>
        </w:rPr>
        <w:t>l sector C</w:t>
      </w:r>
      <w:r w:rsidRPr="000A6510">
        <w:rPr>
          <w:lang w:val="es-MX"/>
        </w:rPr>
        <w:t>onstrucción</w:t>
      </w:r>
      <w:r w:rsidR="00A629A1">
        <w:rPr>
          <w:lang w:val="es-MX"/>
        </w:rPr>
        <w:t>, así</w:t>
      </w:r>
      <w:r w:rsidRPr="000A6510">
        <w:rPr>
          <w:lang w:val="es-MX"/>
        </w:rPr>
        <w:t xml:space="preserve"> como el de sus componen</w:t>
      </w:r>
      <w:r w:rsidR="00176639">
        <w:rPr>
          <w:lang w:val="es-MX"/>
        </w:rPr>
        <w:t>tes durante el mes de referencia</w:t>
      </w:r>
      <w:r w:rsidR="00B16016">
        <w:rPr>
          <w:lang w:val="es-MX"/>
        </w:rPr>
        <w:t>.</w:t>
      </w:r>
    </w:p>
    <w:p w14:paraId="61EE08A3" w14:textId="77777777"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03CE3A72" w14:textId="71E23CDF"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9C2B95">
        <w:rPr>
          <w:b/>
          <w:smallCaps/>
          <w:sz w:val="22"/>
          <w:lang w:val="es-MX"/>
        </w:rPr>
        <w:t>C</w:t>
      </w:r>
      <w:r w:rsidR="00C46EA9" w:rsidRPr="000A6510">
        <w:rPr>
          <w:b/>
          <w:smallCaps/>
          <w:sz w:val="22"/>
          <w:lang w:val="es-MX"/>
        </w:rPr>
        <w:t>onstrucción</w:t>
      </w:r>
    </w:p>
    <w:p w14:paraId="19A4EA1A" w14:textId="77777777"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934"/>
        <w:gridCol w:w="1018"/>
        <w:gridCol w:w="930"/>
        <w:gridCol w:w="988"/>
        <w:gridCol w:w="449"/>
        <w:gridCol w:w="1281"/>
      </w:tblGrid>
      <w:tr w:rsidR="00FF4518" w:rsidRPr="000A6510" w14:paraId="3FC91817" w14:textId="77777777" w:rsidTr="266B2E84">
        <w:trPr>
          <w:trHeight w:val="518"/>
          <w:tblHeader/>
        </w:trPr>
        <w:tc>
          <w:tcPr>
            <w:tcW w:w="4815" w:type="dxa"/>
            <w:vMerge w:val="restart"/>
            <w:tcBorders>
              <w:top w:val="single" w:sz="4" w:space="0" w:color="404040" w:themeColor="text1" w:themeTint="BF"/>
              <w:left w:val="single" w:sz="4" w:space="0" w:color="404040" w:themeColor="text1" w:themeTint="BF"/>
              <w:right w:val="single" w:sz="4" w:space="0" w:color="404040" w:themeColor="text1" w:themeTint="BF"/>
            </w:tcBorders>
            <w:shd w:val="clear" w:color="auto" w:fill="CCCCFF"/>
            <w:vAlign w:val="center"/>
          </w:tcPr>
          <w:p w14:paraId="66B5B43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themeColor="text1" w:themeTint="BF"/>
              <w:left w:val="single" w:sz="4" w:space="0" w:color="404040" w:themeColor="text1" w:themeTint="BF"/>
              <w:right w:val="single" w:sz="4" w:space="0" w:color="404040" w:themeColor="text1" w:themeTint="BF"/>
            </w:tcBorders>
            <w:shd w:val="clear" w:color="auto" w:fill="CCCCFF"/>
            <w:vAlign w:val="center"/>
          </w:tcPr>
          <w:p w14:paraId="63D0B5B1" w14:textId="038285A3" w:rsidR="009C3FF5" w:rsidRPr="000A6510" w:rsidRDefault="009E52F9" w:rsidP="00642E03">
            <w:pPr>
              <w:ind w:left="-108" w:right="-82"/>
              <w:jc w:val="center"/>
              <w:rPr>
                <w:spacing w:val="-4"/>
                <w:sz w:val="18"/>
                <w:szCs w:val="18"/>
              </w:rPr>
            </w:pPr>
            <w:r>
              <w:rPr>
                <w:spacing w:val="-4"/>
                <w:sz w:val="18"/>
                <w:szCs w:val="18"/>
              </w:rPr>
              <w:t>Enero</w:t>
            </w:r>
            <w:r w:rsidR="00FA2618" w:rsidRPr="000A6510">
              <w:rPr>
                <w:spacing w:val="-4"/>
                <w:sz w:val="18"/>
                <w:szCs w:val="18"/>
              </w:rPr>
              <w:br/>
              <w:t xml:space="preserve">de </w:t>
            </w:r>
            <w:r w:rsidR="00BC05F9">
              <w:rPr>
                <w:spacing w:val="-4"/>
                <w:sz w:val="18"/>
                <w:szCs w:val="18"/>
              </w:rPr>
              <w:t>202</w:t>
            </w:r>
            <w:r>
              <w:rPr>
                <w:spacing w:val="-4"/>
                <w:sz w:val="18"/>
                <w:szCs w:val="18"/>
              </w:rPr>
              <w:t>3</w:t>
            </w:r>
          </w:p>
        </w:tc>
        <w:tc>
          <w:tcPr>
            <w:tcW w:w="187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vAlign w:val="center"/>
          </w:tcPr>
          <w:p w14:paraId="58D73B37"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themeColor="text1" w:themeTint="BF"/>
              <w:left w:val="single" w:sz="4" w:space="0" w:color="404040" w:themeColor="text1" w:themeTint="BF"/>
              <w:right w:val="single" w:sz="4" w:space="0" w:color="404040" w:themeColor="text1" w:themeTint="BF"/>
            </w:tcBorders>
            <w:shd w:val="clear" w:color="auto" w:fill="CCCCFF"/>
            <w:vAlign w:val="center"/>
          </w:tcPr>
          <w:p w14:paraId="540786BE" w14:textId="7449A4A1"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51195DB5" w14:textId="77777777" w:rsidTr="266B2E84">
        <w:trPr>
          <w:trHeight w:val="517"/>
          <w:tblHeader/>
        </w:trPr>
        <w:tc>
          <w:tcPr>
            <w:tcW w:w="4815" w:type="dxa"/>
            <w:vMerge/>
            <w:vAlign w:val="center"/>
          </w:tcPr>
          <w:p w14:paraId="20AE07DE"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vAlign w:val="center"/>
          </w:tcPr>
          <w:p w14:paraId="4F709D80" w14:textId="77777777" w:rsidR="00812DAD" w:rsidRPr="000A6510" w:rsidRDefault="00812DAD" w:rsidP="00D36749">
            <w:pPr>
              <w:ind w:left="-108" w:right="-82"/>
              <w:jc w:val="center"/>
              <w:rPr>
                <w:sz w:val="18"/>
                <w:szCs w:val="18"/>
              </w:rPr>
            </w:pPr>
          </w:p>
        </w:tc>
        <w:tc>
          <w:tcPr>
            <w:tcW w:w="9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vAlign w:val="center"/>
          </w:tcPr>
          <w:p w14:paraId="2E5706C7"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vAlign w:val="center"/>
          </w:tcPr>
          <w:p w14:paraId="5BABBA83" w14:textId="5473D4EF"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w:t>
            </w:r>
            <w:r w:rsidR="009E52F9">
              <w:rPr>
                <w:spacing w:val="-4"/>
                <w:sz w:val="18"/>
                <w:szCs w:val="18"/>
              </w:rPr>
              <w:t>2</w:t>
            </w:r>
          </w:p>
        </w:tc>
        <w:tc>
          <w:tcPr>
            <w:tcW w:w="1688" w:type="dxa"/>
            <w:gridSpan w:val="2"/>
            <w:vMerge/>
            <w:vAlign w:val="center"/>
          </w:tcPr>
          <w:p w14:paraId="661F1299" w14:textId="77777777" w:rsidR="00812DAD" w:rsidRPr="000A6510" w:rsidRDefault="00812DAD" w:rsidP="00D36749">
            <w:pPr>
              <w:tabs>
                <w:tab w:val="center" w:pos="3348"/>
              </w:tabs>
              <w:ind w:left="-84" w:right="-99"/>
              <w:jc w:val="center"/>
              <w:rPr>
                <w:sz w:val="18"/>
                <w:szCs w:val="18"/>
              </w:rPr>
            </w:pPr>
          </w:p>
        </w:tc>
      </w:tr>
      <w:tr w:rsidR="00706AED" w:rsidRPr="000A6510" w14:paraId="5775608B" w14:textId="77777777" w:rsidTr="266B2E84">
        <w:tc>
          <w:tcPr>
            <w:tcW w:w="4815" w:type="dxa"/>
            <w:tcBorders>
              <w:top w:val="single" w:sz="4" w:space="0" w:color="404040" w:themeColor="text1" w:themeTint="BF"/>
              <w:left w:val="single" w:sz="4" w:space="0" w:color="404040" w:themeColor="text1" w:themeTint="BF"/>
              <w:bottom w:val="nil"/>
              <w:right w:val="single" w:sz="4" w:space="0" w:color="404040" w:themeColor="text1" w:themeTint="BF"/>
            </w:tcBorders>
            <w:shd w:val="clear" w:color="auto" w:fill="auto"/>
            <w:vAlign w:val="bottom"/>
          </w:tcPr>
          <w:p w14:paraId="552CD8B2" w14:textId="011B4A2C" w:rsidR="00706AED" w:rsidRPr="000A6510" w:rsidRDefault="00706AED" w:rsidP="00706AED">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Construcción</w:t>
            </w:r>
          </w:p>
        </w:tc>
        <w:tc>
          <w:tcPr>
            <w:tcW w:w="993" w:type="dxa"/>
            <w:tcBorders>
              <w:top w:val="single" w:sz="4" w:space="0" w:color="404040" w:themeColor="text1" w:themeTint="BF"/>
              <w:left w:val="single" w:sz="4" w:space="0" w:color="404040" w:themeColor="text1" w:themeTint="BF"/>
              <w:bottom w:val="nil"/>
              <w:right w:val="single" w:sz="4" w:space="0" w:color="404040" w:themeColor="text1" w:themeTint="BF"/>
            </w:tcBorders>
            <w:shd w:val="clear" w:color="auto" w:fill="auto"/>
            <w:vAlign w:val="center"/>
          </w:tcPr>
          <w:p w14:paraId="34820CBE" w14:textId="05FD0FE5" w:rsidR="00706AED" w:rsidRPr="00706AED" w:rsidRDefault="00706AED" w:rsidP="00706AED">
            <w:pPr>
              <w:tabs>
                <w:tab w:val="decimal" w:pos="390"/>
              </w:tabs>
              <w:jc w:val="left"/>
              <w:rPr>
                <w:b/>
                <w:sz w:val="18"/>
                <w:szCs w:val="18"/>
              </w:rPr>
            </w:pPr>
            <w:r w:rsidRPr="00706AED">
              <w:rPr>
                <w:b/>
                <w:bCs/>
                <w:sz w:val="18"/>
                <w:szCs w:val="18"/>
              </w:rPr>
              <w:t xml:space="preserve">54.1 </w:t>
            </w:r>
          </w:p>
        </w:tc>
        <w:tc>
          <w:tcPr>
            <w:tcW w:w="908" w:type="dxa"/>
            <w:tcBorders>
              <w:top w:val="single" w:sz="4" w:space="0" w:color="404040" w:themeColor="text1" w:themeTint="BF"/>
              <w:left w:val="single" w:sz="4" w:space="0" w:color="404040" w:themeColor="text1" w:themeTint="BF"/>
              <w:bottom w:val="nil"/>
              <w:right w:val="nil"/>
            </w:tcBorders>
            <w:shd w:val="clear" w:color="auto" w:fill="auto"/>
            <w:vAlign w:val="center"/>
          </w:tcPr>
          <w:p w14:paraId="7C2F93F6" w14:textId="587D413A" w:rsidR="00706AED" w:rsidRPr="00706AED" w:rsidRDefault="00706AED" w:rsidP="00706AED">
            <w:pPr>
              <w:tabs>
                <w:tab w:val="decimal" w:pos="302"/>
              </w:tabs>
              <w:ind w:left="-142"/>
              <w:jc w:val="left"/>
              <w:rPr>
                <w:b/>
                <w:sz w:val="18"/>
                <w:szCs w:val="18"/>
              </w:rPr>
            </w:pPr>
            <w:r w:rsidRPr="00706AED">
              <w:rPr>
                <w:b/>
                <w:bCs/>
                <w:sz w:val="18"/>
                <w:szCs w:val="18"/>
              </w:rPr>
              <w:t>0</w:t>
            </w:r>
            <w:r>
              <w:rPr>
                <w:b/>
                <w:bCs/>
                <w:sz w:val="18"/>
                <w:szCs w:val="18"/>
              </w:rPr>
              <w:t>.1</w:t>
            </w:r>
          </w:p>
        </w:tc>
        <w:tc>
          <w:tcPr>
            <w:tcW w:w="964" w:type="dxa"/>
            <w:tcBorders>
              <w:top w:val="single" w:sz="4" w:space="0" w:color="404040" w:themeColor="text1" w:themeTint="BF"/>
              <w:left w:val="nil"/>
              <w:bottom w:val="nil"/>
              <w:right w:val="single" w:sz="4" w:space="0" w:color="404040" w:themeColor="text1" w:themeTint="BF"/>
            </w:tcBorders>
            <w:shd w:val="clear" w:color="auto" w:fill="auto"/>
            <w:vAlign w:val="center"/>
          </w:tcPr>
          <w:p w14:paraId="484C3463" w14:textId="590D0653" w:rsidR="00706AED" w:rsidRPr="00706AED" w:rsidRDefault="00706AED" w:rsidP="00706AED">
            <w:pPr>
              <w:tabs>
                <w:tab w:val="decimal" w:pos="282"/>
              </w:tabs>
              <w:jc w:val="left"/>
              <w:rPr>
                <w:b/>
                <w:sz w:val="18"/>
                <w:szCs w:val="18"/>
              </w:rPr>
            </w:pPr>
            <w:r w:rsidRPr="00706AED">
              <w:rPr>
                <w:b/>
                <w:bCs/>
                <w:sz w:val="18"/>
                <w:szCs w:val="18"/>
              </w:rPr>
              <w:t>-0.2</w:t>
            </w:r>
          </w:p>
        </w:tc>
        <w:tc>
          <w:tcPr>
            <w:tcW w:w="438" w:type="dxa"/>
            <w:tcBorders>
              <w:top w:val="single" w:sz="4" w:space="0" w:color="404040" w:themeColor="text1" w:themeTint="BF"/>
              <w:left w:val="single" w:sz="4" w:space="0" w:color="404040" w:themeColor="text1" w:themeTint="BF"/>
              <w:bottom w:val="nil"/>
              <w:right w:val="nil"/>
            </w:tcBorders>
            <w:shd w:val="clear" w:color="auto" w:fill="auto"/>
            <w:vAlign w:val="center"/>
          </w:tcPr>
          <w:p w14:paraId="2E8282B9" w14:textId="3B5DE937" w:rsidR="00706AED" w:rsidRPr="00706AED" w:rsidRDefault="00706AED" w:rsidP="00706AED">
            <w:pPr>
              <w:jc w:val="right"/>
              <w:rPr>
                <w:b/>
                <w:sz w:val="18"/>
                <w:szCs w:val="18"/>
              </w:rPr>
            </w:pPr>
            <w:r w:rsidRPr="00706AED">
              <w:rPr>
                <w:b/>
                <w:bCs/>
                <w:sz w:val="18"/>
                <w:szCs w:val="18"/>
              </w:rPr>
              <w:t>28</w:t>
            </w:r>
          </w:p>
        </w:tc>
        <w:tc>
          <w:tcPr>
            <w:tcW w:w="1250" w:type="dxa"/>
            <w:tcBorders>
              <w:top w:val="single" w:sz="4" w:space="0" w:color="404040" w:themeColor="text1" w:themeTint="BF"/>
              <w:left w:val="nil"/>
              <w:bottom w:val="nil"/>
              <w:right w:val="single" w:sz="4" w:space="0" w:color="404040" w:themeColor="text1" w:themeTint="BF"/>
            </w:tcBorders>
            <w:shd w:val="clear" w:color="auto" w:fill="auto"/>
            <w:vAlign w:val="center"/>
          </w:tcPr>
          <w:p w14:paraId="5FDDB4FE" w14:textId="15FA56E0" w:rsidR="00706AED" w:rsidRPr="006C1B78" w:rsidRDefault="00EF7DF9" w:rsidP="00706AED">
            <w:pPr>
              <w:tabs>
                <w:tab w:val="decimal" w:pos="810"/>
              </w:tabs>
              <w:jc w:val="left"/>
              <w:rPr>
                <w:b/>
                <w:sz w:val="18"/>
                <w:szCs w:val="18"/>
              </w:rPr>
            </w:pPr>
            <w:r>
              <w:rPr>
                <w:b/>
                <w:bCs/>
                <w:color w:val="000000"/>
                <w:sz w:val="18"/>
                <w:szCs w:val="18"/>
              </w:rPr>
              <w:t>p</w:t>
            </w:r>
            <w:r w:rsidR="00706AED">
              <w:rPr>
                <w:b/>
                <w:bCs/>
                <w:color w:val="000000"/>
                <w:sz w:val="18"/>
                <w:szCs w:val="18"/>
              </w:rPr>
              <w:t>or arriba</w:t>
            </w:r>
          </w:p>
        </w:tc>
      </w:tr>
      <w:tr w:rsidR="00706AED" w:rsidRPr="000A6510" w14:paraId="14D35447" w14:textId="77777777" w:rsidTr="266B2E84">
        <w:tc>
          <w:tcPr>
            <w:tcW w:w="4815" w:type="dxa"/>
            <w:tcBorders>
              <w:top w:val="nil"/>
              <w:left w:val="single" w:sz="4" w:space="0" w:color="404040" w:themeColor="text1" w:themeTint="BF"/>
              <w:bottom w:val="nil"/>
              <w:right w:val="single" w:sz="4" w:space="0" w:color="404040" w:themeColor="text1" w:themeTint="BF"/>
            </w:tcBorders>
            <w:shd w:val="clear" w:color="auto" w:fill="auto"/>
            <w:vAlign w:val="bottom"/>
          </w:tcPr>
          <w:p w14:paraId="4D05A064" w14:textId="77777777" w:rsidR="00706AED" w:rsidRPr="000A6510" w:rsidRDefault="00706AED" w:rsidP="008628D1">
            <w:pPr>
              <w:pStyle w:val="Prrafodelista"/>
              <w:widowControl w:val="0"/>
              <w:numPr>
                <w:ilvl w:val="0"/>
                <w:numId w:val="23"/>
              </w:numPr>
              <w:spacing w:before="20" w:after="20"/>
              <w:ind w:left="306"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themeColor="text1" w:themeTint="BF"/>
              <w:bottom w:val="nil"/>
              <w:right w:val="single" w:sz="4" w:space="0" w:color="404040" w:themeColor="text1" w:themeTint="BF"/>
            </w:tcBorders>
            <w:shd w:val="clear" w:color="auto" w:fill="auto"/>
            <w:vAlign w:val="center"/>
          </w:tcPr>
          <w:p w14:paraId="6BE70BBE" w14:textId="5C1D54AB" w:rsidR="00706AED" w:rsidRPr="00706AED" w:rsidRDefault="00706AED" w:rsidP="00706AED">
            <w:pPr>
              <w:tabs>
                <w:tab w:val="decimal" w:pos="390"/>
              </w:tabs>
              <w:jc w:val="left"/>
              <w:rPr>
                <w:sz w:val="18"/>
                <w:szCs w:val="18"/>
                <w:lang w:val="es-MX" w:eastAsia="es-MX"/>
              </w:rPr>
            </w:pPr>
            <w:r w:rsidRPr="00706AED">
              <w:rPr>
                <w:sz w:val="18"/>
                <w:szCs w:val="18"/>
              </w:rPr>
              <w:t xml:space="preserve">55.4 </w:t>
            </w:r>
          </w:p>
        </w:tc>
        <w:tc>
          <w:tcPr>
            <w:tcW w:w="908" w:type="dxa"/>
            <w:tcBorders>
              <w:top w:val="nil"/>
              <w:left w:val="single" w:sz="4" w:space="0" w:color="404040" w:themeColor="text1" w:themeTint="BF"/>
              <w:bottom w:val="nil"/>
              <w:right w:val="nil"/>
            </w:tcBorders>
            <w:shd w:val="clear" w:color="auto" w:fill="auto"/>
            <w:vAlign w:val="center"/>
          </w:tcPr>
          <w:p w14:paraId="19BA7C0D" w14:textId="53AE1DBA" w:rsidR="00706AED" w:rsidRPr="00706AED" w:rsidRDefault="00706AED" w:rsidP="00706AED">
            <w:pPr>
              <w:tabs>
                <w:tab w:val="decimal" w:pos="302"/>
              </w:tabs>
              <w:ind w:left="-142"/>
              <w:jc w:val="left"/>
              <w:rPr>
                <w:sz w:val="18"/>
                <w:szCs w:val="18"/>
              </w:rPr>
            </w:pPr>
            <w:r w:rsidRPr="00706AED">
              <w:rPr>
                <w:sz w:val="18"/>
                <w:szCs w:val="18"/>
              </w:rPr>
              <w:t>0.3</w:t>
            </w:r>
          </w:p>
        </w:tc>
        <w:tc>
          <w:tcPr>
            <w:tcW w:w="964" w:type="dxa"/>
            <w:tcBorders>
              <w:top w:val="nil"/>
              <w:left w:val="nil"/>
              <w:bottom w:val="nil"/>
              <w:right w:val="single" w:sz="4" w:space="0" w:color="404040" w:themeColor="text1" w:themeTint="BF"/>
            </w:tcBorders>
            <w:shd w:val="clear" w:color="auto" w:fill="auto"/>
            <w:vAlign w:val="center"/>
          </w:tcPr>
          <w:p w14:paraId="2235B44C" w14:textId="6A9D5839" w:rsidR="00706AED" w:rsidRPr="00706AED" w:rsidRDefault="00706AED" w:rsidP="00706AED">
            <w:pPr>
              <w:tabs>
                <w:tab w:val="decimal" w:pos="282"/>
              </w:tabs>
              <w:jc w:val="left"/>
              <w:rPr>
                <w:sz w:val="18"/>
                <w:szCs w:val="18"/>
              </w:rPr>
            </w:pPr>
            <w:r w:rsidRPr="00706AED">
              <w:rPr>
                <w:sz w:val="18"/>
                <w:szCs w:val="18"/>
              </w:rPr>
              <w:t>-0.1</w:t>
            </w:r>
          </w:p>
        </w:tc>
        <w:tc>
          <w:tcPr>
            <w:tcW w:w="438" w:type="dxa"/>
            <w:tcBorders>
              <w:top w:val="nil"/>
              <w:left w:val="single" w:sz="4" w:space="0" w:color="404040" w:themeColor="text1" w:themeTint="BF"/>
              <w:bottom w:val="nil"/>
              <w:right w:val="nil"/>
            </w:tcBorders>
            <w:shd w:val="clear" w:color="auto" w:fill="auto"/>
            <w:vAlign w:val="center"/>
          </w:tcPr>
          <w:p w14:paraId="01529C95" w14:textId="28E1DA45" w:rsidR="00706AED" w:rsidRPr="00706AED" w:rsidRDefault="00706AED" w:rsidP="00706AED">
            <w:pPr>
              <w:jc w:val="right"/>
              <w:rPr>
                <w:sz w:val="18"/>
                <w:szCs w:val="18"/>
              </w:rPr>
            </w:pPr>
            <w:r w:rsidRPr="00706AED">
              <w:rPr>
                <w:sz w:val="18"/>
                <w:szCs w:val="18"/>
              </w:rPr>
              <w:t>31</w:t>
            </w:r>
          </w:p>
        </w:tc>
        <w:tc>
          <w:tcPr>
            <w:tcW w:w="1250" w:type="dxa"/>
            <w:tcBorders>
              <w:top w:val="nil"/>
              <w:left w:val="nil"/>
              <w:bottom w:val="nil"/>
              <w:right w:val="single" w:sz="4" w:space="0" w:color="404040" w:themeColor="text1" w:themeTint="BF"/>
            </w:tcBorders>
            <w:shd w:val="clear" w:color="auto" w:fill="auto"/>
            <w:vAlign w:val="center"/>
          </w:tcPr>
          <w:p w14:paraId="594DB2DB" w14:textId="6E147FE7" w:rsidR="00706AED" w:rsidRPr="00C245FA" w:rsidRDefault="00EF7DF9" w:rsidP="00706AED">
            <w:pPr>
              <w:tabs>
                <w:tab w:val="decimal" w:pos="810"/>
              </w:tabs>
              <w:jc w:val="left"/>
              <w:rPr>
                <w:sz w:val="18"/>
                <w:szCs w:val="18"/>
              </w:rPr>
            </w:pPr>
            <w:r>
              <w:rPr>
                <w:color w:val="000000"/>
                <w:sz w:val="18"/>
                <w:szCs w:val="18"/>
              </w:rPr>
              <w:t>p</w:t>
            </w:r>
            <w:r w:rsidR="00706AED">
              <w:rPr>
                <w:color w:val="000000"/>
                <w:sz w:val="18"/>
                <w:szCs w:val="18"/>
              </w:rPr>
              <w:t>or arriba</w:t>
            </w:r>
          </w:p>
        </w:tc>
      </w:tr>
      <w:tr w:rsidR="00706AED" w:rsidRPr="000A6510" w14:paraId="7FB4FEF6" w14:textId="77777777" w:rsidTr="266B2E84">
        <w:tc>
          <w:tcPr>
            <w:tcW w:w="4815" w:type="dxa"/>
            <w:tcBorders>
              <w:top w:val="nil"/>
              <w:left w:val="single" w:sz="4" w:space="0" w:color="404040" w:themeColor="text1" w:themeTint="BF"/>
              <w:bottom w:val="nil"/>
              <w:right w:val="single" w:sz="4" w:space="0" w:color="404040" w:themeColor="text1" w:themeTint="BF"/>
            </w:tcBorders>
            <w:shd w:val="clear" w:color="auto" w:fill="auto"/>
            <w:vAlign w:val="bottom"/>
          </w:tcPr>
          <w:p w14:paraId="0A54E922" w14:textId="77777777" w:rsidR="00706AED" w:rsidRPr="000A6510" w:rsidRDefault="00706AED" w:rsidP="008628D1">
            <w:pPr>
              <w:pStyle w:val="Prrafodelista"/>
              <w:widowControl w:val="0"/>
              <w:numPr>
                <w:ilvl w:val="0"/>
                <w:numId w:val="23"/>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themeColor="text1" w:themeTint="BF"/>
              <w:bottom w:val="nil"/>
              <w:right w:val="single" w:sz="4" w:space="0" w:color="404040" w:themeColor="text1" w:themeTint="BF"/>
            </w:tcBorders>
            <w:shd w:val="clear" w:color="auto" w:fill="auto"/>
            <w:vAlign w:val="center"/>
          </w:tcPr>
          <w:p w14:paraId="76807FCF" w14:textId="6027B9C8" w:rsidR="00706AED" w:rsidRPr="00706AED" w:rsidRDefault="00706AED" w:rsidP="00706AED">
            <w:pPr>
              <w:tabs>
                <w:tab w:val="decimal" w:pos="390"/>
              </w:tabs>
              <w:jc w:val="left"/>
              <w:rPr>
                <w:sz w:val="18"/>
                <w:szCs w:val="18"/>
              </w:rPr>
            </w:pPr>
            <w:r w:rsidRPr="00706AED">
              <w:rPr>
                <w:sz w:val="18"/>
                <w:szCs w:val="18"/>
              </w:rPr>
              <w:t xml:space="preserve">54.0 </w:t>
            </w:r>
          </w:p>
        </w:tc>
        <w:tc>
          <w:tcPr>
            <w:tcW w:w="908" w:type="dxa"/>
            <w:tcBorders>
              <w:top w:val="nil"/>
              <w:left w:val="single" w:sz="4" w:space="0" w:color="404040" w:themeColor="text1" w:themeTint="BF"/>
              <w:bottom w:val="nil"/>
              <w:right w:val="nil"/>
            </w:tcBorders>
            <w:shd w:val="clear" w:color="auto" w:fill="auto"/>
            <w:vAlign w:val="center"/>
          </w:tcPr>
          <w:p w14:paraId="3AB42CD3" w14:textId="2F855A77" w:rsidR="00706AED" w:rsidRPr="00706AED" w:rsidRDefault="00706AED" w:rsidP="00706AED">
            <w:pPr>
              <w:tabs>
                <w:tab w:val="decimal" w:pos="302"/>
              </w:tabs>
              <w:ind w:left="-142"/>
              <w:jc w:val="left"/>
              <w:rPr>
                <w:sz w:val="18"/>
                <w:szCs w:val="18"/>
              </w:rPr>
            </w:pPr>
            <w:r w:rsidRPr="00706AED">
              <w:rPr>
                <w:sz w:val="18"/>
                <w:szCs w:val="18"/>
              </w:rPr>
              <w:t>0.1</w:t>
            </w:r>
          </w:p>
        </w:tc>
        <w:tc>
          <w:tcPr>
            <w:tcW w:w="964" w:type="dxa"/>
            <w:tcBorders>
              <w:top w:val="nil"/>
              <w:left w:val="nil"/>
              <w:bottom w:val="nil"/>
              <w:right w:val="single" w:sz="4" w:space="0" w:color="404040" w:themeColor="text1" w:themeTint="BF"/>
            </w:tcBorders>
            <w:shd w:val="clear" w:color="auto" w:fill="auto"/>
            <w:vAlign w:val="center"/>
          </w:tcPr>
          <w:p w14:paraId="2D28619C" w14:textId="68DF690B" w:rsidR="00706AED" w:rsidRPr="00706AED" w:rsidRDefault="00706AED" w:rsidP="00706AED">
            <w:pPr>
              <w:tabs>
                <w:tab w:val="decimal" w:pos="282"/>
              </w:tabs>
              <w:jc w:val="left"/>
              <w:rPr>
                <w:sz w:val="18"/>
                <w:szCs w:val="18"/>
              </w:rPr>
            </w:pPr>
            <w:r w:rsidRPr="00706AED">
              <w:rPr>
                <w:sz w:val="18"/>
                <w:szCs w:val="18"/>
              </w:rPr>
              <w:t>-1.1</w:t>
            </w:r>
          </w:p>
        </w:tc>
        <w:tc>
          <w:tcPr>
            <w:tcW w:w="438" w:type="dxa"/>
            <w:tcBorders>
              <w:top w:val="nil"/>
              <w:left w:val="single" w:sz="4" w:space="0" w:color="404040" w:themeColor="text1" w:themeTint="BF"/>
              <w:bottom w:val="nil"/>
              <w:right w:val="nil"/>
            </w:tcBorders>
            <w:shd w:val="clear" w:color="auto" w:fill="auto"/>
            <w:vAlign w:val="center"/>
          </w:tcPr>
          <w:p w14:paraId="0135780A" w14:textId="35A6B280" w:rsidR="00706AED" w:rsidRPr="00706AED" w:rsidRDefault="00706AED" w:rsidP="00706AED">
            <w:pPr>
              <w:jc w:val="right"/>
              <w:rPr>
                <w:sz w:val="18"/>
                <w:szCs w:val="18"/>
              </w:rPr>
            </w:pPr>
            <w:r w:rsidRPr="00706AED">
              <w:rPr>
                <w:sz w:val="18"/>
                <w:szCs w:val="18"/>
              </w:rPr>
              <w:t>27</w:t>
            </w:r>
          </w:p>
        </w:tc>
        <w:tc>
          <w:tcPr>
            <w:tcW w:w="1250" w:type="dxa"/>
            <w:tcBorders>
              <w:top w:val="nil"/>
              <w:left w:val="nil"/>
              <w:bottom w:val="nil"/>
              <w:right w:val="single" w:sz="4" w:space="0" w:color="404040" w:themeColor="text1" w:themeTint="BF"/>
            </w:tcBorders>
            <w:shd w:val="clear" w:color="auto" w:fill="auto"/>
            <w:vAlign w:val="center"/>
          </w:tcPr>
          <w:p w14:paraId="7B4ACD5A" w14:textId="1E163A25" w:rsidR="00706AED" w:rsidRPr="00C245FA" w:rsidRDefault="00EF7DF9" w:rsidP="00706AED">
            <w:pPr>
              <w:tabs>
                <w:tab w:val="decimal" w:pos="810"/>
              </w:tabs>
              <w:jc w:val="left"/>
              <w:rPr>
                <w:sz w:val="18"/>
                <w:szCs w:val="18"/>
              </w:rPr>
            </w:pPr>
            <w:r>
              <w:rPr>
                <w:color w:val="000000"/>
                <w:sz w:val="18"/>
                <w:szCs w:val="18"/>
              </w:rPr>
              <w:t>p</w:t>
            </w:r>
            <w:r w:rsidR="00706AED">
              <w:rPr>
                <w:color w:val="000000"/>
                <w:sz w:val="18"/>
                <w:szCs w:val="18"/>
              </w:rPr>
              <w:t>or arriba</w:t>
            </w:r>
          </w:p>
        </w:tc>
      </w:tr>
      <w:tr w:rsidR="00706AED" w:rsidRPr="000A6510" w14:paraId="41FAA967" w14:textId="77777777" w:rsidTr="266B2E84">
        <w:tc>
          <w:tcPr>
            <w:tcW w:w="4815" w:type="dxa"/>
            <w:tcBorders>
              <w:top w:val="nil"/>
              <w:left w:val="single" w:sz="4" w:space="0" w:color="404040" w:themeColor="text1" w:themeTint="BF"/>
              <w:bottom w:val="nil"/>
              <w:right w:val="single" w:sz="4" w:space="0" w:color="404040" w:themeColor="text1" w:themeTint="BF"/>
            </w:tcBorders>
            <w:shd w:val="clear" w:color="auto" w:fill="auto"/>
            <w:vAlign w:val="bottom"/>
          </w:tcPr>
          <w:p w14:paraId="5DA6261E" w14:textId="77777777" w:rsidR="00706AED" w:rsidRPr="000A6510" w:rsidRDefault="00706AED" w:rsidP="008628D1">
            <w:pPr>
              <w:pStyle w:val="Prrafodelista"/>
              <w:widowControl w:val="0"/>
              <w:numPr>
                <w:ilvl w:val="0"/>
                <w:numId w:val="23"/>
              </w:numPr>
              <w:spacing w:before="20" w:after="20"/>
              <w:ind w:left="313" w:hanging="284"/>
              <w:contextualSpacing/>
              <w:jc w:val="left"/>
              <w:rPr>
                <w:spacing w:val="-4"/>
                <w:sz w:val="18"/>
                <w:szCs w:val="18"/>
                <w:lang w:val="es-MX"/>
              </w:rPr>
            </w:pPr>
            <w:proofErr w:type="gramStart"/>
            <w:r w:rsidRPr="000A6510">
              <w:rPr>
                <w:spacing w:val="-4"/>
                <w:sz w:val="18"/>
                <w:szCs w:val="18"/>
                <w:lang w:val="es-MX"/>
              </w:rPr>
              <w:t>Total</w:t>
            </w:r>
            <w:proofErr w:type="gramEnd"/>
            <w:r w:rsidRPr="000A6510">
              <w:rPr>
                <w:spacing w:val="-4"/>
                <w:sz w:val="18"/>
                <w:szCs w:val="18"/>
                <w:lang w:val="es-MX"/>
              </w:rPr>
              <w:t xml:space="preserve"> de contratos y subcontratos</w:t>
            </w:r>
          </w:p>
        </w:tc>
        <w:tc>
          <w:tcPr>
            <w:tcW w:w="993" w:type="dxa"/>
            <w:tcBorders>
              <w:top w:val="nil"/>
              <w:left w:val="single" w:sz="4" w:space="0" w:color="404040" w:themeColor="text1" w:themeTint="BF"/>
              <w:bottom w:val="nil"/>
              <w:right w:val="single" w:sz="4" w:space="0" w:color="404040" w:themeColor="text1" w:themeTint="BF"/>
            </w:tcBorders>
            <w:shd w:val="clear" w:color="auto" w:fill="auto"/>
            <w:vAlign w:val="center"/>
          </w:tcPr>
          <w:p w14:paraId="4A112563" w14:textId="35AE8B7C" w:rsidR="00706AED" w:rsidRPr="00706AED" w:rsidRDefault="00706AED" w:rsidP="00706AED">
            <w:pPr>
              <w:tabs>
                <w:tab w:val="decimal" w:pos="390"/>
              </w:tabs>
              <w:jc w:val="left"/>
              <w:rPr>
                <w:sz w:val="18"/>
                <w:szCs w:val="18"/>
              </w:rPr>
            </w:pPr>
            <w:r w:rsidRPr="00706AED">
              <w:rPr>
                <w:sz w:val="18"/>
                <w:szCs w:val="18"/>
              </w:rPr>
              <w:t xml:space="preserve">54.5 </w:t>
            </w:r>
          </w:p>
        </w:tc>
        <w:tc>
          <w:tcPr>
            <w:tcW w:w="908" w:type="dxa"/>
            <w:tcBorders>
              <w:top w:val="nil"/>
              <w:left w:val="single" w:sz="4" w:space="0" w:color="404040" w:themeColor="text1" w:themeTint="BF"/>
              <w:bottom w:val="nil"/>
              <w:right w:val="nil"/>
            </w:tcBorders>
            <w:shd w:val="clear" w:color="auto" w:fill="auto"/>
            <w:vAlign w:val="center"/>
          </w:tcPr>
          <w:p w14:paraId="0ED434AA" w14:textId="586CA591" w:rsidR="00706AED" w:rsidRPr="00706AED" w:rsidRDefault="00706AED" w:rsidP="00706AED">
            <w:pPr>
              <w:tabs>
                <w:tab w:val="decimal" w:pos="302"/>
              </w:tabs>
              <w:ind w:left="-142"/>
              <w:jc w:val="left"/>
              <w:rPr>
                <w:sz w:val="18"/>
                <w:szCs w:val="18"/>
              </w:rPr>
            </w:pPr>
            <w:r w:rsidRPr="00706AED">
              <w:rPr>
                <w:sz w:val="18"/>
                <w:szCs w:val="18"/>
              </w:rPr>
              <w:t>0.2</w:t>
            </w:r>
          </w:p>
        </w:tc>
        <w:tc>
          <w:tcPr>
            <w:tcW w:w="964" w:type="dxa"/>
            <w:tcBorders>
              <w:top w:val="nil"/>
              <w:left w:val="nil"/>
              <w:bottom w:val="nil"/>
              <w:right w:val="single" w:sz="4" w:space="0" w:color="404040" w:themeColor="text1" w:themeTint="BF"/>
            </w:tcBorders>
            <w:shd w:val="clear" w:color="auto" w:fill="auto"/>
            <w:vAlign w:val="center"/>
          </w:tcPr>
          <w:p w14:paraId="7DF50E3C" w14:textId="5700680A" w:rsidR="00706AED" w:rsidRPr="00706AED" w:rsidRDefault="00706AED" w:rsidP="00706AED">
            <w:pPr>
              <w:tabs>
                <w:tab w:val="decimal" w:pos="282"/>
              </w:tabs>
              <w:jc w:val="left"/>
              <w:rPr>
                <w:sz w:val="18"/>
                <w:szCs w:val="18"/>
              </w:rPr>
            </w:pPr>
            <w:r w:rsidRPr="00706AED">
              <w:rPr>
                <w:sz w:val="18"/>
                <w:szCs w:val="18"/>
              </w:rPr>
              <w:t>0.4</w:t>
            </w:r>
          </w:p>
        </w:tc>
        <w:tc>
          <w:tcPr>
            <w:tcW w:w="438" w:type="dxa"/>
            <w:tcBorders>
              <w:top w:val="nil"/>
              <w:left w:val="single" w:sz="4" w:space="0" w:color="404040" w:themeColor="text1" w:themeTint="BF"/>
              <w:bottom w:val="nil"/>
              <w:right w:val="nil"/>
            </w:tcBorders>
            <w:shd w:val="clear" w:color="auto" w:fill="auto"/>
            <w:vAlign w:val="center"/>
          </w:tcPr>
          <w:p w14:paraId="3D3001A4" w14:textId="43B93B3C" w:rsidR="00706AED" w:rsidRPr="00706AED" w:rsidRDefault="00706AED" w:rsidP="00706AED">
            <w:pPr>
              <w:jc w:val="right"/>
              <w:rPr>
                <w:sz w:val="18"/>
                <w:szCs w:val="18"/>
              </w:rPr>
            </w:pPr>
            <w:r w:rsidRPr="00706AED">
              <w:rPr>
                <w:sz w:val="18"/>
                <w:szCs w:val="18"/>
              </w:rPr>
              <w:t>30</w:t>
            </w:r>
          </w:p>
        </w:tc>
        <w:tc>
          <w:tcPr>
            <w:tcW w:w="1250" w:type="dxa"/>
            <w:tcBorders>
              <w:top w:val="nil"/>
              <w:left w:val="nil"/>
              <w:bottom w:val="nil"/>
              <w:right w:val="single" w:sz="4" w:space="0" w:color="404040" w:themeColor="text1" w:themeTint="BF"/>
            </w:tcBorders>
            <w:shd w:val="clear" w:color="auto" w:fill="auto"/>
            <w:vAlign w:val="center"/>
          </w:tcPr>
          <w:p w14:paraId="75BBD581" w14:textId="791ABF26" w:rsidR="00706AED" w:rsidRPr="00C245FA" w:rsidRDefault="00EF7DF9" w:rsidP="00706AED">
            <w:pPr>
              <w:tabs>
                <w:tab w:val="decimal" w:pos="810"/>
              </w:tabs>
              <w:jc w:val="left"/>
              <w:rPr>
                <w:sz w:val="18"/>
                <w:szCs w:val="18"/>
              </w:rPr>
            </w:pPr>
            <w:r>
              <w:rPr>
                <w:color w:val="000000"/>
                <w:sz w:val="18"/>
                <w:szCs w:val="18"/>
              </w:rPr>
              <w:t>p</w:t>
            </w:r>
            <w:r w:rsidR="00706AED">
              <w:rPr>
                <w:color w:val="000000"/>
                <w:sz w:val="18"/>
                <w:szCs w:val="18"/>
              </w:rPr>
              <w:t>or arriba</w:t>
            </w:r>
          </w:p>
        </w:tc>
      </w:tr>
      <w:tr w:rsidR="00706AED" w:rsidRPr="000A6510" w14:paraId="4C00B41B" w14:textId="77777777" w:rsidTr="266B2E84">
        <w:tc>
          <w:tcPr>
            <w:tcW w:w="4815" w:type="dxa"/>
            <w:tcBorders>
              <w:top w:val="nil"/>
              <w:left w:val="single" w:sz="4" w:space="0" w:color="404040" w:themeColor="text1" w:themeTint="BF"/>
              <w:bottom w:val="single" w:sz="4" w:space="0" w:color="auto"/>
              <w:right w:val="single" w:sz="4" w:space="0" w:color="404040" w:themeColor="text1" w:themeTint="BF"/>
            </w:tcBorders>
            <w:shd w:val="clear" w:color="auto" w:fill="auto"/>
            <w:vAlign w:val="bottom"/>
          </w:tcPr>
          <w:p w14:paraId="4841B1DA" w14:textId="77777777" w:rsidR="00706AED" w:rsidRPr="000A6510" w:rsidRDefault="00706AED" w:rsidP="008628D1">
            <w:pPr>
              <w:pStyle w:val="Prrafodelista"/>
              <w:widowControl w:val="0"/>
              <w:numPr>
                <w:ilvl w:val="0"/>
                <w:numId w:val="23"/>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themeColor="text1" w:themeTint="BF"/>
              <w:bottom w:val="single" w:sz="4" w:space="0" w:color="auto"/>
              <w:right w:val="single" w:sz="4" w:space="0" w:color="404040" w:themeColor="text1" w:themeTint="BF"/>
            </w:tcBorders>
            <w:shd w:val="clear" w:color="auto" w:fill="auto"/>
            <w:vAlign w:val="center"/>
          </w:tcPr>
          <w:p w14:paraId="1B50E571" w14:textId="20D1BA57" w:rsidR="00706AED" w:rsidRPr="00706AED" w:rsidRDefault="00706AED" w:rsidP="00706AED">
            <w:pPr>
              <w:tabs>
                <w:tab w:val="decimal" w:pos="390"/>
              </w:tabs>
              <w:jc w:val="left"/>
              <w:rPr>
                <w:sz w:val="18"/>
                <w:szCs w:val="18"/>
              </w:rPr>
            </w:pPr>
            <w:r w:rsidRPr="00706AED">
              <w:rPr>
                <w:sz w:val="18"/>
                <w:szCs w:val="18"/>
              </w:rPr>
              <w:t xml:space="preserve">52.8 </w:t>
            </w:r>
          </w:p>
        </w:tc>
        <w:tc>
          <w:tcPr>
            <w:tcW w:w="908" w:type="dxa"/>
            <w:tcBorders>
              <w:top w:val="nil"/>
              <w:left w:val="single" w:sz="4" w:space="0" w:color="404040" w:themeColor="text1" w:themeTint="BF"/>
              <w:bottom w:val="single" w:sz="4" w:space="0" w:color="auto"/>
              <w:right w:val="nil"/>
            </w:tcBorders>
            <w:shd w:val="clear" w:color="auto" w:fill="auto"/>
            <w:vAlign w:val="center"/>
          </w:tcPr>
          <w:p w14:paraId="097EF373" w14:textId="27605FB3" w:rsidR="00706AED" w:rsidRPr="00706AED" w:rsidRDefault="00706AED" w:rsidP="00706AED">
            <w:pPr>
              <w:tabs>
                <w:tab w:val="decimal" w:pos="302"/>
              </w:tabs>
              <w:ind w:left="-142"/>
              <w:jc w:val="left"/>
              <w:rPr>
                <w:bCs/>
                <w:sz w:val="18"/>
                <w:szCs w:val="18"/>
              </w:rPr>
            </w:pPr>
            <w:r w:rsidRPr="00706AED">
              <w:rPr>
                <w:sz w:val="18"/>
                <w:szCs w:val="18"/>
              </w:rPr>
              <w:t>0.1</w:t>
            </w:r>
          </w:p>
        </w:tc>
        <w:tc>
          <w:tcPr>
            <w:tcW w:w="964" w:type="dxa"/>
            <w:tcBorders>
              <w:top w:val="nil"/>
              <w:left w:val="nil"/>
              <w:bottom w:val="single" w:sz="4" w:space="0" w:color="auto"/>
              <w:right w:val="single" w:sz="4" w:space="0" w:color="404040" w:themeColor="text1" w:themeTint="BF"/>
            </w:tcBorders>
            <w:shd w:val="clear" w:color="auto" w:fill="auto"/>
            <w:vAlign w:val="center"/>
          </w:tcPr>
          <w:p w14:paraId="664E3C9F" w14:textId="4935DFA3" w:rsidR="00706AED" w:rsidRPr="00706AED" w:rsidRDefault="00706AED" w:rsidP="00706AED">
            <w:pPr>
              <w:tabs>
                <w:tab w:val="decimal" w:pos="282"/>
              </w:tabs>
              <w:ind w:left="-30"/>
              <w:jc w:val="left"/>
              <w:rPr>
                <w:sz w:val="18"/>
                <w:szCs w:val="18"/>
              </w:rPr>
            </w:pPr>
            <w:r w:rsidRPr="00706AED">
              <w:rPr>
                <w:sz w:val="18"/>
                <w:szCs w:val="18"/>
              </w:rPr>
              <w:t>0.2</w:t>
            </w:r>
          </w:p>
        </w:tc>
        <w:tc>
          <w:tcPr>
            <w:tcW w:w="438" w:type="dxa"/>
            <w:tcBorders>
              <w:top w:val="nil"/>
              <w:left w:val="single" w:sz="4" w:space="0" w:color="404040" w:themeColor="text1" w:themeTint="BF"/>
              <w:bottom w:val="single" w:sz="4" w:space="0" w:color="auto"/>
              <w:right w:val="nil"/>
            </w:tcBorders>
            <w:shd w:val="clear" w:color="auto" w:fill="auto"/>
            <w:vAlign w:val="center"/>
          </w:tcPr>
          <w:p w14:paraId="6278824A" w14:textId="22AE05C7" w:rsidR="00706AED" w:rsidRPr="00706AED" w:rsidRDefault="00706AED" w:rsidP="00706AED">
            <w:pPr>
              <w:jc w:val="right"/>
              <w:rPr>
                <w:sz w:val="18"/>
                <w:szCs w:val="18"/>
              </w:rPr>
            </w:pPr>
            <w:r w:rsidRPr="00706AED">
              <w:rPr>
                <w:sz w:val="18"/>
                <w:szCs w:val="18"/>
              </w:rPr>
              <w:t>26</w:t>
            </w:r>
          </w:p>
        </w:tc>
        <w:tc>
          <w:tcPr>
            <w:tcW w:w="1250" w:type="dxa"/>
            <w:tcBorders>
              <w:top w:val="nil"/>
              <w:left w:val="nil"/>
              <w:bottom w:val="single" w:sz="4" w:space="0" w:color="auto"/>
              <w:right w:val="single" w:sz="4" w:space="0" w:color="404040" w:themeColor="text1" w:themeTint="BF"/>
            </w:tcBorders>
            <w:shd w:val="clear" w:color="auto" w:fill="auto"/>
            <w:vAlign w:val="center"/>
          </w:tcPr>
          <w:p w14:paraId="442B4B9E" w14:textId="02E8F4A5" w:rsidR="00706AED" w:rsidRPr="00C245FA" w:rsidRDefault="00EF7DF9" w:rsidP="00706AED">
            <w:pPr>
              <w:tabs>
                <w:tab w:val="decimal" w:pos="810"/>
              </w:tabs>
              <w:jc w:val="left"/>
              <w:rPr>
                <w:sz w:val="18"/>
                <w:szCs w:val="18"/>
              </w:rPr>
            </w:pPr>
            <w:r>
              <w:rPr>
                <w:color w:val="000000"/>
                <w:sz w:val="18"/>
                <w:szCs w:val="18"/>
              </w:rPr>
              <w:t>p</w:t>
            </w:r>
            <w:r w:rsidR="00706AED">
              <w:rPr>
                <w:color w:val="000000"/>
                <w:sz w:val="18"/>
                <w:szCs w:val="18"/>
              </w:rPr>
              <w:t>or arriba</w:t>
            </w:r>
          </w:p>
        </w:tc>
      </w:tr>
    </w:tbl>
    <w:p w14:paraId="520A4321" w14:textId="77777777" w:rsidR="00840D75" w:rsidRPr="00294891" w:rsidRDefault="00840D75" w:rsidP="004D6300">
      <w:pPr>
        <w:widowControl w:val="0"/>
        <w:spacing w:before="20"/>
        <w:ind w:left="567"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6EBE223A" w14:textId="77777777" w:rsidR="00840D75" w:rsidRPr="00294891" w:rsidRDefault="00840D75" w:rsidP="004D6300">
      <w:pPr>
        <w:widowControl w:val="0"/>
        <w:ind w:left="567"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F33F1BA" w14:textId="77777777" w:rsidR="00840D75" w:rsidRPr="00294891" w:rsidRDefault="00840D75" w:rsidP="004D6300">
      <w:pPr>
        <w:widowControl w:val="0"/>
        <w:spacing w:before="20"/>
        <w:ind w:left="567"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56CD1A5A" w14:textId="77777777"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lastRenderedPageBreak/>
        <w:t xml:space="preserve">Gráfica </w:t>
      </w:r>
      <w:r w:rsidR="0027370D">
        <w:rPr>
          <w:sz w:val="20"/>
          <w:szCs w:val="20"/>
          <w:lang w:val="es-MX"/>
        </w:rPr>
        <w:t>4</w:t>
      </w:r>
    </w:p>
    <w:p w14:paraId="1578C7DD" w14:textId="262E6C1C"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 xml:space="preserve">del sector </w:t>
      </w:r>
      <w:r w:rsidR="009C2B95">
        <w:rPr>
          <w:b/>
          <w:smallCaps/>
          <w:sz w:val="22"/>
          <w:szCs w:val="20"/>
          <w:lang w:val="es-MX"/>
        </w:rPr>
        <w:t>C</w:t>
      </w:r>
      <w:r w:rsidR="00961C96" w:rsidRPr="000A6510">
        <w:rPr>
          <w:b/>
          <w:smallCaps/>
          <w:sz w:val="22"/>
          <w:szCs w:val="20"/>
          <w:lang w:val="es-MX"/>
        </w:rPr>
        <w:t>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35705C74" w14:textId="77777777" w:rsidTr="0021055A">
        <w:trPr>
          <w:trHeight w:val="1871"/>
          <w:jc w:val="center"/>
        </w:trPr>
        <w:tc>
          <w:tcPr>
            <w:tcW w:w="5305" w:type="dxa"/>
          </w:tcPr>
          <w:p w14:paraId="5598229B" w14:textId="04C90B45" w:rsidR="00E661EC" w:rsidRPr="000A6510" w:rsidRDefault="0011543B" w:rsidP="00D76DC5">
            <w:pPr>
              <w:pStyle w:val="p0"/>
              <w:spacing w:before="0"/>
              <w:rPr>
                <w:color w:val="auto"/>
                <w:sz w:val="16"/>
                <w:szCs w:val="16"/>
                <w:lang w:val="es-MX"/>
              </w:rPr>
            </w:pPr>
            <w:r>
              <w:rPr>
                <w:noProof/>
                <w:lang w:val="es-MX" w:eastAsia="es-MX"/>
              </w:rPr>
              <w:drawing>
                <wp:inline distT="0" distB="0" distL="0" distR="0" wp14:anchorId="2FC215D5" wp14:editId="7EEBA35C">
                  <wp:extent cx="3276000" cy="1152000"/>
                  <wp:effectExtent l="0" t="0" r="0" b="0"/>
                  <wp:docPr id="30" name="Gráfico 30">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8746C6D" w14:textId="3B3B994B" w:rsidR="00E661EC" w:rsidRPr="000A6510" w:rsidRDefault="0011543B" w:rsidP="00D76DC5">
            <w:pPr>
              <w:pStyle w:val="p0"/>
              <w:spacing w:before="0"/>
              <w:rPr>
                <w:color w:val="auto"/>
                <w:sz w:val="16"/>
                <w:szCs w:val="16"/>
                <w:lang w:val="es-MX"/>
              </w:rPr>
            </w:pPr>
            <w:r>
              <w:rPr>
                <w:noProof/>
                <w:lang w:val="es-MX" w:eastAsia="es-MX"/>
              </w:rPr>
              <w:drawing>
                <wp:inline distT="0" distB="0" distL="0" distR="0" wp14:anchorId="7874995A" wp14:editId="27B9BB30">
                  <wp:extent cx="3276000" cy="1152000"/>
                  <wp:effectExtent l="0" t="0" r="0" b="0"/>
                  <wp:docPr id="31" name="Gráfico 31">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6F002C3B" w14:textId="77777777" w:rsidTr="00D76DC5">
        <w:tblPrEx>
          <w:tblCellMar>
            <w:left w:w="28" w:type="dxa"/>
            <w:right w:w="28" w:type="dxa"/>
          </w:tblCellMar>
        </w:tblPrEx>
        <w:trPr>
          <w:jc w:val="center"/>
        </w:trPr>
        <w:tc>
          <w:tcPr>
            <w:tcW w:w="5305" w:type="dxa"/>
          </w:tcPr>
          <w:p w14:paraId="3297933A" w14:textId="77777777" w:rsidR="00E661EC" w:rsidRPr="000A6510" w:rsidRDefault="00E661EC" w:rsidP="00D76DC5">
            <w:pPr>
              <w:pStyle w:val="p0"/>
              <w:spacing w:before="0"/>
              <w:rPr>
                <w:noProof/>
                <w:color w:val="auto"/>
                <w:sz w:val="10"/>
                <w:szCs w:val="10"/>
                <w:lang w:val="es-MX" w:eastAsia="es-MX"/>
              </w:rPr>
            </w:pPr>
          </w:p>
        </w:tc>
        <w:tc>
          <w:tcPr>
            <w:tcW w:w="5304" w:type="dxa"/>
          </w:tcPr>
          <w:p w14:paraId="7BF7DDAD" w14:textId="77777777" w:rsidR="00E661EC" w:rsidRPr="000A6510" w:rsidRDefault="00E661EC" w:rsidP="00D76DC5">
            <w:pPr>
              <w:pStyle w:val="p0"/>
              <w:spacing w:before="0"/>
              <w:rPr>
                <w:noProof/>
                <w:color w:val="auto"/>
                <w:sz w:val="10"/>
                <w:szCs w:val="10"/>
                <w:lang w:val="es-MX" w:eastAsia="es-MX"/>
              </w:rPr>
            </w:pPr>
          </w:p>
        </w:tc>
      </w:tr>
      <w:tr w:rsidR="00E661EC" w:rsidRPr="000A6510" w14:paraId="2415473D" w14:textId="77777777" w:rsidTr="0021055A">
        <w:trPr>
          <w:trHeight w:val="1871"/>
          <w:jc w:val="center"/>
        </w:trPr>
        <w:tc>
          <w:tcPr>
            <w:tcW w:w="5305" w:type="dxa"/>
          </w:tcPr>
          <w:p w14:paraId="74ADD355" w14:textId="0075FA05" w:rsidR="00E661EC" w:rsidRPr="000A6510" w:rsidRDefault="0011543B" w:rsidP="00D76DC5">
            <w:pPr>
              <w:pStyle w:val="p0"/>
              <w:spacing w:before="0"/>
              <w:rPr>
                <w:noProof/>
                <w:color w:val="auto"/>
                <w:sz w:val="16"/>
                <w:szCs w:val="16"/>
                <w:lang w:val="es-MX" w:eastAsia="es-MX"/>
              </w:rPr>
            </w:pPr>
            <w:r>
              <w:rPr>
                <w:noProof/>
                <w:lang w:val="es-MX" w:eastAsia="es-MX"/>
              </w:rPr>
              <w:drawing>
                <wp:inline distT="0" distB="0" distL="0" distR="0" wp14:anchorId="4905442B" wp14:editId="3E93F699">
                  <wp:extent cx="3276000" cy="1152000"/>
                  <wp:effectExtent l="0" t="0" r="0" b="0"/>
                  <wp:docPr id="32" name="Gráfico 32">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4B91667B" w14:textId="64F0E157" w:rsidR="00E661EC" w:rsidRPr="000A6510" w:rsidRDefault="0011543B" w:rsidP="00D76DC5">
            <w:pPr>
              <w:pStyle w:val="p0"/>
              <w:spacing w:before="0"/>
              <w:rPr>
                <w:noProof/>
                <w:color w:val="auto"/>
                <w:sz w:val="16"/>
                <w:szCs w:val="16"/>
                <w:lang w:val="es-MX" w:eastAsia="es-MX"/>
              </w:rPr>
            </w:pPr>
            <w:r>
              <w:rPr>
                <w:noProof/>
                <w:lang w:val="es-MX" w:eastAsia="es-MX"/>
              </w:rPr>
              <w:drawing>
                <wp:inline distT="0" distB="0" distL="0" distR="0" wp14:anchorId="0801A82A" wp14:editId="2CE3EF44">
                  <wp:extent cx="3276000" cy="1152000"/>
                  <wp:effectExtent l="0" t="0" r="0" b="0"/>
                  <wp:docPr id="33" name="Gráfico 33">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F5ABEBB"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7540864" w14:textId="42370EA4" w:rsidR="00BB7B85" w:rsidRPr="000A6510" w:rsidRDefault="00BB7B85" w:rsidP="00AB69C8">
      <w:pPr>
        <w:keepNext/>
        <w:keepLines/>
        <w:widowControl w:val="0"/>
        <w:spacing w:before="360"/>
        <w:ind w:left="-284" w:right="-233"/>
        <w:outlineLvl w:val="0"/>
        <w:rPr>
          <w:b/>
          <w:smallCaps/>
          <w:sz w:val="22"/>
          <w:szCs w:val="22"/>
          <w:lang w:val="es-MX"/>
        </w:rPr>
      </w:pPr>
      <w:r w:rsidRPr="000A6510">
        <w:t>E</w:t>
      </w:r>
      <w:r w:rsidR="009E52F9">
        <w:t xml:space="preserve">n </w:t>
      </w:r>
      <w:r w:rsidR="000B0E00">
        <w:t>el mes de referencia</w:t>
      </w:r>
      <w:r w:rsidR="00DC338F">
        <w:t xml:space="preserve">, </w:t>
      </w:r>
      <w:r w:rsidR="00B350A1" w:rsidRPr="000A6510">
        <w:t xml:space="preserve">el </w:t>
      </w:r>
      <w:r w:rsidR="00B350A1" w:rsidRPr="000A6510">
        <w:rPr>
          <w:b/>
        </w:rPr>
        <w:t>I</w:t>
      </w:r>
      <w:r w:rsidR="00B16016">
        <w:rPr>
          <w:b/>
        </w:rPr>
        <w:t xml:space="preserve">AT </w:t>
      </w:r>
      <w:r w:rsidR="00961C96" w:rsidRPr="000A6510">
        <w:rPr>
          <w:b/>
        </w:rPr>
        <w:t>del</w:t>
      </w:r>
      <w:r w:rsidR="00961C96" w:rsidRPr="000A6510">
        <w:t xml:space="preserve"> </w:t>
      </w:r>
      <w:r w:rsidR="0079792F">
        <w:rPr>
          <w:b/>
        </w:rPr>
        <w:t>s</w:t>
      </w:r>
      <w:r w:rsidRPr="000A6510">
        <w:rPr>
          <w:b/>
        </w:rPr>
        <w:t>ector Comercio</w:t>
      </w:r>
      <w:r w:rsidR="004E2A07">
        <w:t xml:space="preserve"> aument</w:t>
      </w:r>
      <w:r w:rsidR="00624B00">
        <w:t>ó</w:t>
      </w:r>
      <w:r w:rsidR="00533D55">
        <w:t xml:space="preserve"> </w:t>
      </w:r>
      <w:r w:rsidR="00650CF3">
        <w:t>0.</w:t>
      </w:r>
      <w:r w:rsidR="004E2A07">
        <w:t>6</w:t>
      </w:r>
      <w:r w:rsidR="00D777FD">
        <w:t xml:space="preserve"> punto</w:t>
      </w:r>
      <w:r w:rsidR="006B0CF9">
        <w:t>s</w:t>
      </w:r>
      <w:r w:rsidR="002E0442">
        <w:t xml:space="preserve"> </w:t>
      </w:r>
      <w:r w:rsidR="00164CD6">
        <w:t xml:space="preserve">en su comparación </w:t>
      </w:r>
      <w:r w:rsidR="002E0442">
        <w:t>mensual</w:t>
      </w:r>
      <w:r w:rsidR="00EF7DF9">
        <w:t xml:space="preserve"> y se situó </w:t>
      </w:r>
      <w:r w:rsidR="004E2A07">
        <w:t>en 52.8</w:t>
      </w:r>
      <w:r w:rsidR="00B350A1" w:rsidRPr="000A6510">
        <w:t xml:space="preserve"> puntos</w:t>
      </w:r>
      <w:r w:rsidR="794AAA9A">
        <w:t>,</w:t>
      </w:r>
      <w:r w:rsidR="00B350A1" w:rsidRPr="000A6510">
        <w:t xml:space="preserve"> con dato</w:t>
      </w:r>
      <w:r w:rsidR="000B785A">
        <w:t>s ajustados por estacionalidad.</w:t>
      </w:r>
      <w:r w:rsidR="00FF025B">
        <w:t xml:space="preserve"> Con este resultado, </w:t>
      </w:r>
      <w:r w:rsidR="00EA058A">
        <w:t xml:space="preserve">el </w:t>
      </w:r>
      <w:r w:rsidR="00B16016">
        <w:t xml:space="preserve">indicador </w:t>
      </w:r>
      <w:r w:rsidDel="1E7450D1">
        <w:t>hila</w:t>
      </w:r>
      <w:r w:rsidR="00B350A1" w:rsidRPr="000A6510">
        <w:t xml:space="preserve"> </w:t>
      </w:r>
      <w:r w:rsidR="004E2A07">
        <w:t>32</w:t>
      </w:r>
      <w:r w:rsidR="00B350A1" w:rsidRPr="000A6510">
        <w:t xml:space="preserve"> meses consecutivos por arriba del umbral de </w:t>
      </w:r>
      <w:r w:rsidR="00CA1258">
        <w:t xml:space="preserve">los </w:t>
      </w:r>
      <w:r w:rsidR="00B350A1" w:rsidRPr="000A6510">
        <w:t>50 puntos.</w:t>
      </w:r>
    </w:p>
    <w:p w14:paraId="2DD2B2DB" w14:textId="77777777"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07243CD3" w14:textId="29F2D93A" w:rsidR="009C74F3" w:rsidRPr="000A6510" w:rsidRDefault="009C74F3" w:rsidP="00135755">
      <w:pPr>
        <w:jc w:val="center"/>
        <w:rPr>
          <w:b/>
          <w:smallCaps/>
          <w:sz w:val="22"/>
        </w:rPr>
      </w:pPr>
      <w:r w:rsidRPr="000A6510">
        <w:rPr>
          <w:b/>
          <w:smallCaps/>
          <w:sz w:val="22"/>
        </w:rPr>
        <w:t xml:space="preserve">Indicador </w:t>
      </w:r>
      <w:r w:rsidR="009C2B95">
        <w:rPr>
          <w:b/>
          <w:smallCaps/>
          <w:sz w:val="22"/>
        </w:rPr>
        <w:t>A</w:t>
      </w:r>
      <w:r w:rsidRPr="000A6510">
        <w:rPr>
          <w:b/>
          <w:smallCaps/>
          <w:sz w:val="22"/>
        </w:rPr>
        <w:t xml:space="preserve">gregado de </w:t>
      </w:r>
      <w:r w:rsidR="009C2B95">
        <w:rPr>
          <w:b/>
          <w:smallCaps/>
          <w:sz w:val="22"/>
        </w:rPr>
        <w:t>T</w:t>
      </w:r>
      <w:r w:rsidRPr="000A6510">
        <w:rPr>
          <w:b/>
          <w:smallCaps/>
          <w:sz w:val="22"/>
        </w:rPr>
        <w:t xml:space="preserve">endencia del </w:t>
      </w:r>
      <w:r w:rsidR="00FD4EA5">
        <w:rPr>
          <w:b/>
          <w:smallCaps/>
          <w:sz w:val="22"/>
        </w:rPr>
        <w:t xml:space="preserve">sector </w:t>
      </w:r>
      <w:r w:rsidR="009C2B95">
        <w:rPr>
          <w:b/>
          <w:smallCaps/>
          <w:sz w:val="22"/>
        </w:rPr>
        <w:t>C</w:t>
      </w:r>
      <w:r w:rsidRPr="000A6510">
        <w:rPr>
          <w:b/>
          <w:smallCaps/>
          <w:sz w:val="22"/>
        </w:rPr>
        <w:t>omercio</w:t>
      </w:r>
    </w:p>
    <w:p w14:paraId="143E2626" w14:textId="639AAFE8" w:rsidR="009C74F3" w:rsidRDefault="00197FC4" w:rsidP="009C74F3">
      <w:pPr>
        <w:jc w:val="center"/>
        <w:rPr>
          <w:b/>
          <w:smallCaps/>
          <w:sz w:val="22"/>
          <w:szCs w:val="22"/>
        </w:rPr>
      </w:pPr>
      <w:r>
        <w:rPr>
          <w:noProof/>
          <w:lang w:val="es-MX" w:eastAsia="es-MX"/>
        </w:rPr>
        <w:drawing>
          <wp:inline distT="0" distB="0" distL="0" distR="0" wp14:anchorId="405B4C3F" wp14:editId="565B6D95">
            <wp:extent cx="4320000" cy="2520000"/>
            <wp:effectExtent l="0" t="0" r="23495" b="33020"/>
            <wp:docPr id="34" name="Gráfico 34">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4A3BD3"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4DE5D416" w14:textId="67A66145" w:rsidR="009C74F3" w:rsidRPr="000A6510" w:rsidRDefault="00FF6A0A" w:rsidP="00AB69C8">
      <w:pPr>
        <w:keepNext/>
        <w:keepLines/>
        <w:widowControl w:val="0"/>
        <w:spacing w:before="240"/>
        <w:ind w:left="-284" w:right="-233"/>
        <w:outlineLvl w:val="0"/>
      </w:pPr>
      <w:r>
        <w:lastRenderedPageBreak/>
        <w:t>El comportamiento</w:t>
      </w:r>
      <w:r w:rsidR="00135755">
        <w:t xml:space="preserve"> </w:t>
      </w:r>
      <w:r w:rsidR="00831D6B">
        <w:t xml:space="preserve">mensual </w:t>
      </w:r>
      <w:r w:rsidR="009C74F3" w:rsidRPr="000A6510">
        <w:t>de</w:t>
      </w:r>
      <w:r w:rsidR="00D777FD">
        <w:t>l IAT del</w:t>
      </w:r>
      <w:r w:rsidR="00546288">
        <w:t xml:space="preserve"> sector</w:t>
      </w:r>
      <w:r w:rsidR="00D777FD">
        <w:t xml:space="preserve"> Come</w:t>
      </w:r>
      <w:r w:rsidR="0059625C">
        <w:t xml:space="preserve">rcio se originó </w:t>
      </w:r>
      <w:r w:rsidR="007220CD">
        <w:t>de</w:t>
      </w:r>
      <w:r w:rsidR="00B00645">
        <w:t xml:space="preserve"> </w:t>
      </w:r>
      <w:r w:rsidR="004E2A07">
        <w:t>incrementos en sus cinco componentes</w:t>
      </w:r>
      <w:r w:rsidR="0011552F">
        <w:t>.</w:t>
      </w:r>
    </w:p>
    <w:p w14:paraId="05061FF2" w14:textId="77777777"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5704331F" w14:textId="0F6F04D2"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9C2B95">
        <w:rPr>
          <w:b/>
          <w:smallCaps/>
          <w:sz w:val="22"/>
          <w:lang w:val="es-MX"/>
        </w:rPr>
        <w:t>C</w:t>
      </w:r>
      <w:r w:rsidR="00C46EA9" w:rsidRPr="000A6510">
        <w:rPr>
          <w:b/>
          <w:smallCaps/>
          <w:sz w:val="22"/>
          <w:lang w:val="es-MX"/>
        </w:rPr>
        <w:t>omercio</w:t>
      </w:r>
    </w:p>
    <w:p w14:paraId="572A0C8B" w14:textId="77777777"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529"/>
        <w:gridCol w:w="1017"/>
        <w:gridCol w:w="1069"/>
        <w:gridCol w:w="1069"/>
        <w:gridCol w:w="571"/>
        <w:gridCol w:w="1280"/>
      </w:tblGrid>
      <w:tr w:rsidR="003355C9" w:rsidRPr="000A6510" w14:paraId="0137A55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03301A00"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7621BE2" w14:textId="51137A8D" w:rsidR="003355C9" w:rsidRPr="000A6510" w:rsidRDefault="009E52F9" w:rsidP="00244BB0">
            <w:pPr>
              <w:ind w:left="-108" w:right="-82"/>
              <w:jc w:val="center"/>
              <w:rPr>
                <w:spacing w:val="-4"/>
                <w:sz w:val="18"/>
                <w:szCs w:val="18"/>
              </w:rPr>
            </w:pPr>
            <w:r>
              <w:rPr>
                <w:spacing w:val="-4"/>
                <w:sz w:val="18"/>
                <w:szCs w:val="18"/>
              </w:rPr>
              <w:t>Enero</w:t>
            </w:r>
            <w:r w:rsidR="00E62F63">
              <w:rPr>
                <w:spacing w:val="-4"/>
                <w:sz w:val="18"/>
                <w:szCs w:val="18"/>
              </w:rPr>
              <w:br/>
            </w:r>
            <w:r w:rsidR="003355C9" w:rsidRPr="000A6510">
              <w:rPr>
                <w:spacing w:val="-4"/>
                <w:sz w:val="18"/>
                <w:szCs w:val="18"/>
              </w:rPr>
              <w:t xml:space="preserve">de </w:t>
            </w:r>
            <w:r w:rsidR="00BC05F9">
              <w:rPr>
                <w:spacing w:val="-4"/>
                <w:sz w:val="18"/>
                <w:szCs w:val="18"/>
              </w:rPr>
              <w:t>202</w:t>
            </w:r>
            <w:r>
              <w:rPr>
                <w:spacing w:val="-4"/>
                <w:sz w:val="18"/>
                <w:szCs w:val="18"/>
              </w:rPr>
              <w:t>3</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9D49B8D"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C6030AA" w14:textId="77777777"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F8B22CF"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4ECE4A80"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B0CF92D"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BC00F23"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21178BF" w14:textId="0FF7FCA5"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w:t>
            </w:r>
            <w:r w:rsidR="009E52F9">
              <w:rPr>
                <w:spacing w:val="-4"/>
                <w:sz w:val="18"/>
                <w:szCs w:val="18"/>
              </w:rPr>
              <w:t>2</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635218B7" w14:textId="77777777" w:rsidR="00D36749" w:rsidRPr="000A6510" w:rsidRDefault="00D36749" w:rsidP="00D36749">
            <w:pPr>
              <w:tabs>
                <w:tab w:val="center" w:pos="3348"/>
              </w:tabs>
              <w:ind w:left="-84" w:right="-99"/>
              <w:jc w:val="center"/>
              <w:rPr>
                <w:sz w:val="18"/>
                <w:szCs w:val="18"/>
              </w:rPr>
            </w:pPr>
          </w:p>
        </w:tc>
      </w:tr>
      <w:tr w:rsidR="004E2A07" w:rsidRPr="000A6510" w14:paraId="2AA44DAF"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77C3427A" w14:textId="086318C5" w:rsidR="004E2A07" w:rsidRPr="000A6510" w:rsidRDefault="004E2A07" w:rsidP="004E2A07">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18DA3603" w14:textId="3B9C63C5" w:rsidR="004E2A07" w:rsidRPr="004E2A07" w:rsidRDefault="004E2A07" w:rsidP="004E2A07">
            <w:pPr>
              <w:tabs>
                <w:tab w:val="decimal" w:pos="381"/>
              </w:tabs>
              <w:jc w:val="left"/>
              <w:rPr>
                <w:b/>
                <w:sz w:val="18"/>
                <w:szCs w:val="18"/>
              </w:rPr>
            </w:pPr>
            <w:r w:rsidRPr="004E2A07">
              <w:rPr>
                <w:b/>
                <w:bCs/>
                <w:sz w:val="18"/>
                <w:szCs w:val="18"/>
              </w:rPr>
              <w:t xml:space="preserve">52.8 </w:t>
            </w:r>
          </w:p>
        </w:tc>
        <w:tc>
          <w:tcPr>
            <w:tcW w:w="1043" w:type="dxa"/>
            <w:tcBorders>
              <w:top w:val="single" w:sz="4" w:space="0" w:color="404040"/>
              <w:left w:val="single" w:sz="4" w:space="0" w:color="404040"/>
              <w:bottom w:val="nil"/>
              <w:right w:val="nil"/>
            </w:tcBorders>
            <w:shd w:val="clear" w:color="auto" w:fill="auto"/>
            <w:vAlign w:val="center"/>
          </w:tcPr>
          <w:p w14:paraId="0656D5F4" w14:textId="64BD96F7" w:rsidR="004E2A07" w:rsidRPr="004E2A07" w:rsidRDefault="004E2A07" w:rsidP="004E2A07">
            <w:pPr>
              <w:tabs>
                <w:tab w:val="decimal" w:pos="409"/>
              </w:tabs>
              <w:jc w:val="left"/>
              <w:rPr>
                <w:b/>
                <w:sz w:val="18"/>
                <w:szCs w:val="18"/>
              </w:rPr>
            </w:pPr>
            <w:r w:rsidRPr="004E2A07">
              <w:rPr>
                <w:b/>
                <w:bCs/>
                <w:sz w:val="18"/>
                <w:szCs w:val="18"/>
              </w:rPr>
              <w:t>0.6</w:t>
            </w:r>
          </w:p>
        </w:tc>
        <w:tc>
          <w:tcPr>
            <w:tcW w:w="1043" w:type="dxa"/>
            <w:tcBorders>
              <w:top w:val="single" w:sz="4" w:space="0" w:color="404040"/>
              <w:left w:val="nil"/>
              <w:bottom w:val="nil"/>
              <w:right w:val="single" w:sz="4" w:space="0" w:color="404040"/>
            </w:tcBorders>
            <w:shd w:val="clear" w:color="auto" w:fill="auto"/>
            <w:vAlign w:val="center"/>
          </w:tcPr>
          <w:p w14:paraId="4C5AA258" w14:textId="632D0215" w:rsidR="004E2A07" w:rsidRPr="004E2A07" w:rsidRDefault="004E2A07" w:rsidP="004E2A07">
            <w:pPr>
              <w:tabs>
                <w:tab w:val="decimal" w:pos="357"/>
              </w:tabs>
              <w:jc w:val="left"/>
              <w:rPr>
                <w:b/>
                <w:bCs/>
                <w:sz w:val="18"/>
                <w:szCs w:val="18"/>
              </w:rPr>
            </w:pPr>
            <w:r w:rsidRPr="004E2A07">
              <w:rPr>
                <w:b/>
                <w:bCs/>
                <w:sz w:val="18"/>
                <w:szCs w:val="18"/>
              </w:rPr>
              <w:t>2.7</w:t>
            </w:r>
          </w:p>
        </w:tc>
        <w:tc>
          <w:tcPr>
            <w:tcW w:w="557" w:type="dxa"/>
            <w:tcBorders>
              <w:top w:val="nil"/>
              <w:left w:val="single" w:sz="4" w:space="0" w:color="404040"/>
              <w:bottom w:val="nil"/>
              <w:right w:val="nil"/>
            </w:tcBorders>
            <w:shd w:val="clear" w:color="auto" w:fill="auto"/>
            <w:vAlign w:val="center"/>
          </w:tcPr>
          <w:p w14:paraId="4C12E65B" w14:textId="67623936" w:rsidR="004E2A07" w:rsidRPr="004E2A07" w:rsidRDefault="004E2A07" w:rsidP="004E2A07">
            <w:pPr>
              <w:jc w:val="right"/>
              <w:rPr>
                <w:b/>
                <w:sz w:val="18"/>
                <w:szCs w:val="18"/>
              </w:rPr>
            </w:pPr>
            <w:r w:rsidRPr="004E2A07">
              <w:rPr>
                <w:b/>
                <w:bCs/>
                <w:sz w:val="18"/>
                <w:szCs w:val="18"/>
              </w:rPr>
              <w:t>32</w:t>
            </w:r>
          </w:p>
        </w:tc>
        <w:tc>
          <w:tcPr>
            <w:tcW w:w="1249" w:type="dxa"/>
            <w:tcBorders>
              <w:top w:val="nil"/>
              <w:left w:val="nil"/>
              <w:bottom w:val="nil"/>
              <w:right w:val="single" w:sz="4" w:space="0" w:color="404040"/>
            </w:tcBorders>
            <w:shd w:val="clear" w:color="auto" w:fill="auto"/>
            <w:vAlign w:val="center"/>
          </w:tcPr>
          <w:p w14:paraId="0C1C097A" w14:textId="1FEBDEAE" w:rsidR="004E2A07" w:rsidRPr="00C245FA" w:rsidRDefault="00EF7DF9" w:rsidP="004E2A07">
            <w:pPr>
              <w:tabs>
                <w:tab w:val="decimal" w:pos="810"/>
              </w:tabs>
              <w:jc w:val="left"/>
              <w:rPr>
                <w:b/>
                <w:sz w:val="18"/>
                <w:szCs w:val="18"/>
              </w:rPr>
            </w:pPr>
            <w:r>
              <w:rPr>
                <w:b/>
                <w:bCs/>
                <w:color w:val="000000"/>
                <w:sz w:val="18"/>
                <w:szCs w:val="18"/>
              </w:rPr>
              <w:t>p</w:t>
            </w:r>
            <w:r w:rsidR="004E2A07">
              <w:rPr>
                <w:b/>
                <w:bCs/>
                <w:color w:val="000000"/>
                <w:sz w:val="18"/>
                <w:szCs w:val="18"/>
              </w:rPr>
              <w:t>or arriba</w:t>
            </w:r>
          </w:p>
        </w:tc>
      </w:tr>
      <w:tr w:rsidR="004E2A07" w:rsidRPr="000A6510" w14:paraId="4560E34A"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C450D89" w14:textId="77777777" w:rsidR="004E2A07" w:rsidRPr="000A6510" w:rsidRDefault="004E2A07" w:rsidP="008628D1">
            <w:pPr>
              <w:pStyle w:val="Prrafodelista"/>
              <w:widowControl w:val="0"/>
              <w:numPr>
                <w:ilvl w:val="0"/>
                <w:numId w:val="24"/>
              </w:numPr>
              <w:spacing w:before="20" w:after="20"/>
              <w:ind w:left="306"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00252E3E" w14:textId="47658923" w:rsidR="004E2A07" w:rsidRPr="004E2A07" w:rsidRDefault="004E2A07" w:rsidP="004E2A07">
            <w:pPr>
              <w:tabs>
                <w:tab w:val="decimal" w:pos="381"/>
              </w:tabs>
              <w:jc w:val="left"/>
              <w:rPr>
                <w:sz w:val="18"/>
                <w:szCs w:val="18"/>
                <w:lang w:val="es-MX" w:eastAsia="es-MX"/>
              </w:rPr>
            </w:pPr>
            <w:r w:rsidRPr="004E2A07">
              <w:rPr>
                <w:sz w:val="18"/>
                <w:szCs w:val="18"/>
              </w:rPr>
              <w:t xml:space="preserve">53.8 </w:t>
            </w:r>
          </w:p>
        </w:tc>
        <w:tc>
          <w:tcPr>
            <w:tcW w:w="1043" w:type="dxa"/>
            <w:tcBorders>
              <w:top w:val="nil"/>
              <w:left w:val="single" w:sz="4" w:space="0" w:color="404040"/>
              <w:bottom w:val="nil"/>
              <w:right w:val="nil"/>
            </w:tcBorders>
            <w:shd w:val="clear" w:color="auto" w:fill="auto"/>
            <w:vAlign w:val="center"/>
          </w:tcPr>
          <w:p w14:paraId="2D6BC289" w14:textId="5D53148C" w:rsidR="004E2A07" w:rsidRPr="004E2A07" w:rsidRDefault="004E2A07" w:rsidP="004E2A07">
            <w:pPr>
              <w:tabs>
                <w:tab w:val="decimal" w:pos="409"/>
              </w:tabs>
              <w:jc w:val="left"/>
              <w:rPr>
                <w:sz w:val="18"/>
                <w:szCs w:val="18"/>
              </w:rPr>
            </w:pPr>
            <w:r w:rsidRPr="004E2A07">
              <w:rPr>
                <w:sz w:val="18"/>
                <w:szCs w:val="18"/>
              </w:rPr>
              <w:t>0.4</w:t>
            </w:r>
          </w:p>
        </w:tc>
        <w:tc>
          <w:tcPr>
            <w:tcW w:w="1043" w:type="dxa"/>
            <w:tcBorders>
              <w:top w:val="nil"/>
              <w:left w:val="nil"/>
              <w:bottom w:val="nil"/>
              <w:right w:val="single" w:sz="4" w:space="0" w:color="404040"/>
            </w:tcBorders>
            <w:shd w:val="clear" w:color="auto" w:fill="auto"/>
            <w:vAlign w:val="center"/>
          </w:tcPr>
          <w:p w14:paraId="1A12DC96" w14:textId="075DB4DF" w:rsidR="004E2A07" w:rsidRPr="004E2A07" w:rsidRDefault="004E2A07" w:rsidP="004E2A07">
            <w:pPr>
              <w:tabs>
                <w:tab w:val="decimal" w:pos="357"/>
              </w:tabs>
              <w:jc w:val="left"/>
              <w:rPr>
                <w:bCs/>
                <w:sz w:val="18"/>
                <w:szCs w:val="18"/>
              </w:rPr>
            </w:pPr>
            <w:r w:rsidRPr="004E2A07">
              <w:rPr>
                <w:sz w:val="18"/>
                <w:szCs w:val="18"/>
              </w:rPr>
              <w:t>-0.6</w:t>
            </w:r>
          </w:p>
        </w:tc>
        <w:tc>
          <w:tcPr>
            <w:tcW w:w="557" w:type="dxa"/>
            <w:tcBorders>
              <w:top w:val="nil"/>
              <w:left w:val="single" w:sz="4" w:space="0" w:color="404040"/>
              <w:bottom w:val="nil"/>
              <w:right w:val="nil"/>
            </w:tcBorders>
            <w:shd w:val="clear" w:color="auto" w:fill="auto"/>
            <w:vAlign w:val="center"/>
          </w:tcPr>
          <w:p w14:paraId="60A52E0C" w14:textId="153B0D8D" w:rsidR="004E2A07" w:rsidRPr="004E2A07" w:rsidRDefault="004E2A07" w:rsidP="004E2A07">
            <w:pPr>
              <w:jc w:val="right"/>
              <w:rPr>
                <w:sz w:val="18"/>
                <w:szCs w:val="18"/>
              </w:rPr>
            </w:pPr>
            <w:r w:rsidRPr="004E2A07">
              <w:rPr>
                <w:sz w:val="18"/>
                <w:szCs w:val="18"/>
              </w:rPr>
              <w:t>32</w:t>
            </w:r>
          </w:p>
        </w:tc>
        <w:tc>
          <w:tcPr>
            <w:tcW w:w="1249" w:type="dxa"/>
            <w:tcBorders>
              <w:top w:val="nil"/>
              <w:left w:val="nil"/>
              <w:bottom w:val="nil"/>
              <w:right w:val="single" w:sz="4" w:space="0" w:color="404040"/>
            </w:tcBorders>
            <w:shd w:val="clear" w:color="auto" w:fill="auto"/>
            <w:vAlign w:val="center"/>
          </w:tcPr>
          <w:p w14:paraId="3BE46E1B" w14:textId="0FD06AF1" w:rsidR="004E2A07" w:rsidRPr="00C245FA" w:rsidRDefault="00EF7DF9" w:rsidP="004E2A07">
            <w:pPr>
              <w:tabs>
                <w:tab w:val="decimal" w:pos="810"/>
              </w:tabs>
              <w:jc w:val="left"/>
              <w:rPr>
                <w:sz w:val="18"/>
                <w:szCs w:val="18"/>
              </w:rPr>
            </w:pPr>
            <w:r>
              <w:rPr>
                <w:color w:val="000000"/>
                <w:sz w:val="18"/>
                <w:szCs w:val="18"/>
              </w:rPr>
              <w:t>p</w:t>
            </w:r>
            <w:r w:rsidR="004E2A07">
              <w:rPr>
                <w:color w:val="000000"/>
                <w:sz w:val="18"/>
                <w:szCs w:val="18"/>
              </w:rPr>
              <w:t>or arriba</w:t>
            </w:r>
          </w:p>
        </w:tc>
      </w:tr>
      <w:tr w:rsidR="004E2A07" w:rsidRPr="000A6510" w14:paraId="2E2FBC13"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30FC73C9" w14:textId="77777777" w:rsidR="004E2A07" w:rsidRPr="000A6510" w:rsidRDefault="004E2A07" w:rsidP="008628D1">
            <w:pPr>
              <w:pStyle w:val="Prrafodelista"/>
              <w:widowControl w:val="0"/>
              <w:numPr>
                <w:ilvl w:val="0"/>
                <w:numId w:val="24"/>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FF2C10E" w14:textId="74F0C5E6" w:rsidR="004E2A07" w:rsidRPr="004E2A07" w:rsidRDefault="004E2A07" w:rsidP="004E2A07">
            <w:pPr>
              <w:tabs>
                <w:tab w:val="decimal" w:pos="381"/>
              </w:tabs>
              <w:jc w:val="left"/>
              <w:rPr>
                <w:sz w:val="18"/>
                <w:szCs w:val="18"/>
              </w:rPr>
            </w:pPr>
            <w:r w:rsidRPr="004E2A07">
              <w:rPr>
                <w:sz w:val="18"/>
                <w:szCs w:val="18"/>
              </w:rPr>
              <w:t xml:space="preserve">53.1 </w:t>
            </w:r>
          </w:p>
        </w:tc>
        <w:tc>
          <w:tcPr>
            <w:tcW w:w="1043" w:type="dxa"/>
            <w:tcBorders>
              <w:top w:val="nil"/>
              <w:left w:val="single" w:sz="4" w:space="0" w:color="404040"/>
              <w:bottom w:val="nil"/>
              <w:right w:val="nil"/>
            </w:tcBorders>
            <w:shd w:val="clear" w:color="auto" w:fill="auto"/>
            <w:vAlign w:val="center"/>
          </w:tcPr>
          <w:p w14:paraId="7EE52A85" w14:textId="15D57D7C" w:rsidR="004E2A07" w:rsidRPr="004E2A07" w:rsidRDefault="004E2A07" w:rsidP="004E2A07">
            <w:pPr>
              <w:tabs>
                <w:tab w:val="decimal" w:pos="409"/>
              </w:tabs>
              <w:jc w:val="left"/>
              <w:rPr>
                <w:sz w:val="18"/>
                <w:szCs w:val="18"/>
              </w:rPr>
            </w:pPr>
            <w:r w:rsidRPr="004E2A07">
              <w:rPr>
                <w:sz w:val="18"/>
                <w:szCs w:val="18"/>
              </w:rPr>
              <w:t>0.4</w:t>
            </w:r>
          </w:p>
        </w:tc>
        <w:tc>
          <w:tcPr>
            <w:tcW w:w="1043" w:type="dxa"/>
            <w:tcBorders>
              <w:top w:val="nil"/>
              <w:left w:val="nil"/>
              <w:bottom w:val="nil"/>
              <w:right w:val="single" w:sz="4" w:space="0" w:color="404040"/>
            </w:tcBorders>
            <w:shd w:val="clear" w:color="auto" w:fill="auto"/>
            <w:vAlign w:val="center"/>
          </w:tcPr>
          <w:p w14:paraId="389D3ADC" w14:textId="1EA61866" w:rsidR="004E2A07" w:rsidRPr="004E2A07" w:rsidRDefault="004E2A07" w:rsidP="004E2A07">
            <w:pPr>
              <w:tabs>
                <w:tab w:val="decimal" w:pos="357"/>
              </w:tabs>
              <w:jc w:val="left"/>
              <w:rPr>
                <w:bCs/>
                <w:sz w:val="18"/>
                <w:szCs w:val="18"/>
              </w:rPr>
            </w:pPr>
            <w:r w:rsidRPr="004E2A07">
              <w:rPr>
                <w:sz w:val="18"/>
                <w:szCs w:val="18"/>
              </w:rPr>
              <w:t>11.4</w:t>
            </w:r>
          </w:p>
        </w:tc>
        <w:tc>
          <w:tcPr>
            <w:tcW w:w="557" w:type="dxa"/>
            <w:tcBorders>
              <w:top w:val="nil"/>
              <w:left w:val="single" w:sz="4" w:space="0" w:color="404040"/>
              <w:bottom w:val="nil"/>
              <w:right w:val="nil"/>
            </w:tcBorders>
            <w:shd w:val="clear" w:color="auto" w:fill="auto"/>
            <w:vAlign w:val="center"/>
          </w:tcPr>
          <w:p w14:paraId="02E7DE38" w14:textId="34DA2B4F" w:rsidR="004E2A07" w:rsidRPr="004E2A07" w:rsidRDefault="004E2A07" w:rsidP="004E2A07">
            <w:pPr>
              <w:jc w:val="right"/>
              <w:rPr>
                <w:sz w:val="18"/>
                <w:szCs w:val="18"/>
              </w:rPr>
            </w:pPr>
            <w:r w:rsidRPr="004E2A07">
              <w:rPr>
                <w:sz w:val="18"/>
                <w:szCs w:val="18"/>
              </w:rPr>
              <w:t>4</w:t>
            </w:r>
          </w:p>
        </w:tc>
        <w:tc>
          <w:tcPr>
            <w:tcW w:w="1249" w:type="dxa"/>
            <w:tcBorders>
              <w:top w:val="nil"/>
              <w:left w:val="nil"/>
              <w:bottom w:val="nil"/>
              <w:right w:val="single" w:sz="4" w:space="0" w:color="404040"/>
            </w:tcBorders>
            <w:shd w:val="clear" w:color="auto" w:fill="auto"/>
            <w:vAlign w:val="center"/>
          </w:tcPr>
          <w:p w14:paraId="1444CB16" w14:textId="25152D1C" w:rsidR="004E2A07" w:rsidRPr="002B7915" w:rsidRDefault="00EF7DF9" w:rsidP="004E2A07">
            <w:pPr>
              <w:tabs>
                <w:tab w:val="decimal" w:pos="810"/>
              </w:tabs>
              <w:jc w:val="left"/>
              <w:rPr>
                <w:sz w:val="18"/>
                <w:szCs w:val="18"/>
              </w:rPr>
            </w:pPr>
            <w:r>
              <w:rPr>
                <w:color w:val="000000"/>
                <w:sz w:val="18"/>
                <w:szCs w:val="18"/>
              </w:rPr>
              <w:t>p</w:t>
            </w:r>
            <w:r w:rsidR="004E2A07">
              <w:rPr>
                <w:color w:val="000000"/>
                <w:sz w:val="18"/>
                <w:szCs w:val="18"/>
              </w:rPr>
              <w:t>or arriba</w:t>
            </w:r>
          </w:p>
        </w:tc>
      </w:tr>
      <w:tr w:rsidR="004E2A07" w:rsidRPr="000A6510" w14:paraId="681E5AC8"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84EEE67" w14:textId="77777777" w:rsidR="004E2A07" w:rsidRPr="000A6510" w:rsidRDefault="004E2A07" w:rsidP="008628D1">
            <w:pPr>
              <w:pStyle w:val="Prrafodelista"/>
              <w:widowControl w:val="0"/>
              <w:numPr>
                <w:ilvl w:val="0"/>
                <w:numId w:val="24"/>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71CECE4" w14:textId="447D84B5" w:rsidR="004E2A07" w:rsidRPr="004E2A07" w:rsidRDefault="004E2A07" w:rsidP="004E2A07">
            <w:pPr>
              <w:tabs>
                <w:tab w:val="decimal" w:pos="381"/>
              </w:tabs>
              <w:jc w:val="left"/>
              <w:rPr>
                <w:sz w:val="18"/>
                <w:szCs w:val="18"/>
              </w:rPr>
            </w:pPr>
            <w:r w:rsidRPr="004E2A07">
              <w:rPr>
                <w:sz w:val="18"/>
                <w:szCs w:val="18"/>
              </w:rPr>
              <w:t xml:space="preserve">52.3 </w:t>
            </w:r>
          </w:p>
        </w:tc>
        <w:tc>
          <w:tcPr>
            <w:tcW w:w="1043" w:type="dxa"/>
            <w:tcBorders>
              <w:top w:val="nil"/>
              <w:left w:val="single" w:sz="4" w:space="0" w:color="404040"/>
              <w:bottom w:val="nil"/>
              <w:right w:val="nil"/>
            </w:tcBorders>
            <w:shd w:val="clear" w:color="auto" w:fill="auto"/>
            <w:vAlign w:val="center"/>
          </w:tcPr>
          <w:p w14:paraId="7BB8A9E3" w14:textId="563ABF65" w:rsidR="004E2A07" w:rsidRPr="004E2A07" w:rsidRDefault="004E2A07" w:rsidP="004E2A07">
            <w:pPr>
              <w:tabs>
                <w:tab w:val="decimal" w:pos="409"/>
              </w:tabs>
              <w:jc w:val="left"/>
              <w:rPr>
                <w:sz w:val="18"/>
                <w:szCs w:val="18"/>
              </w:rPr>
            </w:pPr>
            <w:r w:rsidRPr="004E2A07">
              <w:rPr>
                <w:sz w:val="18"/>
                <w:szCs w:val="18"/>
              </w:rPr>
              <w:t>1.0</w:t>
            </w:r>
          </w:p>
        </w:tc>
        <w:tc>
          <w:tcPr>
            <w:tcW w:w="1043" w:type="dxa"/>
            <w:tcBorders>
              <w:top w:val="nil"/>
              <w:left w:val="nil"/>
              <w:bottom w:val="nil"/>
              <w:right w:val="single" w:sz="4" w:space="0" w:color="404040"/>
            </w:tcBorders>
            <w:shd w:val="clear" w:color="auto" w:fill="auto"/>
            <w:vAlign w:val="center"/>
          </w:tcPr>
          <w:p w14:paraId="765A591B" w14:textId="33716C91" w:rsidR="004E2A07" w:rsidRPr="004E2A07" w:rsidRDefault="004E2A07" w:rsidP="004E2A07">
            <w:pPr>
              <w:tabs>
                <w:tab w:val="decimal" w:pos="357"/>
              </w:tabs>
              <w:jc w:val="left"/>
              <w:rPr>
                <w:bCs/>
                <w:sz w:val="18"/>
                <w:szCs w:val="18"/>
              </w:rPr>
            </w:pPr>
            <w:r w:rsidRPr="004E2A07">
              <w:rPr>
                <w:sz w:val="18"/>
                <w:szCs w:val="18"/>
              </w:rPr>
              <w:t>0.0</w:t>
            </w:r>
          </w:p>
        </w:tc>
        <w:tc>
          <w:tcPr>
            <w:tcW w:w="557" w:type="dxa"/>
            <w:tcBorders>
              <w:top w:val="nil"/>
              <w:left w:val="single" w:sz="4" w:space="0" w:color="404040"/>
              <w:bottom w:val="nil"/>
              <w:right w:val="nil"/>
            </w:tcBorders>
            <w:shd w:val="clear" w:color="auto" w:fill="auto"/>
            <w:vAlign w:val="center"/>
          </w:tcPr>
          <w:p w14:paraId="03195387" w14:textId="4A9AEA58" w:rsidR="004E2A07" w:rsidRPr="004E2A07" w:rsidRDefault="004E2A07" w:rsidP="004E2A07">
            <w:pPr>
              <w:jc w:val="right"/>
              <w:rPr>
                <w:sz w:val="18"/>
                <w:szCs w:val="18"/>
              </w:rPr>
            </w:pPr>
            <w:r w:rsidRPr="004E2A07">
              <w:rPr>
                <w:sz w:val="18"/>
                <w:szCs w:val="18"/>
              </w:rPr>
              <w:t>32</w:t>
            </w:r>
          </w:p>
        </w:tc>
        <w:tc>
          <w:tcPr>
            <w:tcW w:w="1249" w:type="dxa"/>
            <w:tcBorders>
              <w:top w:val="nil"/>
              <w:left w:val="nil"/>
              <w:bottom w:val="nil"/>
              <w:right w:val="single" w:sz="4" w:space="0" w:color="404040"/>
            </w:tcBorders>
            <w:shd w:val="clear" w:color="auto" w:fill="auto"/>
            <w:vAlign w:val="center"/>
          </w:tcPr>
          <w:p w14:paraId="7DA6191D" w14:textId="3FE00A2A" w:rsidR="004E2A07" w:rsidRPr="002B7915" w:rsidRDefault="00EF7DF9" w:rsidP="004E2A07">
            <w:pPr>
              <w:tabs>
                <w:tab w:val="decimal" w:pos="810"/>
              </w:tabs>
              <w:jc w:val="left"/>
              <w:rPr>
                <w:sz w:val="18"/>
                <w:szCs w:val="18"/>
              </w:rPr>
            </w:pPr>
            <w:r>
              <w:rPr>
                <w:color w:val="000000"/>
                <w:sz w:val="18"/>
                <w:szCs w:val="18"/>
              </w:rPr>
              <w:t>p</w:t>
            </w:r>
            <w:r w:rsidR="004E2A07" w:rsidRPr="002B7915">
              <w:rPr>
                <w:color w:val="000000"/>
                <w:sz w:val="18"/>
                <w:szCs w:val="18"/>
              </w:rPr>
              <w:t>or arriba</w:t>
            </w:r>
          </w:p>
        </w:tc>
      </w:tr>
      <w:tr w:rsidR="004E2A07" w:rsidRPr="000A6510" w14:paraId="5245CAF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6F8D9520" w14:textId="77777777" w:rsidR="004E2A07" w:rsidRPr="000A6510" w:rsidRDefault="004E2A07" w:rsidP="008628D1">
            <w:pPr>
              <w:pStyle w:val="Prrafodelista"/>
              <w:widowControl w:val="0"/>
              <w:numPr>
                <w:ilvl w:val="0"/>
                <w:numId w:val="24"/>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259EF11A" w14:textId="5A4F2AE1" w:rsidR="004E2A07" w:rsidRPr="004E2A07" w:rsidRDefault="004E2A07" w:rsidP="004E2A07">
            <w:pPr>
              <w:tabs>
                <w:tab w:val="decimal" w:pos="381"/>
              </w:tabs>
              <w:jc w:val="left"/>
              <w:rPr>
                <w:sz w:val="18"/>
                <w:szCs w:val="18"/>
              </w:rPr>
            </w:pPr>
            <w:r w:rsidRPr="004E2A07">
              <w:rPr>
                <w:sz w:val="18"/>
                <w:szCs w:val="18"/>
              </w:rPr>
              <w:t xml:space="preserve">50.7 </w:t>
            </w:r>
          </w:p>
        </w:tc>
        <w:tc>
          <w:tcPr>
            <w:tcW w:w="1043" w:type="dxa"/>
            <w:tcBorders>
              <w:top w:val="nil"/>
              <w:left w:val="single" w:sz="4" w:space="0" w:color="404040"/>
              <w:bottom w:val="nil"/>
              <w:right w:val="nil"/>
            </w:tcBorders>
            <w:shd w:val="clear" w:color="auto" w:fill="auto"/>
            <w:vAlign w:val="center"/>
          </w:tcPr>
          <w:p w14:paraId="5D942B50" w14:textId="13EBCFE2" w:rsidR="004E2A07" w:rsidRPr="004E2A07" w:rsidRDefault="004E2A07" w:rsidP="004E2A07">
            <w:pPr>
              <w:tabs>
                <w:tab w:val="decimal" w:pos="409"/>
              </w:tabs>
              <w:jc w:val="left"/>
              <w:rPr>
                <w:sz w:val="18"/>
                <w:szCs w:val="18"/>
              </w:rPr>
            </w:pPr>
            <w:r w:rsidRPr="004E2A07">
              <w:rPr>
                <w:sz w:val="18"/>
                <w:szCs w:val="18"/>
              </w:rPr>
              <w:t>0.1</w:t>
            </w:r>
          </w:p>
        </w:tc>
        <w:tc>
          <w:tcPr>
            <w:tcW w:w="1043" w:type="dxa"/>
            <w:tcBorders>
              <w:top w:val="nil"/>
              <w:left w:val="nil"/>
              <w:bottom w:val="nil"/>
              <w:right w:val="single" w:sz="4" w:space="0" w:color="404040"/>
            </w:tcBorders>
            <w:shd w:val="clear" w:color="auto" w:fill="auto"/>
            <w:vAlign w:val="center"/>
          </w:tcPr>
          <w:p w14:paraId="184E9719" w14:textId="10921EB1" w:rsidR="004E2A07" w:rsidRPr="004E2A07" w:rsidRDefault="004E2A07" w:rsidP="004E2A07">
            <w:pPr>
              <w:tabs>
                <w:tab w:val="decimal" w:pos="357"/>
              </w:tabs>
              <w:jc w:val="left"/>
              <w:rPr>
                <w:bCs/>
                <w:sz w:val="18"/>
                <w:szCs w:val="18"/>
              </w:rPr>
            </w:pPr>
            <w:r w:rsidRPr="004E2A07">
              <w:rPr>
                <w:sz w:val="18"/>
                <w:szCs w:val="18"/>
              </w:rPr>
              <w:t>-0.8</w:t>
            </w:r>
          </w:p>
        </w:tc>
        <w:tc>
          <w:tcPr>
            <w:tcW w:w="557" w:type="dxa"/>
            <w:tcBorders>
              <w:top w:val="nil"/>
              <w:left w:val="single" w:sz="4" w:space="0" w:color="404040"/>
              <w:bottom w:val="nil"/>
              <w:right w:val="nil"/>
            </w:tcBorders>
            <w:shd w:val="clear" w:color="auto" w:fill="auto"/>
            <w:vAlign w:val="center"/>
          </w:tcPr>
          <w:p w14:paraId="1A07574D" w14:textId="11AB70DA" w:rsidR="004E2A07" w:rsidRPr="004E2A07" w:rsidRDefault="004E2A07" w:rsidP="004E2A07">
            <w:pPr>
              <w:jc w:val="right"/>
              <w:rPr>
                <w:sz w:val="18"/>
                <w:szCs w:val="18"/>
              </w:rPr>
            </w:pPr>
            <w:r w:rsidRPr="004E2A07">
              <w:rPr>
                <w:sz w:val="18"/>
                <w:szCs w:val="18"/>
              </w:rPr>
              <w:t>8</w:t>
            </w:r>
          </w:p>
        </w:tc>
        <w:tc>
          <w:tcPr>
            <w:tcW w:w="1249" w:type="dxa"/>
            <w:tcBorders>
              <w:top w:val="nil"/>
              <w:left w:val="nil"/>
              <w:bottom w:val="nil"/>
              <w:right w:val="single" w:sz="4" w:space="0" w:color="404040"/>
            </w:tcBorders>
            <w:shd w:val="clear" w:color="auto" w:fill="auto"/>
            <w:vAlign w:val="center"/>
          </w:tcPr>
          <w:p w14:paraId="26ACE7D0" w14:textId="75E27D7B" w:rsidR="004E2A07" w:rsidRPr="00C245FA" w:rsidRDefault="00EF7DF9" w:rsidP="004E2A07">
            <w:pPr>
              <w:tabs>
                <w:tab w:val="decimal" w:pos="810"/>
              </w:tabs>
              <w:jc w:val="left"/>
              <w:rPr>
                <w:sz w:val="18"/>
                <w:szCs w:val="18"/>
              </w:rPr>
            </w:pPr>
            <w:r>
              <w:rPr>
                <w:color w:val="000000"/>
                <w:sz w:val="18"/>
                <w:szCs w:val="18"/>
              </w:rPr>
              <w:t>p</w:t>
            </w:r>
            <w:r w:rsidR="004E2A07">
              <w:rPr>
                <w:color w:val="000000"/>
                <w:sz w:val="18"/>
                <w:szCs w:val="18"/>
              </w:rPr>
              <w:t>or arriba</w:t>
            </w:r>
          </w:p>
        </w:tc>
      </w:tr>
      <w:tr w:rsidR="004E2A07" w:rsidRPr="000A6510" w14:paraId="46BEF14E"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A8731C0" w14:textId="77777777" w:rsidR="004E2A07" w:rsidRPr="000A6510" w:rsidRDefault="004E2A07" w:rsidP="008628D1">
            <w:pPr>
              <w:pStyle w:val="Prrafodelista"/>
              <w:widowControl w:val="0"/>
              <w:numPr>
                <w:ilvl w:val="0"/>
                <w:numId w:val="24"/>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F8C876B" w14:textId="3B6FE529" w:rsidR="004E2A07" w:rsidRPr="004E2A07" w:rsidRDefault="004E2A07" w:rsidP="004E2A07">
            <w:pPr>
              <w:tabs>
                <w:tab w:val="decimal" w:pos="381"/>
              </w:tabs>
              <w:jc w:val="left"/>
              <w:rPr>
                <w:sz w:val="18"/>
                <w:szCs w:val="18"/>
              </w:rPr>
            </w:pPr>
            <w:r w:rsidRPr="004E2A07">
              <w:rPr>
                <w:sz w:val="18"/>
                <w:szCs w:val="18"/>
              </w:rPr>
              <w:t xml:space="preserve">54.3 </w:t>
            </w:r>
          </w:p>
        </w:tc>
        <w:tc>
          <w:tcPr>
            <w:tcW w:w="1043" w:type="dxa"/>
            <w:tcBorders>
              <w:top w:val="nil"/>
              <w:left w:val="single" w:sz="4" w:space="0" w:color="404040"/>
              <w:bottom w:val="single" w:sz="4" w:space="0" w:color="404040"/>
              <w:right w:val="nil"/>
            </w:tcBorders>
            <w:shd w:val="clear" w:color="auto" w:fill="auto"/>
            <w:vAlign w:val="center"/>
          </w:tcPr>
          <w:p w14:paraId="1D33C03B" w14:textId="6453151B" w:rsidR="004E2A07" w:rsidRPr="004E2A07" w:rsidRDefault="004E2A07" w:rsidP="004E2A07">
            <w:pPr>
              <w:tabs>
                <w:tab w:val="decimal" w:pos="409"/>
              </w:tabs>
              <w:jc w:val="left"/>
              <w:rPr>
                <w:sz w:val="18"/>
                <w:szCs w:val="18"/>
              </w:rPr>
            </w:pPr>
            <w:r w:rsidRPr="004E2A07">
              <w:rPr>
                <w:sz w:val="18"/>
                <w:szCs w:val="18"/>
              </w:rPr>
              <w:t>0.9</w:t>
            </w:r>
          </w:p>
        </w:tc>
        <w:tc>
          <w:tcPr>
            <w:tcW w:w="1043" w:type="dxa"/>
            <w:tcBorders>
              <w:top w:val="nil"/>
              <w:left w:val="nil"/>
              <w:bottom w:val="single" w:sz="4" w:space="0" w:color="404040"/>
              <w:right w:val="single" w:sz="4" w:space="0" w:color="404040"/>
            </w:tcBorders>
            <w:shd w:val="clear" w:color="auto" w:fill="auto"/>
            <w:vAlign w:val="center"/>
          </w:tcPr>
          <w:p w14:paraId="65625F4A" w14:textId="3B7603C9" w:rsidR="004E2A07" w:rsidRPr="004E2A07" w:rsidRDefault="004E2A07" w:rsidP="004E2A07">
            <w:pPr>
              <w:tabs>
                <w:tab w:val="decimal" w:pos="357"/>
              </w:tabs>
              <w:jc w:val="left"/>
              <w:rPr>
                <w:bCs/>
                <w:sz w:val="18"/>
                <w:szCs w:val="18"/>
              </w:rPr>
            </w:pPr>
            <w:r w:rsidRPr="004E2A07">
              <w:rPr>
                <w:sz w:val="18"/>
                <w:szCs w:val="18"/>
              </w:rPr>
              <w:t>2.6</w:t>
            </w:r>
          </w:p>
        </w:tc>
        <w:tc>
          <w:tcPr>
            <w:tcW w:w="557" w:type="dxa"/>
            <w:tcBorders>
              <w:top w:val="nil"/>
              <w:left w:val="single" w:sz="4" w:space="0" w:color="404040"/>
              <w:bottom w:val="single" w:sz="4" w:space="0" w:color="auto"/>
              <w:right w:val="nil"/>
            </w:tcBorders>
            <w:shd w:val="clear" w:color="auto" w:fill="auto"/>
            <w:vAlign w:val="center"/>
          </w:tcPr>
          <w:p w14:paraId="09EE7B25" w14:textId="6500D90B" w:rsidR="004E2A07" w:rsidRPr="004E2A07" w:rsidRDefault="004E2A07" w:rsidP="004E2A07">
            <w:pPr>
              <w:jc w:val="right"/>
              <w:rPr>
                <w:sz w:val="18"/>
                <w:szCs w:val="18"/>
              </w:rPr>
            </w:pPr>
            <w:r w:rsidRPr="004E2A07">
              <w:rPr>
                <w:sz w:val="18"/>
                <w:szCs w:val="18"/>
              </w:rPr>
              <w:t>22</w:t>
            </w:r>
          </w:p>
        </w:tc>
        <w:tc>
          <w:tcPr>
            <w:tcW w:w="1249" w:type="dxa"/>
            <w:tcBorders>
              <w:top w:val="nil"/>
              <w:left w:val="nil"/>
              <w:bottom w:val="single" w:sz="4" w:space="0" w:color="auto"/>
              <w:right w:val="single" w:sz="4" w:space="0" w:color="404040"/>
            </w:tcBorders>
            <w:shd w:val="clear" w:color="auto" w:fill="auto"/>
            <w:vAlign w:val="center"/>
          </w:tcPr>
          <w:p w14:paraId="1CF6E514" w14:textId="71C6C3C9" w:rsidR="004E2A07" w:rsidRPr="00C245FA" w:rsidRDefault="00EF7DF9" w:rsidP="004E2A07">
            <w:pPr>
              <w:tabs>
                <w:tab w:val="decimal" w:pos="810"/>
              </w:tabs>
              <w:jc w:val="left"/>
              <w:rPr>
                <w:sz w:val="18"/>
                <w:szCs w:val="18"/>
              </w:rPr>
            </w:pPr>
            <w:r>
              <w:rPr>
                <w:color w:val="000000"/>
                <w:sz w:val="18"/>
                <w:szCs w:val="18"/>
              </w:rPr>
              <w:t>p</w:t>
            </w:r>
            <w:r w:rsidR="004E2A07">
              <w:rPr>
                <w:color w:val="000000"/>
                <w:sz w:val="18"/>
                <w:szCs w:val="18"/>
              </w:rPr>
              <w:t>or arriba</w:t>
            </w:r>
          </w:p>
        </w:tc>
      </w:tr>
    </w:tbl>
    <w:p w14:paraId="263C0A4A" w14:textId="77777777" w:rsidR="00D76DC5" w:rsidRPr="00294891" w:rsidRDefault="00D76DC5" w:rsidP="004D6300">
      <w:pPr>
        <w:widowControl w:val="0"/>
        <w:spacing w:before="20"/>
        <w:ind w:left="709"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68638143" w14:textId="77777777" w:rsidR="00D76DC5" w:rsidRPr="00294891" w:rsidRDefault="00D76DC5" w:rsidP="004D6300">
      <w:pPr>
        <w:widowControl w:val="0"/>
        <w:ind w:left="709"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62D303" w14:textId="77777777" w:rsidR="00D76DC5" w:rsidRPr="00294891" w:rsidRDefault="00D76DC5" w:rsidP="004D6300">
      <w:pPr>
        <w:widowControl w:val="0"/>
        <w:spacing w:before="20"/>
        <w:ind w:left="709"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0645F49B" w14:textId="77777777"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44C5A1F8" w14:textId="7F2220E8"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w:t>
      </w:r>
      <w:r w:rsidR="009C2B95">
        <w:rPr>
          <w:b/>
          <w:smallCaps/>
          <w:sz w:val="22"/>
          <w:szCs w:val="20"/>
          <w:lang w:val="es-MX"/>
        </w:rPr>
        <w:t>C</w:t>
      </w:r>
      <w:r w:rsidR="00961C96" w:rsidRPr="000A6510">
        <w:rPr>
          <w:b/>
          <w:smallCaps/>
          <w:sz w:val="22"/>
          <w:szCs w:val="20"/>
          <w:lang w:val="es-MX"/>
        </w:rPr>
        <w:t xml:space="preserve">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64FCC865" w14:textId="77777777" w:rsidTr="00FD3E7B">
        <w:trPr>
          <w:trHeight w:val="1871"/>
          <w:jc w:val="center"/>
        </w:trPr>
        <w:tc>
          <w:tcPr>
            <w:tcW w:w="5305" w:type="dxa"/>
            <w:vAlign w:val="center"/>
          </w:tcPr>
          <w:p w14:paraId="6CE381C1" w14:textId="74C27F14" w:rsidR="00961C96" w:rsidRPr="000A6510" w:rsidRDefault="00F17DB7" w:rsidP="00D76DC5">
            <w:pPr>
              <w:pStyle w:val="p0"/>
              <w:spacing w:before="0"/>
              <w:jc w:val="center"/>
              <w:rPr>
                <w:color w:val="auto"/>
                <w:sz w:val="16"/>
                <w:szCs w:val="16"/>
                <w:lang w:val="es-MX"/>
              </w:rPr>
            </w:pPr>
            <w:r>
              <w:rPr>
                <w:noProof/>
                <w:lang w:val="es-MX" w:eastAsia="es-MX"/>
              </w:rPr>
              <w:drawing>
                <wp:inline distT="0" distB="0" distL="0" distR="0" wp14:anchorId="649225B0" wp14:editId="6A03E52C">
                  <wp:extent cx="3276000" cy="1152000"/>
                  <wp:effectExtent l="0" t="0" r="0" b="0"/>
                  <wp:docPr id="35" name="Gráfico 35">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6EF5C112" w14:textId="26F74E29" w:rsidR="00961C96" w:rsidRPr="000A6510" w:rsidRDefault="00F17DB7" w:rsidP="00D76DC5">
            <w:pPr>
              <w:pStyle w:val="p0"/>
              <w:spacing w:before="0"/>
              <w:jc w:val="center"/>
              <w:rPr>
                <w:color w:val="auto"/>
                <w:sz w:val="16"/>
                <w:szCs w:val="16"/>
                <w:lang w:val="es-MX"/>
              </w:rPr>
            </w:pPr>
            <w:r>
              <w:rPr>
                <w:noProof/>
                <w:lang w:val="es-MX" w:eastAsia="es-MX"/>
              </w:rPr>
              <w:drawing>
                <wp:inline distT="0" distB="0" distL="0" distR="0" wp14:anchorId="787E4C57" wp14:editId="5094971C">
                  <wp:extent cx="3276000" cy="1152000"/>
                  <wp:effectExtent l="0" t="0" r="0" b="0"/>
                  <wp:docPr id="36" name="Gráfico 36">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1E137055" w14:textId="77777777" w:rsidTr="00D76DC5">
        <w:tblPrEx>
          <w:tblCellMar>
            <w:left w:w="28" w:type="dxa"/>
            <w:right w:w="28" w:type="dxa"/>
          </w:tblCellMar>
        </w:tblPrEx>
        <w:trPr>
          <w:jc w:val="center"/>
        </w:trPr>
        <w:tc>
          <w:tcPr>
            <w:tcW w:w="5305" w:type="dxa"/>
          </w:tcPr>
          <w:p w14:paraId="50A0CA72" w14:textId="77777777" w:rsidR="00D76DC5" w:rsidRPr="000A6510" w:rsidRDefault="00D76DC5" w:rsidP="00D76DC5">
            <w:pPr>
              <w:pStyle w:val="p0"/>
              <w:spacing w:before="0"/>
              <w:rPr>
                <w:noProof/>
                <w:color w:val="auto"/>
                <w:sz w:val="10"/>
                <w:szCs w:val="10"/>
                <w:lang w:val="es-MX" w:eastAsia="es-MX"/>
              </w:rPr>
            </w:pPr>
          </w:p>
        </w:tc>
        <w:tc>
          <w:tcPr>
            <w:tcW w:w="5304" w:type="dxa"/>
          </w:tcPr>
          <w:p w14:paraId="438345A4" w14:textId="77777777" w:rsidR="00D76DC5" w:rsidRPr="000A6510" w:rsidRDefault="00D76DC5" w:rsidP="00D76DC5">
            <w:pPr>
              <w:pStyle w:val="p0"/>
              <w:spacing w:before="0"/>
              <w:rPr>
                <w:noProof/>
                <w:color w:val="auto"/>
                <w:sz w:val="10"/>
                <w:szCs w:val="10"/>
                <w:lang w:val="es-MX" w:eastAsia="es-MX"/>
              </w:rPr>
            </w:pPr>
          </w:p>
        </w:tc>
      </w:tr>
      <w:tr w:rsidR="00D76DC5" w:rsidRPr="000A6510" w14:paraId="717865A4" w14:textId="77777777" w:rsidTr="00FD3E7B">
        <w:trPr>
          <w:trHeight w:val="1871"/>
          <w:jc w:val="center"/>
        </w:trPr>
        <w:tc>
          <w:tcPr>
            <w:tcW w:w="5305" w:type="dxa"/>
          </w:tcPr>
          <w:p w14:paraId="6AC938DB" w14:textId="571CA46D" w:rsidR="00D76DC5" w:rsidRPr="000A6510" w:rsidRDefault="00F17DB7" w:rsidP="00D76DC5">
            <w:pPr>
              <w:pStyle w:val="p0"/>
              <w:spacing w:before="0"/>
              <w:rPr>
                <w:color w:val="auto"/>
                <w:sz w:val="16"/>
                <w:szCs w:val="16"/>
                <w:lang w:val="es-MX"/>
              </w:rPr>
            </w:pPr>
            <w:r>
              <w:rPr>
                <w:noProof/>
                <w:lang w:val="es-MX" w:eastAsia="es-MX"/>
              </w:rPr>
              <w:drawing>
                <wp:inline distT="0" distB="0" distL="0" distR="0" wp14:anchorId="00DCD367" wp14:editId="1BC15205">
                  <wp:extent cx="3276000" cy="1152000"/>
                  <wp:effectExtent l="0" t="0" r="0" b="0"/>
                  <wp:docPr id="37" name="Gráfico 37">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44970A71" w14:textId="07427317" w:rsidR="00D76DC5" w:rsidRPr="000A6510" w:rsidRDefault="00F17DB7" w:rsidP="00D76DC5">
            <w:pPr>
              <w:pStyle w:val="p0"/>
              <w:spacing w:before="0"/>
              <w:rPr>
                <w:color w:val="auto"/>
                <w:sz w:val="16"/>
                <w:szCs w:val="16"/>
                <w:lang w:val="es-MX"/>
              </w:rPr>
            </w:pPr>
            <w:r>
              <w:rPr>
                <w:noProof/>
                <w:lang w:val="es-MX" w:eastAsia="es-MX"/>
              </w:rPr>
              <w:drawing>
                <wp:inline distT="0" distB="0" distL="0" distR="0" wp14:anchorId="1B45FD05" wp14:editId="21FE254C">
                  <wp:extent cx="3276000" cy="1152000"/>
                  <wp:effectExtent l="0" t="0" r="0" b="0"/>
                  <wp:docPr id="38" name="Gráfico 38">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6125D98B" w14:textId="77777777" w:rsidTr="009C3FF5">
        <w:trPr>
          <w:jc w:val="center"/>
        </w:trPr>
        <w:tc>
          <w:tcPr>
            <w:tcW w:w="10609" w:type="dxa"/>
            <w:gridSpan w:val="2"/>
          </w:tcPr>
          <w:p w14:paraId="32E0478E"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152A6B03" w14:textId="77777777" w:rsidTr="00FD3E7B">
        <w:trPr>
          <w:trHeight w:val="1871"/>
          <w:jc w:val="center"/>
        </w:trPr>
        <w:tc>
          <w:tcPr>
            <w:tcW w:w="10609" w:type="dxa"/>
            <w:gridSpan w:val="2"/>
          </w:tcPr>
          <w:p w14:paraId="041783DD" w14:textId="15DBA5FA" w:rsidR="00961C96" w:rsidRPr="000A6510" w:rsidRDefault="00F17DB7" w:rsidP="00961C96">
            <w:pPr>
              <w:pStyle w:val="p0"/>
              <w:spacing w:before="0"/>
              <w:jc w:val="center"/>
              <w:rPr>
                <w:noProof/>
                <w:color w:val="auto"/>
                <w:sz w:val="16"/>
                <w:szCs w:val="16"/>
                <w:lang w:val="es-MX" w:eastAsia="es-MX"/>
              </w:rPr>
            </w:pPr>
            <w:r>
              <w:rPr>
                <w:noProof/>
                <w:lang w:val="es-MX" w:eastAsia="es-MX"/>
              </w:rPr>
              <w:drawing>
                <wp:inline distT="0" distB="0" distL="0" distR="0" wp14:anchorId="267B33CD" wp14:editId="76132343">
                  <wp:extent cx="3276000" cy="1152000"/>
                  <wp:effectExtent l="0" t="0" r="0" b="0"/>
                  <wp:docPr id="39" name="Gráfico 39">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17580EA2"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28362DB3" w14:textId="5A365BC0" w:rsidR="00424344" w:rsidRPr="00200988" w:rsidRDefault="003D1A21" w:rsidP="00AB69C8">
      <w:pPr>
        <w:keepNext/>
        <w:keepLines/>
        <w:widowControl w:val="0"/>
        <w:spacing w:before="360"/>
        <w:ind w:left="-284" w:right="-233"/>
        <w:outlineLvl w:val="0"/>
        <w:rPr>
          <w:b/>
          <w:smallCaps/>
          <w:sz w:val="22"/>
          <w:szCs w:val="22"/>
          <w:lang w:val="es-MX"/>
        </w:rPr>
      </w:pPr>
      <w:r>
        <w:rPr>
          <w:lang w:val="es-MX"/>
        </w:rPr>
        <w:lastRenderedPageBreak/>
        <w:t>En</w:t>
      </w:r>
      <w:r w:rsidR="009E52F9">
        <w:rPr>
          <w:lang w:val="es-MX"/>
        </w:rPr>
        <w:t xml:space="preserve"> enero de 2023</w:t>
      </w:r>
      <w:r w:rsidR="00D337D1" w:rsidRPr="00200988">
        <w:rPr>
          <w:lang w:val="es-MX"/>
        </w:rPr>
        <w:t>,</w:t>
      </w:r>
      <w:r w:rsidR="00424344" w:rsidRPr="00200988">
        <w:rPr>
          <w:lang w:val="es-MX"/>
        </w:rPr>
        <w:t xml:space="preserve"> el </w:t>
      </w:r>
      <w:r w:rsidR="00424344" w:rsidRPr="00200988">
        <w:rPr>
          <w:b/>
        </w:rPr>
        <w:t>I</w:t>
      </w:r>
      <w:r w:rsidR="00B16016">
        <w:rPr>
          <w:b/>
        </w:rPr>
        <w:t xml:space="preserve">AT </w:t>
      </w:r>
      <w:r w:rsidR="00424344" w:rsidRPr="00200988">
        <w:rPr>
          <w:b/>
        </w:rPr>
        <w:t>d</w:t>
      </w:r>
      <w:r w:rsidR="00546288">
        <w:rPr>
          <w:b/>
        </w:rPr>
        <w:t>e</w:t>
      </w:r>
      <w:r w:rsidR="00FD4EA5">
        <w:rPr>
          <w:b/>
        </w:rPr>
        <w:t xml:space="preserve"> </w:t>
      </w:r>
      <w:r w:rsidR="00424344" w:rsidRPr="00200988">
        <w:rPr>
          <w:b/>
        </w:rPr>
        <w:t xml:space="preserve">Servicios </w:t>
      </w:r>
      <w:r w:rsidR="00C469E9">
        <w:rPr>
          <w:b/>
        </w:rPr>
        <w:t>p</w:t>
      </w:r>
      <w:r w:rsidR="00424344" w:rsidRPr="00200988">
        <w:rPr>
          <w:b/>
        </w:rPr>
        <w:t xml:space="preserve">rivados no </w:t>
      </w:r>
      <w:r w:rsidR="00C469E9">
        <w:rPr>
          <w:b/>
        </w:rPr>
        <w:t>f</w:t>
      </w:r>
      <w:r w:rsidR="00424344" w:rsidRPr="00200988">
        <w:rPr>
          <w:b/>
        </w:rPr>
        <w:t>inancieros</w:t>
      </w:r>
      <w:r w:rsidR="00CE04C5" w:rsidRPr="00200988">
        <w:t xml:space="preserve"> </w:t>
      </w:r>
      <w:r w:rsidR="00E779EB">
        <w:t>se ubicó en 48.2</w:t>
      </w:r>
      <w:r w:rsidR="000008E6">
        <w:t xml:space="preserve"> puntos, </w:t>
      </w:r>
      <w:r w:rsidR="00F30809">
        <w:t xml:space="preserve">un </w:t>
      </w:r>
      <w:r w:rsidR="00E779EB">
        <w:t>descenso mensual de 4.3</w:t>
      </w:r>
      <w:r w:rsidR="00D34D31">
        <w:t xml:space="preserve"> puntos</w:t>
      </w:r>
      <w:r w:rsidR="338FA76C">
        <w:t>,</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E779EB">
        <w:t>el indicador se sit</w:t>
      </w:r>
      <w:r w:rsidR="00A06651">
        <w:t>uó</w:t>
      </w:r>
      <w:r w:rsidR="008C5654">
        <w:t xml:space="preserve"> </w:t>
      </w:r>
      <w:r w:rsidR="00E779EB">
        <w:t>por debajo</w:t>
      </w:r>
      <w:r w:rsidR="00424344" w:rsidRPr="00200988">
        <w:t xml:space="preserve"> del umbral de los 50 puntos.</w:t>
      </w:r>
    </w:p>
    <w:p w14:paraId="4184057E" w14:textId="77777777" w:rsidR="00424344" w:rsidRPr="00200988" w:rsidRDefault="00424344" w:rsidP="00AB69C8">
      <w:pPr>
        <w:spacing w:before="240"/>
        <w:ind w:left="-284" w:right="-233"/>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00D387F9" w14:textId="64081506" w:rsidR="00424344" w:rsidRPr="00294891" w:rsidRDefault="00424344" w:rsidP="00424344">
      <w:pPr>
        <w:jc w:val="center"/>
        <w:rPr>
          <w:b/>
          <w:smallCaps/>
          <w:sz w:val="22"/>
        </w:rPr>
      </w:pPr>
      <w:r w:rsidRPr="00200988">
        <w:rPr>
          <w:b/>
          <w:smallCaps/>
          <w:sz w:val="22"/>
        </w:rPr>
        <w:t xml:space="preserve">Indicador </w:t>
      </w:r>
      <w:r w:rsidR="009C2B95">
        <w:rPr>
          <w:b/>
          <w:smallCaps/>
          <w:sz w:val="22"/>
        </w:rPr>
        <w:t>A</w:t>
      </w:r>
      <w:r w:rsidRPr="00200988">
        <w:rPr>
          <w:b/>
          <w:smallCaps/>
          <w:sz w:val="22"/>
        </w:rPr>
        <w:t>g</w:t>
      </w:r>
      <w:r w:rsidR="00754EA0" w:rsidRPr="00200988">
        <w:rPr>
          <w:b/>
          <w:smallCaps/>
          <w:sz w:val="22"/>
        </w:rPr>
        <w:t xml:space="preserve">regado de </w:t>
      </w:r>
      <w:r w:rsidR="009C2B95">
        <w:rPr>
          <w:b/>
          <w:smallCaps/>
          <w:sz w:val="22"/>
        </w:rPr>
        <w:t>T</w:t>
      </w:r>
      <w:r w:rsidR="00754EA0" w:rsidRPr="00200988">
        <w:rPr>
          <w:b/>
          <w:smallCaps/>
          <w:sz w:val="22"/>
        </w:rPr>
        <w:t xml:space="preserve">endencia de </w:t>
      </w:r>
      <w:r w:rsidR="009C2B95">
        <w:rPr>
          <w:b/>
          <w:smallCaps/>
          <w:sz w:val="22"/>
        </w:rPr>
        <w:t>S</w:t>
      </w:r>
      <w:r w:rsidR="00754EA0" w:rsidRPr="00200988">
        <w:rPr>
          <w:b/>
          <w:smallCaps/>
          <w:sz w:val="22"/>
        </w:rPr>
        <w:t xml:space="preserve">ervicios </w:t>
      </w:r>
      <w:r w:rsidR="00D337D1" w:rsidRPr="00200988">
        <w:rPr>
          <w:b/>
          <w:smallCaps/>
          <w:sz w:val="22"/>
        </w:rPr>
        <w:br/>
      </w:r>
      <w:r w:rsidR="00754EA0" w:rsidRPr="00200988">
        <w:rPr>
          <w:b/>
          <w:smallCaps/>
          <w:sz w:val="22"/>
        </w:rPr>
        <w:t>privados no financieros</w:t>
      </w:r>
    </w:p>
    <w:p w14:paraId="4E13FCBA" w14:textId="6BD77214" w:rsidR="00424344" w:rsidRPr="00294891" w:rsidRDefault="00EF687F" w:rsidP="00424344">
      <w:pPr>
        <w:jc w:val="center"/>
        <w:rPr>
          <w:b/>
          <w:smallCaps/>
          <w:sz w:val="22"/>
          <w:szCs w:val="22"/>
        </w:rPr>
      </w:pPr>
      <w:r>
        <w:rPr>
          <w:noProof/>
          <w:lang w:val="es-MX" w:eastAsia="es-MX"/>
        </w:rPr>
        <w:drawing>
          <wp:inline distT="0" distB="0" distL="0" distR="0" wp14:anchorId="43406619" wp14:editId="79AC7677">
            <wp:extent cx="4320000" cy="2520000"/>
            <wp:effectExtent l="0" t="0" r="23495" b="33020"/>
            <wp:docPr id="40" name="Gráfico 40">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FD337EC"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15154190" w14:textId="769AFA88" w:rsidR="00372D9A" w:rsidRPr="00200988" w:rsidRDefault="00372D9A" w:rsidP="00AB69C8">
      <w:pPr>
        <w:keepNext/>
        <w:keepLines/>
        <w:widowControl w:val="0"/>
        <w:spacing w:before="360"/>
        <w:ind w:left="-284" w:right="-233"/>
        <w:outlineLvl w:val="0"/>
      </w:pPr>
      <w:r w:rsidRPr="00200988">
        <w:rPr>
          <w:lang w:val="es-MX"/>
        </w:rPr>
        <w:t>El comportamiento</w:t>
      </w:r>
      <w:r w:rsidRPr="00200988">
        <w:t xml:space="preserve"> mensual del IAT de</w:t>
      </w:r>
      <w:r w:rsidR="00FD4EA5">
        <w:t xml:space="preserve"> </w:t>
      </w:r>
      <w:r w:rsidR="00546288">
        <w:t>S</w:t>
      </w:r>
      <w:r w:rsidRPr="00200988">
        <w:t xml:space="preserve">ervicios </w:t>
      </w:r>
      <w:r w:rsidR="00C469E9">
        <w:t>p</w:t>
      </w:r>
      <w:r w:rsidRPr="00200988">
        <w:t xml:space="preserve">rivados no </w:t>
      </w:r>
      <w:r w:rsidR="00C469E9">
        <w:t>f</w:t>
      </w:r>
      <w:r w:rsidRPr="00200988">
        <w:t>in</w:t>
      </w:r>
      <w:r w:rsidR="00B63302" w:rsidRPr="00200988">
        <w:t>a</w:t>
      </w:r>
      <w:r w:rsidR="00447CFA">
        <w:t>ncier</w:t>
      </w:r>
      <w:r w:rsidR="00E779EB">
        <w:t>os fue resultado de caídas</w:t>
      </w:r>
      <w:r w:rsidR="006B4178">
        <w:t xml:space="preserve"> </w:t>
      </w:r>
      <w:r w:rsidR="00DB5C37">
        <w:t xml:space="preserve">en </w:t>
      </w:r>
      <w:r w:rsidR="00E779EB">
        <w:t>tres</w:t>
      </w:r>
      <w:r w:rsidR="00F30809">
        <w:t xml:space="preserve"> de sus </w:t>
      </w:r>
      <w:r w:rsidR="00B63302" w:rsidRPr="00200988">
        <w:t>componentes</w:t>
      </w:r>
      <w:r w:rsidR="00F30809">
        <w:t xml:space="preserve"> y de</w:t>
      </w:r>
      <w:r w:rsidR="0035467D">
        <w:t>l</w:t>
      </w:r>
      <w:r w:rsidR="00E779EB">
        <w:t xml:space="preserve"> ascenso</w:t>
      </w:r>
      <w:r w:rsidR="00420186">
        <w:t xml:space="preserve"> en el</w:t>
      </w:r>
      <w:r w:rsidR="00263D7B">
        <w:t xml:space="preserve"> </w:t>
      </w:r>
      <w:r w:rsidR="00E779EB">
        <w:t>restante</w:t>
      </w:r>
      <w:r w:rsidR="00C73DA1">
        <w:t>.</w:t>
      </w:r>
    </w:p>
    <w:p w14:paraId="6B80E948" w14:textId="4D65CB21" w:rsidR="00372D9A" w:rsidRPr="00200988" w:rsidRDefault="00372D9A" w:rsidP="00435774">
      <w:pPr>
        <w:tabs>
          <w:tab w:val="center" w:pos="4703"/>
          <w:tab w:val="left" w:pos="7035"/>
        </w:tabs>
        <w:spacing w:before="360"/>
        <w:jc w:val="center"/>
        <w:rPr>
          <w:sz w:val="20"/>
        </w:rPr>
      </w:pPr>
      <w:r w:rsidRPr="00200988">
        <w:rPr>
          <w:sz w:val="20"/>
        </w:rPr>
        <w:t xml:space="preserve">Cuadro </w:t>
      </w:r>
      <w:r w:rsidR="00B939C9" w:rsidRPr="00200988">
        <w:rPr>
          <w:sz w:val="20"/>
        </w:rPr>
        <w:t>4</w:t>
      </w:r>
    </w:p>
    <w:p w14:paraId="4B82634B" w14:textId="6E5D81AA"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9C2B95">
        <w:rPr>
          <w:b/>
          <w:smallCaps/>
          <w:sz w:val="22"/>
          <w:lang w:val="es-MX"/>
        </w:rPr>
        <w:t>S</w:t>
      </w:r>
      <w:r w:rsidR="00B939C9" w:rsidRPr="00200988">
        <w:rPr>
          <w:b/>
          <w:smallCaps/>
          <w:sz w:val="22"/>
          <w:lang w:val="es-MX"/>
        </w:rPr>
        <w:t>ervicios privados no financieros</w:t>
      </w:r>
    </w:p>
    <w:p w14:paraId="64282310"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529"/>
        <w:gridCol w:w="1017"/>
        <w:gridCol w:w="1069"/>
        <w:gridCol w:w="1069"/>
        <w:gridCol w:w="571"/>
        <w:gridCol w:w="1280"/>
      </w:tblGrid>
      <w:tr w:rsidR="00372D9A" w:rsidRPr="00294891" w14:paraId="47DCBF1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2D60F73"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191BAB89" w14:textId="0D974D43" w:rsidR="00372D9A" w:rsidRPr="00294891" w:rsidRDefault="009E52F9" w:rsidP="009E52F9">
            <w:pPr>
              <w:ind w:left="-108" w:right="-82"/>
              <w:jc w:val="center"/>
              <w:rPr>
                <w:spacing w:val="-4"/>
                <w:sz w:val="18"/>
                <w:szCs w:val="18"/>
              </w:rPr>
            </w:pPr>
            <w:r>
              <w:rPr>
                <w:spacing w:val="-4"/>
                <w:sz w:val="18"/>
                <w:szCs w:val="18"/>
              </w:rPr>
              <w:t>Enero</w:t>
            </w:r>
            <w:r w:rsidR="00372D9A" w:rsidRPr="00294891">
              <w:rPr>
                <w:spacing w:val="-4"/>
                <w:sz w:val="18"/>
                <w:szCs w:val="18"/>
              </w:rPr>
              <w:br/>
              <w:t>de 202</w:t>
            </w:r>
            <w:r>
              <w:rPr>
                <w:spacing w:val="-4"/>
                <w:sz w:val="18"/>
                <w:szCs w:val="18"/>
              </w:rPr>
              <w:t>3</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5906AE1"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6117DA"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2EBB455E"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A9AC3D7"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E58190D"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4C5CAA2"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2FB8A8F" w14:textId="2474D4DC"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w:t>
            </w:r>
            <w:r w:rsidR="009E52F9">
              <w:rPr>
                <w:spacing w:val="-4"/>
                <w:sz w:val="18"/>
                <w:szCs w:val="18"/>
              </w:rPr>
              <w:t>2</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6FF6465" w14:textId="77777777" w:rsidR="00372D9A" w:rsidRPr="00294891" w:rsidRDefault="00372D9A" w:rsidP="00372D9A">
            <w:pPr>
              <w:tabs>
                <w:tab w:val="center" w:pos="3348"/>
              </w:tabs>
              <w:ind w:left="-84" w:right="-99"/>
              <w:jc w:val="center"/>
              <w:rPr>
                <w:sz w:val="18"/>
                <w:szCs w:val="18"/>
              </w:rPr>
            </w:pPr>
          </w:p>
        </w:tc>
      </w:tr>
      <w:tr w:rsidR="00971FD5" w:rsidRPr="00294891" w14:paraId="3594EECD"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6160F659" w14:textId="1C40624A" w:rsidR="00971FD5" w:rsidRPr="00294891" w:rsidRDefault="00971FD5" w:rsidP="00971FD5">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r w:rsidRPr="00294891">
              <w:rPr>
                <w:b/>
                <w:sz w:val="18"/>
                <w:szCs w:val="18"/>
                <w:lang w:val="es-MX"/>
              </w:rPr>
              <w:t xml:space="preserve">Servicios </w:t>
            </w:r>
            <w:r>
              <w:rPr>
                <w:b/>
                <w:sz w:val="18"/>
                <w:szCs w:val="18"/>
                <w:lang w:val="es-MX"/>
              </w:rPr>
              <w:t>p</w:t>
            </w:r>
            <w:r w:rsidRPr="00294891">
              <w:rPr>
                <w:b/>
                <w:sz w:val="18"/>
                <w:szCs w:val="18"/>
                <w:lang w:val="es-MX"/>
              </w:rPr>
              <w:t xml:space="preserve">rivados no </w:t>
            </w:r>
            <w:r>
              <w:rPr>
                <w:b/>
                <w:sz w:val="18"/>
                <w:szCs w:val="18"/>
                <w:lang w:val="es-MX"/>
              </w:rPr>
              <w:t>f</w:t>
            </w:r>
            <w:r w:rsidRPr="00294891">
              <w:rPr>
                <w:b/>
                <w:sz w:val="18"/>
                <w:szCs w:val="18"/>
                <w:lang w:val="es-MX"/>
              </w:rPr>
              <w:t>inancieros</w:t>
            </w:r>
          </w:p>
        </w:tc>
        <w:tc>
          <w:tcPr>
            <w:tcW w:w="992" w:type="dxa"/>
            <w:tcBorders>
              <w:top w:val="nil"/>
              <w:left w:val="single" w:sz="4" w:space="0" w:color="404040"/>
              <w:bottom w:val="nil"/>
              <w:right w:val="single" w:sz="4" w:space="0" w:color="404040"/>
            </w:tcBorders>
            <w:shd w:val="clear" w:color="auto" w:fill="auto"/>
            <w:vAlign w:val="center"/>
          </w:tcPr>
          <w:p w14:paraId="5FD78DF2" w14:textId="17B9BFF4" w:rsidR="00971FD5" w:rsidRPr="00971FD5" w:rsidRDefault="00971FD5" w:rsidP="00971FD5">
            <w:pPr>
              <w:tabs>
                <w:tab w:val="decimal" w:pos="381"/>
              </w:tabs>
              <w:jc w:val="left"/>
              <w:rPr>
                <w:b/>
                <w:sz w:val="18"/>
                <w:szCs w:val="18"/>
              </w:rPr>
            </w:pPr>
            <w:r w:rsidRPr="00971FD5">
              <w:rPr>
                <w:b/>
                <w:bCs/>
                <w:sz w:val="18"/>
                <w:szCs w:val="18"/>
              </w:rPr>
              <w:t xml:space="preserve">48.2 </w:t>
            </w:r>
          </w:p>
        </w:tc>
        <w:tc>
          <w:tcPr>
            <w:tcW w:w="1043" w:type="dxa"/>
            <w:tcBorders>
              <w:top w:val="single" w:sz="4" w:space="0" w:color="404040"/>
              <w:left w:val="single" w:sz="4" w:space="0" w:color="404040"/>
              <w:bottom w:val="nil"/>
              <w:right w:val="nil"/>
            </w:tcBorders>
            <w:shd w:val="clear" w:color="auto" w:fill="auto"/>
            <w:vAlign w:val="center"/>
          </w:tcPr>
          <w:p w14:paraId="6B6D600B" w14:textId="0F4802D1" w:rsidR="00971FD5" w:rsidRPr="00971FD5" w:rsidRDefault="00971FD5" w:rsidP="00971FD5">
            <w:pPr>
              <w:tabs>
                <w:tab w:val="decimal" w:pos="409"/>
              </w:tabs>
              <w:jc w:val="left"/>
              <w:rPr>
                <w:b/>
                <w:sz w:val="18"/>
                <w:szCs w:val="18"/>
              </w:rPr>
            </w:pPr>
            <w:r w:rsidRPr="00971FD5">
              <w:rPr>
                <w:b/>
                <w:bCs/>
                <w:sz w:val="18"/>
                <w:szCs w:val="18"/>
              </w:rPr>
              <w:t>-4.3</w:t>
            </w:r>
          </w:p>
        </w:tc>
        <w:tc>
          <w:tcPr>
            <w:tcW w:w="1043" w:type="dxa"/>
            <w:tcBorders>
              <w:top w:val="single" w:sz="4" w:space="0" w:color="404040"/>
              <w:left w:val="nil"/>
              <w:bottom w:val="nil"/>
              <w:right w:val="single" w:sz="4" w:space="0" w:color="404040"/>
            </w:tcBorders>
            <w:shd w:val="clear" w:color="auto" w:fill="auto"/>
            <w:vAlign w:val="center"/>
          </w:tcPr>
          <w:p w14:paraId="5E0A6BBF" w14:textId="29E163D5" w:rsidR="00971FD5" w:rsidRPr="00971FD5" w:rsidRDefault="00971FD5" w:rsidP="00971FD5">
            <w:pPr>
              <w:tabs>
                <w:tab w:val="decimal" w:pos="357"/>
              </w:tabs>
              <w:jc w:val="left"/>
              <w:rPr>
                <w:b/>
                <w:bCs/>
                <w:sz w:val="18"/>
                <w:szCs w:val="18"/>
              </w:rPr>
            </w:pPr>
            <w:r w:rsidRPr="00971FD5">
              <w:rPr>
                <w:b/>
                <w:bCs/>
                <w:sz w:val="18"/>
                <w:szCs w:val="18"/>
              </w:rPr>
              <w:t>-1.3</w:t>
            </w:r>
          </w:p>
        </w:tc>
        <w:tc>
          <w:tcPr>
            <w:tcW w:w="557" w:type="dxa"/>
            <w:tcBorders>
              <w:top w:val="nil"/>
              <w:left w:val="single" w:sz="4" w:space="0" w:color="404040"/>
              <w:bottom w:val="nil"/>
              <w:right w:val="nil"/>
            </w:tcBorders>
            <w:shd w:val="clear" w:color="auto" w:fill="auto"/>
            <w:vAlign w:val="center"/>
          </w:tcPr>
          <w:p w14:paraId="50D47200" w14:textId="43571104" w:rsidR="00971FD5" w:rsidRPr="00971FD5" w:rsidRDefault="00971FD5" w:rsidP="00971FD5">
            <w:pPr>
              <w:jc w:val="right"/>
              <w:rPr>
                <w:b/>
                <w:sz w:val="18"/>
                <w:szCs w:val="18"/>
              </w:rPr>
            </w:pPr>
            <w:r w:rsidRPr="00971FD5">
              <w:rPr>
                <w:b/>
                <w:bCs/>
                <w:sz w:val="18"/>
                <w:szCs w:val="18"/>
              </w:rPr>
              <w:t>1</w:t>
            </w:r>
          </w:p>
        </w:tc>
        <w:tc>
          <w:tcPr>
            <w:tcW w:w="1249" w:type="dxa"/>
            <w:tcBorders>
              <w:top w:val="nil"/>
              <w:left w:val="nil"/>
              <w:bottom w:val="nil"/>
              <w:right w:val="single" w:sz="4" w:space="0" w:color="404040"/>
            </w:tcBorders>
            <w:shd w:val="clear" w:color="auto" w:fill="auto"/>
            <w:vAlign w:val="center"/>
          </w:tcPr>
          <w:p w14:paraId="01264E42" w14:textId="7054AB07" w:rsidR="00971FD5" w:rsidRPr="00294891" w:rsidRDefault="00EF7DF9" w:rsidP="00971FD5">
            <w:pPr>
              <w:tabs>
                <w:tab w:val="decimal" w:pos="810"/>
              </w:tabs>
              <w:jc w:val="left"/>
              <w:rPr>
                <w:b/>
                <w:sz w:val="18"/>
                <w:szCs w:val="18"/>
              </w:rPr>
            </w:pPr>
            <w:r>
              <w:rPr>
                <w:b/>
                <w:bCs/>
                <w:color w:val="000000"/>
                <w:sz w:val="18"/>
                <w:szCs w:val="18"/>
              </w:rPr>
              <w:t>p</w:t>
            </w:r>
            <w:r w:rsidR="00971FD5" w:rsidRPr="00294891">
              <w:rPr>
                <w:b/>
                <w:bCs/>
                <w:color w:val="000000"/>
                <w:sz w:val="18"/>
                <w:szCs w:val="18"/>
              </w:rPr>
              <w:t>or</w:t>
            </w:r>
            <w:r w:rsidR="00971FD5">
              <w:rPr>
                <w:b/>
                <w:bCs/>
                <w:color w:val="000000"/>
                <w:sz w:val="18"/>
                <w:szCs w:val="18"/>
              </w:rPr>
              <w:t xml:space="preserve"> debajo</w:t>
            </w:r>
          </w:p>
        </w:tc>
      </w:tr>
      <w:tr w:rsidR="00971FD5" w:rsidRPr="00294891" w14:paraId="0EA9791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D9A0A7D" w14:textId="77777777" w:rsidR="00971FD5" w:rsidRPr="00294891" w:rsidRDefault="00971FD5" w:rsidP="008628D1">
            <w:pPr>
              <w:pStyle w:val="Prrafodelista"/>
              <w:widowControl w:val="0"/>
              <w:numPr>
                <w:ilvl w:val="0"/>
                <w:numId w:val="25"/>
              </w:numPr>
              <w:spacing w:before="20" w:after="20"/>
              <w:ind w:left="306" w:hanging="284"/>
              <w:contextualSpacing/>
              <w:jc w:val="left"/>
              <w:rPr>
                <w:sz w:val="18"/>
                <w:szCs w:val="18"/>
                <w:lang w:val="es-MX"/>
              </w:rPr>
            </w:pPr>
            <w:r w:rsidRPr="00294891">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09911E74" w14:textId="468B512C" w:rsidR="00971FD5" w:rsidRPr="00971FD5" w:rsidRDefault="00971FD5" w:rsidP="00971FD5">
            <w:pPr>
              <w:tabs>
                <w:tab w:val="decimal" w:pos="381"/>
              </w:tabs>
              <w:jc w:val="left"/>
              <w:rPr>
                <w:sz w:val="18"/>
                <w:szCs w:val="18"/>
              </w:rPr>
            </w:pPr>
            <w:r w:rsidRPr="00971FD5">
              <w:rPr>
                <w:sz w:val="18"/>
                <w:szCs w:val="18"/>
              </w:rPr>
              <w:t xml:space="preserve">49.1 </w:t>
            </w:r>
          </w:p>
        </w:tc>
        <w:tc>
          <w:tcPr>
            <w:tcW w:w="1043" w:type="dxa"/>
            <w:tcBorders>
              <w:top w:val="nil"/>
              <w:left w:val="single" w:sz="4" w:space="0" w:color="404040"/>
              <w:bottom w:val="nil"/>
              <w:right w:val="nil"/>
            </w:tcBorders>
            <w:shd w:val="clear" w:color="auto" w:fill="auto"/>
            <w:vAlign w:val="center"/>
          </w:tcPr>
          <w:p w14:paraId="1F49EEBB" w14:textId="02D003B5" w:rsidR="00971FD5" w:rsidRPr="00971FD5" w:rsidRDefault="00971FD5" w:rsidP="00971FD5">
            <w:pPr>
              <w:tabs>
                <w:tab w:val="decimal" w:pos="409"/>
              </w:tabs>
              <w:jc w:val="left"/>
              <w:rPr>
                <w:sz w:val="18"/>
                <w:szCs w:val="18"/>
              </w:rPr>
            </w:pPr>
            <w:r w:rsidRPr="00971FD5">
              <w:rPr>
                <w:sz w:val="18"/>
                <w:szCs w:val="18"/>
              </w:rPr>
              <w:t>-5.7</w:t>
            </w:r>
          </w:p>
        </w:tc>
        <w:tc>
          <w:tcPr>
            <w:tcW w:w="1043" w:type="dxa"/>
            <w:tcBorders>
              <w:top w:val="nil"/>
              <w:left w:val="nil"/>
              <w:bottom w:val="nil"/>
              <w:right w:val="single" w:sz="4" w:space="0" w:color="404040"/>
            </w:tcBorders>
            <w:shd w:val="clear" w:color="auto" w:fill="auto"/>
            <w:vAlign w:val="center"/>
          </w:tcPr>
          <w:p w14:paraId="72584450" w14:textId="63A58AEC" w:rsidR="00971FD5" w:rsidRPr="00971FD5" w:rsidRDefault="00971FD5" w:rsidP="00971FD5">
            <w:pPr>
              <w:tabs>
                <w:tab w:val="decimal" w:pos="357"/>
              </w:tabs>
              <w:jc w:val="left"/>
              <w:rPr>
                <w:bCs/>
                <w:sz w:val="18"/>
                <w:szCs w:val="18"/>
              </w:rPr>
            </w:pPr>
            <w:r w:rsidRPr="00971FD5">
              <w:rPr>
                <w:sz w:val="18"/>
                <w:szCs w:val="18"/>
              </w:rPr>
              <w:t>-1.6</w:t>
            </w:r>
          </w:p>
        </w:tc>
        <w:tc>
          <w:tcPr>
            <w:tcW w:w="557" w:type="dxa"/>
            <w:tcBorders>
              <w:top w:val="nil"/>
              <w:left w:val="single" w:sz="4" w:space="0" w:color="404040"/>
              <w:bottom w:val="nil"/>
              <w:right w:val="nil"/>
            </w:tcBorders>
            <w:shd w:val="clear" w:color="auto" w:fill="auto"/>
            <w:vAlign w:val="center"/>
          </w:tcPr>
          <w:p w14:paraId="3F419CBC" w14:textId="0DC013B4" w:rsidR="00971FD5" w:rsidRPr="00971FD5" w:rsidRDefault="00971FD5" w:rsidP="00971FD5">
            <w:pPr>
              <w:jc w:val="right"/>
              <w:rPr>
                <w:sz w:val="18"/>
                <w:szCs w:val="18"/>
              </w:rPr>
            </w:pPr>
            <w:r w:rsidRPr="00971FD5">
              <w:rPr>
                <w:sz w:val="18"/>
                <w:szCs w:val="18"/>
              </w:rPr>
              <w:t>1</w:t>
            </w:r>
          </w:p>
        </w:tc>
        <w:tc>
          <w:tcPr>
            <w:tcW w:w="1249" w:type="dxa"/>
            <w:tcBorders>
              <w:top w:val="nil"/>
              <w:left w:val="nil"/>
              <w:bottom w:val="nil"/>
              <w:right w:val="single" w:sz="4" w:space="0" w:color="404040"/>
            </w:tcBorders>
            <w:shd w:val="clear" w:color="auto" w:fill="auto"/>
            <w:vAlign w:val="center"/>
          </w:tcPr>
          <w:p w14:paraId="5326B2E2" w14:textId="15BBC8C8" w:rsidR="00971FD5" w:rsidRPr="002B7915" w:rsidRDefault="00EF7DF9" w:rsidP="00971FD5">
            <w:pPr>
              <w:tabs>
                <w:tab w:val="decimal" w:pos="810"/>
              </w:tabs>
              <w:jc w:val="left"/>
              <w:rPr>
                <w:sz w:val="18"/>
                <w:szCs w:val="18"/>
              </w:rPr>
            </w:pPr>
            <w:r>
              <w:rPr>
                <w:color w:val="000000"/>
                <w:sz w:val="18"/>
                <w:szCs w:val="18"/>
              </w:rPr>
              <w:t>p</w:t>
            </w:r>
            <w:r w:rsidR="00971FD5">
              <w:rPr>
                <w:color w:val="000000"/>
                <w:sz w:val="18"/>
                <w:szCs w:val="18"/>
              </w:rPr>
              <w:t>or debajo</w:t>
            </w:r>
          </w:p>
        </w:tc>
      </w:tr>
      <w:tr w:rsidR="00971FD5" w:rsidRPr="00294891" w14:paraId="7E7A4E90"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16976444" w14:textId="77777777" w:rsidR="00971FD5" w:rsidRPr="00294891" w:rsidRDefault="00971FD5" w:rsidP="008628D1">
            <w:pPr>
              <w:pStyle w:val="Prrafodelista"/>
              <w:widowControl w:val="0"/>
              <w:numPr>
                <w:ilvl w:val="0"/>
                <w:numId w:val="25"/>
              </w:numPr>
              <w:spacing w:before="20" w:after="20"/>
              <w:ind w:left="313" w:hanging="284"/>
              <w:contextualSpacing/>
              <w:jc w:val="left"/>
              <w:rPr>
                <w:sz w:val="18"/>
                <w:szCs w:val="18"/>
                <w:lang w:val="es-MX"/>
              </w:rPr>
            </w:pPr>
            <w:r w:rsidRPr="00294891">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48EE3050" w14:textId="227CC2C1" w:rsidR="00971FD5" w:rsidRPr="00971FD5" w:rsidRDefault="00971FD5" w:rsidP="00971FD5">
            <w:pPr>
              <w:tabs>
                <w:tab w:val="decimal" w:pos="381"/>
              </w:tabs>
              <w:jc w:val="left"/>
              <w:rPr>
                <w:sz w:val="18"/>
                <w:szCs w:val="18"/>
              </w:rPr>
            </w:pPr>
            <w:r w:rsidRPr="00971FD5">
              <w:rPr>
                <w:sz w:val="18"/>
                <w:szCs w:val="18"/>
              </w:rPr>
              <w:t xml:space="preserve">49.9 </w:t>
            </w:r>
          </w:p>
        </w:tc>
        <w:tc>
          <w:tcPr>
            <w:tcW w:w="1043" w:type="dxa"/>
            <w:tcBorders>
              <w:top w:val="nil"/>
              <w:left w:val="single" w:sz="4" w:space="0" w:color="404040"/>
              <w:bottom w:val="nil"/>
              <w:right w:val="nil"/>
            </w:tcBorders>
            <w:shd w:val="clear" w:color="auto" w:fill="auto"/>
            <w:vAlign w:val="center"/>
          </w:tcPr>
          <w:p w14:paraId="74C03BF6" w14:textId="16EA666C" w:rsidR="00971FD5" w:rsidRPr="00971FD5" w:rsidRDefault="00971FD5" w:rsidP="00971FD5">
            <w:pPr>
              <w:tabs>
                <w:tab w:val="decimal" w:pos="409"/>
              </w:tabs>
              <w:jc w:val="left"/>
              <w:rPr>
                <w:sz w:val="18"/>
                <w:szCs w:val="18"/>
              </w:rPr>
            </w:pPr>
            <w:r w:rsidRPr="00971FD5">
              <w:rPr>
                <w:sz w:val="18"/>
                <w:szCs w:val="18"/>
              </w:rPr>
              <w:t>-3.8</w:t>
            </w:r>
          </w:p>
        </w:tc>
        <w:tc>
          <w:tcPr>
            <w:tcW w:w="1043" w:type="dxa"/>
            <w:tcBorders>
              <w:top w:val="nil"/>
              <w:left w:val="nil"/>
              <w:bottom w:val="nil"/>
              <w:right w:val="single" w:sz="4" w:space="0" w:color="404040"/>
            </w:tcBorders>
            <w:shd w:val="clear" w:color="auto" w:fill="auto"/>
            <w:vAlign w:val="center"/>
          </w:tcPr>
          <w:p w14:paraId="0DC9307A" w14:textId="6658E775" w:rsidR="00971FD5" w:rsidRPr="00971FD5" w:rsidRDefault="00971FD5" w:rsidP="00971FD5">
            <w:pPr>
              <w:tabs>
                <w:tab w:val="decimal" w:pos="357"/>
              </w:tabs>
              <w:jc w:val="left"/>
              <w:rPr>
                <w:bCs/>
                <w:sz w:val="18"/>
                <w:szCs w:val="18"/>
              </w:rPr>
            </w:pPr>
            <w:r w:rsidRPr="00971FD5">
              <w:rPr>
                <w:sz w:val="18"/>
                <w:szCs w:val="18"/>
              </w:rPr>
              <w:t>0.1</w:t>
            </w:r>
          </w:p>
        </w:tc>
        <w:tc>
          <w:tcPr>
            <w:tcW w:w="557" w:type="dxa"/>
            <w:tcBorders>
              <w:top w:val="nil"/>
              <w:left w:val="single" w:sz="4" w:space="0" w:color="404040"/>
              <w:bottom w:val="nil"/>
              <w:right w:val="nil"/>
            </w:tcBorders>
            <w:shd w:val="clear" w:color="auto" w:fill="auto"/>
            <w:vAlign w:val="center"/>
          </w:tcPr>
          <w:p w14:paraId="7A555F34" w14:textId="4FCB71D9" w:rsidR="00971FD5" w:rsidRPr="00971FD5" w:rsidRDefault="00971FD5" w:rsidP="00971FD5">
            <w:pPr>
              <w:jc w:val="right"/>
              <w:rPr>
                <w:sz w:val="18"/>
                <w:szCs w:val="18"/>
              </w:rPr>
            </w:pPr>
            <w:r w:rsidRPr="00971FD5">
              <w:rPr>
                <w:sz w:val="18"/>
                <w:szCs w:val="18"/>
              </w:rPr>
              <w:t>1</w:t>
            </w:r>
          </w:p>
        </w:tc>
        <w:tc>
          <w:tcPr>
            <w:tcW w:w="1249" w:type="dxa"/>
            <w:tcBorders>
              <w:top w:val="nil"/>
              <w:left w:val="nil"/>
              <w:bottom w:val="nil"/>
              <w:right w:val="single" w:sz="4" w:space="0" w:color="404040"/>
            </w:tcBorders>
            <w:shd w:val="clear" w:color="auto" w:fill="auto"/>
            <w:vAlign w:val="center"/>
          </w:tcPr>
          <w:p w14:paraId="38325882" w14:textId="2D771868" w:rsidR="00971FD5" w:rsidRPr="00294891" w:rsidRDefault="00EF7DF9" w:rsidP="00971FD5">
            <w:pPr>
              <w:tabs>
                <w:tab w:val="decimal" w:pos="810"/>
              </w:tabs>
              <w:jc w:val="left"/>
              <w:rPr>
                <w:sz w:val="18"/>
                <w:szCs w:val="18"/>
              </w:rPr>
            </w:pPr>
            <w:r>
              <w:rPr>
                <w:color w:val="000000"/>
                <w:sz w:val="18"/>
                <w:szCs w:val="18"/>
              </w:rPr>
              <w:t>p</w:t>
            </w:r>
            <w:r w:rsidR="00971FD5" w:rsidRPr="00294891">
              <w:rPr>
                <w:color w:val="000000"/>
                <w:sz w:val="18"/>
                <w:szCs w:val="18"/>
              </w:rPr>
              <w:t>or</w:t>
            </w:r>
            <w:r w:rsidR="00971FD5">
              <w:rPr>
                <w:color w:val="000000"/>
                <w:sz w:val="18"/>
                <w:szCs w:val="18"/>
              </w:rPr>
              <w:t xml:space="preserve"> debajo</w:t>
            </w:r>
          </w:p>
        </w:tc>
      </w:tr>
      <w:tr w:rsidR="00971FD5" w:rsidRPr="00294891" w14:paraId="158D30F8"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3524D443" w14:textId="77777777" w:rsidR="00971FD5" w:rsidRPr="00294891" w:rsidRDefault="00971FD5" w:rsidP="008628D1">
            <w:pPr>
              <w:pStyle w:val="Prrafodelista"/>
              <w:widowControl w:val="0"/>
              <w:numPr>
                <w:ilvl w:val="0"/>
                <w:numId w:val="25"/>
              </w:numPr>
              <w:spacing w:before="20" w:after="20"/>
              <w:ind w:left="313" w:hanging="284"/>
              <w:contextualSpacing/>
              <w:jc w:val="left"/>
              <w:rPr>
                <w:sz w:val="18"/>
                <w:szCs w:val="18"/>
                <w:lang w:val="es-MX"/>
              </w:rPr>
            </w:pPr>
            <w:r w:rsidRPr="00294891">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60EFE22F" w14:textId="5CF28BD9" w:rsidR="00971FD5" w:rsidRPr="00971FD5" w:rsidRDefault="00971FD5" w:rsidP="00971FD5">
            <w:pPr>
              <w:tabs>
                <w:tab w:val="decimal" w:pos="381"/>
              </w:tabs>
              <w:jc w:val="left"/>
              <w:rPr>
                <w:sz w:val="18"/>
                <w:szCs w:val="18"/>
              </w:rPr>
            </w:pPr>
            <w:r w:rsidRPr="00971FD5">
              <w:rPr>
                <w:sz w:val="18"/>
                <w:szCs w:val="18"/>
              </w:rPr>
              <w:t xml:space="preserve">44.7 </w:t>
            </w:r>
          </w:p>
        </w:tc>
        <w:tc>
          <w:tcPr>
            <w:tcW w:w="1043" w:type="dxa"/>
            <w:tcBorders>
              <w:top w:val="nil"/>
              <w:left w:val="single" w:sz="4" w:space="0" w:color="404040"/>
              <w:bottom w:val="nil"/>
              <w:right w:val="nil"/>
            </w:tcBorders>
            <w:shd w:val="clear" w:color="auto" w:fill="auto"/>
            <w:vAlign w:val="center"/>
          </w:tcPr>
          <w:p w14:paraId="6DC508BA" w14:textId="77A69584" w:rsidR="00971FD5" w:rsidRPr="00971FD5" w:rsidRDefault="00971FD5" w:rsidP="00971FD5">
            <w:pPr>
              <w:tabs>
                <w:tab w:val="decimal" w:pos="409"/>
              </w:tabs>
              <w:jc w:val="left"/>
              <w:rPr>
                <w:sz w:val="18"/>
                <w:szCs w:val="18"/>
              </w:rPr>
            </w:pPr>
            <w:r w:rsidRPr="00971FD5">
              <w:rPr>
                <w:sz w:val="18"/>
                <w:szCs w:val="18"/>
              </w:rPr>
              <w:t>-8.3</w:t>
            </w:r>
          </w:p>
        </w:tc>
        <w:tc>
          <w:tcPr>
            <w:tcW w:w="1043" w:type="dxa"/>
            <w:tcBorders>
              <w:top w:val="nil"/>
              <w:left w:val="nil"/>
              <w:bottom w:val="nil"/>
              <w:right w:val="single" w:sz="4" w:space="0" w:color="404040"/>
            </w:tcBorders>
            <w:shd w:val="clear" w:color="auto" w:fill="auto"/>
            <w:vAlign w:val="center"/>
          </w:tcPr>
          <w:p w14:paraId="3AECB7BD" w14:textId="688F2248" w:rsidR="00971FD5" w:rsidRPr="00971FD5" w:rsidRDefault="00971FD5" w:rsidP="00971FD5">
            <w:pPr>
              <w:tabs>
                <w:tab w:val="decimal" w:pos="357"/>
              </w:tabs>
              <w:jc w:val="left"/>
              <w:rPr>
                <w:bCs/>
                <w:sz w:val="18"/>
                <w:szCs w:val="18"/>
              </w:rPr>
            </w:pPr>
            <w:r w:rsidRPr="00971FD5">
              <w:rPr>
                <w:sz w:val="18"/>
                <w:szCs w:val="18"/>
              </w:rPr>
              <w:t>-5.4</w:t>
            </w:r>
          </w:p>
        </w:tc>
        <w:tc>
          <w:tcPr>
            <w:tcW w:w="557" w:type="dxa"/>
            <w:tcBorders>
              <w:top w:val="nil"/>
              <w:left w:val="single" w:sz="4" w:space="0" w:color="404040"/>
              <w:bottom w:val="nil"/>
              <w:right w:val="nil"/>
            </w:tcBorders>
            <w:shd w:val="clear" w:color="auto" w:fill="auto"/>
            <w:vAlign w:val="center"/>
          </w:tcPr>
          <w:p w14:paraId="2651A45B" w14:textId="1AA46CB6" w:rsidR="00971FD5" w:rsidRPr="00971FD5" w:rsidRDefault="00971FD5" w:rsidP="00971FD5">
            <w:pPr>
              <w:jc w:val="right"/>
              <w:rPr>
                <w:sz w:val="18"/>
                <w:szCs w:val="18"/>
              </w:rPr>
            </w:pPr>
            <w:r w:rsidRPr="00971FD5">
              <w:rPr>
                <w:sz w:val="18"/>
                <w:szCs w:val="18"/>
              </w:rPr>
              <w:t>1</w:t>
            </w:r>
          </w:p>
        </w:tc>
        <w:tc>
          <w:tcPr>
            <w:tcW w:w="1249" w:type="dxa"/>
            <w:tcBorders>
              <w:top w:val="nil"/>
              <w:left w:val="nil"/>
              <w:bottom w:val="nil"/>
              <w:right w:val="single" w:sz="4" w:space="0" w:color="404040"/>
            </w:tcBorders>
            <w:shd w:val="clear" w:color="auto" w:fill="auto"/>
            <w:vAlign w:val="center"/>
          </w:tcPr>
          <w:p w14:paraId="251AF09B" w14:textId="0A35D339" w:rsidR="00971FD5" w:rsidRPr="00294891" w:rsidRDefault="00EF7DF9" w:rsidP="00971FD5">
            <w:pPr>
              <w:tabs>
                <w:tab w:val="decimal" w:pos="810"/>
              </w:tabs>
              <w:jc w:val="left"/>
              <w:rPr>
                <w:sz w:val="18"/>
                <w:szCs w:val="18"/>
              </w:rPr>
            </w:pPr>
            <w:r>
              <w:rPr>
                <w:color w:val="000000"/>
                <w:sz w:val="18"/>
                <w:szCs w:val="18"/>
              </w:rPr>
              <w:t>p</w:t>
            </w:r>
            <w:r w:rsidR="00971FD5">
              <w:rPr>
                <w:color w:val="000000"/>
                <w:sz w:val="18"/>
                <w:szCs w:val="18"/>
              </w:rPr>
              <w:t>or debajo</w:t>
            </w:r>
          </w:p>
        </w:tc>
      </w:tr>
      <w:tr w:rsidR="00971FD5" w:rsidRPr="00294891" w14:paraId="4FE19235" w14:textId="77777777" w:rsidTr="000A567E">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649C5895" w14:textId="77777777" w:rsidR="00971FD5" w:rsidRPr="00294891" w:rsidRDefault="00971FD5" w:rsidP="008628D1">
            <w:pPr>
              <w:pStyle w:val="Prrafodelista"/>
              <w:widowControl w:val="0"/>
              <w:numPr>
                <w:ilvl w:val="0"/>
                <w:numId w:val="25"/>
              </w:numPr>
              <w:spacing w:before="20" w:after="20"/>
              <w:ind w:left="313" w:hanging="284"/>
              <w:contextualSpacing/>
              <w:jc w:val="left"/>
              <w:rPr>
                <w:sz w:val="18"/>
                <w:szCs w:val="18"/>
                <w:lang w:val="es-MX"/>
              </w:rPr>
            </w:pPr>
            <w:r w:rsidRPr="00294891">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5CFF38B3" w14:textId="4DD512F7" w:rsidR="00971FD5" w:rsidRPr="00971FD5" w:rsidRDefault="00971FD5" w:rsidP="00971FD5">
            <w:pPr>
              <w:tabs>
                <w:tab w:val="decimal" w:pos="381"/>
              </w:tabs>
              <w:jc w:val="left"/>
              <w:rPr>
                <w:sz w:val="18"/>
                <w:szCs w:val="18"/>
              </w:rPr>
            </w:pPr>
            <w:r w:rsidRPr="00971FD5">
              <w:rPr>
                <w:sz w:val="18"/>
                <w:szCs w:val="18"/>
              </w:rPr>
              <w:t xml:space="preserve">50.8 </w:t>
            </w:r>
          </w:p>
        </w:tc>
        <w:tc>
          <w:tcPr>
            <w:tcW w:w="1043" w:type="dxa"/>
            <w:tcBorders>
              <w:top w:val="nil"/>
              <w:left w:val="single" w:sz="4" w:space="0" w:color="404040"/>
              <w:bottom w:val="single" w:sz="4" w:space="0" w:color="404040"/>
              <w:right w:val="nil"/>
            </w:tcBorders>
            <w:shd w:val="clear" w:color="auto" w:fill="auto"/>
            <w:vAlign w:val="center"/>
          </w:tcPr>
          <w:p w14:paraId="462F0C6F" w14:textId="39A6549A" w:rsidR="00971FD5" w:rsidRPr="00971FD5" w:rsidRDefault="00971FD5" w:rsidP="00971FD5">
            <w:pPr>
              <w:tabs>
                <w:tab w:val="decimal" w:pos="409"/>
              </w:tabs>
              <w:jc w:val="left"/>
              <w:rPr>
                <w:sz w:val="18"/>
                <w:szCs w:val="18"/>
              </w:rPr>
            </w:pPr>
            <w:r w:rsidRPr="00971FD5">
              <w:rPr>
                <w:sz w:val="18"/>
                <w:szCs w:val="18"/>
              </w:rPr>
              <w:t>1.1</w:t>
            </w:r>
          </w:p>
        </w:tc>
        <w:tc>
          <w:tcPr>
            <w:tcW w:w="1043" w:type="dxa"/>
            <w:tcBorders>
              <w:top w:val="nil"/>
              <w:left w:val="nil"/>
              <w:bottom w:val="single" w:sz="4" w:space="0" w:color="404040"/>
              <w:right w:val="single" w:sz="4" w:space="0" w:color="404040"/>
            </w:tcBorders>
            <w:shd w:val="clear" w:color="auto" w:fill="auto"/>
            <w:vAlign w:val="center"/>
          </w:tcPr>
          <w:p w14:paraId="15FCDD43" w14:textId="0804F492" w:rsidR="00971FD5" w:rsidRPr="00971FD5" w:rsidRDefault="00971FD5" w:rsidP="00971FD5">
            <w:pPr>
              <w:tabs>
                <w:tab w:val="decimal" w:pos="357"/>
              </w:tabs>
              <w:jc w:val="left"/>
              <w:rPr>
                <w:bCs/>
                <w:sz w:val="18"/>
                <w:szCs w:val="18"/>
              </w:rPr>
            </w:pPr>
            <w:r w:rsidRPr="00971FD5">
              <w:rPr>
                <w:sz w:val="18"/>
                <w:szCs w:val="18"/>
              </w:rPr>
              <w:t>1.3</w:t>
            </w:r>
          </w:p>
        </w:tc>
        <w:tc>
          <w:tcPr>
            <w:tcW w:w="557" w:type="dxa"/>
            <w:tcBorders>
              <w:top w:val="nil"/>
              <w:left w:val="single" w:sz="4" w:space="0" w:color="404040"/>
              <w:bottom w:val="single" w:sz="4" w:space="0" w:color="404040"/>
              <w:right w:val="nil"/>
            </w:tcBorders>
            <w:shd w:val="clear" w:color="auto" w:fill="auto"/>
            <w:vAlign w:val="center"/>
          </w:tcPr>
          <w:p w14:paraId="20C10C23" w14:textId="16A4C92A" w:rsidR="00971FD5" w:rsidRPr="00971FD5" w:rsidRDefault="00971FD5" w:rsidP="00971FD5">
            <w:pPr>
              <w:jc w:val="right"/>
              <w:rPr>
                <w:sz w:val="18"/>
                <w:szCs w:val="18"/>
              </w:rPr>
            </w:pPr>
            <w:r w:rsidRPr="00971FD5">
              <w:rPr>
                <w:sz w:val="18"/>
                <w:szCs w:val="18"/>
              </w:rPr>
              <w:t>1</w:t>
            </w:r>
          </w:p>
        </w:tc>
        <w:tc>
          <w:tcPr>
            <w:tcW w:w="1249" w:type="dxa"/>
            <w:tcBorders>
              <w:top w:val="nil"/>
              <w:left w:val="nil"/>
              <w:bottom w:val="single" w:sz="4" w:space="0" w:color="404040"/>
              <w:right w:val="single" w:sz="4" w:space="0" w:color="404040"/>
            </w:tcBorders>
            <w:shd w:val="clear" w:color="auto" w:fill="auto"/>
            <w:vAlign w:val="center"/>
          </w:tcPr>
          <w:p w14:paraId="28FB686B" w14:textId="08CCBDAE" w:rsidR="00971FD5" w:rsidRPr="000A567E" w:rsidRDefault="000A567E" w:rsidP="000A567E">
            <w:pPr>
              <w:tabs>
                <w:tab w:val="decimal" w:pos="810"/>
              </w:tabs>
              <w:jc w:val="left"/>
              <w:rPr>
                <w:color w:val="000000"/>
                <w:sz w:val="18"/>
                <w:szCs w:val="18"/>
              </w:rPr>
            </w:pPr>
            <w:r>
              <w:rPr>
                <w:color w:val="000000"/>
                <w:sz w:val="18"/>
                <w:szCs w:val="18"/>
              </w:rPr>
              <w:t>p</w:t>
            </w:r>
            <w:r w:rsidR="00971FD5">
              <w:rPr>
                <w:color w:val="000000"/>
                <w:sz w:val="18"/>
                <w:szCs w:val="18"/>
              </w:rPr>
              <w:t>or arriba</w:t>
            </w:r>
          </w:p>
        </w:tc>
      </w:tr>
    </w:tbl>
    <w:p w14:paraId="1BB2E415" w14:textId="77777777" w:rsidR="00372D9A" w:rsidRPr="00D337D1" w:rsidRDefault="00372D9A" w:rsidP="004D6300">
      <w:pPr>
        <w:widowControl w:val="0"/>
        <w:spacing w:before="20"/>
        <w:ind w:left="709"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38E4B187" w14:textId="77777777" w:rsidR="00372D9A" w:rsidRPr="00D337D1" w:rsidRDefault="00372D9A" w:rsidP="004D6300">
      <w:pPr>
        <w:widowControl w:val="0"/>
        <w:ind w:left="709"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387B4EDA" w14:textId="77777777" w:rsidR="00372D9A" w:rsidRPr="00D337D1" w:rsidRDefault="00372D9A" w:rsidP="004D6300">
      <w:pPr>
        <w:widowControl w:val="0"/>
        <w:spacing w:before="20"/>
        <w:ind w:left="709" w:right="25" w:hanging="527"/>
        <w:rPr>
          <w:sz w:val="16"/>
          <w:szCs w:val="16"/>
          <w:lang w:val="es-MX"/>
        </w:rPr>
      </w:pPr>
      <w:r w:rsidRPr="00D337D1">
        <w:rPr>
          <w:sz w:val="16"/>
          <w:szCs w:val="16"/>
          <w:lang w:val="es-MX"/>
        </w:rPr>
        <w:t>Fuente:</w:t>
      </w:r>
      <w:r w:rsidR="00294891" w:rsidRPr="00D337D1">
        <w:rPr>
          <w:sz w:val="16"/>
          <w:szCs w:val="16"/>
          <w:lang w:val="es-MX"/>
        </w:rPr>
        <w:t xml:space="preserve"> </w:t>
      </w:r>
      <w:r w:rsidR="00642E03">
        <w:rPr>
          <w:sz w:val="16"/>
          <w:szCs w:val="16"/>
          <w:lang w:val="es-MX"/>
        </w:rPr>
        <w:t>INEGI</w:t>
      </w:r>
    </w:p>
    <w:p w14:paraId="6D8CCD9F" w14:textId="77777777" w:rsidR="00372D9A" w:rsidRPr="00305C0B" w:rsidRDefault="00B939C9" w:rsidP="00372D9A">
      <w:pPr>
        <w:pStyle w:val="Textoindependiente2"/>
        <w:keepNext/>
        <w:keepLines/>
        <w:widowControl w:val="0"/>
        <w:spacing w:before="360"/>
        <w:ind w:right="0"/>
        <w:jc w:val="center"/>
        <w:rPr>
          <w:sz w:val="20"/>
          <w:szCs w:val="20"/>
          <w:lang w:val="es-MX"/>
        </w:rPr>
      </w:pPr>
      <w:r w:rsidRPr="00305C0B">
        <w:rPr>
          <w:sz w:val="20"/>
          <w:szCs w:val="20"/>
          <w:lang w:val="es-MX"/>
        </w:rPr>
        <w:lastRenderedPageBreak/>
        <w:t>Gr</w:t>
      </w:r>
      <w:r w:rsidR="00C61D42" w:rsidRPr="00305C0B">
        <w:rPr>
          <w:sz w:val="20"/>
          <w:szCs w:val="20"/>
          <w:lang w:val="es-MX"/>
        </w:rPr>
        <w:t xml:space="preserve">áfica </w:t>
      </w:r>
      <w:r w:rsidR="0027370D" w:rsidRPr="00305C0B">
        <w:rPr>
          <w:sz w:val="20"/>
          <w:szCs w:val="20"/>
          <w:lang w:val="es-MX"/>
        </w:rPr>
        <w:t>8</w:t>
      </w:r>
    </w:p>
    <w:p w14:paraId="4DB93117" w14:textId="08EB6E8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9C2B95">
        <w:rPr>
          <w:b/>
          <w:smallCaps/>
          <w:sz w:val="22"/>
          <w:szCs w:val="20"/>
          <w:lang w:val="es-MX"/>
        </w:rPr>
        <w:t>S</w:t>
      </w:r>
      <w:r w:rsidR="0026402C" w:rsidRPr="00305C0B">
        <w:rPr>
          <w:b/>
          <w:smallCaps/>
          <w:sz w:val="22"/>
          <w:szCs w:val="20"/>
          <w:lang w:val="es-MX"/>
        </w:rPr>
        <w:t>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45E392E3" w14:textId="77777777" w:rsidTr="00CA6BF5">
        <w:trPr>
          <w:trHeight w:val="1871"/>
          <w:jc w:val="center"/>
        </w:trPr>
        <w:tc>
          <w:tcPr>
            <w:tcW w:w="5305" w:type="dxa"/>
          </w:tcPr>
          <w:p w14:paraId="549D2196" w14:textId="1BB45468" w:rsidR="009C5AA3" w:rsidRPr="00D337D1" w:rsidRDefault="00EF687F" w:rsidP="009E3120">
            <w:pPr>
              <w:pStyle w:val="p0"/>
              <w:spacing w:before="0"/>
              <w:rPr>
                <w:color w:val="auto"/>
                <w:sz w:val="16"/>
                <w:szCs w:val="16"/>
                <w:lang w:val="es-MX"/>
              </w:rPr>
            </w:pPr>
            <w:r>
              <w:rPr>
                <w:noProof/>
                <w:lang w:val="es-MX" w:eastAsia="es-MX"/>
              </w:rPr>
              <w:drawing>
                <wp:inline distT="0" distB="0" distL="0" distR="0" wp14:anchorId="7016E143" wp14:editId="6895BD37">
                  <wp:extent cx="3276000" cy="1152000"/>
                  <wp:effectExtent l="0" t="0" r="0" b="0"/>
                  <wp:docPr id="41" name="Gráfico 41">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2B1E565A" w14:textId="4252EFEC" w:rsidR="009C5AA3" w:rsidRPr="00D337D1" w:rsidRDefault="00EF687F" w:rsidP="009E3120">
            <w:pPr>
              <w:pStyle w:val="p0"/>
              <w:spacing w:before="0"/>
              <w:rPr>
                <w:color w:val="auto"/>
                <w:sz w:val="16"/>
                <w:szCs w:val="16"/>
                <w:lang w:val="es-MX"/>
              </w:rPr>
            </w:pPr>
            <w:r>
              <w:rPr>
                <w:noProof/>
                <w:lang w:val="es-MX" w:eastAsia="es-MX"/>
              </w:rPr>
              <w:drawing>
                <wp:inline distT="0" distB="0" distL="0" distR="0" wp14:anchorId="02CAF8D2" wp14:editId="424B5396">
                  <wp:extent cx="3276000" cy="1152000"/>
                  <wp:effectExtent l="0" t="0" r="0" b="0"/>
                  <wp:docPr id="42" name="Gráfico 42">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100645D1" w14:textId="77777777" w:rsidTr="009E3120">
        <w:tblPrEx>
          <w:tblCellMar>
            <w:left w:w="28" w:type="dxa"/>
            <w:right w:w="28" w:type="dxa"/>
          </w:tblCellMar>
        </w:tblPrEx>
        <w:trPr>
          <w:jc w:val="center"/>
        </w:trPr>
        <w:tc>
          <w:tcPr>
            <w:tcW w:w="5305" w:type="dxa"/>
          </w:tcPr>
          <w:p w14:paraId="4686E049" w14:textId="77777777" w:rsidR="009C5AA3" w:rsidRPr="00D337D1" w:rsidRDefault="009C5AA3" w:rsidP="009E3120">
            <w:pPr>
              <w:pStyle w:val="p0"/>
              <w:spacing w:before="0"/>
              <w:rPr>
                <w:noProof/>
                <w:color w:val="auto"/>
                <w:sz w:val="10"/>
                <w:szCs w:val="10"/>
                <w:lang w:val="es-MX" w:eastAsia="es-MX"/>
              </w:rPr>
            </w:pPr>
          </w:p>
        </w:tc>
        <w:tc>
          <w:tcPr>
            <w:tcW w:w="5304" w:type="dxa"/>
          </w:tcPr>
          <w:p w14:paraId="3F5737D9" w14:textId="77777777" w:rsidR="009C5AA3" w:rsidRPr="00D337D1" w:rsidRDefault="009C5AA3" w:rsidP="009E3120">
            <w:pPr>
              <w:pStyle w:val="p0"/>
              <w:spacing w:before="0"/>
              <w:rPr>
                <w:noProof/>
                <w:color w:val="auto"/>
                <w:sz w:val="10"/>
                <w:szCs w:val="10"/>
                <w:lang w:val="es-MX" w:eastAsia="es-MX"/>
              </w:rPr>
            </w:pPr>
          </w:p>
        </w:tc>
      </w:tr>
      <w:tr w:rsidR="009C5AA3" w:rsidRPr="00D337D1" w14:paraId="2B20563A" w14:textId="77777777" w:rsidTr="00CA6BF5">
        <w:trPr>
          <w:trHeight w:val="1871"/>
          <w:jc w:val="center"/>
        </w:trPr>
        <w:tc>
          <w:tcPr>
            <w:tcW w:w="5305" w:type="dxa"/>
          </w:tcPr>
          <w:p w14:paraId="5BB12F6D" w14:textId="4F9CF92A" w:rsidR="009C5AA3" w:rsidRPr="00D337D1" w:rsidRDefault="00EF687F" w:rsidP="009E3120">
            <w:pPr>
              <w:pStyle w:val="p0"/>
              <w:spacing w:before="0"/>
              <w:rPr>
                <w:noProof/>
                <w:color w:val="auto"/>
                <w:sz w:val="16"/>
                <w:szCs w:val="16"/>
                <w:lang w:val="es-MX" w:eastAsia="es-MX"/>
              </w:rPr>
            </w:pPr>
            <w:r>
              <w:rPr>
                <w:noProof/>
                <w:lang w:val="es-MX" w:eastAsia="es-MX"/>
              </w:rPr>
              <w:drawing>
                <wp:inline distT="0" distB="0" distL="0" distR="0" wp14:anchorId="540F95E6" wp14:editId="4E2542C8">
                  <wp:extent cx="3276000" cy="1152000"/>
                  <wp:effectExtent l="0" t="0" r="0" b="0"/>
                  <wp:docPr id="43" name="Gráfico 43">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377553E5" w14:textId="0A939960" w:rsidR="009C5AA3" w:rsidRPr="00D337D1" w:rsidRDefault="00EF687F" w:rsidP="009E3120">
            <w:pPr>
              <w:pStyle w:val="p0"/>
              <w:spacing w:before="0"/>
              <w:rPr>
                <w:noProof/>
                <w:color w:val="auto"/>
                <w:sz w:val="16"/>
                <w:szCs w:val="16"/>
                <w:lang w:val="es-MX" w:eastAsia="es-MX"/>
              </w:rPr>
            </w:pPr>
            <w:r>
              <w:rPr>
                <w:noProof/>
                <w:lang w:val="es-MX" w:eastAsia="es-MX"/>
              </w:rPr>
              <w:drawing>
                <wp:inline distT="0" distB="0" distL="0" distR="0" wp14:anchorId="5B6F9B9D" wp14:editId="6E67E63B">
                  <wp:extent cx="3276000" cy="1152000"/>
                  <wp:effectExtent l="0" t="0" r="0" b="0"/>
                  <wp:docPr id="44" name="Gráfico 44">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298C757" w14:textId="77777777" w:rsidR="00372D9A" w:rsidRPr="00D337D1" w:rsidRDefault="00642E03" w:rsidP="00372D9A">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0A240709" w14:textId="77777777" w:rsidR="001B1EDC" w:rsidRPr="00DF29FC" w:rsidRDefault="001B1EDC" w:rsidP="00AB69C8">
      <w:pPr>
        <w:pStyle w:val="Textoindependiente"/>
        <w:keepNext/>
        <w:keepLines/>
        <w:spacing w:before="360"/>
        <w:ind w:left="-284" w:right="-233"/>
        <w:rPr>
          <w:b/>
          <w:smallCaps/>
          <w:color w:val="auto"/>
          <w:szCs w:val="22"/>
          <w:lang w:val="es-ES"/>
        </w:rPr>
      </w:pPr>
      <w:r w:rsidRPr="00DF29FC">
        <w:rPr>
          <w:b/>
          <w:smallCaps/>
          <w:color w:val="auto"/>
          <w:szCs w:val="22"/>
          <w:lang w:val="es-ES"/>
        </w:rPr>
        <w:t>C</w:t>
      </w:r>
      <w:r w:rsidR="0062691F" w:rsidRPr="00DF29FC">
        <w:rPr>
          <w:b/>
          <w:smallCaps/>
          <w:color w:val="auto"/>
          <w:szCs w:val="22"/>
          <w:lang w:val="es-ES"/>
        </w:rPr>
        <w:t xml:space="preserve">ifras originales </w:t>
      </w:r>
    </w:p>
    <w:p w14:paraId="232EA11D" w14:textId="170B1C8E" w:rsidR="0027370D" w:rsidRDefault="0027370D" w:rsidP="00AB69C8">
      <w:pPr>
        <w:pStyle w:val="Textoindependiente"/>
        <w:keepNext/>
        <w:keepLines/>
        <w:ind w:left="-284" w:right="-233"/>
        <w:rPr>
          <w:color w:val="auto"/>
          <w:szCs w:val="22"/>
          <w:lang w:val="es-ES"/>
        </w:rPr>
      </w:pPr>
      <w:r w:rsidRPr="000A6510">
        <w:rPr>
          <w:color w:val="auto"/>
          <w:szCs w:val="22"/>
          <w:lang w:val="es-ES"/>
        </w:rPr>
        <w:t xml:space="preserve">El </w:t>
      </w:r>
      <w:r w:rsidRPr="00305C0B">
        <w:rPr>
          <w:b/>
          <w:color w:val="auto"/>
          <w:szCs w:val="22"/>
          <w:lang w:val="es-ES"/>
        </w:rPr>
        <w:t>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la percepción de</w:t>
      </w:r>
      <w:r w:rsidR="00EF7DF9">
        <w:rPr>
          <w:color w:val="auto"/>
          <w:szCs w:val="22"/>
          <w:lang w:val="es-ES"/>
        </w:rPr>
        <w:t xml:space="preserve"> las y</w:t>
      </w:r>
      <w:r>
        <w:rPr>
          <w:color w:val="auto"/>
          <w:szCs w:val="22"/>
          <w:lang w:val="es-ES"/>
        </w:rPr>
        <w:t xml:space="preserv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w:t>
      </w:r>
      <w:r w:rsidR="00546288">
        <w:rPr>
          <w:color w:val="auto"/>
          <w:szCs w:val="22"/>
          <w:lang w:val="es-ES"/>
        </w:rPr>
        <w:t>m</w:t>
      </w:r>
      <w:r>
        <w:rPr>
          <w:color w:val="auto"/>
          <w:szCs w:val="22"/>
          <w:lang w:val="es-ES"/>
        </w:rPr>
        <w:t xml:space="preserve">anufacturero, de la </w:t>
      </w:r>
      <w:r w:rsidR="00546288">
        <w:rPr>
          <w:color w:val="auto"/>
          <w:szCs w:val="22"/>
          <w:lang w:val="es-ES"/>
        </w:rPr>
        <w:t>c</w:t>
      </w:r>
      <w:r>
        <w:rPr>
          <w:color w:val="auto"/>
          <w:szCs w:val="22"/>
          <w:lang w:val="es-ES"/>
        </w:rPr>
        <w:t xml:space="preserve">onstrucción, del </w:t>
      </w:r>
      <w:r w:rsidR="00546288">
        <w:rPr>
          <w:color w:val="auto"/>
          <w:szCs w:val="22"/>
          <w:lang w:val="es-ES"/>
        </w:rPr>
        <w:t>c</w:t>
      </w:r>
      <w:r>
        <w:rPr>
          <w:color w:val="auto"/>
          <w:szCs w:val="22"/>
          <w:lang w:val="es-ES"/>
        </w:rPr>
        <w:t xml:space="preserve">omercio y de </w:t>
      </w:r>
      <w:r w:rsidR="00546288">
        <w:rPr>
          <w:color w:val="auto"/>
          <w:szCs w:val="22"/>
          <w:lang w:val="es-ES"/>
        </w:rPr>
        <w:t>s</w:t>
      </w:r>
      <w:r>
        <w:rPr>
          <w:color w:val="auto"/>
          <w:szCs w:val="22"/>
          <w:lang w:val="es-ES"/>
        </w:rPr>
        <w:t xml:space="preserve">ervicios </w:t>
      </w:r>
      <w:r w:rsidR="00546288">
        <w:rPr>
          <w:color w:val="auto"/>
          <w:szCs w:val="22"/>
          <w:lang w:val="es-ES"/>
        </w:rPr>
        <w:t>p</w:t>
      </w:r>
      <w:r>
        <w:rPr>
          <w:color w:val="auto"/>
          <w:szCs w:val="22"/>
          <w:lang w:val="es-ES"/>
        </w:rPr>
        <w:t xml:space="preserve">rivados no </w:t>
      </w:r>
      <w:r w:rsidR="00546288">
        <w:rPr>
          <w:color w:val="auto"/>
          <w:szCs w:val="22"/>
          <w:lang w:val="es-ES"/>
        </w:rPr>
        <w:t>f</w:t>
      </w:r>
      <w:r>
        <w:rPr>
          <w:color w:val="auto"/>
          <w:szCs w:val="22"/>
          <w:lang w:val="es-ES"/>
        </w:rPr>
        <w:t xml:space="preserve">inancieros.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w:t>
      </w:r>
      <w:r w:rsidR="00C46AA6">
        <w:rPr>
          <w:color w:val="auto"/>
          <w:szCs w:val="22"/>
          <w:lang w:val="es-ES"/>
        </w:rPr>
        <w:t>IAT</w:t>
      </w:r>
      <w:r>
        <w:rPr>
          <w:color w:val="auto"/>
          <w:szCs w:val="22"/>
          <w:lang w:val="es-ES"/>
        </w:rPr>
        <w:t xml:space="preserve"> </w:t>
      </w:r>
      <w:r w:rsidRPr="009144A4">
        <w:rPr>
          <w:color w:val="auto"/>
          <w:szCs w:val="22"/>
          <w:lang w:val="es-ES"/>
        </w:rPr>
        <w:t xml:space="preserve">de los cuatro sectores </w:t>
      </w:r>
      <w:r w:rsidR="00447CFA">
        <w:rPr>
          <w:color w:val="auto"/>
          <w:szCs w:val="22"/>
          <w:lang w:val="es-ES"/>
        </w:rPr>
        <w:t>mencionados. E</w:t>
      </w:r>
      <w:r w:rsidR="005E26A3">
        <w:rPr>
          <w:color w:val="auto"/>
          <w:szCs w:val="22"/>
          <w:lang w:val="es-ES"/>
        </w:rPr>
        <w:t>n enero de 2023</w:t>
      </w:r>
      <w:r w:rsidR="005B40C5">
        <w:rPr>
          <w:color w:val="auto"/>
          <w:szCs w:val="22"/>
          <w:lang w:val="es-ES"/>
        </w:rPr>
        <w:t xml:space="preserve"> </w:t>
      </w:r>
      <w:r w:rsidR="00FE7D33">
        <w:rPr>
          <w:color w:val="auto"/>
          <w:szCs w:val="22"/>
          <w:lang w:val="es-ES"/>
        </w:rPr>
        <w:t>fue de</w:t>
      </w:r>
      <w:r w:rsidRPr="009144A4">
        <w:rPr>
          <w:color w:val="auto"/>
          <w:szCs w:val="22"/>
          <w:lang w:val="es-ES"/>
        </w:rPr>
        <w:t xml:space="preserve"> </w:t>
      </w:r>
      <w:r w:rsidR="001E284B">
        <w:rPr>
          <w:color w:val="auto"/>
          <w:szCs w:val="22"/>
          <w:lang w:val="es-ES"/>
        </w:rPr>
        <w:t>45.9</w:t>
      </w:r>
      <w:r w:rsidRPr="009144A4">
        <w:rPr>
          <w:color w:val="auto"/>
          <w:szCs w:val="22"/>
          <w:lang w:val="es-ES"/>
        </w:rPr>
        <w:t xml:space="preserve"> puntos</w:t>
      </w:r>
      <w:r w:rsidR="00D57634">
        <w:rPr>
          <w:color w:val="auto"/>
          <w:szCs w:val="22"/>
          <w:lang w:val="es-ES"/>
        </w:rPr>
        <w:t>,</w:t>
      </w:r>
      <w:r w:rsidR="00AA569C">
        <w:rPr>
          <w:color w:val="auto"/>
          <w:szCs w:val="22"/>
          <w:lang w:val="es-ES"/>
        </w:rPr>
        <w:t xml:space="preserve"> </w:t>
      </w:r>
      <w:r w:rsidR="001E284B">
        <w:rPr>
          <w:color w:val="auto"/>
          <w:szCs w:val="22"/>
          <w:lang w:val="es-ES"/>
        </w:rPr>
        <w:t>dato similar</w:t>
      </w:r>
      <w:r w:rsidR="005B40C5">
        <w:rPr>
          <w:color w:val="auto"/>
          <w:szCs w:val="22"/>
          <w:lang w:val="es-ES"/>
        </w:rPr>
        <w:t xml:space="preserve"> </w:t>
      </w:r>
      <w:r>
        <w:rPr>
          <w:color w:val="auto"/>
          <w:szCs w:val="22"/>
          <w:lang w:val="es-ES"/>
        </w:rPr>
        <w:t>a</w:t>
      </w:r>
      <w:r w:rsidR="00F47D4C">
        <w:rPr>
          <w:color w:val="auto"/>
          <w:szCs w:val="22"/>
          <w:lang w:val="es-ES"/>
        </w:rPr>
        <w:t xml:space="preserve">l </w:t>
      </w:r>
      <w:r w:rsidR="005764C0">
        <w:rPr>
          <w:color w:val="auto"/>
          <w:szCs w:val="22"/>
          <w:lang w:val="es-ES"/>
        </w:rPr>
        <w:t xml:space="preserve">del </w:t>
      </w:r>
      <w:r w:rsidR="00F47D4C">
        <w:rPr>
          <w:color w:val="auto"/>
          <w:szCs w:val="22"/>
          <w:lang w:val="es-ES"/>
        </w:rPr>
        <w:t>mismo</w:t>
      </w:r>
      <w:r w:rsidR="005E26A3">
        <w:rPr>
          <w:color w:val="auto"/>
          <w:szCs w:val="22"/>
          <w:lang w:val="es-ES"/>
        </w:rPr>
        <w:t xml:space="preserve"> mes de 2022</w:t>
      </w:r>
      <w:r w:rsidR="00305C0B">
        <w:rPr>
          <w:color w:val="auto"/>
          <w:szCs w:val="22"/>
          <w:lang w:val="es-ES"/>
        </w:rPr>
        <w:t>.</w:t>
      </w:r>
    </w:p>
    <w:p w14:paraId="4EE79BE4" w14:textId="77777777" w:rsidR="0027370D" w:rsidRPr="00135755" w:rsidRDefault="0027370D" w:rsidP="00BD7CAE">
      <w:pPr>
        <w:spacing w:before="240"/>
        <w:jc w:val="center"/>
        <w:rPr>
          <w:sz w:val="20"/>
        </w:rPr>
      </w:pPr>
      <w:r w:rsidRPr="00135755">
        <w:rPr>
          <w:sz w:val="20"/>
        </w:rPr>
        <w:t xml:space="preserve">Gráfica </w:t>
      </w:r>
      <w:r w:rsidR="00BA60B3">
        <w:rPr>
          <w:sz w:val="20"/>
        </w:rPr>
        <w:t>9</w:t>
      </w:r>
    </w:p>
    <w:p w14:paraId="2654692C" w14:textId="590246E7" w:rsidR="0027370D" w:rsidRPr="000A6510" w:rsidRDefault="0027370D" w:rsidP="0027370D">
      <w:pPr>
        <w:jc w:val="center"/>
        <w:rPr>
          <w:b/>
          <w:smallCaps/>
          <w:sz w:val="22"/>
        </w:rPr>
      </w:pPr>
      <w:r w:rsidRPr="000A6510">
        <w:rPr>
          <w:b/>
          <w:smallCaps/>
          <w:sz w:val="22"/>
        </w:rPr>
        <w:t xml:space="preserve">Indicador </w:t>
      </w:r>
      <w:r w:rsidR="009C2B95">
        <w:rPr>
          <w:b/>
          <w:smallCaps/>
          <w:sz w:val="22"/>
        </w:rPr>
        <w:t>G</w:t>
      </w:r>
      <w:r>
        <w:rPr>
          <w:b/>
          <w:smallCaps/>
          <w:sz w:val="22"/>
        </w:rPr>
        <w:t xml:space="preserve">lobal de </w:t>
      </w:r>
      <w:r w:rsidR="009C2B95">
        <w:rPr>
          <w:b/>
          <w:smallCaps/>
          <w:sz w:val="22"/>
        </w:rPr>
        <w:t>O</w:t>
      </w:r>
      <w:r>
        <w:rPr>
          <w:b/>
          <w:smallCaps/>
          <w:sz w:val="22"/>
        </w:rPr>
        <w:t xml:space="preserve">pinión </w:t>
      </w:r>
      <w:r w:rsidR="009C2B95">
        <w:rPr>
          <w:b/>
          <w:smallCaps/>
          <w:sz w:val="22"/>
        </w:rPr>
        <w:t>E</w:t>
      </w:r>
      <w:r>
        <w:rPr>
          <w:b/>
          <w:smallCaps/>
          <w:sz w:val="22"/>
        </w:rPr>
        <w:t>mpresarial</w:t>
      </w:r>
      <w:r w:rsidRPr="000A6510">
        <w:rPr>
          <w:b/>
          <w:smallCaps/>
          <w:sz w:val="22"/>
        </w:rPr>
        <w:t xml:space="preserve"> de </w:t>
      </w:r>
      <w:r w:rsidR="009C2B95">
        <w:rPr>
          <w:b/>
          <w:smallCaps/>
          <w:sz w:val="22"/>
        </w:rPr>
        <w:t>T</w:t>
      </w:r>
      <w:r w:rsidRPr="000A6510">
        <w:rPr>
          <w:b/>
          <w:smallCaps/>
          <w:sz w:val="22"/>
        </w:rPr>
        <w: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0F5393AE" w14:textId="7EE05BF6" w:rsidR="0027370D" w:rsidRDefault="00860E90" w:rsidP="0027370D">
      <w:pPr>
        <w:jc w:val="center"/>
        <w:rPr>
          <w:b/>
          <w:smallCaps/>
          <w:sz w:val="22"/>
          <w:szCs w:val="22"/>
        </w:rPr>
      </w:pPr>
      <w:r>
        <w:rPr>
          <w:noProof/>
          <w:lang w:val="es-MX" w:eastAsia="es-MX"/>
        </w:rPr>
        <w:drawing>
          <wp:inline distT="0" distB="0" distL="0" distR="0" wp14:anchorId="0034DC50" wp14:editId="1EED91E7">
            <wp:extent cx="4320000" cy="2520000"/>
            <wp:effectExtent l="0" t="0" r="23495" b="13970"/>
            <wp:docPr id="10" name="Gráfico 10">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45533C2" w14:textId="77777777" w:rsidR="0027370D" w:rsidRPr="000A6510" w:rsidRDefault="00642E03" w:rsidP="0027370D">
      <w:pPr>
        <w:widowControl w:val="0"/>
        <w:spacing w:before="20"/>
        <w:ind w:left="2044" w:right="25" w:hanging="560"/>
        <w:rPr>
          <w:sz w:val="14"/>
          <w:szCs w:val="14"/>
          <w:lang w:val="es-MX"/>
        </w:rPr>
      </w:pPr>
      <w:r>
        <w:rPr>
          <w:sz w:val="14"/>
          <w:szCs w:val="14"/>
          <w:lang w:val="es-MX"/>
        </w:rPr>
        <w:t>Fuente:</w:t>
      </w:r>
      <w:r>
        <w:rPr>
          <w:sz w:val="14"/>
          <w:szCs w:val="14"/>
          <w:lang w:val="es-MX"/>
        </w:rPr>
        <w:tab/>
        <w:t>INEGI</w:t>
      </w:r>
    </w:p>
    <w:p w14:paraId="23AF6023" w14:textId="3FFE56AC" w:rsidR="00A46C32" w:rsidRPr="000A6510" w:rsidRDefault="00044E34" w:rsidP="00AB69C8">
      <w:pPr>
        <w:pStyle w:val="Textoindependiente"/>
        <w:spacing w:before="360"/>
        <w:ind w:left="-284"/>
        <w:rPr>
          <w:color w:val="auto"/>
          <w:szCs w:val="22"/>
          <w:lang w:val="es-ES"/>
        </w:rPr>
      </w:pPr>
      <w:r w:rsidRPr="000A6510">
        <w:rPr>
          <w:color w:val="auto"/>
          <w:szCs w:val="22"/>
          <w:lang w:val="es-ES"/>
        </w:rPr>
        <w:lastRenderedPageBreak/>
        <w:t xml:space="preserve">El </w:t>
      </w:r>
      <w:r w:rsidR="00C46AA6">
        <w:rPr>
          <w:color w:val="auto"/>
          <w:szCs w:val="22"/>
          <w:lang w:val="es-ES"/>
        </w:rPr>
        <w:t>IGOET</w:t>
      </w:r>
      <w:r w:rsidRPr="000A6510">
        <w:rPr>
          <w:color w:val="auto"/>
          <w:szCs w:val="22"/>
          <w:lang w:val="es-ES"/>
        </w:rPr>
        <w:t xml:space="preserve"> y el </w:t>
      </w:r>
      <w:r w:rsidR="00C46AA6">
        <w:rPr>
          <w:color w:val="auto"/>
          <w:szCs w:val="22"/>
          <w:lang w:val="es-ES"/>
        </w:rPr>
        <w:t>IAT</w:t>
      </w:r>
      <w:r w:rsidRPr="000A6510">
        <w:rPr>
          <w:color w:val="auto"/>
          <w:szCs w:val="22"/>
          <w:lang w:val="es-ES"/>
        </w:rPr>
        <w:t xml:space="preserve">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B16016">
        <w:rPr>
          <w:color w:val="auto"/>
          <w:szCs w:val="22"/>
          <w:lang w:val="es-ES"/>
        </w:rPr>
        <w:t>:</w:t>
      </w:r>
    </w:p>
    <w:p w14:paraId="1A07DD35" w14:textId="77777777"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3ABE0076" w14:textId="70B801A9" w:rsidR="00A46C32" w:rsidRPr="000A6510" w:rsidRDefault="00044E34" w:rsidP="004126F6">
      <w:pPr>
        <w:widowControl w:val="0"/>
        <w:jc w:val="center"/>
        <w:outlineLvl w:val="0"/>
        <w:rPr>
          <w:b/>
          <w:smallCaps/>
          <w:sz w:val="22"/>
        </w:rPr>
      </w:pPr>
      <w:r w:rsidRPr="000A6510">
        <w:rPr>
          <w:b/>
          <w:smallCaps/>
          <w:sz w:val="22"/>
        </w:rPr>
        <w:t xml:space="preserve">Indicador </w:t>
      </w:r>
      <w:r w:rsidR="009C2B95">
        <w:rPr>
          <w:b/>
          <w:smallCaps/>
          <w:sz w:val="22"/>
        </w:rPr>
        <w:t>G</w:t>
      </w:r>
      <w:r w:rsidRPr="000A6510">
        <w:rPr>
          <w:b/>
          <w:smallCaps/>
          <w:sz w:val="22"/>
        </w:rPr>
        <w:t xml:space="preserve">lobal de </w:t>
      </w:r>
      <w:r w:rsidR="009C2B95">
        <w:rPr>
          <w:b/>
          <w:smallCaps/>
          <w:sz w:val="22"/>
        </w:rPr>
        <w:t>O</w:t>
      </w:r>
      <w:r w:rsidR="00FE4514">
        <w:rPr>
          <w:b/>
          <w:smallCaps/>
          <w:sz w:val="22"/>
        </w:rPr>
        <w:t xml:space="preserve">pinión </w:t>
      </w:r>
      <w:r w:rsidR="009C2B95">
        <w:rPr>
          <w:b/>
          <w:smallCaps/>
          <w:sz w:val="22"/>
        </w:rPr>
        <w:t>E</w:t>
      </w:r>
      <w:r w:rsidR="00FE4514">
        <w:rPr>
          <w:b/>
          <w:smallCaps/>
          <w:sz w:val="22"/>
        </w:rPr>
        <w:t xml:space="preserve">mpresarial de </w:t>
      </w:r>
      <w:r w:rsidR="009C2B95">
        <w:rPr>
          <w:b/>
          <w:smallCaps/>
          <w:sz w:val="22"/>
        </w:rPr>
        <w:t>T</w:t>
      </w:r>
      <w:r w:rsidRPr="000A6510">
        <w:rPr>
          <w:b/>
          <w:smallCaps/>
          <w:sz w:val="22"/>
        </w:rPr>
        <w:t xml:space="preserve">endencia </w:t>
      </w:r>
      <w:r w:rsidR="00FE4514">
        <w:rPr>
          <w:b/>
          <w:smallCaps/>
          <w:sz w:val="22"/>
        </w:rPr>
        <w:br/>
      </w:r>
      <w:r w:rsidRPr="000A6510">
        <w:rPr>
          <w:b/>
          <w:smallCaps/>
          <w:sz w:val="22"/>
        </w:rPr>
        <w:t xml:space="preserve">e </w:t>
      </w:r>
      <w:r w:rsidR="009C2B95">
        <w:rPr>
          <w:b/>
          <w:smallCaps/>
          <w:sz w:val="22"/>
        </w:rPr>
        <w:t>I</w:t>
      </w:r>
      <w:r w:rsidR="0032229C" w:rsidRPr="000A6510">
        <w:rPr>
          <w:b/>
          <w:smallCaps/>
          <w:sz w:val="22"/>
        </w:rPr>
        <w:t xml:space="preserve">ndicador </w:t>
      </w:r>
      <w:r w:rsidR="009C2B95">
        <w:rPr>
          <w:b/>
          <w:smallCaps/>
          <w:sz w:val="22"/>
        </w:rPr>
        <w:t>A</w:t>
      </w:r>
      <w:r w:rsidR="0032229C" w:rsidRPr="000A6510">
        <w:rPr>
          <w:b/>
          <w:smallCaps/>
          <w:sz w:val="22"/>
        </w:rPr>
        <w:t xml:space="preserve">gregado de </w:t>
      </w:r>
      <w:r w:rsidR="009C2B95">
        <w:rPr>
          <w:b/>
          <w:smallCaps/>
          <w:sz w:val="22"/>
        </w:rPr>
        <w:t>T</w:t>
      </w:r>
      <w:r w:rsidR="0032229C" w:rsidRPr="000A6510">
        <w:rPr>
          <w:b/>
          <w:smallCaps/>
          <w:sz w:val="22"/>
        </w:rPr>
        <w: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15FBF39E"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26249047" w14:textId="77777777" w:rsidR="00A46C32" w:rsidRPr="000A6510" w:rsidRDefault="00A46C32" w:rsidP="00D76DC5">
            <w:pPr>
              <w:keepNext/>
              <w:keepLines/>
              <w:spacing w:before="20" w:after="20" w:line="240" w:lineRule="atLeast"/>
              <w:ind w:firstLine="339"/>
              <w:rPr>
                <w:sz w:val="18"/>
                <w:szCs w:val="18"/>
              </w:rPr>
            </w:pPr>
            <w:bookmarkStart w:id="0"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63BFAC5D" w14:textId="345BAE62" w:rsidR="00A46C32" w:rsidRPr="000A6510" w:rsidRDefault="005E26A3" w:rsidP="00377337">
            <w:pPr>
              <w:keepNext/>
              <w:keepLines/>
              <w:spacing w:before="40" w:after="40" w:line="240" w:lineRule="atLeast"/>
              <w:jc w:val="center"/>
              <w:rPr>
                <w:sz w:val="18"/>
                <w:szCs w:val="18"/>
              </w:rPr>
            </w:pPr>
            <w:r>
              <w:rPr>
                <w:sz w:val="18"/>
                <w:szCs w:val="18"/>
              </w:rPr>
              <w:t>Enero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4B444AF2"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B3A6999"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7DBDB5BC"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71F1D61E" w14:textId="23A1D4DE" w:rsidR="008054FA" w:rsidRPr="000A6510" w:rsidRDefault="00BC05F9" w:rsidP="00493ABF">
            <w:pPr>
              <w:widowControl w:val="0"/>
              <w:spacing w:before="20" w:after="20"/>
              <w:ind w:left="-68" w:right="-57"/>
              <w:jc w:val="center"/>
              <w:rPr>
                <w:sz w:val="18"/>
                <w:szCs w:val="18"/>
              </w:rPr>
            </w:pPr>
            <w:r>
              <w:rPr>
                <w:sz w:val="18"/>
                <w:szCs w:val="18"/>
              </w:rPr>
              <w:t>202</w:t>
            </w:r>
            <w:r w:rsidR="005E26A3">
              <w:rPr>
                <w:sz w:val="18"/>
                <w:szCs w:val="18"/>
              </w:rPr>
              <w:t>2</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65B04198" w14:textId="71CE33C1" w:rsidR="008054FA" w:rsidRPr="000A6510" w:rsidRDefault="00BC05F9" w:rsidP="00493ABF">
            <w:pPr>
              <w:widowControl w:val="0"/>
              <w:spacing w:before="20" w:after="20"/>
              <w:ind w:left="-68" w:right="-57"/>
              <w:jc w:val="center"/>
              <w:rPr>
                <w:sz w:val="18"/>
                <w:szCs w:val="18"/>
              </w:rPr>
            </w:pPr>
            <w:r>
              <w:rPr>
                <w:sz w:val="18"/>
                <w:szCs w:val="18"/>
              </w:rPr>
              <w:t>202</w:t>
            </w:r>
            <w:r w:rsidR="005E26A3">
              <w:rPr>
                <w:sz w:val="18"/>
                <w:szCs w:val="18"/>
              </w:rPr>
              <w:t>3</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35D1586F" w14:textId="77777777" w:rsidR="008054FA" w:rsidRPr="000A6510" w:rsidRDefault="008054FA" w:rsidP="008054FA">
            <w:pPr>
              <w:keepNext/>
              <w:keepLines/>
              <w:spacing w:line="240" w:lineRule="atLeast"/>
              <w:ind w:left="-64" w:right="-45"/>
              <w:jc w:val="center"/>
              <w:rPr>
                <w:sz w:val="18"/>
                <w:szCs w:val="18"/>
              </w:rPr>
            </w:pPr>
          </w:p>
        </w:tc>
      </w:tr>
      <w:tr w:rsidR="001418AF" w:rsidRPr="0084694E" w14:paraId="5E017E14"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4AF1F32A" w14:textId="77777777" w:rsidR="001418AF" w:rsidRPr="000A6510" w:rsidRDefault="001418AF" w:rsidP="001418AF">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3F0A7144" w14:textId="7B6ABBAC" w:rsidR="001418AF" w:rsidRPr="001418AF" w:rsidRDefault="001418AF" w:rsidP="001418AF">
            <w:pPr>
              <w:tabs>
                <w:tab w:val="decimal" w:pos="537"/>
              </w:tabs>
              <w:jc w:val="left"/>
              <w:rPr>
                <w:b/>
                <w:sz w:val="18"/>
                <w:szCs w:val="18"/>
              </w:rPr>
            </w:pPr>
            <w:r w:rsidRPr="001418AF">
              <w:rPr>
                <w:b/>
                <w:bCs/>
                <w:sz w:val="18"/>
                <w:szCs w:val="18"/>
              </w:rPr>
              <w:t>45.9</w:t>
            </w:r>
          </w:p>
        </w:tc>
        <w:tc>
          <w:tcPr>
            <w:tcW w:w="1075" w:type="dxa"/>
            <w:tcBorders>
              <w:bottom w:val="single" w:sz="6" w:space="0" w:color="404040"/>
              <w:right w:val="single" w:sz="6" w:space="0" w:color="404040"/>
            </w:tcBorders>
            <w:shd w:val="clear" w:color="auto" w:fill="DBE5F1" w:themeFill="accent1" w:themeFillTint="33"/>
            <w:vAlign w:val="center"/>
          </w:tcPr>
          <w:p w14:paraId="0EA823D5" w14:textId="71717333" w:rsidR="001418AF" w:rsidRPr="001418AF" w:rsidRDefault="001418AF" w:rsidP="001418AF">
            <w:pPr>
              <w:tabs>
                <w:tab w:val="decimal" w:pos="434"/>
              </w:tabs>
              <w:jc w:val="left"/>
              <w:rPr>
                <w:b/>
                <w:sz w:val="18"/>
                <w:szCs w:val="18"/>
              </w:rPr>
            </w:pPr>
            <w:r w:rsidRPr="001418AF">
              <w:rPr>
                <w:b/>
                <w:bCs/>
                <w:sz w:val="18"/>
                <w:szCs w:val="18"/>
              </w:rPr>
              <w:t>45.9</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63736BF5" w14:textId="20AD7145" w:rsidR="001418AF" w:rsidRPr="001418AF" w:rsidRDefault="001418AF" w:rsidP="001418AF">
            <w:pPr>
              <w:tabs>
                <w:tab w:val="decimal" w:pos="579"/>
              </w:tabs>
              <w:jc w:val="left"/>
              <w:rPr>
                <w:b/>
                <w:sz w:val="18"/>
                <w:szCs w:val="18"/>
              </w:rPr>
            </w:pPr>
            <w:r w:rsidRPr="001418AF">
              <w:rPr>
                <w:b/>
                <w:bCs/>
                <w:sz w:val="18"/>
                <w:szCs w:val="18"/>
              </w:rPr>
              <w:t>0.1</w:t>
            </w:r>
          </w:p>
        </w:tc>
      </w:tr>
      <w:tr w:rsidR="00C71D9E" w:rsidRPr="000A6510" w14:paraId="79CF3216" w14:textId="77777777" w:rsidTr="00140691">
        <w:trPr>
          <w:cantSplit/>
          <w:trHeight w:val="170"/>
          <w:jc w:val="center"/>
        </w:trPr>
        <w:tc>
          <w:tcPr>
            <w:tcW w:w="5004" w:type="dxa"/>
            <w:tcBorders>
              <w:top w:val="single" w:sz="6" w:space="0" w:color="404040"/>
              <w:bottom w:val="single" w:sz="6" w:space="0" w:color="404040"/>
            </w:tcBorders>
            <w:vAlign w:val="center"/>
          </w:tcPr>
          <w:p w14:paraId="7A4EAA91"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36F26CB2" w14:textId="77777777" w:rsidR="00C71D9E" w:rsidRPr="001418AF"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0D40B16C" w14:textId="77777777" w:rsidR="00C71D9E" w:rsidRPr="001418AF"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05E33E06" w14:textId="77777777" w:rsidR="00C71D9E" w:rsidRPr="001418AF" w:rsidRDefault="00C71D9E" w:rsidP="00140691">
            <w:pPr>
              <w:tabs>
                <w:tab w:val="left" w:pos="202"/>
                <w:tab w:val="decimal" w:pos="579"/>
                <w:tab w:val="decimal" w:pos="634"/>
              </w:tabs>
              <w:jc w:val="left"/>
              <w:rPr>
                <w:sz w:val="18"/>
                <w:szCs w:val="18"/>
              </w:rPr>
            </w:pPr>
          </w:p>
        </w:tc>
      </w:tr>
      <w:tr w:rsidR="001418AF" w:rsidRPr="000A6510" w14:paraId="7BCFEE84"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1CC161E4" w14:textId="6D2974BE" w:rsidR="001418AF" w:rsidRPr="000A6510" w:rsidRDefault="001418AF" w:rsidP="001418AF">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 xml:space="preserve">ector </w:t>
            </w:r>
            <w:r>
              <w:rPr>
                <w:b/>
                <w:spacing w:val="4"/>
                <w:sz w:val="18"/>
                <w:szCs w:val="18"/>
              </w:rPr>
              <w:t>Industrias m</w:t>
            </w:r>
            <w:r w:rsidRPr="000A6510">
              <w:rPr>
                <w:b/>
                <w:spacing w:val="4"/>
                <w:sz w:val="18"/>
                <w:szCs w:val="18"/>
              </w:rPr>
              <w:t>anufacturer</w:t>
            </w:r>
            <w:r>
              <w:rPr>
                <w:b/>
                <w:spacing w:val="4"/>
                <w:sz w:val="18"/>
                <w:szCs w:val="18"/>
              </w:rPr>
              <w:t>as</w:t>
            </w:r>
          </w:p>
        </w:tc>
        <w:tc>
          <w:tcPr>
            <w:tcW w:w="1160" w:type="dxa"/>
            <w:tcBorders>
              <w:top w:val="single" w:sz="6" w:space="0" w:color="404040"/>
              <w:left w:val="single" w:sz="6" w:space="0" w:color="404040"/>
            </w:tcBorders>
            <w:vAlign w:val="center"/>
          </w:tcPr>
          <w:p w14:paraId="41D530E2" w14:textId="04874EEC" w:rsidR="001418AF" w:rsidRPr="001418AF" w:rsidRDefault="001418AF" w:rsidP="001418AF">
            <w:pPr>
              <w:tabs>
                <w:tab w:val="decimal" w:pos="537"/>
              </w:tabs>
              <w:jc w:val="left"/>
              <w:rPr>
                <w:b/>
                <w:sz w:val="18"/>
                <w:szCs w:val="18"/>
              </w:rPr>
            </w:pPr>
            <w:r w:rsidRPr="001418AF">
              <w:rPr>
                <w:b/>
                <w:bCs/>
                <w:sz w:val="18"/>
                <w:szCs w:val="18"/>
              </w:rPr>
              <w:t>50.4</w:t>
            </w:r>
          </w:p>
        </w:tc>
        <w:tc>
          <w:tcPr>
            <w:tcW w:w="1075" w:type="dxa"/>
            <w:tcBorders>
              <w:top w:val="single" w:sz="6" w:space="0" w:color="404040"/>
              <w:right w:val="single" w:sz="6" w:space="0" w:color="404040"/>
            </w:tcBorders>
            <w:vAlign w:val="center"/>
          </w:tcPr>
          <w:p w14:paraId="2AC12BC3" w14:textId="40BB6D1F" w:rsidR="001418AF" w:rsidRPr="001418AF" w:rsidRDefault="001418AF" w:rsidP="001418AF">
            <w:pPr>
              <w:tabs>
                <w:tab w:val="decimal" w:pos="434"/>
              </w:tabs>
              <w:jc w:val="left"/>
              <w:rPr>
                <w:b/>
                <w:sz w:val="18"/>
                <w:szCs w:val="18"/>
              </w:rPr>
            </w:pPr>
            <w:r w:rsidRPr="001418AF">
              <w:rPr>
                <w:b/>
                <w:bCs/>
                <w:sz w:val="18"/>
                <w:szCs w:val="18"/>
              </w:rPr>
              <w:t>52.4</w:t>
            </w:r>
          </w:p>
        </w:tc>
        <w:tc>
          <w:tcPr>
            <w:tcW w:w="1268" w:type="dxa"/>
            <w:tcBorders>
              <w:top w:val="single" w:sz="6" w:space="0" w:color="404040"/>
              <w:left w:val="single" w:sz="6" w:space="0" w:color="404040"/>
              <w:right w:val="single" w:sz="6" w:space="0" w:color="404040"/>
            </w:tcBorders>
            <w:vAlign w:val="center"/>
          </w:tcPr>
          <w:p w14:paraId="4FB8B3A0" w14:textId="0CAE48BA" w:rsidR="001418AF" w:rsidRPr="001418AF" w:rsidRDefault="001418AF" w:rsidP="001418AF">
            <w:pPr>
              <w:tabs>
                <w:tab w:val="decimal" w:pos="579"/>
              </w:tabs>
              <w:jc w:val="left"/>
              <w:rPr>
                <w:b/>
                <w:sz w:val="18"/>
                <w:szCs w:val="18"/>
              </w:rPr>
            </w:pPr>
            <w:r w:rsidRPr="001418AF">
              <w:rPr>
                <w:b/>
                <w:bCs/>
                <w:sz w:val="18"/>
                <w:szCs w:val="18"/>
              </w:rPr>
              <w:t>2.0</w:t>
            </w:r>
          </w:p>
        </w:tc>
      </w:tr>
      <w:tr w:rsidR="001418AF" w:rsidRPr="000A6510" w14:paraId="6E4E0058" w14:textId="77777777" w:rsidTr="00140691">
        <w:trPr>
          <w:cantSplit/>
          <w:trHeight w:val="20"/>
          <w:jc w:val="center"/>
        </w:trPr>
        <w:tc>
          <w:tcPr>
            <w:tcW w:w="5004" w:type="dxa"/>
            <w:tcBorders>
              <w:left w:val="single" w:sz="6" w:space="0" w:color="404040"/>
              <w:right w:val="single" w:sz="6" w:space="0" w:color="404040"/>
            </w:tcBorders>
            <w:vAlign w:val="center"/>
          </w:tcPr>
          <w:p w14:paraId="72FE45A5" w14:textId="77777777" w:rsidR="001418AF" w:rsidRPr="000A6510" w:rsidRDefault="001418AF" w:rsidP="001418A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1FC2C959" w14:textId="5817FBF6" w:rsidR="001418AF" w:rsidRPr="001418AF" w:rsidRDefault="001418AF" w:rsidP="001418AF">
            <w:pPr>
              <w:tabs>
                <w:tab w:val="decimal" w:pos="537"/>
              </w:tabs>
              <w:jc w:val="left"/>
              <w:rPr>
                <w:sz w:val="18"/>
                <w:szCs w:val="18"/>
              </w:rPr>
            </w:pPr>
            <w:r w:rsidRPr="001418AF">
              <w:rPr>
                <w:sz w:val="18"/>
                <w:szCs w:val="18"/>
              </w:rPr>
              <w:t>51.6</w:t>
            </w:r>
          </w:p>
        </w:tc>
        <w:tc>
          <w:tcPr>
            <w:tcW w:w="1075" w:type="dxa"/>
            <w:tcBorders>
              <w:right w:val="single" w:sz="6" w:space="0" w:color="404040"/>
            </w:tcBorders>
            <w:vAlign w:val="center"/>
          </w:tcPr>
          <w:p w14:paraId="0EB31F4C" w14:textId="00579D9B" w:rsidR="001418AF" w:rsidRPr="001418AF" w:rsidRDefault="001418AF" w:rsidP="001418AF">
            <w:pPr>
              <w:tabs>
                <w:tab w:val="decimal" w:pos="421"/>
              </w:tabs>
              <w:jc w:val="left"/>
              <w:rPr>
                <w:sz w:val="18"/>
                <w:szCs w:val="18"/>
              </w:rPr>
            </w:pPr>
            <w:r w:rsidRPr="001418AF">
              <w:rPr>
                <w:sz w:val="18"/>
                <w:szCs w:val="18"/>
              </w:rPr>
              <w:t>52.7</w:t>
            </w:r>
          </w:p>
        </w:tc>
        <w:tc>
          <w:tcPr>
            <w:tcW w:w="1268" w:type="dxa"/>
            <w:tcBorders>
              <w:left w:val="single" w:sz="6" w:space="0" w:color="404040"/>
              <w:right w:val="single" w:sz="6" w:space="0" w:color="404040"/>
            </w:tcBorders>
            <w:vAlign w:val="center"/>
          </w:tcPr>
          <w:p w14:paraId="08C4506C" w14:textId="60506EC4" w:rsidR="001418AF" w:rsidRPr="001418AF" w:rsidRDefault="001418AF" w:rsidP="001418AF">
            <w:pPr>
              <w:tabs>
                <w:tab w:val="decimal" w:pos="579"/>
              </w:tabs>
              <w:jc w:val="left"/>
              <w:rPr>
                <w:sz w:val="18"/>
                <w:szCs w:val="18"/>
              </w:rPr>
            </w:pPr>
            <w:r w:rsidRPr="001418AF">
              <w:rPr>
                <w:sz w:val="18"/>
                <w:szCs w:val="18"/>
              </w:rPr>
              <w:t>1.1</w:t>
            </w:r>
          </w:p>
        </w:tc>
      </w:tr>
      <w:tr w:rsidR="001418AF" w:rsidRPr="000A6510" w14:paraId="602AE078" w14:textId="77777777" w:rsidTr="00140691">
        <w:trPr>
          <w:cantSplit/>
          <w:trHeight w:val="20"/>
          <w:jc w:val="center"/>
        </w:trPr>
        <w:tc>
          <w:tcPr>
            <w:tcW w:w="5004" w:type="dxa"/>
            <w:tcBorders>
              <w:left w:val="single" w:sz="6" w:space="0" w:color="404040"/>
              <w:right w:val="single" w:sz="6" w:space="0" w:color="404040"/>
            </w:tcBorders>
            <w:vAlign w:val="center"/>
          </w:tcPr>
          <w:p w14:paraId="41702A41" w14:textId="77777777" w:rsidR="001418AF" w:rsidRPr="000A6510" w:rsidRDefault="001418AF" w:rsidP="001418A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0711C3E0" w14:textId="503D4A69" w:rsidR="001418AF" w:rsidRPr="001418AF" w:rsidRDefault="001418AF" w:rsidP="001418AF">
            <w:pPr>
              <w:tabs>
                <w:tab w:val="decimal" w:pos="537"/>
              </w:tabs>
              <w:jc w:val="left"/>
              <w:rPr>
                <w:sz w:val="18"/>
                <w:szCs w:val="18"/>
              </w:rPr>
            </w:pPr>
            <w:r w:rsidRPr="001418AF">
              <w:rPr>
                <w:sz w:val="18"/>
                <w:szCs w:val="18"/>
              </w:rPr>
              <w:t>53.3</w:t>
            </w:r>
          </w:p>
        </w:tc>
        <w:tc>
          <w:tcPr>
            <w:tcW w:w="1075" w:type="dxa"/>
            <w:tcBorders>
              <w:right w:val="single" w:sz="6" w:space="0" w:color="404040"/>
            </w:tcBorders>
            <w:vAlign w:val="center"/>
          </w:tcPr>
          <w:p w14:paraId="4F942E0F" w14:textId="27265F39" w:rsidR="001418AF" w:rsidRPr="001418AF" w:rsidRDefault="001418AF" w:rsidP="001418AF">
            <w:pPr>
              <w:tabs>
                <w:tab w:val="decimal" w:pos="421"/>
              </w:tabs>
              <w:jc w:val="left"/>
              <w:rPr>
                <w:sz w:val="18"/>
                <w:szCs w:val="18"/>
              </w:rPr>
            </w:pPr>
            <w:r w:rsidRPr="001418AF">
              <w:rPr>
                <w:sz w:val="18"/>
                <w:szCs w:val="18"/>
              </w:rPr>
              <w:t>52.8</w:t>
            </w:r>
          </w:p>
        </w:tc>
        <w:tc>
          <w:tcPr>
            <w:tcW w:w="1268" w:type="dxa"/>
            <w:tcBorders>
              <w:left w:val="single" w:sz="6" w:space="0" w:color="404040"/>
              <w:right w:val="single" w:sz="6" w:space="0" w:color="404040"/>
            </w:tcBorders>
            <w:vAlign w:val="center"/>
          </w:tcPr>
          <w:p w14:paraId="02B7CC72" w14:textId="0DD81C01" w:rsidR="001418AF" w:rsidRPr="001418AF" w:rsidRDefault="001418AF" w:rsidP="001418AF">
            <w:pPr>
              <w:tabs>
                <w:tab w:val="decimal" w:pos="579"/>
              </w:tabs>
              <w:jc w:val="left"/>
              <w:rPr>
                <w:sz w:val="18"/>
                <w:szCs w:val="18"/>
              </w:rPr>
            </w:pPr>
            <w:r w:rsidRPr="001418AF">
              <w:rPr>
                <w:sz w:val="18"/>
                <w:szCs w:val="18"/>
              </w:rPr>
              <w:t>-0.4</w:t>
            </w:r>
          </w:p>
        </w:tc>
      </w:tr>
      <w:tr w:rsidR="001418AF" w:rsidRPr="000A6510" w14:paraId="21140EDB" w14:textId="77777777" w:rsidTr="00140691">
        <w:trPr>
          <w:cantSplit/>
          <w:trHeight w:val="20"/>
          <w:jc w:val="center"/>
        </w:trPr>
        <w:tc>
          <w:tcPr>
            <w:tcW w:w="5004" w:type="dxa"/>
            <w:tcBorders>
              <w:left w:val="single" w:sz="6" w:space="0" w:color="404040"/>
              <w:right w:val="single" w:sz="6" w:space="0" w:color="404040"/>
            </w:tcBorders>
            <w:vAlign w:val="center"/>
          </w:tcPr>
          <w:p w14:paraId="67F23821" w14:textId="77777777" w:rsidR="001418AF" w:rsidRPr="000A6510" w:rsidRDefault="001418AF" w:rsidP="001418AF">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52604758" w14:textId="2805C828" w:rsidR="001418AF" w:rsidRPr="001418AF" w:rsidRDefault="001418AF" w:rsidP="001418AF">
            <w:pPr>
              <w:tabs>
                <w:tab w:val="decimal" w:pos="537"/>
              </w:tabs>
              <w:jc w:val="left"/>
              <w:rPr>
                <w:sz w:val="18"/>
                <w:szCs w:val="18"/>
              </w:rPr>
            </w:pPr>
            <w:r w:rsidRPr="001418AF">
              <w:rPr>
                <w:sz w:val="18"/>
                <w:szCs w:val="18"/>
              </w:rPr>
              <w:t>48.7</w:t>
            </w:r>
          </w:p>
        </w:tc>
        <w:tc>
          <w:tcPr>
            <w:tcW w:w="1075" w:type="dxa"/>
            <w:tcBorders>
              <w:right w:val="single" w:sz="6" w:space="0" w:color="404040"/>
            </w:tcBorders>
            <w:vAlign w:val="center"/>
          </w:tcPr>
          <w:p w14:paraId="529DD063" w14:textId="23726E00" w:rsidR="001418AF" w:rsidRPr="001418AF" w:rsidRDefault="001418AF" w:rsidP="001418AF">
            <w:pPr>
              <w:tabs>
                <w:tab w:val="decimal" w:pos="421"/>
              </w:tabs>
              <w:jc w:val="left"/>
              <w:rPr>
                <w:sz w:val="18"/>
                <w:szCs w:val="18"/>
              </w:rPr>
            </w:pPr>
            <w:r w:rsidRPr="001418AF">
              <w:rPr>
                <w:sz w:val="18"/>
                <w:szCs w:val="18"/>
              </w:rPr>
              <w:t>51.9</w:t>
            </w:r>
          </w:p>
        </w:tc>
        <w:tc>
          <w:tcPr>
            <w:tcW w:w="1268" w:type="dxa"/>
            <w:tcBorders>
              <w:left w:val="single" w:sz="6" w:space="0" w:color="404040"/>
              <w:right w:val="single" w:sz="6" w:space="0" w:color="404040"/>
            </w:tcBorders>
            <w:vAlign w:val="center"/>
          </w:tcPr>
          <w:p w14:paraId="0B504281" w14:textId="35BDEF14" w:rsidR="001418AF" w:rsidRPr="001418AF" w:rsidRDefault="001418AF" w:rsidP="001418AF">
            <w:pPr>
              <w:tabs>
                <w:tab w:val="decimal" w:pos="579"/>
              </w:tabs>
              <w:jc w:val="left"/>
              <w:rPr>
                <w:sz w:val="18"/>
                <w:szCs w:val="18"/>
              </w:rPr>
            </w:pPr>
            <w:r w:rsidRPr="001418AF">
              <w:rPr>
                <w:sz w:val="18"/>
                <w:szCs w:val="18"/>
              </w:rPr>
              <w:t>3.2</w:t>
            </w:r>
          </w:p>
        </w:tc>
      </w:tr>
      <w:tr w:rsidR="001418AF" w:rsidRPr="000A6510" w14:paraId="177488CC" w14:textId="77777777" w:rsidTr="00140691">
        <w:trPr>
          <w:cantSplit/>
          <w:trHeight w:val="20"/>
          <w:jc w:val="center"/>
        </w:trPr>
        <w:tc>
          <w:tcPr>
            <w:tcW w:w="5004" w:type="dxa"/>
            <w:tcBorders>
              <w:left w:val="single" w:sz="6" w:space="0" w:color="404040"/>
              <w:right w:val="single" w:sz="6" w:space="0" w:color="404040"/>
            </w:tcBorders>
            <w:vAlign w:val="center"/>
          </w:tcPr>
          <w:p w14:paraId="198A9FAF" w14:textId="77777777" w:rsidR="001418AF" w:rsidRPr="000A6510" w:rsidRDefault="001418AF" w:rsidP="001418A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761CB1EC" w14:textId="044C3420" w:rsidR="001418AF" w:rsidRPr="001418AF" w:rsidRDefault="001418AF" w:rsidP="001418AF">
            <w:pPr>
              <w:tabs>
                <w:tab w:val="decimal" w:pos="537"/>
              </w:tabs>
              <w:jc w:val="left"/>
              <w:rPr>
                <w:sz w:val="18"/>
                <w:szCs w:val="18"/>
              </w:rPr>
            </w:pPr>
            <w:r w:rsidRPr="001418AF">
              <w:rPr>
                <w:sz w:val="18"/>
                <w:szCs w:val="18"/>
              </w:rPr>
              <w:t>48.2</w:t>
            </w:r>
          </w:p>
        </w:tc>
        <w:tc>
          <w:tcPr>
            <w:tcW w:w="1075" w:type="dxa"/>
            <w:tcBorders>
              <w:right w:val="single" w:sz="6" w:space="0" w:color="404040"/>
            </w:tcBorders>
            <w:vAlign w:val="center"/>
          </w:tcPr>
          <w:p w14:paraId="45E29129" w14:textId="782B265B" w:rsidR="001418AF" w:rsidRPr="001418AF" w:rsidRDefault="001418AF" w:rsidP="001418AF">
            <w:pPr>
              <w:tabs>
                <w:tab w:val="decimal" w:pos="421"/>
              </w:tabs>
              <w:jc w:val="left"/>
              <w:rPr>
                <w:sz w:val="18"/>
                <w:szCs w:val="18"/>
              </w:rPr>
            </w:pPr>
            <w:r w:rsidRPr="001418AF">
              <w:rPr>
                <w:sz w:val="18"/>
                <w:szCs w:val="18"/>
              </w:rPr>
              <w:t>53.0</w:t>
            </w:r>
          </w:p>
        </w:tc>
        <w:tc>
          <w:tcPr>
            <w:tcW w:w="1268" w:type="dxa"/>
            <w:tcBorders>
              <w:left w:val="single" w:sz="6" w:space="0" w:color="404040"/>
              <w:right w:val="single" w:sz="6" w:space="0" w:color="404040"/>
            </w:tcBorders>
            <w:vAlign w:val="center"/>
          </w:tcPr>
          <w:p w14:paraId="1FE7B76D" w14:textId="744A0716" w:rsidR="001418AF" w:rsidRPr="001418AF" w:rsidRDefault="001418AF" w:rsidP="001418AF">
            <w:pPr>
              <w:tabs>
                <w:tab w:val="decimal" w:pos="579"/>
              </w:tabs>
              <w:jc w:val="left"/>
              <w:rPr>
                <w:sz w:val="18"/>
                <w:szCs w:val="18"/>
              </w:rPr>
            </w:pPr>
            <w:r w:rsidRPr="001418AF">
              <w:rPr>
                <w:sz w:val="18"/>
                <w:szCs w:val="18"/>
              </w:rPr>
              <w:t>4.8</w:t>
            </w:r>
          </w:p>
        </w:tc>
      </w:tr>
      <w:tr w:rsidR="001418AF" w:rsidRPr="000A6510" w14:paraId="0E4CA5B4"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6CB0B66D" w14:textId="77777777" w:rsidR="001418AF" w:rsidRPr="000A6510" w:rsidRDefault="001418AF" w:rsidP="001418A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25355E7" w14:textId="0A1984E9" w:rsidR="001418AF" w:rsidRPr="001418AF" w:rsidRDefault="001418AF" w:rsidP="001418AF">
            <w:pPr>
              <w:tabs>
                <w:tab w:val="decimal" w:pos="537"/>
              </w:tabs>
              <w:jc w:val="left"/>
              <w:rPr>
                <w:sz w:val="18"/>
                <w:szCs w:val="18"/>
              </w:rPr>
            </w:pPr>
            <w:r w:rsidRPr="001418AF">
              <w:rPr>
                <w:sz w:val="18"/>
                <w:szCs w:val="18"/>
              </w:rPr>
              <w:t>50.0</w:t>
            </w:r>
          </w:p>
        </w:tc>
        <w:tc>
          <w:tcPr>
            <w:tcW w:w="1075" w:type="dxa"/>
            <w:tcBorders>
              <w:bottom w:val="single" w:sz="6" w:space="0" w:color="404040"/>
              <w:right w:val="single" w:sz="6" w:space="0" w:color="404040"/>
            </w:tcBorders>
            <w:vAlign w:val="center"/>
          </w:tcPr>
          <w:p w14:paraId="621364BE" w14:textId="4F0C0CE3" w:rsidR="001418AF" w:rsidRPr="001418AF" w:rsidRDefault="001418AF" w:rsidP="001418AF">
            <w:pPr>
              <w:tabs>
                <w:tab w:val="decimal" w:pos="421"/>
              </w:tabs>
              <w:jc w:val="left"/>
              <w:rPr>
                <w:sz w:val="18"/>
                <w:szCs w:val="18"/>
              </w:rPr>
            </w:pPr>
            <w:r w:rsidRPr="001418AF">
              <w:rPr>
                <w:sz w:val="18"/>
                <w:szCs w:val="18"/>
              </w:rPr>
              <w:t>51.3</w:t>
            </w:r>
          </w:p>
        </w:tc>
        <w:tc>
          <w:tcPr>
            <w:tcW w:w="1268" w:type="dxa"/>
            <w:tcBorders>
              <w:left w:val="single" w:sz="6" w:space="0" w:color="404040"/>
              <w:bottom w:val="single" w:sz="6" w:space="0" w:color="404040"/>
              <w:right w:val="single" w:sz="6" w:space="0" w:color="404040"/>
            </w:tcBorders>
            <w:vAlign w:val="center"/>
          </w:tcPr>
          <w:p w14:paraId="1D0CC775" w14:textId="5B55DDA2" w:rsidR="001418AF" w:rsidRPr="001418AF" w:rsidRDefault="001418AF" w:rsidP="001418AF">
            <w:pPr>
              <w:tabs>
                <w:tab w:val="decimal" w:pos="579"/>
              </w:tabs>
              <w:jc w:val="left"/>
              <w:rPr>
                <w:sz w:val="18"/>
                <w:szCs w:val="18"/>
              </w:rPr>
            </w:pPr>
            <w:r w:rsidRPr="001418AF">
              <w:rPr>
                <w:sz w:val="18"/>
                <w:szCs w:val="18"/>
              </w:rPr>
              <w:t>1.3</w:t>
            </w:r>
          </w:p>
        </w:tc>
      </w:tr>
      <w:tr w:rsidR="007D03A9" w:rsidRPr="000A6510" w14:paraId="3AB66704"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2D7DA7D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89C6E1F" w14:textId="77777777" w:rsidR="007D03A9" w:rsidRPr="001418AF" w:rsidRDefault="007D03A9" w:rsidP="00140691">
            <w:pPr>
              <w:tabs>
                <w:tab w:val="decimal" w:pos="537"/>
                <w:tab w:val="decimal" w:pos="581"/>
              </w:tabs>
              <w:jc w:val="left"/>
              <w:rPr>
                <w:sz w:val="18"/>
                <w:szCs w:val="18"/>
              </w:rPr>
            </w:pPr>
            <w:r w:rsidRPr="001418AF">
              <w:rPr>
                <w:sz w:val="18"/>
                <w:szCs w:val="18"/>
              </w:rPr>
              <w:t> </w:t>
            </w:r>
          </w:p>
        </w:tc>
        <w:tc>
          <w:tcPr>
            <w:tcW w:w="1075" w:type="dxa"/>
            <w:tcBorders>
              <w:top w:val="single" w:sz="6" w:space="0" w:color="404040"/>
              <w:bottom w:val="single" w:sz="6" w:space="0" w:color="404040"/>
            </w:tcBorders>
            <w:shd w:val="clear" w:color="auto" w:fill="auto"/>
            <w:vAlign w:val="center"/>
          </w:tcPr>
          <w:p w14:paraId="343969A3" w14:textId="77777777" w:rsidR="007D03A9" w:rsidRPr="001418AF" w:rsidRDefault="007D03A9" w:rsidP="00140691">
            <w:pPr>
              <w:tabs>
                <w:tab w:val="decimal" w:pos="421"/>
              </w:tabs>
              <w:jc w:val="left"/>
              <w:rPr>
                <w:sz w:val="18"/>
                <w:szCs w:val="18"/>
              </w:rPr>
            </w:pPr>
            <w:r w:rsidRPr="001418AF">
              <w:rPr>
                <w:sz w:val="18"/>
                <w:szCs w:val="18"/>
              </w:rPr>
              <w:t> </w:t>
            </w:r>
          </w:p>
        </w:tc>
        <w:tc>
          <w:tcPr>
            <w:tcW w:w="1268" w:type="dxa"/>
            <w:tcBorders>
              <w:top w:val="single" w:sz="6" w:space="0" w:color="404040"/>
              <w:bottom w:val="single" w:sz="6" w:space="0" w:color="404040"/>
            </w:tcBorders>
            <w:shd w:val="clear" w:color="auto" w:fill="auto"/>
            <w:vAlign w:val="center"/>
          </w:tcPr>
          <w:p w14:paraId="19966BE8" w14:textId="77777777" w:rsidR="007D03A9" w:rsidRPr="001418AF" w:rsidRDefault="007D03A9" w:rsidP="00140691">
            <w:pPr>
              <w:tabs>
                <w:tab w:val="left" w:pos="202"/>
                <w:tab w:val="left" w:pos="228"/>
                <w:tab w:val="decimal" w:pos="579"/>
              </w:tabs>
              <w:jc w:val="left"/>
              <w:rPr>
                <w:sz w:val="18"/>
                <w:szCs w:val="18"/>
              </w:rPr>
            </w:pPr>
          </w:p>
        </w:tc>
      </w:tr>
      <w:tr w:rsidR="001418AF" w:rsidRPr="000A6510" w14:paraId="3BDD9197"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029AE617" w14:textId="6A7082A0" w:rsidR="001418AF" w:rsidRPr="000A6510" w:rsidRDefault="001418AF" w:rsidP="001418AF">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ector Construcción</w:t>
            </w:r>
          </w:p>
        </w:tc>
        <w:tc>
          <w:tcPr>
            <w:tcW w:w="1160" w:type="dxa"/>
            <w:tcBorders>
              <w:top w:val="single" w:sz="6" w:space="0" w:color="404040"/>
              <w:left w:val="single" w:sz="6" w:space="0" w:color="404040"/>
            </w:tcBorders>
            <w:shd w:val="clear" w:color="auto" w:fill="auto"/>
            <w:vAlign w:val="center"/>
          </w:tcPr>
          <w:p w14:paraId="0B79A779" w14:textId="06EB7B25" w:rsidR="001418AF" w:rsidRPr="001418AF" w:rsidRDefault="001418AF" w:rsidP="001418AF">
            <w:pPr>
              <w:tabs>
                <w:tab w:val="decimal" w:pos="537"/>
              </w:tabs>
              <w:jc w:val="left"/>
              <w:rPr>
                <w:b/>
                <w:sz w:val="18"/>
                <w:szCs w:val="18"/>
              </w:rPr>
            </w:pPr>
            <w:r w:rsidRPr="001418AF">
              <w:rPr>
                <w:b/>
                <w:bCs/>
                <w:sz w:val="18"/>
                <w:szCs w:val="18"/>
              </w:rPr>
              <w:t>54.0</w:t>
            </w:r>
          </w:p>
        </w:tc>
        <w:tc>
          <w:tcPr>
            <w:tcW w:w="1075" w:type="dxa"/>
            <w:tcBorders>
              <w:top w:val="single" w:sz="6" w:space="0" w:color="404040"/>
              <w:right w:val="single" w:sz="6" w:space="0" w:color="404040"/>
            </w:tcBorders>
            <w:shd w:val="clear" w:color="auto" w:fill="auto"/>
            <w:vAlign w:val="center"/>
          </w:tcPr>
          <w:p w14:paraId="551A7964" w14:textId="33C86145" w:rsidR="001418AF" w:rsidRPr="001418AF" w:rsidRDefault="001418AF" w:rsidP="001418AF">
            <w:pPr>
              <w:tabs>
                <w:tab w:val="decimal" w:pos="421"/>
              </w:tabs>
              <w:jc w:val="left"/>
              <w:rPr>
                <w:b/>
                <w:sz w:val="18"/>
                <w:szCs w:val="18"/>
              </w:rPr>
            </w:pPr>
            <w:r w:rsidRPr="001418AF">
              <w:rPr>
                <w:b/>
                <w:bCs/>
                <w:sz w:val="18"/>
                <w:szCs w:val="18"/>
              </w:rPr>
              <w:t>53.9</w:t>
            </w:r>
          </w:p>
        </w:tc>
        <w:tc>
          <w:tcPr>
            <w:tcW w:w="1268" w:type="dxa"/>
            <w:tcBorders>
              <w:top w:val="single" w:sz="6" w:space="0" w:color="404040"/>
              <w:left w:val="single" w:sz="6" w:space="0" w:color="404040"/>
              <w:right w:val="single" w:sz="6" w:space="0" w:color="404040"/>
            </w:tcBorders>
            <w:shd w:val="clear" w:color="auto" w:fill="auto"/>
            <w:vAlign w:val="center"/>
          </w:tcPr>
          <w:p w14:paraId="73AFD725" w14:textId="56E75A68" w:rsidR="001418AF" w:rsidRPr="001418AF" w:rsidRDefault="001418AF" w:rsidP="001418AF">
            <w:pPr>
              <w:tabs>
                <w:tab w:val="decimal" w:pos="579"/>
              </w:tabs>
              <w:jc w:val="left"/>
              <w:rPr>
                <w:b/>
                <w:sz w:val="18"/>
                <w:szCs w:val="18"/>
              </w:rPr>
            </w:pPr>
            <w:r w:rsidRPr="001418AF">
              <w:rPr>
                <w:b/>
                <w:bCs/>
                <w:sz w:val="18"/>
                <w:szCs w:val="18"/>
              </w:rPr>
              <w:t>-0.2</w:t>
            </w:r>
          </w:p>
        </w:tc>
      </w:tr>
      <w:tr w:rsidR="001418AF" w:rsidRPr="000A6510" w14:paraId="4E1B85B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E271E1B" w14:textId="77777777" w:rsidR="001418AF" w:rsidRPr="000A6510" w:rsidRDefault="001418AF" w:rsidP="001418AF">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7DBAB9E3" w14:textId="5C835D00" w:rsidR="001418AF" w:rsidRPr="001418AF" w:rsidRDefault="001418AF" w:rsidP="001418AF">
            <w:pPr>
              <w:tabs>
                <w:tab w:val="decimal" w:pos="537"/>
              </w:tabs>
              <w:jc w:val="left"/>
              <w:rPr>
                <w:sz w:val="18"/>
                <w:szCs w:val="18"/>
              </w:rPr>
            </w:pPr>
            <w:r w:rsidRPr="001418AF">
              <w:rPr>
                <w:sz w:val="18"/>
                <w:szCs w:val="18"/>
              </w:rPr>
              <w:t>55.0</w:t>
            </w:r>
          </w:p>
        </w:tc>
        <w:tc>
          <w:tcPr>
            <w:tcW w:w="1075" w:type="dxa"/>
            <w:tcBorders>
              <w:right w:val="single" w:sz="6" w:space="0" w:color="404040"/>
            </w:tcBorders>
            <w:shd w:val="clear" w:color="auto" w:fill="auto"/>
            <w:vAlign w:val="center"/>
          </w:tcPr>
          <w:p w14:paraId="7F7A2FA0" w14:textId="5B984438" w:rsidR="001418AF" w:rsidRPr="001418AF" w:rsidRDefault="001418AF" w:rsidP="001418AF">
            <w:pPr>
              <w:tabs>
                <w:tab w:val="decimal" w:pos="421"/>
              </w:tabs>
              <w:jc w:val="left"/>
              <w:rPr>
                <w:sz w:val="18"/>
                <w:szCs w:val="18"/>
              </w:rPr>
            </w:pPr>
            <w:r w:rsidRPr="001418AF">
              <w:rPr>
                <w:sz w:val="18"/>
                <w:szCs w:val="18"/>
              </w:rPr>
              <w:t>54.9</w:t>
            </w:r>
          </w:p>
        </w:tc>
        <w:tc>
          <w:tcPr>
            <w:tcW w:w="1268" w:type="dxa"/>
            <w:tcBorders>
              <w:left w:val="single" w:sz="6" w:space="0" w:color="404040"/>
              <w:right w:val="single" w:sz="6" w:space="0" w:color="404040"/>
            </w:tcBorders>
            <w:shd w:val="clear" w:color="auto" w:fill="auto"/>
            <w:vAlign w:val="center"/>
          </w:tcPr>
          <w:p w14:paraId="0D81F833" w14:textId="2E38D347" w:rsidR="001418AF" w:rsidRPr="001418AF" w:rsidRDefault="001418AF" w:rsidP="001418AF">
            <w:pPr>
              <w:tabs>
                <w:tab w:val="decimal" w:pos="579"/>
              </w:tabs>
              <w:jc w:val="left"/>
              <w:rPr>
                <w:sz w:val="18"/>
                <w:szCs w:val="18"/>
              </w:rPr>
            </w:pPr>
            <w:r w:rsidRPr="001418AF">
              <w:rPr>
                <w:sz w:val="18"/>
                <w:szCs w:val="18"/>
              </w:rPr>
              <w:t>-0.1</w:t>
            </w:r>
          </w:p>
        </w:tc>
      </w:tr>
      <w:tr w:rsidR="001418AF" w:rsidRPr="000A6510" w14:paraId="388EEC8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0E64289" w14:textId="77777777" w:rsidR="001418AF" w:rsidRPr="000A6510" w:rsidRDefault="001418AF" w:rsidP="001418AF">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6C932EF3" w14:textId="16395F39" w:rsidR="001418AF" w:rsidRPr="001418AF" w:rsidRDefault="001418AF" w:rsidP="001418AF">
            <w:pPr>
              <w:tabs>
                <w:tab w:val="decimal" w:pos="537"/>
              </w:tabs>
              <w:jc w:val="left"/>
              <w:rPr>
                <w:sz w:val="18"/>
                <w:szCs w:val="18"/>
              </w:rPr>
            </w:pPr>
            <w:r w:rsidRPr="001418AF">
              <w:rPr>
                <w:sz w:val="18"/>
                <w:szCs w:val="18"/>
              </w:rPr>
              <w:t>54.9</w:t>
            </w:r>
          </w:p>
        </w:tc>
        <w:tc>
          <w:tcPr>
            <w:tcW w:w="1075" w:type="dxa"/>
            <w:tcBorders>
              <w:right w:val="single" w:sz="6" w:space="0" w:color="404040"/>
            </w:tcBorders>
            <w:shd w:val="clear" w:color="auto" w:fill="auto"/>
            <w:vAlign w:val="center"/>
          </w:tcPr>
          <w:p w14:paraId="657D0E6C" w14:textId="48BDB348" w:rsidR="001418AF" w:rsidRPr="001418AF" w:rsidRDefault="001418AF" w:rsidP="001418AF">
            <w:pPr>
              <w:tabs>
                <w:tab w:val="decimal" w:pos="421"/>
              </w:tabs>
              <w:jc w:val="left"/>
              <w:rPr>
                <w:sz w:val="18"/>
                <w:szCs w:val="18"/>
              </w:rPr>
            </w:pPr>
            <w:r w:rsidRPr="001418AF">
              <w:rPr>
                <w:sz w:val="18"/>
                <w:szCs w:val="18"/>
              </w:rPr>
              <w:t>53.8</w:t>
            </w:r>
          </w:p>
        </w:tc>
        <w:tc>
          <w:tcPr>
            <w:tcW w:w="1268" w:type="dxa"/>
            <w:tcBorders>
              <w:left w:val="single" w:sz="6" w:space="0" w:color="404040"/>
              <w:right w:val="single" w:sz="6" w:space="0" w:color="404040"/>
            </w:tcBorders>
            <w:shd w:val="clear" w:color="auto" w:fill="auto"/>
            <w:vAlign w:val="center"/>
          </w:tcPr>
          <w:p w14:paraId="099F1FAD" w14:textId="29E063A8" w:rsidR="001418AF" w:rsidRPr="001418AF" w:rsidRDefault="001418AF" w:rsidP="001418AF">
            <w:pPr>
              <w:tabs>
                <w:tab w:val="decimal" w:pos="579"/>
              </w:tabs>
              <w:jc w:val="left"/>
              <w:rPr>
                <w:sz w:val="18"/>
                <w:szCs w:val="18"/>
              </w:rPr>
            </w:pPr>
            <w:r w:rsidRPr="001418AF">
              <w:rPr>
                <w:sz w:val="18"/>
                <w:szCs w:val="18"/>
              </w:rPr>
              <w:t>-1.2</w:t>
            </w:r>
          </w:p>
        </w:tc>
      </w:tr>
      <w:tr w:rsidR="001418AF" w:rsidRPr="000A6510" w14:paraId="07246236"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E1548EA" w14:textId="77777777" w:rsidR="001418AF" w:rsidRPr="000A6510" w:rsidRDefault="001418AF" w:rsidP="001418AF">
            <w:pPr>
              <w:pStyle w:val="Prrafodelista"/>
              <w:widowControl w:val="0"/>
              <w:numPr>
                <w:ilvl w:val="0"/>
                <w:numId w:val="11"/>
              </w:numPr>
              <w:spacing w:line="240" w:lineRule="exact"/>
              <w:ind w:left="322" w:hanging="266"/>
              <w:contextualSpacing/>
              <w:jc w:val="left"/>
              <w:rPr>
                <w:sz w:val="18"/>
                <w:szCs w:val="18"/>
                <w:lang w:val="es-MX"/>
              </w:rPr>
            </w:pPr>
            <w:proofErr w:type="gramStart"/>
            <w:r w:rsidRPr="000A6510">
              <w:rPr>
                <w:sz w:val="18"/>
                <w:szCs w:val="18"/>
                <w:lang w:val="es-MX"/>
              </w:rPr>
              <w:t>Total</w:t>
            </w:r>
            <w:proofErr w:type="gramEnd"/>
            <w:r w:rsidRPr="000A6510">
              <w:rPr>
                <w:sz w:val="18"/>
                <w:szCs w:val="18"/>
                <w:lang w:val="es-MX"/>
              </w:rPr>
              <w:t xml:space="preserve"> de contratos y subcontratos</w:t>
            </w:r>
          </w:p>
        </w:tc>
        <w:tc>
          <w:tcPr>
            <w:tcW w:w="1160" w:type="dxa"/>
            <w:tcBorders>
              <w:left w:val="single" w:sz="6" w:space="0" w:color="404040"/>
            </w:tcBorders>
            <w:shd w:val="clear" w:color="auto" w:fill="auto"/>
            <w:vAlign w:val="center"/>
          </w:tcPr>
          <w:p w14:paraId="719B3097" w14:textId="046662D8" w:rsidR="001418AF" w:rsidRPr="001418AF" w:rsidRDefault="001418AF" w:rsidP="001418AF">
            <w:pPr>
              <w:tabs>
                <w:tab w:val="decimal" w:pos="537"/>
              </w:tabs>
              <w:jc w:val="left"/>
              <w:rPr>
                <w:sz w:val="18"/>
                <w:szCs w:val="18"/>
              </w:rPr>
            </w:pPr>
            <w:r w:rsidRPr="001418AF">
              <w:rPr>
                <w:sz w:val="18"/>
                <w:szCs w:val="18"/>
              </w:rPr>
              <w:t>53.9</w:t>
            </w:r>
          </w:p>
        </w:tc>
        <w:tc>
          <w:tcPr>
            <w:tcW w:w="1075" w:type="dxa"/>
            <w:tcBorders>
              <w:right w:val="single" w:sz="6" w:space="0" w:color="404040"/>
            </w:tcBorders>
            <w:shd w:val="clear" w:color="auto" w:fill="auto"/>
            <w:vAlign w:val="center"/>
          </w:tcPr>
          <w:p w14:paraId="69A40D29" w14:textId="51AB4D6A" w:rsidR="001418AF" w:rsidRPr="001418AF" w:rsidRDefault="001418AF" w:rsidP="001418AF">
            <w:pPr>
              <w:tabs>
                <w:tab w:val="decimal" w:pos="421"/>
              </w:tabs>
              <w:jc w:val="left"/>
              <w:rPr>
                <w:sz w:val="18"/>
                <w:szCs w:val="18"/>
              </w:rPr>
            </w:pPr>
            <w:r w:rsidRPr="001418AF">
              <w:rPr>
                <w:sz w:val="18"/>
                <w:szCs w:val="18"/>
              </w:rPr>
              <w:t>54.3</w:t>
            </w:r>
          </w:p>
        </w:tc>
        <w:tc>
          <w:tcPr>
            <w:tcW w:w="1268" w:type="dxa"/>
            <w:tcBorders>
              <w:left w:val="single" w:sz="6" w:space="0" w:color="404040"/>
              <w:right w:val="single" w:sz="6" w:space="0" w:color="404040"/>
            </w:tcBorders>
            <w:shd w:val="clear" w:color="auto" w:fill="auto"/>
            <w:vAlign w:val="center"/>
          </w:tcPr>
          <w:p w14:paraId="5599C4EC" w14:textId="46518065" w:rsidR="001418AF" w:rsidRPr="001418AF" w:rsidRDefault="001418AF" w:rsidP="001418AF">
            <w:pPr>
              <w:tabs>
                <w:tab w:val="decimal" w:pos="579"/>
              </w:tabs>
              <w:jc w:val="left"/>
              <w:rPr>
                <w:sz w:val="18"/>
                <w:szCs w:val="18"/>
              </w:rPr>
            </w:pPr>
            <w:r w:rsidRPr="001418AF">
              <w:rPr>
                <w:sz w:val="18"/>
                <w:szCs w:val="18"/>
              </w:rPr>
              <w:t>0.4</w:t>
            </w:r>
          </w:p>
        </w:tc>
      </w:tr>
      <w:tr w:rsidR="001418AF" w:rsidRPr="000A6510" w14:paraId="500ED4C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19D8683E" w14:textId="77777777" w:rsidR="001418AF" w:rsidRPr="000A6510" w:rsidRDefault="001418AF" w:rsidP="001418AF">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E23D5F6" w14:textId="7EACAE01" w:rsidR="001418AF" w:rsidRPr="001418AF" w:rsidRDefault="001418AF" w:rsidP="001418AF">
            <w:pPr>
              <w:tabs>
                <w:tab w:val="decimal" w:pos="537"/>
              </w:tabs>
              <w:jc w:val="left"/>
              <w:rPr>
                <w:sz w:val="18"/>
                <w:szCs w:val="18"/>
              </w:rPr>
            </w:pPr>
            <w:r w:rsidRPr="001418AF">
              <w:rPr>
                <w:sz w:val="18"/>
                <w:szCs w:val="18"/>
              </w:rPr>
              <w:t>52.2</w:t>
            </w:r>
          </w:p>
        </w:tc>
        <w:tc>
          <w:tcPr>
            <w:tcW w:w="1075" w:type="dxa"/>
            <w:tcBorders>
              <w:bottom w:val="single" w:sz="6" w:space="0" w:color="404040"/>
              <w:right w:val="single" w:sz="6" w:space="0" w:color="404040"/>
            </w:tcBorders>
            <w:shd w:val="clear" w:color="auto" w:fill="auto"/>
            <w:vAlign w:val="center"/>
          </w:tcPr>
          <w:p w14:paraId="5FD40420" w14:textId="257E4519" w:rsidR="001418AF" w:rsidRPr="001418AF" w:rsidRDefault="001418AF" w:rsidP="001418AF">
            <w:pPr>
              <w:tabs>
                <w:tab w:val="decimal" w:pos="421"/>
              </w:tabs>
              <w:jc w:val="left"/>
              <w:rPr>
                <w:sz w:val="18"/>
                <w:szCs w:val="18"/>
              </w:rPr>
            </w:pPr>
            <w:r w:rsidRPr="001418AF">
              <w:rPr>
                <w:sz w:val="18"/>
                <w:szCs w:val="18"/>
              </w:rPr>
              <w:t>52.5</w:t>
            </w:r>
          </w:p>
        </w:tc>
        <w:tc>
          <w:tcPr>
            <w:tcW w:w="1268" w:type="dxa"/>
            <w:tcBorders>
              <w:left w:val="single" w:sz="6" w:space="0" w:color="404040"/>
              <w:bottom w:val="single" w:sz="6" w:space="0" w:color="404040"/>
              <w:right w:val="single" w:sz="6" w:space="0" w:color="404040"/>
            </w:tcBorders>
            <w:shd w:val="clear" w:color="auto" w:fill="auto"/>
            <w:vAlign w:val="center"/>
          </w:tcPr>
          <w:p w14:paraId="63AF1D95" w14:textId="091F0875" w:rsidR="001418AF" w:rsidRPr="001418AF" w:rsidRDefault="001418AF" w:rsidP="001418AF">
            <w:pPr>
              <w:tabs>
                <w:tab w:val="decimal" w:pos="579"/>
              </w:tabs>
              <w:jc w:val="left"/>
              <w:rPr>
                <w:sz w:val="18"/>
                <w:szCs w:val="18"/>
              </w:rPr>
            </w:pPr>
            <w:r w:rsidRPr="001418AF">
              <w:rPr>
                <w:sz w:val="18"/>
                <w:szCs w:val="18"/>
              </w:rPr>
              <w:t>0.2</w:t>
            </w:r>
          </w:p>
        </w:tc>
      </w:tr>
      <w:tr w:rsidR="0086092A" w:rsidRPr="000A6510" w14:paraId="2CE57D70"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6406264B"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5AF7EE13" w14:textId="77777777" w:rsidR="0086092A" w:rsidRPr="001418AF"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74753F24" w14:textId="77777777" w:rsidR="0086092A" w:rsidRPr="001418AF"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51044C07" w14:textId="77777777" w:rsidR="0086092A" w:rsidRPr="001418AF" w:rsidRDefault="0086092A" w:rsidP="00140691">
            <w:pPr>
              <w:tabs>
                <w:tab w:val="left" w:pos="202"/>
                <w:tab w:val="left" w:pos="228"/>
                <w:tab w:val="decimal" w:pos="579"/>
              </w:tabs>
              <w:jc w:val="left"/>
              <w:rPr>
                <w:sz w:val="18"/>
                <w:szCs w:val="18"/>
              </w:rPr>
            </w:pPr>
          </w:p>
        </w:tc>
      </w:tr>
      <w:tr w:rsidR="001418AF" w:rsidRPr="000A6510" w14:paraId="3E1ACBCC"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7B0A03CE" w14:textId="795019A6" w:rsidR="001418AF" w:rsidRPr="000A6510" w:rsidRDefault="001418AF" w:rsidP="001418AF">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ector Comercio</w:t>
            </w:r>
          </w:p>
        </w:tc>
        <w:tc>
          <w:tcPr>
            <w:tcW w:w="1160" w:type="dxa"/>
            <w:tcBorders>
              <w:top w:val="single" w:sz="6" w:space="0" w:color="404040"/>
              <w:left w:val="single" w:sz="6" w:space="0" w:color="404040"/>
            </w:tcBorders>
            <w:shd w:val="clear" w:color="auto" w:fill="auto"/>
            <w:vAlign w:val="center"/>
          </w:tcPr>
          <w:p w14:paraId="4A40F909" w14:textId="2FDFFC15" w:rsidR="001418AF" w:rsidRPr="001418AF" w:rsidRDefault="001418AF" w:rsidP="001418AF">
            <w:pPr>
              <w:tabs>
                <w:tab w:val="decimal" w:pos="537"/>
              </w:tabs>
              <w:jc w:val="left"/>
              <w:rPr>
                <w:b/>
                <w:sz w:val="18"/>
                <w:szCs w:val="18"/>
              </w:rPr>
            </w:pPr>
            <w:r w:rsidRPr="001418AF">
              <w:rPr>
                <w:b/>
                <w:bCs/>
                <w:sz w:val="18"/>
                <w:szCs w:val="18"/>
              </w:rPr>
              <w:t>40.3</w:t>
            </w:r>
          </w:p>
        </w:tc>
        <w:tc>
          <w:tcPr>
            <w:tcW w:w="1075" w:type="dxa"/>
            <w:tcBorders>
              <w:top w:val="single" w:sz="6" w:space="0" w:color="404040"/>
              <w:right w:val="single" w:sz="6" w:space="0" w:color="404040"/>
            </w:tcBorders>
            <w:shd w:val="clear" w:color="auto" w:fill="auto"/>
            <w:vAlign w:val="center"/>
          </w:tcPr>
          <w:p w14:paraId="399EAA35" w14:textId="43BA99EB" w:rsidR="001418AF" w:rsidRPr="001418AF" w:rsidRDefault="001418AF" w:rsidP="001418AF">
            <w:pPr>
              <w:tabs>
                <w:tab w:val="decimal" w:pos="421"/>
              </w:tabs>
              <w:jc w:val="left"/>
              <w:rPr>
                <w:b/>
                <w:sz w:val="18"/>
                <w:szCs w:val="18"/>
              </w:rPr>
            </w:pPr>
            <w:r w:rsidRPr="001418AF">
              <w:rPr>
                <w:b/>
                <w:bCs/>
                <w:sz w:val="18"/>
                <w:szCs w:val="18"/>
              </w:rPr>
              <w:t>42.5</w:t>
            </w:r>
          </w:p>
        </w:tc>
        <w:tc>
          <w:tcPr>
            <w:tcW w:w="1268" w:type="dxa"/>
            <w:tcBorders>
              <w:top w:val="single" w:sz="6" w:space="0" w:color="404040"/>
              <w:left w:val="single" w:sz="6" w:space="0" w:color="404040"/>
              <w:right w:val="single" w:sz="6" w:space="0" w:color="404040"/>
            </w:tcBorders>
            <w:shd w:val="clear" w:color="auto" w:fill="auto"/>
            <w:vAlign w:val="center"/>
          </w:tcPr>
          <w:p w14:paraId="16F4883A" w14:textId="35011D5E" w:rsidR="001418AF" w:rsidRPr="001418AF" w:rsidRDefault="001418AF" w:rsidP="001418AF">
            <w:pPr>
              <w:tabs>
                <w:tab w:val="decimal" w:pos="579"/>
              </w:tabs>
              <w:jc w:val="left"/>
              <w:rPr>
                <w:b/>
                <w:sz w:val="18"/>
                <w:szCs w:val="18"/>
              </w:rPr>
            </w:pPr>
            <w:r w:rsidRPr="001418AF">
              <w:rPr>
                <w:b/>
                <w:bCs/>
                <w:sz w:val="18"/>
                <w:szCs w:val="18"/>
              </w:rPr>
              <w:t>2.2</w:t>
            </w:r>
          </w:p>
        </w:tc>
      </w:tr>
      <w:tr w:rsidR="001418AF" w:rsidRPr="000A6510" w14:paraId="4991454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250929D4" w14:textId="77777777" w:rsidR="001418AF" w:rsidRPr="000A6510" w:rsidRDefault="001418AF" w:rsidP="001418A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6B965FE3" w14:textId="06F4F121" w:rsidR="001418AF" w:rsidRPr="001418AF" w:rsidRDefault="001418AF" w:rsidP="001418AF">
            <w:pPr>
              <w:tabs>
                <w:tab w:val="decimal" w:pos="537"/>
              </w:tabs>
              <w:jc w:val="left"/>
              <w:rPr>
                <w:sz w:val="18"/>
                <w:szCs w:val="18"/>
              </w:rPr>
            </w:pPr>
            <w:r w:rsidRPr="001418AF">
              <w:rPr>
                <w:sz w:val="18"/>
                <w:szCs w:val="18"/>
              </w:rPr>
              <w:t>41.2</w:t>
            </w:r>
          </w:p>
        </w:tc>
        <w:tc>
          <w:tcPr>
            <w:tcW w:w="1075" w:type="dxa"/>
            <w:tcBorders>
              <w:right w:val="single" w:sz="6" w:space="0" w:color="404040"/>
            </w:tcBorders>
            <w:shd w:val="clear" w:color="auto" w:fill="auto"/>
            <w:vAlign w:val="center"/>
          </w:tcPr>
          <w:p w14:paraId="02E97850" w14:textId="29F63465" w:rsidR="001418AF" w:rsidRPr="001418AF" w:rsidRDefault="001418AF" w:rsidP="001418AF">
            <w:pPr>
              <w:tabs>
                <w:tab w:val="decimal" w:pos="421"/>
              </w:tabs>
              <w:jc w:val="left"/>
              <w:rPr>
                <w:sz w:val="18"/>
                <w:szCs w:val="18"/>
              </w:rPr>
            </w:pPr>
            <w:r w:rsidRPr="001418AF">
              <w:rPr>
                <w:sz w:val="18"/>
                <w:szCs w:val="18"/>
              </w:rPr>
              <w:t>40.9</w:t>
            </w:r>
          </w:p>
        </w:tc>
        <w:tc>
          <w:tcPr>
            <w:tcW w:w="1268" w:type="dxa"/>
            <w:tcBorders>
              <w:left w:val="single" w:sz="6" w:space="0" w:color="404040"/>
              <w:right w:val="single" w:sz="6" w:space="0" w:color="404040"/>
            </w:tcBorders>
            <w:shd w:val="clear" w:color="auto" w:fill="auto"/>
            <w:vAlign w:val="center"/>
          </w:tcPr>
          <w:p w14:paraId="51B93774" w14:textId="1DC59A53" w:rsidR="001418AF" w:rsidRPr="001418AF" w:rsidRDefault="001418AF" w:rsidP="001418AF">
            <w:pPr>
              <w:tabs>
                <w:tab w:val="decimal" w:pos="579"/>
              </w:tabs>
              <w:jc w:val="left"/>
              <w:rPr>
                <w:sz w:val="18"/>
                <w:szCs w:val="18"/>
              </w:rPr>
            </w:pPr>
            <w:r w:rsidRPr="001418AF">
              <w:rPr>
                <w:sz w:val="18"/>
                <w:szCs w:val="18"/>
              </w:rPr>
              <w:t>-0.3</w:t>
            </w:r>
          </w:p>
        </w:tc>
      </w:tr>
      <w:tr w:rsidR="001418AF" w:rsidRPr="000A6510" w14:paraId="2DF460C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51C2B28" w14:textId="77777777" w:rsidR="001418AF" w:rsidRPr="000A6510" w:rsidRDefault="001418AF" w:rsidP="001418A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04B0805E" w14:textId="575652E6" w:rsidR="001418AF" w:rsidRPr="001418AF" w:rsidRDefault="001418AF" w:rsidP="001418AF">
            <w:pPr>
              <w:tabs>
                <w:tab w:val="decimal" w:pos="537"/>
              </w:tabs>
              <w:jc w:val="left"/>
              <w:rPr>
                <w:sz w:val="18"/>
                <w:szCs w:val="18"/>
              </w:rPr>
            </w:pPr>
            <w:r w:rsidRPr="001418AF">
              <w:rPr>
                <w:sz w:val="18"/>
                <w:szCs w:val="18"/>
              </w:rPr>
              <w:t>35.8</w:t>
            </w:r>
          </w:p>
        </w:tc>
        <w:tc>
          <w:tcPr>
            <w:tcW w:w="1075" w:type="dxa"/>
            <w:tcBorders>
              <w:right w:val="single" w:sz="6" w:space="0" w:color="404040"/>
            </w:tcBorders>
            <w:shd w:val="clear" w:color="auto" w:fill="auto"/>
            <w:vAlign w:val="center"/>
          </w:tcPr>
          <w:p w14:paraId="023939AB" w14:textId="01151028" w:rsidR="001418AF" w:rsidRPr="001418AF" w:rsidRDefault="001418AF" w:rsidP="001418AF">
            <w:pPr>
              <w:tabs>
                <w:tab w:val="decimal" w:pos="421"/>
              </w:tabs>
              <w:jc w:val="left"/>
              <w:rPr>
                <w:sz w:val="18"/>
                <w:szCs w:val="18"/>
              </w:rPr>
            </w:pPr>
            <w:r w:rsidRPr="001418AF">
              <w:rPr>
                <w:sz w:val="18"/>
                <w:szCs w:val="18"/>
              </w:rPr>
              <w:t>46.1</w:t>
            </w:r>
          </w:p>
        </w:tc>
        <w:tc>
          <w:tcPr>
            <w:tcW w:w="1268" w:type="dxa"/>
            <w:tcBorders>
              <w:left w:val="single" w:sz="6" w:space="0" w:color="404040"/>
              <w:right w:val="single" w:sz="6" w:space="0" w:color="404040"/>
            </w:tcBorders>
            <w:shd w:val="clear" w:color="auto" w:fill="auto"/>
            <w:vAlign w:val="center"/>
          </w:tcPr>
          <w:p w14:paraId="68660C57" w14:textId="0A72BCE0" w:rsidR="001418AF" w:rsidRPr="001418AF" w:rsidRDefault="001418AF" w:rsidP="001418AF">
            <w:pPr>
              <w:tabs>
                <w:tab w:val="decimal" w:pos="579"/>
              </w:tabs>
              <w:jc w:val="left"/>
              <w:rPr>
                <w:sz w:val="18"/>
                <w:szCs w:val="18"/>
              </w:rPr>
            </w:pPr>
            <w:r w:rsidRPr="001418AF">
              <w:rPr>
                <w:sz w:val="18"/>
                <w:szCs w:val="18"/>
              </w:rPr>
              <w:t>10.3</w:t>
            </w:r>
          </w:p>
        </w:tc>
      </w:tr>
      <w:tr w:rsidR="001418AF" w:rsidRPr="000A6510" w14:paraId="253308B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332078B" w14:textId="77777777" w:rsidR="001418AF" w:rsidRPr="000A6510" w:rsidRDefault="001418AF" w:rsidP="001418A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01581107" w14:textId="038D389D" w:rsidR="001418AF" w:rsidRPr="001418AF" w:rsidRDefault="001418AF" w:rsidP="001418AF">
            <w:pPr>
              <w:tabs>
                <w:tab w:val="decimal" w:pos="537"/>
              </w:tabs>
              <w:jc w:val="left"/>
              <w:rPr>
                <w:sz w:val="18"/>
                <w:szCs w:val="18"/>
              </w:rPr>
            </w:pPr>
            <w:r w:rsidRPr="001418AF">
              <w:rPr>
                <w:sz w:val="18"/>
                <w:szCs w:val="18"/>
              </w:rPr>
              <w:t>39.6</w:t>
            </w:r>
          </w:p>
        </w:tc>
        <w:tc>
          <w:tcPr>
            <w:tcW w:w="1075" w:type="dxa"/>
            <w:tcBorders>
              <w:right w:val="single" w:sz="6" w:space="0" w:color="404040"/>
            </w:tcBorders>
            <w:shd w:val="clear" w:color="auto" w:fill="auto"/>
            <w:vAlign w:val="center"/>
          </w:tcPr>
          <w:p w14:paraId="2A91EF7E" w14:textId="296C9C4D" w:rsidR="001418AF" w:rsidRPr="001418AF" w:rsidRDefault="001418AF" w:rsidP="001418AF">
            <w:pPr>
              <w:tabs>
                <w:tab w:val="decimal" w:pos="421"/>
              </w:tabs>
              <w:jc w:val="left"/>
              <w:rPr>
                <w:sz w:val="18"/>
                <w:szCs w:val="18"/>
              </w:rPr>
            </w:pPr>
            <w:r w:rsidRPr="001418AF">
              <w:rPr>
                <w:sz w:val="18"/>
                <w:szCs w:val="18"/>
              </w:rPr>
              <w:t>39.6</w:t>
            </w:r>
          </w:p>
        </w:tc>
        <w:tc>
          <w:tcPr>
            <w:tcW w:w="1268" w:type="dxa"/>
            <w:tcBorders>
              <w:left w:val="single" w:sz="6" w:space="0" w:color="404040"/>
              <w:right w:val="single" w:sz="6" w:space="0" w:color="404040"/>
            </w:tcBorders>
            <w:shd w:val="clear" w:color="auto" w:fill="auto"/>
            <w:vAlign w:val="center"/>
          </w:tcPr>
          <w:p w14:paraId="3B9D8639" w14:textId="29D93F7F" w:rsidR="001418AF" w:rsidRPr="001418AF" w:rsidRDefault="001418AF" w:rsidP="001418AF">
            <w:pPr>
              <w:tabs>
                <w:tab w:val="decimal" w:pos="579"/>
              </w:tabs>
              <w:jc w:val="left"/>
              <w:rPr>
                <w:sz w:val="18"/>
                <w:szCs w:val="18"/>
              </w:rPr>
            </w:pPr>
            <w:r w:rsidRPr="001418AF">
              <w:rPr>
                <w:sz w:val="18"/>
                <w:szCs w:val="18"/>
              </w:rPr>
              <w:t>-0.1</w:t>
            </w:r>
          </w:p>
        </w:tc>
      </w:tr>
      <w:tr w:rsidR="001418AF" w:rsidRPr="000A6510" w14:paraId="429326BC"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1E15780" w14:textId="77777777" w:rsidR="001418AF" w:rsidRPr="000A6510" w:rsidRDefault="001418AF" w:rsidP="001418A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CE6A43D" w14:textId="6F5412BC" w:rsidR="001418AF" w:rsidRPr="001418AF" w:rsidRDefault="001418AF" w:rsidP="001418AF">
            <w:pPr>
              <w:tabs>
                <w:tab w:val="decimal" w:pos="537"/>
              </w:tabs>
              <w:jc w:val="left"/>
              <w:rPr>
                <w:sz w:val="18"/>
                <w:szCs w:val="18"/>
              </w:rPr>
            </w:pPr>
            <w:r w:rsidRPr="001418AF">
              <w:rPr>
                <w:sz w:val="18"/>
                <w:szCs w:val="18"/>
              </w:rPr>
              <w:t>40.7</w:t>
            </w:r>
          </w:p>
        </w:tc>
        <w:tc>
          <w:tcPr>
            <w:tcW w:w="1075" w:type="dxa"/>
            <w:tcBorders>
              <w:right w:val="single" w:sz="6" w:space="0" w:color="404040"/>
            </w:tcBorders>
            <w:shd w:val="clear" w:color="auto" w:fill="auto"/>
            <w:vAlign w:val="center"/>
          </w:tcPr>
          <w:p w14:paraId="273790BA" w14:textId="7AD581AE" w:rsidR="001418AF" w:rsidRPr="001418AF" w:rsidRDefault="001418AF" w:rsidP="001418AF">
            <w:pPr>
              <w:tabs>
                <w:tab w:val="decimal" w:pos="421"/>
              </w:tabs>
              <w:jc w:val="left"/>
              <w:rPr>
                <w:sz w:val="18"/>
                <w:szCs w:val="18"/>
              </w:rPr>
            </w:pPr>
            <w:r w:rsidRPr="001418AF">
              <w:rPr>
                <w:sz w:val="18"/>
                <w:szCs w:val="18"/>
              </w:rPr>
              <w:t>39.8</w:t>
            </w:r>
          </w:p>
        </w:tc>
        <w:tc>
          <w:tcPr>
            <w:tcW w:w="1268" w:type="dxa"/>
            <w:tcBorders>
              <w:left w:val="single" w:sz="6" w:space="0" w:color="404040"/>
              <w:right w:val="single" w:sz="6" w:space="0" w:color="404040"/>
            </w:tcBorders>
            <w:shd w:val="clear" w:color="auto" w:fill="auto"/>
            <w:vAlign w:val="center"/>
          </w:tcPr>
          <w:p w14:paraId="19B7FDDF" w14:textId="13B85E70" w:rsidR="001418AF" w:rsidRPr="001418AF" w:rsidRDefault="001418AF" w:rsidP="001418AF">
            <w:pPr>
              <w:tabs>
                <w:tab w:val="decimal" w:pos="579"/>
              </w:tabs>
              <w:jc w:val="left"/>
              <w:rPr>
                <w:sz w:val="18"/>
                <w:szCs w:val="18"/>
              </w:rPr>
            </w:pPr>
            <w:r w:rsidRPr="001418AF">
              <w:rPr>
                <w:sz w:val="18"/>
                <w:szCs w:val="18"/>
              </w:rPr>
              <w:t>-1.0</w:t>
            </w:r>
          </w:p>
        </w:tc>
      </w:tr>
      <w:tr w:rsidR="001418AF" w:rsidRPr="000A6510" w14:paraId="3B82ABB7"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241C228" w14:textId="77777777" w:rsidR="001418AF" w:rsidRPr="000A6510" w:rsidRDefault="001418AF" w:rsidP="001418AF">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4FC2336D" w14:textId="0F2E0462" w:rsidR="001418AF" w:rsidRPr="001418AF" w:rsidRDefault="001418AF" w:rsidP="001418AF">
            <w:pPr>
              <w:tabs>
                <w:tab w:val="decimal" w:pos="537"/>
              </w:tabs>
              <w:jc w:val="left"/>
              <w:rPr>
                <w:sz w:val="18"/>
                <w:szCs w:val="18"/>
              </w:rPr>
            </w:pPr>
            <w:r w:rsidRPr="001418AF">
              <w:rPr>
                <w:sz w:val="18"/>
                <w:szCs w:val="18"/>
              </w:rPr>
              <w:t>44.3</w:t>
            </w:r>
          </w:p>
        </w:tc>
        <w:tc>
          <w:tcPr>
            <w:tcW w:w="1075" w:type="dxa"/>
            <w:tcBorders>
              <w:bottom w:val="single" w:sz="6" w:space="0" w:color="404040"/>
              <w:right w:val="single" w:sz="6" w:space="0" w:color="404040"/>
            </w:tcBorders>
            <w:shd w:val="clear" w:color="auto" w:fill="auto"/>
            <w:vAlign w:val="center"/>
          </w:tcPr>
          <w:p w14:paraId="683BAD98" w14:textId="65B5A155" w:rsidR="001418AF" w:rsidRPr="001418AF" w:rsidRDefault="001418AF" w:rsidP="001418AF">
            <w:pPr>
              <w:tabs>
                <w:tab w:val="decimal" w:pos="421"/>
              </w:tabs>
              <w:jc w:val="left"/>
              <w:rPr>
                <w:sz w:val="18"/>
                <w:szCs w:val="18"/>
              </w:rPr>
            </w:pPr>
            <w:r w:rsidRPr="001418AF">
              <w:rPr>
                <w:sz w:val="18"/>
                <w:szCs w:val="18"/>
              </w:rPr>
              <w:t>46.3</w:t>
            </w:r>
          </w:p>
        </w:tc>
        <w:tc>
          <w:tcPr>
            <w:tcW w:w="1268" w:type="dxa"/>
            <w:tcBorders>
              <w:left w:val="single" w:sz="6" w:space="0" w:color="404040"/>
              <w:bottom w:val="single" w:sz="6" w:space="0" w:color="404040"/>
              <w:right w:val="single" w:sz="6" w:space="0" w:color="404040"/>
            </w:tcBorders>
            <w:shd w:val="clear" w:color="auto" w:fill="auto"/>
            <w:vAlign w:val="center"/>
          </w:tcPr>
          <w:p w14:paraId="547F879E" w14:textId="5338BF9E" w:rsidR="001418AF" w:rsidRPr="001418AF" w:rsidRDefault="001418AF" w:rsidP="001418AF">
            <w:pPr>
              <w:tabs>
                <w:tab w:val="decimal" w:pos="579"/>
              </w:tabs>
              <w:jc w:val="left"/>
              <w:rPr>
                <w:sz w:val="18"/>
                <w:szCs w:val="18"/>
              </w:rPr>
            </w:pPr>
            <w:r w:rsidRPr="001418AF">
              <w:rPr>
                <w:sz w:val="18"/>
                <w:szCs w:val="18"/>
              </w:rPr>
              <w:t>2.0</w:t>
            </w:r>
          </w:p>
        </w:tc>
      </w:tr>
      <w:tr w:rsidR="0086092A" w:rsidRPr="000A6510" w14:paraId="62E8FFAA"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1F0253DD"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7580A98" w14:textId="77777777" w:rsidR="0086092A" w:rsidRPr="001418AF"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479B43BB" w14:textId="77777777" w:rsidR="0086092A" w:rsidRPr="001418AF"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2A8246F5" w14:textId="77777777" w:rsidR="0086092A" w:rsidRPr="001418AF" w:rsidRDefault="0086092A" w:rsidP="00140691">
            <w:pPr>
              <w:widowControl w:val="0"/>
              <w:jc w:val="left"/>
              <w:rPr>
                <w:sz w:val="18"/>
                <w:szCs w:val="18"/>
                <w:lang w:val="es-MX"/>
              </w:rPr>
            </w:pPr>
          </w:p>
        </w:tc>
      </w:tr>
      <w:tr w:rsidR="001418AF" w:rsidRPr="000A6510" w14:paraId="356B62F2"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FA514B8" w14:textId="3429752A" w:rsidR="001418AF" w:rsidRPr="000A6510" w:rsidRDefault="001418AF" w:rsidP="001418AF">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w:t>
            </w:r>
            <w:r>
              <w:rPr>
                <w:b/>
                <w:spacing w:val="4"/>
                <w:sz w:val="18"/>
                <w:szCs w:val="18"/>
              </w:rPr>
              <w:t xml:space="preserve"> </w:t>
            </w:r>
            <w:r w:rsidRPr="000A6510">
              <w:rPr>
                <w:b/>
                <w:spacing w:val="4"/>
                <w:sz w:val="18"/>
                <w:szCs w:val="18"/>
              </w:rPr>
              <w:t xml:space="preserve">Servicios </w:t>
            </w:r>
            <w:r>
              <w:rPr>
                <w:b/>
                <w:spacing w:val="4"/>
                <w:sz w:val="18"/>
                <w:szCs w:val="18"/>
              </w:rPr>
              <w:t>p</w:t>
            </w:r>
            <w:r w:rsidRPr="000A6510">
              <w:rPr>
                <w:b/>
                <w:spacing w:val="4"/>
                <w:sz w:val="18"/>
                <w:szCs w:val="18"/>
              </w:rPr>
              <w:t xml:space="preserve">rivados no </w:t>
            </w:r>
            <w:r>
              <w:rPr>
                <w:b/>
                <w:spacing w:val="4"/>
                <w:sz w:val="18"/>
                <w:szCs w:val="18"/>
              </w:rPr>
              <w:t>f</w:t>
            </w:r>
            <w:r w:rsidRPr="000A6510">
              <w:rPr>
                <w:b/>
                <w:spacing w:val="4"/>
                <w:sz w:val="18"/>
                <w:szCs w:val="18"/>
              </w:rPr>
              <w:t>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1B18A944" w14:textId="6D7F3A97" w:rsidR="001418AF" w:rsidRPr="001418AF" w:rsidRDefault="001418AF" w:rsidP="001418AF">
            <w:pPr>
              <w:tabs>
                <w:tab w:val="decimal" w:pos="537"/>
              </w:tabs>
              <w:jc w:val="left"/>
              <w:rPr>
                <w:b/>
                <w:sz w:val="18"/>
                <w:szCs w:val="18"/>
                <w:lang w:val="es-MX" w:eastAsia="es-MX"/>
              </w:rPr>
            </w:pPr>
            <w:r w:rsidRPr="001418AF">
              <w:rPr>
                <w:b/>
                <w:bCs/>
                <w:sz w:val="18"/>
                <w:szCs w:val="18"/>
              </w:rPr>
              <w:t>44.9</w:t>
            </w:r>
          </w:p>
        </w:tc>
        <w:tc>
          <w:tcPr>
            <w:tcW w:w="1075" w:type="dxa"/>
            <w:tcBorders>
              <w:top w:val="single" w:sz="6" w:space="0" w:color="404040"/>
              <w:right w:val="single" w:sz="6" w:space="0" w:color="404040"/>
            </w:tcBorders>
            <w:shd w:val="clear" w:color="auto" w:fill="auto"/>
            <w:vAlign w:val="center"/>
          </w:tcPr>
          <w:p w14:paraId="1C22680D" w14:textId="6B279471" w:rsidR="001418AF" w:rsidRPr="001418AF" w:rsidRDefault="001418AF" w:rsidP="001418AF">
            <w:pPr>
              <w:tabs>
                <w:tab w:val="decimal" w:pos="421"/>
              </w:tabs>
              <w:jc w:val="left"/>
              <w:rPr>
                <w:b/>
                <w:sz w:val="18"/>
                <w:szCs w:val="18"/>
              </w:rPr>
            </w:pPr>
            <w:r w:rsidRPr="001418AF">
              <w:rPr>
                <w:b/>
                <w:bCs/>
                <w:sz w:val="18"/>
                <w:szCs w:val="18"/>
              </w:rPr>
              <w:t>43.1</w:t>
            </w:r>
          </w:p>
        </w:tc>
        <w:tc>
          <w:tcPr>
            <w:tcW w:w="1268" w:type="dxa"/>
            <w:tcBorders>
              <w:top w:val="single" w:sz="6" w:space="0" w:color="404040"/>
              <w:left w:val="single" w:sz="6" w:space="0" w:color="404040"/>
              <w:right w:val="single" w:sz="6" w:space="0" w:color="404040"/>
            </w:tcBorders>
            <w:shd w:val="clear" w:color="auto" w:fill="auto"/>
            <w:vAlign w:val="center"/>
          </w:tcPr>
          <w:p w14:paraId="6EFE8619" w14:textId="29FBD6A4" w:rsidR="001418AF" w:rsidRPr="001418AF" w:rsidRDefault="001418AF" w:rsidP="001418AF">
            <w:pPr>
              <w:tabs>
                <w:tab w:val="decimal" w:pos="579"/>
              </w:tabs>
              <w:jc w:val="left"/>
              <w:rPr>
                <w:b/>
                <w:sz w:val="18"/>
                <w:szCs w:val="18"/>
              </w:rPr>
            </w:pPr>
            <w:r w:rsidRPr="001418AF">
              <w:rPr>
                <w:b/>
                <w:bCs/>
                <w:sz w:val="18"/>
                <w:szCs w:val="18"/>
              </w:rPr>
              <w:t>-1.7</w:t>
            </w:r>
          </w:p>
        </w:tc>
      </w:tr>
      <w:tr w:rsidR="001418AF" w:rsidRPr="000A6510" w14:paraId="0630840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73BFAD1C" w14:textId="77777777" w:rsidR="001418AF" w:rsidRPr="000A6510" w:rsidRDefault="001418AF" w:rsidP="001418A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1B610B27" w14:textId="0E6F552A" w:rsidR="001418AF" w:rsidRPr="001418AF" w:rsidRDefault="001418AF" w:rsidP="001418AF">
            <w:pPr>
              <w:tabs>
                <w:tab w:val="decimal" w:pos="537"/>
              </w:tabs>
              <w:jc w:val="left"/>
              <w:rPr>
                <w:sz w:val="18"/>
                <w:szCs w:val="18"/>
              </w:rPr>
            </w:pPr>
            <w:r w:rsidRPr="001418AF">
              <w:rPr>
                <w:sz w:val="18"/>
                <w:szCs w:val="18"/>
              </w:rPr>
              <w:t>44.3</w:t>
            </w:r>
          </w:p>
        </w:tc>
        <w:tc>
          <w:tcPr>
            <w:tcW w:w="1075" w:type="dxa"/>
            <w:tcBorders>
              <w:right w:val="single" w:sz="6" w:space="0" w:color="404040"/>
            </w:tcBorders>
            <w:shd w:val="clear" w:color="auto" w:fill="auto"/>
            <w:vAlign w:val="center"/>
          </w:tcPr>
          <w:p w14:paraId="74F593EF" w14:textId="37DC3F37" w:rsidR="001418AF" w:rsidRPr="001418AF" w:rsidRDefault="001418AF" w:rsidP="001418AF">
            <w:pPr>
              <w:tabs>
                <w:tab w:val="decimal" w:pos="421"/>
              </w:tabs>
              <w:jc w:val="left"/>
              <w:rPr>
                <w:sz w:val="18"/>
                <w:szCs w:val="18"/>
              </w:rPr>
            </w:pPr>
            <w:r w:rsidRPr="001418AF">
              <w:rPr>
                <w:sz w:val="18"/>
                <w:szCs w:val="18"/>
              </w:rPr>
              <w:t>42.3</w:t>
            </w:r>
          </w:p>
        </w:tc>
        <w:tc>
          <w:tcPr>
            <w:tcW w:w="1268" w:type="dxa"/>
            <w:tcBorders>
              <w:left w:val="single" w:sz="6" w:space="0" w:color="404040"/>
              <w:right w:val="single" w:sz="6" w:space="0" w:color="404040"/>
            </w:tcBorders>
            <w:shd w:val="clear" w:color="auto" w:fill="auto"/>
            <w:vAlign w:val="center"/>
          </w:tcPr>
          <w:p w14:paraId="0C391D95" w14:textId="0A683F33" w:rsidR="001418AF" w:rsidRPr="001418AF" w:rsidRDefault="001418AF" w:rsidP="001418AF">
            <w:pPr>
              <w:tabs>
                <w:tab w:val="decimal" w:pos="579"/>
              </w:tabs>
              <w:jc w:val="left"/>
              <w:rPr>
                <w:sz w:val="18"/>
                <w:szCs w:val="18"/>
              </w:rPr>
            </w:pPr>
            <w:r w:rsidRPr="001418AF">
              <w:rPr>
                <w:sz w:val="18"/>
                <w:szCs w:val="18"/>
              </w:rPr>
              <w:t>-2.0</w:t>
            </w:r>
          </w:p>
        </w:tc>
      </w:tr>
      <w:tr w:rsidR="001418AF" w:rsidRPr="000A6510" w14:paraId="63C1C038"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0E4571B6" w14:textId="77777777" w:rsidR="001418AF" w:rsidRPr="000A6510" w:rsidRDefault="001418AF" w:rsidP="001418A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192807F2" w14:textId="17FD5CA3" w:rsidR="001418AF" w:rsidRPr="001418AF" w:rsidRDefault="001418AF" w:rsidP="001418AF">
            <w:pPr>
              <w:tabs>
                <w:tab w:val="decimal" w:pos="537"/>
              </w:tabs>
              <w:jc w:val="left"/>
              <w:rPr>
                <w:sz w:val="18"/>
                <w:szCs w:val="18"/>
              </w:rPr>
            </w:pPr>
            <w:r w:rsidRPr="001418AF">
              <w:rPr>
                <w:sz w:val="18"/>
                <w:szCs w:val="18"/>
              </w:rPr>
              <w:t>44.2</w:t>
            </w:r>
          </w:p>
        </w:tc>
        <w:tc>
          <w:tcPr>
            <w:tcW w:w="1075" w:type="dxa"/>
            <w:tcBorders>
              <w:right w:val="single" w:sz="6" w:space="0" w:color="404040"/>
            </w:tcBorders>
            <w:shd w:val="clear" w:color="auto" w:fill="auto"/>
            <w:vAlign w:val="center"/>
          </w:tcPr>
          <w:p w14:paraId="2FC58490" w14:textId="00D2D8C3" w:rsidR="001418AF" w:rsidRPr="001418AF" w:rsidRDefault="001418AF" w:rsidP="001418AF">
            <w:pPr>
              <w:tabs>
                <w:tab w:val="decimal" w:pos="421"/>
              </w:tabs>
              <w:jc w:val="left"/>
              <w:rPr>
                <w:sz w:val="18"/>
                <w:szCs w:val="18"/>
              </w:rPr>
            </w:pPr>
            <w:r w:rsidRPr="001418AF">
              <w:rPr>
                <w:sz w:val="18"/>
                <w:szCs w:val="18"/>
              </w:rPr>
              <w:t>43.4</w:t>
            </w:r>
          </w:p>
        </w:tc>
        <w:tc>
          <w:tcPr>
            <w:tcW w:w="1268" w:type="dxa"/>
            <w:tcBorders>
              <w:left w:val="single" w:sz="6" w:space="0" w:color="404040"/>
              <w:right w:val="single" w:sz="6" w:space="0" w:color="404040"/>
            </w:tcBorders>
            <w:shd w:val="clear" w:color="auto" w:fill="auto"/>
            <w:vAlign w:val="center"/>
          </w:tcPr>
          <w:p w14:paraId="477B6440" w14:textId="292B8B6E" w:rsidR="001418AF" w:rsidRPr="001418AF" w:rsidRDefault="001418AF" w:rsidP="001418AF">
            <w:pPr>
              <w:tabs>
                <w:tab w:val="decimal" w:pos="579"/>
              </w:tabs>
              <w:jc w:val="left"/>
              <w:rPr>
                <w:sz w:val="18"/>
                <w:szCs w:val="18"/>
              </w:rPr>
            </w:pPr>
            <w:r w:rsidRPr="001418AF">
              <w:rPr>
                <w:sz w:val="18"/>
                <w:szCs w:val="18"/>
              </w:rPr>
              <w:t>-0.8</w:t>
            </w:r>
          </w:p>
        </w:tc>
      </w:tr>
      <w:tr w:rsidR="001418AF" w:rsidRPr="000A6510" w14:paraId="6F275260"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AF7FD70" w14:textId="77777777" w:rsidR="001418AF" w:rsidRPr="000A6510" w:rsidRDefault="001418AF" w:rsidP="001418A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36C2640A" w14:textId="78C711AD" w:rsidR="001418AF" w:rsidRPr="001418AF" w:rsidRDefault="001418AF" w:rsidP="001418AF">
            <w:pPr>
              <w:tabs>
                <w:tab w:val="decimal" w:pos="537"/>
              </w:tabs>
              <w:jc w:val="left"/>
              <w:rPr>
                <w:sz w:val="18"/>
                <w:szCs w:val="18"/>
              </w:rPr>
            </w:pPr>
            <w:r w:rsidRPr="001418AF">
              <w:rPr>
                <w:sz w:val="18"/>
                <w:szCs w:val="18"/>
              </w:rPr>
              <w:t>44.5</w:t>
            </w:r>
          </w:p>
        </w:tc>
        <w:tc>
          <w:tcPr>
            <w:tcW w:w="1075" w:type="dxa"/>
            <w:tcBorders>
              <w:right w:val="single" w:sz="6" w:space="0" w:color="404040"/>
            </w:tcBorders>
            <w:shd w:val="clear" w:color="auto" w:fill="auto"/>
            <w:vAlign w:val="center"/>
          </w:tcPr>
          <w:p w14:paraId="5A84AFDE" w14:textId="3BEDB2EA" w:rsidR="001418AF" w:rsidRPr="001418AF" w:rsidRDefault="001418AF" w:rsidP="001418AF">
            <w:pPr>
              <w:tabs>
                <w:tab w:val="decimal" w:pos="421"/>
              </w:tabs>
              <w:jc w:val="left"/>
              <w:rPr>
                <w:sz w:val="18"/>
                <w:szCs w:val="18"/>
              </w:rPr>
            </w:pPr>
            <w:r w:rsidRPr="001418AF">
              <w:rPr>
                <w:sz w:val="18"/>
                <w:szCs w:val="18"/>
              </w:rPr>
              <w:t>39.2</w:t>
            </w:r>
          </w:p>
        </w:tc>
        <w:tc>
          <w:tcPr>
            <w:tcW w:w="1268" w:type="dxa"/>
            <w:tcBorders>
              <w:left w:val="single" w:sz="6" w:space="0" w:color="404040"/>
              <w:right w:val="single" w:sz="6" w:space="0" w:color="404040"/>
            </w:tcBorders>
            <w:shd w:val="clear" w:color="auto" w:fill="auto"/>
            <w:vAlign w:val="center"/>
          </w:tcPr>
          <w:p w14:paraId="2F5BC87E" w14:textId="7047FB68" w:rsidR="001418AF" w:rsidRPr="001418AF" w:rsidRDefault="001418AF" w:rsidP="001418AF">
            <w:pPr>
              <w:tabs>
                <w:tab w:val="decimal" w:pos="579"/>
              </w:tabs>
              <w:jc w:val="left"/>
              <w:rPr>
                <w:sz w:val="18"/>
                <w:szCs w:val="18"/>
              </w:rPr>
            </w:pPr>
            <w:r w:rsidRPr="001418AF">
              <w:rPr>
                <w:sz w:val="18"/>
                <w:szCs w:val="18"/>
              </w:rPr>
              <w:t>-5.3</w:t>
            </w:r>
          </w:p>
        </w:tc>
      </w:tr>
      <w:tr w:rsidR="001418AF" w:rsidRPr="000A6510" w14:paraId="37D06B42"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2902D73" w14:textId="77777777" w:rsidR="001418AF" w:rsidRPr="000A6510" w:rsidRDefault="001418AF" w:rsidP="001418A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002C894C" w14:textId="43077A92" w:rsidR="001418AF" w:rsidRPr="001418AF" w:rsidRDefault="001418AF" w:rsidP="001418AF">
            <w:pPr>
              <w:tabs>
                <w:tab w:val="decimal" w:pos="537"/>
              </w:tabs>
              <w:jc w:val="left"/>
              <w:rPr>
                <w:sz w:val="18"/>
                <w:szCs w:val="18"/>
              </w:rPr>
            </w:pPr>
            <w:r w:rsidRPr="001418AF">
              <w:rPr>
                <w:sz w:val="18"/>
                <w:szCs w:val="18"/>
              </w:rPr>
              <w:t>46.5</w:t>
            </w:r>
          </w:p>
        </w:tc>
        <w:tc>
          <w:tcPr>
            <w:tcW w:w="1075" w:type="dxa"/>
            <w:tcBorders>
              <w:bottom w:val="single" w:sz="6" w:space="0" w:color="404040"/>
              <w:right w:val="single" w:sz="6" w:space="0" w:color="404040"/>
            </w:tcBorders>
            <w:shd w:val="clear" w:color="auto" w:fill="auto"/>
            <w:vAlign w:val="center"/>
          </w:tcPr>
          <w:p w14:paraId="479BC708" w14:textId="48451D56" w:rsidR="001418AF" w:rsidRPr="001418AF" w:rsidRDefault="001418AF" w:rsidP="001418AF">
            <w:pPr>
              <w:tabs>
                <w:tab w:val="decimal" w:pos="421"/>
              </w:tabs>
              <w:jc w:val="left"/>
              <w:rPr>
                <w:sz w:val="18"/>
                <w:szCs w:val="18"/>
              </w:rPr>
            </w:pPr>
            <w:r w:rsidRPr="001418AF">
              <w:rPr>
                <w:sz w:val="18"/>
                <w:szCs w:val="18"/>
              </w:rPr>
              <w:t>47.7</w:t>
            </w:r>
          </w:p>
        </w:tc>
        <w:tc>
          <w:tcPr>
            <w:tcW w:w="1268" w:type="dxa"/>
            <w:tcBorders>
              <w:left w:val="single" w:sz="6" w:space="0" w:color="404040"/>
              <w:bottom w:val="single" w:sz="6" w:space="0" w:color="404040"/>
              <w:right w:val="single" w:sz="6" w:space="0" w:color="404040"/>
            </w:tcBorders>
            <w:shd w:val="clear" w:color="auto" w:fill="auto"/>
            <w:vAlign w:val="center"/>
          </w:tcPr>
          <w:p w14:paraId="3E2F4E02" w14:textId="2C584E7C" w:rsidR="001418AF" w:rsidRPr="001418AF" w:rsidRDefault="001418AF" w:rsidP="001418AF">
            <w:pPr>
              <w:tabs>
                <w:tab w:val="decimal" w:pos="579"/>
              </w:tabs>
              <w:jc w:val="left"/>
              <w:rPr>
                <w:sz w:val="18"/>
                <w:szCs w:val="18"/>
              </w:rPr>
            </w:pPr>
            <w:r w:rsidRPr="001418AF">
              <w:rPr>
                <w:sz w:val="18"/>
                <w:szCs w:val="18"/>
              </w:rPr>
              <w:t>1.2</w:t>
            </w:r>
          </w:p>
        </w:tc>
      </w:tr>
    </w:tbl>
    <w:bookmarkEnd w:id="0"/>
    <w:p w14:paraId="51AF9639" w14:textId="77777777"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5822DAFA"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4C379398" w14:textId="09823340" w:rsidR="00323767" w:rsidRPr="00D337D1" w:rsidRDefault="00323767" w:rsidP="00D337D1">
      <w:pPr>
        <w:widowControl w:val="0"/>
        <w:tabs>
          <w:tab w:val="left" w:pos="567"/>
        </w:tabs>
        <w:ind w:left="1148" w:right="516" w:hanging="604"/>
        <w:rPr>
          <w:sz w:val="16"/>
          <w:szCs w:val="16"/>
        </w:rPr>
      </w:pPr>
      <w:r w:rsidRPr="749C35CD">
        <w:rPr>
          <w:sz w:val="18"/>
          <w:szCs w:val="18"/>
          <w:vertAlign w:val="superscript"/>
        </w:rPr>
        <w:t>2/</w:t>
      </w:r>
      <w:r>
        <w:tab/>
      </w:r>
      <w:r w:rsidRPr="00D337D1">
        <w:rPr>
          <w:sz w:val="16"/>
          <w:szCs w:val="16"/>
        </w:rPr>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B2601D8"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00642E03">
        <w:rPr>
          <w:sz w:val="16"/>
          <w:szCs w:val="16"/>
        </w:rPr>
        <w:tab/>
        <w:t>Dato preliminar</w:t>
      </w:r>
    </w:p>
    <w:p w14:paraId="4C2163DB" w14:textId="77777777"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642E03">
        <w:rPr>
          <w:sz w:val="16"/>
          <w:szCs w:val="16"/>
        </w:rPr>
        <w:t>INEGI</w:t>
      </w:r>
    </w:p>
    <w:p w14:paraId="38009EBA" w14:textId="77777777" w:rsidR="005562ED" w:rsidRPr="00AB7CD0" w:rsidRDefault="005562ED" w:rsidP="00AB69C8">
      <w:pPr>
        <w:keepNext/>
        <w:keepLines/>
        <w:tabs>
          <w:tab w:val="left" w:pos="2835"/>
          <w:tab w:val="left" w:pos="9432"/>
        </w:tabs>
        <w:spacing w:before="360"/>
        <w:ind w:left="-142" w:right="-91"/>
        <w:outlineLvl w:val="0"/>
        <w:rPr>
          <w:b/>
        </w:rPr>
      </w:pPr>
      <w:r w:rsidRPr="00AB7CD0">
        <w:rPr>
          <w:b/>
        </w:rPr>
        <w:lastRenderedPageBreak/>
        <w:t>Nota al usuario</w:t>
      </w:r>
    </w:p>
    <w:p w14:paraId="0AD61B11" w14:textId="64558DA3" w:rsidR="00C040BB" w:rsidRPr="0058535B" w:rsidRDefault="00CA2D96" w:rsidP="00AB69C8">
      <w:pPr>
        <w:keepNext/>
        <w:keepLines/>
        <w:spacing w:before="200"/>
        <w:ind w:left="-142" w:right="-91"/>
      </w:pPr>
      <w:bookmarkStart w:id="1"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4A7A7A">
        <w:t>r</w:t>
      </w:r>
      <w:r w:rsidRPr="004A7A7A">
        <w:t xml:space="preserve">espuesta de la </w:t>
      </w:r>
      <w:r w:rsidR="00B620C9" w:rsidRPr="004A7A7A">
        <w:t>EMOE</w:t>
      </w:r>
      <w:r w:rsidR="00643B07" w:rsidRPr="004A7A7A">
        <w:t xml:space="preserve">, correspondiente </w:t>
      </w:r>
      <w:r w:rsidR="004A7A7A" w:rsidRPr="004A7A7A">
        <w:t xml:space="preserve">a </w:t>
      </w:r>
      <w:r w:rsidR="00FF31A9" w:rsidRPr="004A7A7A">
        <w:t>e</w:t>
      </w:r>
      <w:r w:rsidR="005E26A3" w:rsidRPr="004A7A7A">
        <w:t>nero</w:t>
      </w:r>
      <w:r w:rsidRPr="004A7A7A">
        <w:t xml:space="preserve"> de </w:t>
      </w:r>
      <w:r w:rsidR="005E26A3" w:rsidRPr="004A7A7A">
        <w:t>2023</w:t>
      </w:r>
      <w:r w:rsidRPr="004A7A7A">
        <w:t>, registró porcentajes apropiados conforme al diseño est</w:t>
      </w:r>
      <w:r w:rsidR="00B620C9" w:rsidRPr="004A7A7A">
        <w:t xml:space="preserve">adístico de la encuesta. Esto </w:t>
      </w:r>
      <w:r w:rsidRPr="004A7A7A">
        <w:t xml:space="preserve">permitió </w:t>
      </w:r>
      <w:r w:rsidR="00B620C9" w:rsidRPr="004A7A7A">
        <w:t xml:space="preserve">generar </w:t>
      </w:r>
      <w:r w:rsidRPr="004A7A7A">
        <w:t>estad</w:t>
      </w:r>
      <w:r w:rsidR="00B620C9" w:rsidRPr="004A7A7A">
        <w:t>ísticas con niveles altos de</w:t>
      </w:r>
      <w:r w:rsidRPr="004A7A7A">
        <w:t xml:space="preserve"> precisión</w:t>
      </w:r>
      <w:r w:rsidR="00004C88" w:rsidRPr="004A7A7A">
        <w:t xml:space="preserve">. </w:t>
      </w:r>
      <w:r w:rsidR="00B620C9" w:rsidRPr="004A7A7A">
        <w:t>Se recomienda usar con reserva las estimaciones de</w:t>
      </w:r>
      <w:r w:rsidR="00751D4B" w:rsidRPr="004A7A7A">
        <w:t>l</w:t>
      </w:r>
      <w:r w:rsidR="002436E7" w:rsidRPr="004A7A7A">
        <w:t xml:space="preserve"> </w:t>
      </w:r>
      <w:r w:rsidR="00455759" w:rsidRPr="004A7A7A">
        <w:t>dominio</w:t>
      </w:r>
      <w:bookmarkStart w:id="2" w:name="_Hlk70498342"/>
      <w:bookmarkEnd w:id="1"/>
      <w:r w:rsidR="00C040BB" w:rsidRPr="004A7A7A">
        <w:t xml:space="preserve"> </w:t>
      </w:r>
      <w:r w:rsidR="0058535B" w:rsidRPr="004A7A7A">
        <w:t>Servicios profesionales, científicos y técnicos</w:t>
      </w:r>
      <w:r w:rsidR="00951F38" w:rsidRPr="004A7A7A">
        <w:t>,</w:t>
      </w:r>
      <w:r w:rsidR="00385A00" w:rsidRPr="004A7A7A">
        <w:t xml:space="preserve"> </w:t>
      </w:r>
      <w:r w:rsidR="002436E7" w:rsidRPr="004A7A7A">
        <w:t>que</w:t>
      </w:r>
      <w:r w:rsidR="00751D4B" w:rsidRPr="004A7A7A">
        <w:t xml:space="preserve"> tiene</w:t>
      </w:r>
      <w:r w:rsidR="00FA3E72" w:rsidRPr="004A7A7A">
        <w:t xml:space="preserve"> una participación de </w:t>
      </w:r>
      <w:r w:rsidR="00751D4B" w:rsidRPr="004A7A7A">
        <w:t xml:space="preserve">0.5 </w:t>
      </w:r>
      <w:r w:rsidR="00C040BB" w:rsidRPr="004A7A7A">
        <w:t>%</w:t>
      </w:r>
      <w:r w:rsidR="00C040BB" w:rsidRPr="0058535B">
        <w:t xml:space="preserve"> en los ingresos representados por la encuesta.</w:t>
      </w:r>
    </w:p>
    <w:p w14:paraId="52D91851" w14:textId="5B4DD6BC" w:rsidR="00C040BB" w:rsidRDefault="00A97984" w:rsidP="00AB69C8">
      <w:pPr>
        <w:spacing w:before="200"/>
        <w:ind w:left="-142" w:right="-91"/>
        <w:rPr>
          <w:lang w:val="es-MX" w:eastAsia="es-MX"/>
        </w:rPr>
      </w:pPr>
      <w:r w:rsidRPr="0058535B">
        <w:rPr>
          <w:lang w:val="es-MX" w:eastAsia="es-MX"/>
        </w:rPr>
        <w:t>L</w:t>
      </w:r>
      <w:r w:rsidR="00C040BB" w:rsidRPr="0058535B">
        <w:rPr>
          <w:lang w:val="es-MX" w:eastAsia="es-MX"/>
        </w:rPr>
        <w:t>as cifras desestacionalizadas</w:t>
      </w:r>
      <w:r w:rsidR="00C040BB" w:rsidRPr="00441545">
        <w:rPr>
          <w:lang w:val="es-MX" w:eastAsia="es-MX"/>
        </w:rPr>
        <w:t xml:space="preserve">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 en los modelos de ajuste estacional para los meses de la contingencia</w:t>
      </w:r>
      <w:r w:rsidR="005764C0">
        <w:rPr>
          <w:lang w:val="es-MX" w:eastAsia="es-MX"/>
        </w:rPr>
        <w:t xml:space="preserve">, como el de </w:t>
      </w:r>
      <w:proofErr w:type="spellStart"/>
      <w:r w:rsidR="005764C0">
        <w:rPr>
          <w:lang w:val="es-MX" w:eastAsia="es-MX"/>
        </w:rPr>
        <w:t>o</w:t>
      </w:r>
      <w:r w:rsidR="005764C0" w:rsidRPr="00430DD6">
        <w:rPr>
          <w:i/>
          <w:lang w:val="es-MX" w:eastAsia="es-MX"/>
        </w:rPr>
        <w:t>utliers</w:t>
      </w:r>
      <w:proofErr w:type="spellEnd"/>
      <w:r w:rsidR="00C040BB" w:rsidRPr="00441545">
        <w:rPr>
          <w:lang w:val="es-MX" w:eastAsia="es-MX"/>
        </w:rPr>
        <w:t>. Lo anterior</w:t>
      </w:r>
      <w:r w:rsidR="364F626D" w:rsidRPr="74B160B0">
        <w:rPr>
          <w:lang w:val="es-MX" w:eastAsia="es-MX"/>
        </w:rPr>
        <w:t>,</w:t>
      </w:r>
      <w:r w:rsidR="00C040BB" w:rsidRPr="00441545">
        <w:rPr>
          <w:lang w:val="es-MX" w:eastAsia="es-MX"/>
        </w:rPr>
        <w:t xml:space="preserve">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6D86BDA8" w14:textId="77777777" w:rsidR="00A46C32" w:rsidRPr="00AB7CD0" w:rsidRDefault="00A46C32" w:rsidP="00AB69C8">
      <w:pPr>
        <w:widowControl w:val="0"/>
        <w:tabs>
          <w:tab w:val="left" w:pos="9432"/>
        </w:tabs>
        <w:spacing w:before="360"/>
        <w:ind w:left="-142" w:right="-91"/>
        <w:rPr>
          <w:b/>
        </w:rPr>
      </w:pPr>
      <w:r w:rsidRPr="00AB7CD0">
        <w:rPr>
          <w:b/>
        </w:rPr>
        <w:t xml:space="preserve">Nota metodológica </w:t>
      </w:r>
    </w:p>
    <w:p w14:paraId="6526B4E3" w14:textId="530FA1B2" w:rsidR="003A76C9" w:rsidRPr="000A6510" w:rsidRDefault="003A76C9" w:rsidP="00AB69C8">
      <w:pPr>
        <w:pStyle w:val="Default"/>
        <w:spacing w:before="240"/>
        <w:ind w:left="-142" w:right="-91"/>
        <w:jc w:val="both"/>
      </w:pPr>
      <w:r w:rsidRPr="000A6510">
        <w:t xml:space="preserve">La </w:t>
      </w:r>
      <w:r w:rsidR="002756A6">
        <w:t xml:space="preserve">EMOE </w:t>
      </w:r>
      <w:r w:rsidRPr="000A6510">
        <w:t>genera indicadores</w:t>
      </w:r>
      <w:r w:rsidR="002B2D18">
        <w:t>,</w:t>
      </w:r>
      <w:r w:rsidRPr="000A6510">
        <w:t xml:space="preserve"> a nivel nacional </w:t>
      </w:r>
      <w:r w:rsidR="002B2D18">
        <w:t xml:space="preserve">y </w:t>
      </w:r>
      <w:r w:rsidRPr="000A6510">
        <w:t>de carácter cualitativo</w:t>
      </w:r>
      <w:r w:rsidR="002B2D18">
        <w:t>,</w:t>
      </w:r>
      <w:r w:rsidRPr="000A6510">
        <w:t xml:space="preserve"> basados en las opiniones de</w:t>
      </w:r>
      <w:r w:rsidR="00D05E76">
        <w:t xml:space="preserve"> las y</w:t>
      </w:r>
      <w:r w:rsidRPr="000A6510">
        <w:t xml:space="preserve"> los empresarios</w:t>
      </w:r>
      <w:r w:rsidR="002756A6">
        <w:t xml:space="preserve">. </w:t>
      </w:r>
      <w:r w:rsidR="00F22852">
        <w:t>A partir de e</w:t>
      </w:r>
      <w:r w:rsidR="005F07C5">
        <w:t>st</w:t>
      </w:r>
      <w:r w:rsidR="00F22852">
        <w:t xml:space="preserve">as </w:t>
      </w:r>
      <w:r w:rsidR="002B2D18">
        <w:t>es posible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 xml:space="preserve">Industrias </w:t>
      </w:r>
      <w:r w:rsidR="004155B1">
        <w:rPr>
          <w:color w:val="auto"/>
          <w:lang w:val="es-ES"/>
        </w:rPr>
        <w:t>m</w:t>
      </w:r>
      <w:r w:rsidRPr="000A6510">
        <w:rPr>
          <w:color w:val="auto"/>
          <w:lang w:val="es-ES"/>
        </w:rPr>
        <w:t xml:space="preserve">anufactureras, Construcción, Comercio y Servicios </w:t>
      </w:r>
      <w:r w:rsidR="00C469E9">
        <w:rPr>
          <w:color w:val="auto"/>
          <w:lang w:val="es-ES"/>
        </w:rPr>
        <w:t>p</w:t>
      </w:r>
      <w:r w:rsidRPr="000A6510">
        <w:rPr>
          <w:color w:val="auto"/>
          <w:lang w:val="es-ES"/>
        </w:rPr>
        <w:t xml:space="preserve">rivados no </w:t>
      </w:r>
      <w:r w:rsidR="00C469E9">
        <w:rPr>
          <w:color w:val="auto"/>
          <w:lang w:val="es-ES"/>
        </w:rPr>
        <w:t>f</w:t>
      </w:r>
      <w:r w:rsidRPr="000A6510">
        <w:rPr>
          <w:color w:val="auto"/>
          <w:lang w:val="es-ES"/>
        </w:rPr>
        <w:t>inancieros.</w:t>
      </w:r>
    </w:p>
    <w:p w14:paraId="18F6672C" w14:textId="77777777" w:rsidR="003A76C9" w:rsidRPr="000A6510" w:rsidRDefault="003A76C9" w:rsidP="00AB69C8">
      <w:pPr>
        <w:pStyle w:val="Default"/>
        <w:spacing w:before="240"/>
        <w:ind w:left="-142" w:right="-91"/>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3FE0BC61" w14:textId="77777777" w:rsidR="003A76C9" w:rsidRPr="000A6510" w:rsidRDefault="00980391" w:rsidP="00AB69C8">
      <w:pPr>
        <w:pStyle w:val="Default"/>
        <w:spacing w:before="240"/>
        <w:ind w:left="-142" w:right="-91"/>
        <w:jc w:val="both"/>
      </w:pPr>
      <w:r>
        <w:t>L</w:t>
      </w:r>
      <w:r w:rsidR="003A76C9" w:rsidRPr="000A6510">
        <w:t>a información que se presenta en este documento se complementa con la que proporciona</w:t>
      </w:r>
      <w:r w:rsidR="00752A0D">
        <w:t>n</w:t>
      </w:r>
      <w:r w:rsidR="003A76C9" w:rsidRPr="000A6510">
        <w:t xml:space="preserve"> </w:t>
      </w:r>
      <w:r w:rsidR="00752A0D">
        <w:t xml:space="preserve">los </w:t>
      </w:r>
      <w:r w:rsidR="003A76C9" w:rsidRPr="000A6510">
        <w:t>Indicador</w:t>
      </w:r>
      <w:r w:rsidR="00752A0D">
        <w:t>es</w:t>
      </w:r>
      <w:r w:rsidR="003A76C9" w:rsidRPr="000A6510">
        <w:t xml:space="preserve">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w:t>
      </w:r>
      <w:r w:rsidR="003E69FC">
        <w:t xml:space="preserve"> </w:t>
      </w:r>
      <w:r w:rsidR="00AF7EC8">
        <w:t>e</w:t>
      </w:r>
      <w:r w:rsidR="003A76C9" w:rsidRPr="000A6510">
        <w:t xml:space="preserve"> incorpora variables similares a las </w:t>
      </w:r>
      <w:r w:rsidR="003A76C9" w:rsidRPr="00A533E9">
        <w:t xml:space="preserve">del </w:t>
      </w:r>
      <w:proofErr w:type="spellStart"/>
      <w:r w:rsidR="003A76C9" w:rsidRPr="00206DDB">
        <w:t>Purchasing</w:t>
      </w:r>
      <w:proofErr w:type="spellEnd"/>
      <w:r w:rsidR="003A76C9" w:rsidRPr="00206DDB">
        <w:t xml:space="preserve"> Managers </w:t>
      </w:r>
      <w:proofErr w:type="spellStart"/>
      <w:r w:rsidR="003A76C9" w:rsidRPr="00206DDB">
        <w:t>Index</w:t>
      </w:r>
      <w:proofErr w:type="spellEnd"/>
      <w:r w:rsidR="003A76C9" w:rsidRPr="00206DDB">
        <w:rPr>
          <w:iCs/>
        </w:rPr>
        <w:t xml:space="preserve"> </w:t>
      </w:r>
      <w:r w:rsidR="003A76C9" w:rsidRPr="00527E3A">
        <w:rPr>
          <w:iCs/>
        </w:rPr>
        <w:t xml:space="preserve">(PMI) que genera </w:t>
      </w:r>
      <w:r w:rsidR="003A76C9" w:rsidRPr="004F6952">
        <w:rPr>
          <w:iCs/>
        </w:rPr>
        <w:t>el</w:t>
      </w:r>
      <w:r w:rsidR="003A76C9" w:rsidRPr="00206DDB">
        <w:rPr>
          <w:iCs/>
        </w:rPr>
        <w:t xml:space="preserve"> </w:t>
      </w:r>
      <w:proofErr w:type="spellStart"/>
      <w:r w:rsidR="003A76C9" w:rsidRPr="00206DDB">
        <w:rPr>
          <w:iCs/>
        </w:rPr>
        <w:t>Institute</w:t>
      </w:r>
      <w:proofErr w:type="spellEnd"/>
      <w:r w:rsidR="003A76C9" w:rsidRPr="00206DDB">
        <w:rPr>
          <w:iCs/>
        </w:rPr>
        <w:t xml:space="preserve"> </w:t>
      </w:r>
      <w:proofErr w:type="spellStart"/>
      <w:r w:rsidR="003A76C9" w:rsidRPr="00206DDB">
        <w:rPr>
          <w:iCs/>
        </w:rPr>
        <w:t>for</w:t>
      </w:r>
      <w:proofErr w:type="spellEnd"/>
      <w:r w:rsidR="003A76C9" w:rsidRPr="00206DDB">
        <w:rPr>
          <w:iCs/>
        </w:rPr>
        <w:t xml:space="preserve"> </w:t>
      </w:r>
      <w:proofErr w:type="spellStart"/>
      <w:r w:rsidR="003A76C9" w:rsidRPr="00206DDB">
        <w:rPr>
          <w:iCs/>
        </w:rPr>
        <w:t>Supply</w:t>
      </w:r>
      <w:proofErr w:type="spellEnd"/>
      <w:r w:rsidR="003A76C9" w:rsidRPr="00206DDB">
        <w:rPr>
          <w:iCs/>
        </w:rPr>
        <w:t xml:space="preserve"> Management</w:t>
      </w:r>
      <w:r w:rsidR="003A76C9" w:rsidRPr="000A6510">
        <w:t xml:space="preserve"> (ISM) en los Estados Unidos de </w:t>
      </w:r>
      <w:r w:rsidR="00674E33">
        <w:t>A</w:t>
      </w:r>
      <w:r w:rsidR="003A76C9" w:rsidRPr="000A6510">
        <w:t>mérica.</w:t>
      </w:r>
    </w:p>
    <w:p w14:paraId="2BA7B453" w14:textId="37918DCD" w:rsidR="003A76C9" w:rsidRPr="000A6510" w:rsidRDefault="003A76C9" w:rsidP="00AB69C8">
      <w:pPr>
        <w:pStyle w:val="Default"/>
        <w:spacing w:before="240"/>
        <w:ind w:left="-142" w:right="-91"/>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w:t>
      </w:r>
      <w:r w:rsidR="00603821">
        <w:rPr>
          <w:color w:val="auto"/>
        </w:rPr>
        <w:t xml:space="preserve">rganización de las </w:t>
      </w:r>
      <w:r w:rsidRPr="000A6510">
        <w:rPr>
          <w:color w:val="auto"/>
        </w:rPr>
        <w:t>N</w:t>
      </w:r>
      <w:r w:rsidR="00603821">
        <w:rPr>
          <w:color w:val="auto"/>
        </w:rPr>
        <w:t xml:space="preserve">aciones </w:t>
      </w:r>
      <w:r w:rsidRPr="000A6510">
        <w:rPr>
          <w:color w:val="auto"/>
        </w:rPr>
        <w:t>U</w:t>
      </w:r>
      <w:r w:rsidR="00603821">
        <w:rPr>
          <w:color w:val="auto"/>
        </w:rPr>
        <w:t>nidas (ONU)</w:t>
      </w:r>
      <w:r w:rsidR="0095517A">
        <w:rPr>
          <w:color w:val="auto"/>
        </w:rPr>
        <w:t xml:space="preserve">, del </w:t>
      </w:r>
      <w:r w:rsidR="0095517A" w:rsidRPr="0075173A">
        <w:rPr>
          <w:i/>
          <w:iCs/>
          <w:color w:val="auto"/>
        </w:rPr>
        <w:t>Manual de Encuestas de Tendencia de Negocios</w:t>
      </w:r>
      <w:r w:rsidRPr="000A6510">
        <w:rPr>
          <w:color w:val="auto"/>
        </w:rPr>
        <w:t xml:space="preserve"> de la </w:t>
      </w:r>
      <w:r w:rsidR="0079792F">
        <w:rPr>
          <w:color w:val="auto"/>
        </w:rPr>
        <w:t>Organización para la Cooperación y Desarrollo Económicos (</w:t>
      </w:r>
      <w:r w:rsidRPr="000A6510">
        <w:rPr>
          <w:color w:val="auto"/>
        </w:rPr>
        <w:t>OCDE</w:t>
      </w:r>
      <w:r w:rsidR="0079792F">
        <w:rPr>
          <w:color w:val="auto"/>
        </w:rPr>
        <w:t>)</w:t>
      </w:r>
      <w:r w:rsidRPr="000A6510">
        <w:rPr>
          <w:color w:val="auto"/>
        </w:rPr>
        <w:t xml:space="preserve"> y las emitidas por la </w:t>
      </w:r>
      <w:r w:rsidR="0079792F">
        <w:rPr>
          <w:color w:val="auto"/>
        </w:rPr>
        <w:t>Comisión Económica para América Latina y el Caribe (</w:t>
      </w:r>
      <w:r w:rsidRPr="000A6510">
        <w:rPr>
          <w:color w:val="auto"/>
        </w:rPr>
        <w:t>CEPAL</w:t>
      </w:r>
      <w:r w:rsidR="0079792F">
        <w:rPr>
          <w:color w:val="auto"/>
        </w:rPr>
        <w:t>)</w:t>
      </w:r>
      <w:r w:rsidRPr="000A6510">
        <w:rPr>
          <w:color w:val="auto"/>
        </w:rPr>
        <w:t xml:space="preserve">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5BBD9AE2" w14:textId="77777777" w:rsidR="003A76C9" w:rsidRPr="000A6510" w:rsidRDefault="003A76C9" w:rsidP="00AB69C8">
      <w:pPr>
        <w:pStyle w:val="Default"/>
        <w:keepLines/>
        <w:spacing w:before="240"/>
        <w:ind w:left="-142" w:right="-91"/>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7FC8D939" w14:textId="279D0872" w:rsidR="002B2D18" w:rsidRPr="000A6510" w:rsidRDefault="003A76C9" w:rsidP="00AB69C8">
      <w:pPr>
        <w:pStyle w:val="Default"/>
        <w:spacing w:before="240"/>
        <w:ind w:left="-142" w:right="-233"/>
        <w:jc w:val="both"/>
        <w:rPr>
          <w:color w:val="auto"/>
        </w:rPr>
      </w:pPr>
      <w:r w:rsidRPr="000A6510">
        <w:rPr>
          <w:lang w:val="es-ES_tradnl"/>
        </w:rPr>
        <w:lastRenderedPageBreak/>
        <w:t xml:space="preserve">La unidad de observación es la empresa, </w:t>
      </w:r>
      <w:r w:rsidR="00694681">
        <w:rPr>
          <w:lang w:val="es-ES_tradnl"/>
        </w:rPr>
        <w:t xml:space="preserve">que se </w:t>
      </w:r>
      <w:r w:rsidRPr="000A6510">
        <w:rPr>
          <w:lang w:val="es-ES_tradnl"/>
        </w:rPr>
        <w:t>defin</w:t>
      </w:r>
      <w:r w:rsidR="00694681">
        <w:rPr>
          <w:lang w:val="es-ES_tradnl"/>
        </w:rPr>
        <w:t>e</w:t>
      </w:r>
      <w:r w:rsidRPr="000A6510">
        <w:rPr>
          <w:lang w:val="es-ES_tradnl"/>
        </w:rPr>
        <w:t xml:space="preserve"> como la unidad económica que</w:t>
      </w:r>
      <w:r w:rsidR="00694681">
        <w:rPr>
          <w:lang w:val="es-ES_tradnl"/>
        </w:rPr>
        <w:t>,</w:t>
      </w:r>
      <w:r w:rsidRPr="000A6510">
        <w:rPr>
          <w:lang w:val="es-ES_tradnl"/>
        </w:rPr>
        <w:t xml:space="preserve"> bajo una sola entidad propietaria o controladora</w:t>
      </w:r>
      <w:r w:rsidR="00694681">
        <w:rPr>
          <w:lang w:val="es-ES_tradnl"/>
        </w:rPr>
        <w:t>,</w:t>
      </w:r>
      <w:r w:rsidRPr="000A6510">
        <w:rPr>
          <w:lang w:val="es-ES_tradnl"/>
        </w:rPr>
        <w:t xml:space="preserve"> combina acciones y recursos para realizar actividades de producción de bienes, compraventa de mercancías o prestación de servicios, sea con fines mercantiles o no. </w:t>
      </w:r>
      <w:r w:rsidR="00EB7DFA">
        <w:rPr>
          <w:lang w:val="es-ES_tradnl"/>
        </w:rPr>
        <w:t xml:space="preserve">Para </w:t>
      </w:r>
      <w:r w:rsidR="00EB7DFA" w:rsidRPr="000A6510">
        <w:rPr>
          <w:lang w:val="es-ES_tradnl"/>
        </w:rPr>
        <w:t xml:space="preserve">los cuatro sectores </w:t>
      </w:r>
      <w:r w:rsidR="00EB7DFA">
        <w:rPr>
          <w:lang w:val="es-ES_tradnl"/>
        </w:rPr>
        <w:t xml:space="preserve">de </w:t>
      </w:r>
      <w:r w:rsidR="00EB7DFA" w:rsidRPr="000A6510">
        <w:rPr>
          <w:lang w:val="es-ES_tradnl"/>
        </w:rPr>
        <w:t>estudio</w:t>
      </w:r>
      <w:r w:rsidR="00EB7DFA">
        <w:rPr>
          <w:lang w:val="es-ES_tradnl"/>
        </w:rPr>
        <w:t>,</w:t>
      </w:r>
      <w:r w:rsidR="00EB7DFA" w:rsidRPr="000A6510">
        <w:rPr>
          <w:lang w:val="es-ES_tradnl"/>
        </w:rPr>
        <w:t xml:space="preserve"> </w:t>
      </w:r>
      <w:r w:rsidR="00EB7DFA">
        <w:rPr>
          <w:lang w:val="es-ES_tradnl"/>
        </w:rPr>
        <w:t>l</w:t>
      </w:r>
      <w:r w:rsidRPr="000A6510">
        <w:rPr>
          <w:lang w:val="es-ES_tradnl"/>
        </w:rPr>
        <w:t>a cobertura geográfica es nacional.</w:t>
      </w:r>
      <w:r w:rsidR="002B2D18" w:rsidRPr="002B2D18">
        <w:rPr>
          <w:color w:val="auto"/>
        </w:rPr>
        <w:t xml:space="preserve"> </w:t>
      </w:r>
      <w:r w:rsidR="002B2D18" w:rsidRPr="000A6510">
        <w:rPr>
          <w:color w:val="auto"/>
        </w:rPr>
        <w:t xml:space="preserve">El marco poblacional </w:t>
      </w:r>
      <w:r w:rsidR="002B2D18">
        <w:rPr>
          <w:color w:val="auto"/>
        </w:rPr>
        <w:t xml:space="preserve">se conforma </w:t>
      </w:r>
      <w:r w:rsidR="002B2D18" w:rsidRPr="000A6510">
        <w:rPr>
          <w:color w:val="auto"/>
        </w:rPr>
        <w:t xml:space="preserve">por el directorio de empresas provenientes del </w:t>
      </w:r>
      <w:r w:rsidR="002B2D18" w:rsidRPr="000A6510">
        <w:rPr>
          <w:color w:val="auto"/>
          <w:shd w:val="clear" w:color="auto" w:fill="FFFFFF"/>
        </w:rPr>
        <w:t>Registro Estadístico de Negocios de México (</w:t>
      </w:r>
      <w:r w:rsidR="002B2D18" w:rsidRPr="000A6510">
        <w:rPr>
          <w:color w:val="auto"/>
        </w:rPr>
        <w:t>RENEM)</w:t>
      </w:r>
      <w:r w:rsidR="002B2D18">
        <w:rPr>
          <w:color w:val="auto"/>
        </w:rPr>
        <w:t>.</w:t>
      </w:r>
      <w:r w:rsidR="002B2D18" w:rsidRPr="000A6510">
        <w:rPr>
          <w:color w:val="auto"/>
        </w:rPr>
        <w:t xml:space="preserve"> </w:t>
      </w:r>
      <w:r w:rsidR="002B2D18">
        <w:rPr>
          <w:color w:val="auto"/>
        </w:rPr>
        <w:t>E</w:t>
      </w:r>
      <w:r w:rsidR="002B2D18" w:rsidRPr="000A6510">
        <w:rPr>
          <w:color w:val="auto"/>
        </w:rPr>
        <w:t>n conjunto</w:t>
      </w:r>
      <w:r w:rsidR="002B2D18">
        <w:rPr>
          <w:color w:val="auto"/>
        </w:rPr>
        <w:t>,</w:t>
      </w:r>
      <w:r w:rsidR="002B2D18" w:rsidRPr="000A6510">
        <w:rPr>
          <w:color w:val="auto"/>
        </w:rPr>
        <w:t xml:space="preserve"> </w:t>
      </w:r>
      <w:r w:rsidR="002B2D18">
        <w:rPr>
          <w:color w:val="auto"/>
        </w:rPr>
        <w:t>son</w:t>
      </w:r>
      <w:r w:rsidR="002B2D18" w:rsidRPr="000A6510">
        <w:rPr>
          <w:color w:val="auto"/>
        </w:rPr>
        <w:t xml:space="preserve"> 19</w:t>
      </w:r>
      <w:r w:rsidR="002B2D18">
        <w:rPr>
          <w:color w:val="auto"/>
        </w:rPr>
        <w:t> 854</w:t>
      </w:r>
      <w:r w:rsidR="002B2D18" w:rsidRPr="000A6510">
        <w:rPr>
          <w:color w:val="auto"/>
        </w:rPr>
        <w:t xml:space="preserve"> empresas. </w:t>
      </w:r>
    </w:p>
    <w:p w14:paraId="58262DDB" w14:textId="77777777" w:rsidR="00BD77B5" w:rsidRPr="000A6510" w:rsidRDefault="003A76C9" w:rsidP="00AB69C8">
      <w:pPr>
        <w:pStyle w:val="Default"/>
        <w:keepLines/>
        <w:spacing w:before="240" w:after="240"/>
        <w:ind w:left="-142" w:right="-233"/>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9395DA" w14:textId="77777777" w:rsidTr="00BD77B5">
        <w:trPr>
          <w:cantSplit/>
          <w:jc w:val="center"/>
        </w:trPr>
        <w:tc>
          <w:tcPr>
            <w:tcW w:w="2969" w:type="dxa"/>
            <w:vMerge w:val="restart"/>
            <w:shd w:val="clear" w:color="auto" w:fill="CCCCFF"/>
            <w:vAlign w:val="center"/>
          </w:tcPr>
          <w:p w14:paraId="4BBA05F9"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3A83EC03"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7201FEA9"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697349B2" w14:textId="77777777" w:rsidTr="00BD77B5">
        <w:trPr>
          <w:cantSplit/>
          <w:jc w:val="center"/>
        </w:trPr>
        <w:tc>
          <w:tcPr>
            <w:tcW w:w="2969" w:type="dxa"/>
            <w:vMerge/>
          </w:tcPr>
          <w:p w14:paraId="25E89ACC"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67874C57"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4C888357"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2C23835D" w14:textId="77777777" w:rsidR="00BD77B5" w:rsidRPr="000A6510" w:rsidRDefault="00BD77B5" w:rsidP="00B555B0">
            <w:pPr>
              <w:keepNext/>
              <w:keepLines/>
              <w:spacing w:before="40" w:after="40"/>
              <w:jc w:val="center"/>
              <w:rPr>
                <w:sz w:val="20"/>
                <w:szCs w:val="20"/>
              </w:rPr>
            </w:pPr>
          </w:p>
        </w:tc>
      </w:tr>
      <w:tr w:rsidR="00BD77B5" w:rsidRPr="000A6510" w14:paraId="7AA5EFC1" w14:textId="77777777" w:rsidTr="00BD77B5">
        <w:trPr>
          <w:cantSplit/>
          <w:jc w:val="center"/>
        </w:trPr>
        <w:tc>
          <w:tcPr>
            <w:tcW w:w="2969" w:type="dxa"/>
          </w:tcPr>
          <w:p w14:paraId="06DF1360"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36F6F7F5" w14:textId="77777777" w:rsidR="00BD77B5" w:rsidRPr="000A6510" w:rsidRDefault="00BD77B5" w:rsidP="00B555B0">
            <w:pPr>
              <w:keepNext/>
              <w:keepLines/>
              <w:tabs>
                <w:tab w:val="decimal" w:pos="2898"/>
              </w:tabs>
              <w:spacing w:before="40" w:after="40"/>
              <w:rPr>
                <w:b/>
                <w:sz w:val="18"/>
                <w:szCs w:val="18"/>
              </w:rPr>
            </w:pPr>
          </w:p>
        </w:tc>
        <w:tc>
          <w:tcPr>
            <w:tcW w:w="1327" w:type="dxa"/>
          </w:tcPr>
          <w:p w14:paraId="3B9340AE" w14:textId="77777777"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1B25226A" w14:textId="77777777"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0899B8DD" w14:textId="77777777" w:rsidTr="00BD77B5">
        <w:trPr>
          <w:cantSplit/>
          <w:jc w:val="center"/>
        </w:trPr>
        <w:tc>
          <w:tcPr>
            <w:tcW w:w="2969" w:type="dxa"/>
            <w:vAlign w:val="center"/>
          </w:tcPr>
          <w:p w14:paraId="4AEBC89B" w14:textId="3336DC33" w:rsidR="00BD77B5" w:rsidRPr="000A6510" w:rsidRDefault="004155B1" w:rsidP="0014031D">
            <w:pPr>
              <w:widowControl w:val="0"/>
              <w:spacing w:before="40" w:after="40"/>
              <w:jc w:val="left"/>
              <w:rPr>
                <w:sz w:val="18"/>
                <w:szCs w:val="18"/>
              </w:rPr>
            </w:pPr>
            <w:r>
              <w:rPr>
                <w:sz w:val="18"/>
                <w:szCs w:val="18"/>
              </w:rPr>
              <w:t>Industrias m</w:t>
            </w:r>
            <w:r w:rsidR="00BD77B5" w:rsidRPr="000A6510">
              <w:rPr>
                <w:sz w:val="18"/>
                <w:szCs w:val="18"/>
              </w:rPr>
              <w:t>anufacturer</w:t>
            </w:r>
            <w:r>
              <w:rPr>
                <w:sz w:val="18"/>
                <w:szCs w:val="18"/>
              </w:rPr>
              <w:t>as</w:t>
            </w:r>
          </w:p>
        </w:tc>
        <w:tc>
          <w:tcPr>
            <w:tcW w:w="1881" w:type="dxa"/>
          </w:tcPr>
          <w:p w14:paraId="527BC823"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1B9BAC8"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7D3F8336"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40E8E240" w14:textId="77777777" w:rsidTr="00D35130">
        <w:trPr>
          <w:cantSplit/>
          <w:jc w:val="center"/>
        </w:trPr>
        <w:tc>
          <w:tcPr>
            <w:tcW w:w="2969" w:type="dxa"/>
            <w:vAlign w:val="center"/>
          </w:tcPr>
          <w:p w14:paraId="0C55AEB6"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4E1C26FA"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29101AC4" w14:textId="77777777"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69DF91CA"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5809B844" w14:textId="77777777" w:rsidTr="00D35130">
        <w:trPr>
          <w:cantSplit/>
          <w:jc w:val="center"/>
        </w:trPr>
        <w:tc>
          <w:tcPr>
            <w:tcW w:w="2969" w:type="dxa"/>
            <w:vAlign w:val="center"/>
          </w:tcPr>
          <w:p w14:paraId="413C925B"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4BC7967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42E4DC54"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60E54EB7"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7BCC40E3" w14:textId="77777777" w:rsidTr="00BD77B5">
        <w:trPr>
          <w:cantSplit/>
          <w:jc w:val="center"/>
        </w:trPr>
        <w:tc>
          <w:tcPr>
            <w:tcW w:w="2969" w:type="dxa"/>
            <w:vAlign w:val="center"/>
          </w:tcPr>
          <w:p w14:paraId="07EEF73A" w14:textId="27E41F05" w:rsidR="00BD77B5" w:rsidRPr="000A6510" w:rsidRDefault="00BD77B5" w:rsidP="0014031D">
            <w:pPr>
              <w:widowControl w:val="0"/>
              <w:spacing w:before="40" w:after="40"/>
              <w:jc w:val="left"/>
              <w:rPr>
                <w:sz w:val="18"/>
                <w:szCs w:val="18"/>
              </w:rPr>
            </w:pPr>
            <w:r w:rsidRPr="000A6510">
              <w:rPr>
                <w:sz w:val="18"/>
                <w:szCs w:val="18"/>
              </w:rPr>
              <w:t xml:space="preserve">Servicios </w:t>
            </w:r>
            <w:r w:rsidR="00C469E9">
              <w:rPr>
                <w:sz w:val="18"/>
                <w:szCs w:val="18"/>
              </w:rPr>
              <w:t>p</w:t>
            </w:r>
            <w:r w:rsidRPr="000A6510">
              <w:rPr>
                <w:sz w:val="18"/>
                <w:szCs w:val="18"/>
              </w:rPr>
              <w:t xml:space="preserve">rivados no </w:t>
            </w:r>
            <w:r w:rsidR="00C469E9">
              <w:rPr>
                <w:sz w:val="18"/>
                <w:szCs w:val="18"/>
              </w:rPr>
              <w:t>f</w:t>
            </w:r>
            <w:r w:rsidRPr="000A6510">
              <w:rPr>
                <w:sz w:val="18"/>
                <w:szCs w:val="18"/>
              </w:rPr>
              <w:t>inancieros</w:t>
            </w:r>
          </w:p>
        </w:tc>
        <w:tc>
          <w:tcPr>
            <w:tcW w:w="1881" w:type="dxa"/>
          </w:tcPr>
          <w:p w14:paraId="758F1C79"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0E4434D6"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69ABB85A"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65E24FC1" w14:textId="23BF5205" w:rsidR="003A76C9" w:rsidRPr="000A6510" w:rsidRDefault="00215CE4" w:rsidP="00AB69C8">
      <w:pPr>
        <w:pStyle w:val="Pa10"/>
        <w:keepLines/>
        <w:spacing w:before="240" w:after="240" w:line="240" w:lineRule="auto"/>
        <w:ind w:left="-142" w:right="-233"/>
        <w:jc w:val="both"/>
        <w:rPr>
          <w:lang w:val="es-ES" w:eastAsia="es-MX"/>
        </w:rPr>
      </w:pPr>
      <w:r w:rsidRPr="749C35CD">
        <w:rPr>
          <w:lang w:val="es-ES" w:eastAsia="es-MX"/>
        </w:rPr>
        <w:t>Para captar la información,</w:t>
      </w:r>
      <w:r w:rsidRPr="000A6510">
        <w:rPr>
          <w:lang w:val="es-MX" w:eastAsia="es-MX"/>
        </w:rPr>
        <w:t xml:space="preserve"> </w:t>
      </w:r>
      <w:r w:rsidR="005764C0" w:rsidRPr="749C35CD">
        <w:rPr>
          <w:lang w:val="es-ES" w:eastAsia="es-MX"/>
        </w:rPr>
        <w:t xml:space="preserve">se </w:t>
      </w:r>
      <w:r w:rsidR="003A76C9" w:rsidRPr="749C35CD">
        <w:rPr>
          <w:lang w:val="es-ES" w:eastAsia="es-MX"/>
        </w:rPr>
        <w:t xml:space="preserve">utilizan cuatro modalidades: cuestionario impreso, cuestionario electrónico para </w:t>
      </w:r>
      <w:r w:rsidR="00546288" w:rsidRPr="749C35CD">
        <w:rPr>
          <w:lang w:val="es-ES" w:eastAsia="es-MX"/>
        </w:rPr>
        <w:t>d</w:t>
      </w:r>
      <w:r w:rsidR="003A76C9" w:rsidRPr="749C35CD">
        <w:rPr>
          <w:lang w:val="es-ES" w:eastAsia="es-MX"/>
        </w:rPr>
        <w:t xml:space="preserve">ispositivos de </w:t>
      </w:r>
      <w:r w:rsidR="00546288" w:rsidRPr="749C35CD">
        <w:rPr>
          <w:lang w:val="es-ES" w:eastAsia="es-MX"/>
        </w:rPr>
        <w:t>c</w:t>
      </w:r>
      <w:r w:rsidR="003A76C9" w:rsidRPr="749C35CD">
        <w:rPr>
          <w:lang w:val="es-ES" w:eastAsia="es-MX"/>
        </w:rPr>
        <w:t xml:space="preserve">ómputo </w:t>
      </w:r>
      <w:r w:rsidR="00546288" w:rsidRPr="749C35CD">
        <w:rPr>
          <w:lang w:val="es-ES" w:eastAsia="es-MX"/>
        </w:rPr>
        <w:t>m</w:t>
      </w:r>
      <w:r w:rsidR="003A76C9" w:rsidRPr="749C35CD">
        <w:rPr>
          <w:lang w:val="es-ES" w:eastAsia="es-MX"/>
        </w:rPr>
        <w:t>óvil</w:t>
      </w:r>
      <w:r w:rsidR="00EC6584" w:rsidRPr="749C35CD">
        <w:rPr>
          <w:lang w:val="es-ES" w:eastAsia="es-MX"/>
        </w:rPr>
        <w:t>,</w:t>
      </w:r>
      <w:r w:rsidR="003A76C9" w:rsidRPr="749C35CD">
        <w:rPr>
          <w:lang w:val="es-ES" w:eastAsia="es-MX"/>
        </w:rPr>
        <w:t xml:space="preserve"> el Centro de Entrevistas Telefónicas Asistidas por </w:t>
      </w:r>
      <w:r w:rsidR="00546288" w:rsidRPr="749C35CD">
        <w:rPr>
          <w:lang w:val="es-ES" w:eastAsia="es-MX"/>
        </w:rPr>
        <w:t>C</w:t>
      </w:r>
      <w:r w:rsidR="003A76C9" w:rsidRPr="749C35CD">
        <w:rPr>
          <w:lang w:val="es-ES" w:eastAsia="es-MX"/>
        </w:rPr>
        <w:t xml:space="preserve">omputadora </w:t>
      </w:r>
      <w:r w:rsidR="009078DF" w:rsidRPr="749C35CD">
        <w:rPr>
          <w:lang w:val="es-ES" w:eastAsia="es-MX"/>
        </w:rPr>
        <w:t>(</w:t>
      </w:r>
      <w:r w:rsidR="003A76C9" w:rsidRPr="749C35CD">
        <w:rPr>
          <w:lang w:val="es-ES" w:eastAsia="es-MX"/>
        </w:rPr>
        <w:t>CATI, por sus siglas en inglés</w:t>
      </w:r>
      <w:r w:rsidR="6BBB13B7" w:rsidRPr="749C35CD">
        <w:rPr>
          <w:lang w:val="es-ES" w:eastAsia="es-MX"/>
        </w:rPr>
        <w:t>)</w:t>
      </w:r>
      <w:r w:rsidR="766E7F8E" w:rsidRPr="749C35CD">
        <w:rPr>
          <w:lang w:val="es-ES" w:eastAsia="es-MX"/>
        </w:rPr>
        <w:t>,</w:t>
      </w:r>
      <w:r w:rsidR="181A2AF9" w:rsidRPr="749C35CD">
        <w:rPr>
          <w:lang w:val="es-ES" w:eastAsia="es-MX"/>
        </w:rPr>
        <w:t xml:space="preserve"> </w:t>
      </w:r>
      <w:r w:rsidR="578C6CC3" w:rsidRPr="749C35CD">
        <w:rPr>
          <w:lang w:val="es-ES" w:eastAsia="es-MX"/>
        </w:rPr>
        <w:t xml:space="preserve">así </w:t>
      </w:r>
      <w:proofErr w:type="gramStart"/>
      <w:r w:rsidR="578C6CC3" w:rsidRPr="749C35CD">
        <w:rPr>
          <w:lang w:val="es-ES" w:eastAsia="es-MX"/>
        </w:rPr>
        <w:t>como</w:t>
      </w:r>
      <w:r w:rsidR="003A76C9" w:rsidRPr="749C35CD">
        <w:rPr>
          <w:lang w:val="es-ES" w:eastAsia="es-MX"/>
        </w:rPr>
        <w:t xml:space="preserve">  cuestionario</w:t>
      </w:r>
      <w:proofErr w:type="gramEnd"/>
      <w:r w:rsidR="003A76C9" w:rsidRPr="749C35CD">
        <w:rPr>
          <w:lang w:val="es-ES" w:eastAsia="es-MX"/>
        </w:rPr>
        <w:t xml:space="preserve"> electrónico en el sitio del INEGI.</w:t>
      </w:r>
    </w:p>
    <w:p w14:paraId="361A92BB" w14:textId="310A3850" w:rsidR="0095517A" w:rsidRPr="005E1982" w:rsidRDefault="007E2A6B" w:rsidP="00AB69C8">
      <w:pPr>
        <w:pStyle w:val="Default"/>
        <w:spacing w:before="240" w:after="240"/>
        <w:ind w:left="-142" w:right="-233"/>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6F5081F0" w14:textId="514D3CC0" w:rsidR="00A2352C" w:rsidRPr="000A6510" w:rsidRDefault="002C35E0" w:rsidP="00AB69C8">
      <w:pPr>
        <w:pStyle w:val="Default"/>
        <w:spacing w:before="240" w:after="240"/>
        <w:ind w:left="-142" w:right="-233"/>
        <w:jc w:val="both"/>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020F14">
        <w:rPr>
          <w:color w:val="auto"/>
        </w:rPr>
        <w:t>¿</w:t>
      </w:r>
      <w:r w:rsidR="00E842CA">
        <w:rPr>
          <w:iCs/>
          <w:color w:val="auto"/>
        </w:rPr>
        <w:t>c</w:t>
      </w:r>
      <w:r w:rsidR="002F37FC" w:rsidRPr="00B9504A">
        <w:rPr>
          <w:iCs/>
          <w:color w:val="auto"/>
        </w:rPr>
        <w:t xml:space="preserve">ómo se comportó o comportará el volumen físico de producción de la empresa en el presente mes respecto </w:t>
      </w:r>
      <w:r w:rsidR="00CA0140" w:rsidRPr="00B9504A">
        <w:rPr>
          <w:iCs/>
          <w:color w:val="auto"/>
        </w:rPr>
        <w:t>a</w:t>
      </w:r>
      <w:r w:rsidR="002F37FC" w:rsidRPr="00B9504A">
        <w:rPr>
          <w:iCs/>
          <w:color w:val="auto"/>
        </w:rPr>
        <w:t>l mes inmediato anterior?</w:t>
      </w:r>
      <w:r w:rsidR="00A2352C" w:rsidRPr="00A2352C">
        <w:t xml:space="preserve"> </w:t>
      </w:r>
      <w:r w:rsidR="00A2352C" w:rsidRPr="000A6510">
        <w:t>En este contexto</w:t>
      </w:r>
      <w:r w:rsidR="00A2352C">
        <w:t>,</w:t>
      </w:r>
      <w:r w:rsidR="00A2352C" w:rsidRPr="000A6510">
        <w:t xml:space="preserve"> y con base en la estructura de las preguntas fuente, los indicadores </w:t>
      </w:r>
      <w:r w:rsidR="00A2352C">
        <w:t xml:space="preserve">simples de la EMOE se denominan </w:t>
      </w:r>
      <w:r w:rsidR="00A2352C" w:rsidRPr="00DB1523">
        <w:rPr>
          <w:i/>
          <w:iCs/>
        </w:rPr>
        <w:t>expectativas empresariales</w:t>
      </w:r>
      <w:r w:rsidR="00A2352C">
        <w:t xml:space="preserve"> y </w:t>
      </w:r>
      <w:r w:rsidR="00A2352C" w:rsidRPr="000A6510">
        <w:t>expresan la evolución que tienen las variables en el corto plazo</w:t>
      </w:r>
      <w:r w:rsidR="00A2352C">
        <w:t>.</w:t>
      </w:r>
      <w:r w:rsidR="00A2352C" w:rsidRPr="000A6510">
        <w:t xml:space="preserve"> </w:t>
      </w:r>
      <w:r w:rsidR="00A2352C">
        <w:t>C</w:t>
      </w:r>
      <w:r w:rsidR="00A2352C" w:rsidRPr="000A6510">
        <w:t>on base en su comparativo mensual (mes de</w:t>
      </w:r>
      <w:r w:rsidR="00A2352C" w:rsidRPr="00A2352C">
        <w:t xml:space="preserve"> </w:t>
      </w:r>
      <w:r w:rsidR="00A2352C" w:rsidRPr="000A6510">
        <w:t xml:space="preserve">estudio </w:t>
      </w:r>
      <w:r w:rsidR="00A2352C">
        <w:t>frente al</w:t>
      </w:r>
      <w:r w:rsidR="00A2352C" w:rsidRPr="000A6510">
        <w:t xml:space="preserve"> mes inmediato anterior) se obtiene la diferencia en puntos</w:t>
      </w:r>
      <w:r w:rsidR="00A2352C">
        <w:t>, lo</w:t>
      </w:r>
      <w:r w:rsidR="00A2352C" w:rsidRPr="000A6510">
        <w:t xml:space="preserve"> que denotará crecimiento o decrecimiento, según corresponda.</w:t>
      </w:r>
    </w:p>
    <w:p w14:paraId="22D7FE1F" w14:textId="77777777" w:rsidR="004126F6" w:rsidRDefault="003A76C9" w:rsidP="00AB69C8">
      <w:pPr>
        <w:pStyle w:val="Default"/>
        <w:spacing w:before="240" w:after="240"/>
        <w:ind w:left="-142" w:right="-91"/>
        <w:jc w:val="both"/>
      </w:pPr>
      <w:r w:rsidRPr="000A6510">
        <w:lastRenderedPageBreak/>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21554D36" w14:textId="77777777" w:rsidTr="003A76C9">
        <w:trPr>
          <w:tblHeader/>
          <w:jc w:val="center"/>
        </w:trPr>
        <w:tc>
          <w:tcPr>
            <w:tcW w:w="2994" w:type="dxa"/>
            <w:shd w:val="clear" w:color="auto" w:fill="CCCCFF"/>
          </w:tcPr>
          <w:p w14:paraId="533CA0D6" w14:textId="77777777"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7F306B6"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31E16C46" w14:textId="77777777" w:rsidTr="003A76C9">
        <w:trPr>
          <w:jc w:val="center"/>
        </w:trPr>
        <w:tc>
          <w:tcPr>
            <w:tcW w:w="2994" w:type="dxa"/>
            <w:vAlign w:val="center"/>
          </w:tcPr>
          <w:p w14:paraId="607FC2F8" w14:textId="662A6FB4" w:rsidR="00BD77B5" w:rsidRPr="000A6510" w:rsidRDefault="00BD77B5" w:rsidP="00B555B0">
            <w:pPr>
              <w:jc w:val="left"/>
              <w:rPr>
                <w:color w:val="000000"/>
                <w:sz w:val="18"/>
                <w:szCs w:val="18"/>
              </w:rPr>
            </w:pPr>
            <w:r w:rsidRPr="000A6510">
              <w:rPr>
                <w:color w:val="000000"/>
                <w:sz w:val="18"/>
                <w:szCs w:val="18"/>
              </w:rPr>
              <w:t xml:space="preserve">Industrias </w:t>
            </w:r>
            <w:r w:rsidR="00B44FB1">
              <w:rPr>
                <w:color w:val="000000"/>
                <w:sz w:val="18"/>
                <w:szCs w:val="18"/>
              </w:rPr>
              <w:t>m</w:t>
            </w:r>
            <w:r w:rsidRPr="000A6510">
              <w:rPr>
                <w:color w:val="000000"/>
                <w:sz w:val="18"/>
                <w:szCs w:val="18"/>
              </w:rPr>
              <w:t>anufactureras</w:t>
            </w:r>
          </w:p>
        </w:tc>
        <w:tc>
          <w:tcPr>
            <w:tcW w:w="5223" w:type="dxa"/>
          </w:tcPr>
          <w:p w14:paraId="2067805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3DB307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182E1D0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3C1C6FC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29F833A1" w14:textId="77777777"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4AC9FE0C" w14:textId="77777777" w:rsidTr="003A76C9">
        <w:trPr>
          <w:jc w:val="center"/>
        </w:trPr>
        <w:tc>
          <w:tcPr>
            <w:tcW w:w="2994" w:type="dxa"/>
            <w:vAlign w:val="center"/>
          </w:tcPr>
          <w:p w14:paraId="30038988"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12BFE08E"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616594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026B4998" w14:textId="77777777" w:rsidR="00BD77B5" w:rsidRPr="000A6510" w:rsidRDefault="00BD77B5" w:rsidP="003A76C9">
            <w:pPr>
              <w:pStyle w:val="Prrafodelista"/>
              <w:numPr>
                <w:ilvl w:val="0"/>
                <w:numId w:val="13"/>
              </w:numPr>
              <w:ind w:left="438"/>
              <w:contextualSpacing/>
              <w:jc w:val="left"/>
              <w:rPr>
                <w:color w:val="000000"/>
                <w:sz w:val="18"/>
                <w:szCs w:val="18"/>
              </w:rPr>
            </w:pPr>
            <w:proofErr w:type="gramStart"/>
            <w:r w:rsidRPr="000A6510">
              <w:rPr>
                <w:color w:val="000000"/>
                <w:sz w:val="18"/>
                <w:szCs w:val="18"/>
              </w:rPr>
              <w:t>Total</w:t>
            </w:r>
            <w:proofErr w:type="gramEnd"/>
            <w:r w:rsidRPr="000A6510">
              <w:rPr>
                <w:color w:val="000000"/>
                <w:sz w:val="18"/>
                <w:szCs w:val="18"/>
              </w:rPr>
              <w:t xml:space="preserve"> de contratos y subcontratos</w:t>
            </w:r>
          </w:p>
          <w:p w14:paraId="68F2EF0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62D0EBAB" w14:textId="77777777" w:rsidTr="003A76C9">
        <w:trPr>
          <w:jc w:val="center"/>
        </w:trPr>
        <w:tc>
          <w:tcPr>
            <w:tcW w:w="2994" w:type="dxa"/>
            <w:vAlign w:val="center"/>
          </w:tcPr>
          <w:p w14:paraId="4223FCE8"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79AA355B"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1CDE58A"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22EB8DD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41AC449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8D15C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20F26C80" w14:textId="77777777" w:rsidTr="003A76C9">
        <w:trPr>
          <w:jc w:val="center"/>
        </w:trPr>
        <w:tc>
          <w:tcPr>
            <w:tcW w:w="2994" w:type="dxa"/>
            <w:vAlign w:val="center"/>
          </w:tcPr>
          <w:p w14:paraId="03EDEC72" w14:textId="5D33A835" w:rsidR="00BD77B5" w:rsidRPr="000A6510" w:rsidRDefault="00BD77B5" w:rsidP="00E917F3">
            <w:pPr>
              <w:widowControl w:val="0"/>
              <w:jc w:val="left"/>
              <w:rPr>
                <w:color w:val="000000"/>
                <w:sz w:val="18"/>
                <w:szCs w:val="18"/>
              </w:rPr>
            </w:pPr>
            <w:r w:rsidRPr="000A6510">
              <w:rPr>
                <w:color w:val="000000"/>
                <w:sz w:val="18"/>
                <w:szCs w:val="18"/>
              </w:rPr>
              <w:t xml:space="preserve">Servicios </w:t>
            </w:r>
            <w:r w:rsidR="00C469E9">
              <w:rPr>
                <w:color w:val="000000"/>
                <w:sz w:val="18"/>
                <w:szCs w:val="18"/>
              </w:rPr>
              <w:t>p</w:t>
            </w:r>
            <w:r w:rsidRPr="000A6510">
              <w:rPr>
                <w:color w:val="000000"/>
                <w:sz w:val="18"/>
                <w:szCs w:val="18"/>
              </w:rPr>
              <w:t xml:space="preserve">rivados no </w:t>
            </w:r>
            <w:r w:rsidR="00C469E9">
              <w:rPr>
                <w:color w:val="000000"/>
                <w:sz w:val="18"/>
                <w:szCs w:val="18"/>
              </w:rPr>
              <w:t>f</w:t>
            </w:r>
            <w:r w:rsidRPr="000A6510">
              <w:rPr>
                <w:color w:val="000000"/>
                <w:sz w:val="18"/>
                <w:szCs w:val="18"/>
              </w:rPr>
              <w:t>inancieros</w:t>
            </w:r>
          </w:p>
        </w:tc>
        <w:tc>
          <w:tcPr>
            <w:tcW w:w="5223" w:type="dxa"/>
          </w:tcPr>
          <w:p w14:paraId="5994856A"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31CF0F99"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6F961D1F"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6CE82578"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0F392060" w14:textId="3F262B77" w:rsidR="00DA23D4" w:rsidRDefault="00DA23D4" w:rsidP="00AB69C8">
      <w:pPr>
        <w:pStyle w:val="Default"/>
        <w:keepLines/>
        <w:widowControl w:val="0"/>
        <w:spacing w:before="240" w:after="240"/>
        <w:ind w:left="-142" w:right="-91"/>
        <w:jc w:val="both"/>
      </w:pPr>
      <w:r w:rsidRPr="00444065">
        <w:t xml:space="preserve">En el sector Industrias </w:t>
      </w:r>
      <w:r w:rsidR="00546288">
        <w:t>m</w:t>
      </w:r>
      <w:r w:rsidRPr="00444065">
        <w:t xml:space="preserve">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1D9BCD5B" w14:textId="77777777" w:rsidR="003A76C9" w:rsidRPr="000A6510" w:rsidRDefault="003A76C9" w:rsidP="00AB69C8">
      <w:pPr>
        <w:pStyle w:val="Default"/>
        <w:spacing w:before="240" w:after="240"/>
        <w:ind w:left="-142" w:right="-91"/>
        <w:jc w:val="both"/>
        <w:rPr>
          <w:color w:val="auto"/>
        </w:rPr>
      </w:pPr>
      <w:r w:rsidRPr="000A6510">
        <w:t xml:space="preserve">En cada una de las preguntas, </w:t>
      </w:r>
      <w:r w:rsidR="004B0FFB">
        <w:t xml:space="preserve">la o </w:t>
      </w:r>
      <w:r w:rsidRPr="000A6510">
        <w:t xml:space="preserve">el informante tiene cinco opciones de respuesta: </w:t>
      </w:r>
      <w:r w:rsidR="00EC6584" w:rsidRPr="00206DDB">
        <w:rPr>
          <w:i/>
          <w:iCs/>
        </w:rPr>
        <w:t>m</w:t>
      </w:r>
      <w:r w:rsidRPr="00206DDB">
        <w:rPr>
          <w:i/>
          <w:iCs/>
        </w:rPr>
        <w:t>ucho mayor</w:t>
      </w:r>
      <w:r w:rsidRPr="000A6510">
        <w:t xml:space="preserve">, </w:t>
      </w:r>
      <w:r w:rsidR="00EC6584" w:rsidRPr="00206DDB">
        <w:rPr>
          <w:i/>
          <w:iCs/>
        </w:rPr>
        <w:t>m</w:t>
      </w:r>
      <w:r w:rsidRPr="00206DDB">
        <w:rPr>
          <w:i/>
          <w:iCs/>
        </w:rPr>
        <w:t>ayor</w:t>
      </w:r>
      <w:r w:rsidRPr="000A6510">
        <w:t xml:space="preserve">, </w:t>
      </w:r>
      <w:r w:rsidR="00EC6584" w:rsidRPr="00206DDB">
        <w:rPr>
          <w:i/>
          <w:iCs/>
        </w:rPr>
        <w:t>i</w:t>
      </w:r>
      <w:r w:rsidRPr="00206DDB">
        <w:rPr>
          <w:i/>
          <w:iCs/>
        </w:rPr>
        <w:t>gual</w:t>
      </w:r>
      <w:r w:rsidRPr="000A6510">
        <w:t xml:space="preserve">, </w:t>
      </w:r>
      <w:r w:rsidR="00EC6584" w:rsidRPr="00206DDB">
        <w:rPr>
          <w:i/>
          <w:iCs/>
        </w:rPr>
        <w:t>m</w:t>
      </w:r>
      <w:r w:rsidRPr="00206DDB">
        <w:rPr>
          <w:i/>
          <w:iCs/>
        </w:rPr>
        <w:t>enor</w:t>
      </w:r>
      <w:r w:rsidRPr="000A6510">
        <w:t xml:space="preserve"> y </w:t>
      </w:r>
      <w:r w:rsidR="00EC6584" w:rsidRPr="00206DDB">
        <w:rPr>
          <w:i/>
          <w:iCs/>
        </w:rPr>
        <w:t>m</w:t>
      </w:r>
      <w:r w:rsidRPr="00206DDB">
        <w:rPr>
          <w:i/>
          <w:iCs/>
        </w:rPr>
        <w:t>ucho menor</w:t>
      </w:r>
      <w:r w:rsidRPr="000A6510">
        <w:t xml:space="preserve">.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sidRPr="00206DDB">
        <w:rPr>
          <w:i/>
          <w:iCs/>
          <w:color w:val="auto"/>
        </w:rPr>
        <w:t>a</w:t>
      </w:r>
      <w:r w:rsidRPr="00206DDB">
        <w:rPr>
          <w:i/>
          <w:iCs/>
          <w:color w:val="auto"/>
        </w:rPr>
        <w:t>umentaron mucho</w:t>
      </w:r>
      <w:r w:rsidRPr="000A6510">
        <w:rPr>
          <w:color w:val="auto"/>
        </w:rPr>
        <w:t xml:space="preserve">, </w:t>
      </w:r>
      <w:r w:rsidR="00EC6584" w:rsidRPr="00206DDB">
        <w:rPr>
          <w:i/>
          <w:iCs/>
          <w:color w:val="auto"/>
        </w:rPr>
        <w:t>a</w:t>
      </w:r>
      <w:r w:rsidRPr="00206DDB">
        <w:rPr>
          <w:i/>
          <w:iCs/>
          <w:color w:val="auto"/>
        </w:rPr>
        <w:t>umentaron poco</w:t>
      </w:r>
      <w:r w:rsidRPr="000A6510">
        <w:rPr>
          <w:color w:val="auto"/>
        </w:rPr>
        <w:t xml:space="preserve">, </w:t>
      </w:r>
      <w:r w:rsidR="00EC6584" w:rsidRPr="00206DDB">
        <w:rPr>
          <w:i/>
          <w:iCs/>
          <w:color w:val="auto"/>
        </w:rPr>
        <w:t>p</w:t>
      </w:r>
      <w:r w:rsidRPr="00206DDB">
        <w:rPr>
          <w:i/>
          <w:iCs/>
          <w:color w:val="auto"/>
        </w:rPr>
        <w:t>ermanecieron igual</w:t>
      </w:r>
      <w:r w:rsidRPr="000A6510">
        <w:rPr>
          <w:color w:val="auto"/>
        </w:rPr>
        <w:t xml:space="preserve">, </w:t>
      </w:r>
      <w:r w:rsidR="00EC6584" w:rsidRPr="00206DDB">
        <w:rPr>
          <w:i/>
          <w:iCs/>
          <w:color w:val="auto"/>
        </w:rPr>
        <w:t>d</w:t>
      </w:r>
      <w:r w:rsidRPr="00206DDB">
        <w:rPr>
          <w:i/>
          <w:iCs/>
          <w:color w:val="auto"/>
        </w:rPr>
        <w:t>isminuyeron poco</w:t>
      </w:r>
      <w:r w:rsidRPr="000A6510">
        <w:rPr>
          <w:color w:val="auto"/>
        </w:rPr>
        <w:t xml:space="preserve"> y </w:t>
      </w:r>
      <w:r w:rsidR="00EC6584" w:rsidRPr="00206DDB">
        <w:rPr>
          <w:i/>
          <w:iCs/>
          <w:color w:val="auto"/>
        </w:rPr>
        <w:t>d</w:t>
      </w:r>
      <w:r w:rsidRPr="00206DDB">
        <w:rPr>
          <w:i/>
          <w:iCs/>
          <w:color w:val="auto"/>
        </w:rPr>
        <w:t xml:space="preserve">isminuyeron </w:t>
      </w:r>
      <w:r w:rsidR="00EC6584" w:rsidRPr="00206DDB">
        <w:rPr>
          <w:i/>
          <w:iCs/>
          <w:color w:val="auto"/>
        </w:rPr>
        <w:t>m</w:t>
      </w:r>
      <w:r w:rsidRPr="00206DDB">
        <w:rPr>
          <w:i/>
          <w:iCs/>
          <w:color w:val="auto"/>
        </w:rPr>
        <w:t>ucho</w:t>
      </w:r>
      <w:r w:rsidRPr="000A6510">
        <w:rPr>
          <w:color w:val="auto"/>
        </w:rPr>
        <w:t>.</w:t>
      </w:r>
    </w:p>
    <w:p w14:paraId="7D21E4A9" w14:textId="77777777" w:rsidR="00BD77B5" w:rsidRPr="000A6510" w:rsidRDefault="003A76C9" w:rsidP="00AB69C8">
      <w:pPr>
        <w:pStyle w:val="Default"/>
        <w:widowControl w:val="0"/>
        <w:spacing w:before="240" w:after="240"/>
        <w:ind w:left="-142" w:right="-91"/>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4DF4AA75" w14:textId="77777777" w:rsidTr="00FC128E">
        <w:trPr>
          <w:jc w:val="center"/>
        </w:trPr>
        <w:tc>
          <w:tcPr>
            <w:tcW w:w="1537" w:type="dxa"/>
            <w:tcBorders>
              <w:top w:val="single" w:sz="4" w:space="0" w:color="404040"/>
              <w:bottom w:val="single" w:sz="4" w:space="0" w:color="404040"/>
            </w:tcBorders>
            <w:shd w:val="clear" w:color="auto" w:fill="CCCCFF"/>
          </w:tcPr>
          <w:p w14:paraId="184E27F9" w14:textId="77777777" w:rsidR="00FC128E" w:rsidRPr="000A6510" w:rsidRDefault="00FC128E" w:rsidP="00543C76">
            <w:pPr>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0960499C"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6FC8482E" w14:textId="77777777" w:rsidTr="00FC128E">
        <w:trPr>
          <w:jc w:val="center"/>
        </w:trPr>
        <w:tc>
          <w:tcPr>
            <w:tcW w:w="1537" w:type="dxa"/>
            <w:tcBorders>
              <w:top w:val="single" w:sz="4" w:space="0" w:color="404040"/>
            </w:tcBorders>
          </w:tcPr>
          <w:p w14:paraId="3E3C1A9A" w14:textId="77777777" w:rsidR="00FC128E" w:rsidRPr="000A6510" w:rsidRDefault="00FC128E" w:rsidP="00543C76">
            <w:pPr>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22D56674"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6DA20073" w14:textId="77777777" w:rsidTr="00FC128E">
        <w:trPr>
          <w:jc w:val="center"/>
        </w:trPr>
        <w:tc>
          <w:tcPr>
            <w:tcW w:w="1537" w:type="dxa"/>
          </w:tcPr>
          <w:p w14:paraId="7185F6F5" w14:textId="77777777" w:rsidR="00FC128E" w:rsidRPr="000A6510" w:rsidRDefault="00FC128E" w:rsidP="00543C76">
            <w:pPr>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3B6004B9"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4C86ECCF" w14:textId="77777777" w:rsidTr="00FC128E">
        <w:trPr>
          <w:jc w:val="center"/>
        </w:trPr>
        <w:tc>
          <w:tcPr>
            <w:tcW w:w="1537" w:type="dxa"/>
          </w:tcPr>
          <w:p w14:paraId="7AF83469" w14:textId="77777777" w:rsidR="00FC128E" w:rsidRPr="000A6510" w:rsidRDefault="00FC128E" w:rsidP="00543C76">
            <w:pPr>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1EFF8B12"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010769D8" w14:textId="77777777" w:rsidTr="00FC128E">
        <w:trPr>
          <w:jc w:val="center"/>
        </w:trPr>
        <w:tc>
          <w:tcPr>
            <w:tcW w:w="1537" w:type="dxa"/>
          </w:tcPr>
          <w:p w14:paraId="6F378EAC" w14:textId="77777777" w:rsidR="00FC128E" w:rsidRPr="000A6510" w:rsidRDefault="00FC128E" w:rsidP="00543C76">
            <w:pPr>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416955A5"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6DE11167" w14:textId="77777777" w:rsidTr="00FC128E">
        <w:trPr>
          <w:jc w:val="center"/>
        </w:trPr>
        <w:tc>
          <w:tcPr>
            <w:tcW w:w="1537" w:type="dxa"/>
          </w:tcPr>
          <w:p w14:paraId="14744136" w14:textId="77777777" w:rsidR="00FC128E" w:rsidRPr="000A6510" w:rsidRDefault="00FC128E" w:rsidP="00543C76">
            <w:pPr>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4AF681DE"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6E658637" w14:textId="33E7667C" w:rsidR="003A76C9" w:rsidRPr="000A6510" w:rsidRDefault="003A76C9" w:rsidP="00AB69C8">
      <w:pPr>
        <w:pStyle w:val="Default"/>
        <w:keepLines/>
        <w:spacing w:before="240"/>
        <w:ind w:left="-142"/>
        <w:jc w:val="both"/>
      </w:pPr>
      <w:r w:rsidRPr="000A6510">
        <w:lastRenderedPageBreak/>
        <w:t>Los indicadores están diseñados para que sus valores fluctúen entre 0 y 100. De esta manera, a medida que el optimismo se generaliza entre</w:t>
      </w:r>
      <w:r w:rsidR="005D6F3F">
        <w:t xml:space="preserve"> las y</w:t>
      </w:r>
      <w:r w:rsidRPr="000A6510">
        <w:t xml:space="preserve"> los informantes, el valor del 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r w:rsidR="00A2352C" w:rsidRPr="00A2352C">
        <w:t xml:space="preserve"> </w:t>
      </w:r>
      <w:r w:rsidR="00A2352C">
        <w:t xml:space="preserve">Los indicadores de las </w:t>
      </w:r>
      <w:r w:rsidR="00A2352C" w:rsidRPr="000A6510">
        <w:t>expectativas empresariales permiten señalar posibles</w:t>
      </w:r>
      <w:r w:rsidR="00A2352C">
        <w:t xml:space="preserve"> comportamientos</w:t>
      </w:r>
      <w:r w:rsidR="00A2352C" w:rsidRPr="000A6510">
        <w:t>, pero no establecen pronósticos puntuales de las tasas de variación de los indicadores provenientes de otras fuentes estadísticas</w:t>
      </w:r>
      <w:r w:rsidR="00A2352C">
        <w:t>.</w:t>
      </w:r>
    </w:p>
    <w:p w14:paraId="31A13B7B" w14:textId="414EEB9A" w:rsidR="003A76C9" w:rsidRPr="00DB7155" w:rsidRDefault="00430C10" w:rsidP="00AB69C8">
      <w:pPr>
        <w:pStyle w:val="Default"/>
        <w:spacing w:before="240"/>
        <w:ind w:left="-142"/>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w:t>
      </w:r>
      <w:r w:rsidR="00546288">
        <w:rPr>
          <w:color w:val="auto"/>
        </w:rPr>
        <w:t>m</w:t>
      </w:r>
      <w:r w:rsidRPr="009F32F7">
        <w:rPr>
          <w:color w:val="auto"/>
        </w:rPr>
        <w:t xml:space="preserve">anufactureras </w:t>
      </w:r>
      <w:r>
        <w:rPr>
          <w:color w:val="auto"/>
        </w:rPr>
        <w:t xml:space="preserve">y Servicios </w:t>
      </w:r>
      <w:r w:rsidR="00C469E9">
        <w:rPr>
          <w:color w:val="auto"/>
        </w:rPr>
        <w:t>p</w:t>
      </w:r>
      <w:r>
        <w:rPr>
          <w:color w:val="auto"/>
        </w:rPr>
        <w:t xml:space="preserve">rivados no </w:t>
      </w:r>
      <w:r w:rsidR="00C469E9">
        <w:rPr>
          <w:color w:val="auto"/>
        </w:rPr>
        <w:t>f</w:t>
      </w:r>
      <w:r>
        <w:rPr>
          <w:color w:val="auto"/>
        </w:rPr>
        <w:t>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173B5F4" w14:textId="2E645B0A" w:rsidR="00430C10" w:rsidRPr="009F32F7" w:rsidRDefault="003A76C9" w:rsidP="00AB69C8">
      <w:pPr>
        <w:pStyle w:val="Default"/>
        <w:spacing w:before="240"/>
        <w:ind w:left="-142"/>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 xml:space="preserve">de los indicadores de expectativas empresariales. En Industrias </w:t>
      </w:r>
      <w:r w:rsidR="00546288">
        <w:rPr>
          <w:color w:val="auto"/>
        </w:rPr>
        <w:t>m</w:t>
      </w:r>
      <w:r w:rsidR="00430C10" w:rsidRPr="00B31901">
        <w:rPr>
          <w:color w:val="auto"/>
        </w:rPr>
        <w:t xml:space="preserve">anufactureras y Servicios </w:t>
      </w:r>
      <w:r w:rsidR="00C469E9">
        <w:rPr>
          <w:color w:val="auto"/>
        </w:rPr>
        <w:t>p</w:t>
      </w:r>
      <w:r w:rsidR="00430C10" w:rsidRPr="00B31901">
        <w:rPr>
          <w:color w:val="auto"/>
        </w:rPr>
        <w:t xml:space="preserve">rivados no </w:t>
      </w:r>
      <w:r w:rsidR="00C469E9">
        <w:rPr>
          <w:color w:val="auto"/>
        </w:rPr>
        <w:t>f</w:t>
      </w:r>
      <w:r w:rsidR="00430C10" w:rsidRPr="00B31901">
        <w:rPr>
          <w:color w:val="auto"/>
        </w:rPr>
        <w:t>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1F180412" w14:textId="411D3AE6" w:rsidR="00AC5384" w:rsidRPr="000A6510" w:rsidRDefault="003A76C9" w:rsidP="00AB69C8">
      <w:pPr>
        <w:pStyle w:val="Default"/>
        <w:spacing w:before="240"/>
        <w:ind w:left="-142"/>
        <w:jc w:val="both"/>
      </w:pPr>
      <w:r w:rsidRPr="000A6510">
        <w:t xml:space="preserve">El IAT del sector Industrias </w:t>
      </w:r>
      <w:r w:rsidR="004155B1">
        <w:t>m</w:t>
      </w:r>
      <w:r w:rsidRPr="000A6510">
        <w:t xml:space="preserve">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r w:rsidR="00AC5384" w:rsidRPr="00AC5384">
        <w:t xml:space="preserve"> </w:t>
      </w:r>
      <w:r w:rsidR="00AC5384">
        <w:t>E</w:t>
      </w:r>
      <w:r w:rsidR="00AC5384" w:rsidRPr="000A6510">
        <w:t>l IAT de</w:t>
      </w:r>
      <w:r w:rsidR="00BB24A3">
        <w:t xml:space="preserve"> </w:t>
      </w:r>
      <w:r w:rsidR="00AC5384" w:rsidRPr="000A6510">
        <w:t>Construcción y Comercio se publica</w:t>
      </w:r>
      <w:r w:rsidR="00AC5384">
        <w:t>n</w:t>
      </w:r>
      <w:r w:rsidR="00AC5384" w:rsidRPr="000A6510">
        <w:t xml:space="preserve"> a nivel del total del sector.</w:t>
      </w:r>
    </w:p>
    <w:p w14:paraId="7760E361" w14:textId="6646D9E8" w:rsidR="003A76C9" w:rsidRPr="000A6510" w:rsidRDefault="004B0E48" w:rsidP="00AB69C8">
      <w:pPr>
        <w:autoSpaceDE w:val="0"/>
        <w:autoSpaceDN w:val="0"/>
        <w:adjustRightInd w:val="0"/>
        <w:spacing w:before="240"/>
        <w:ind w:left="-142"/>
      </w:pPr>
      <w:r>
        <w:t>El</w:t>
      </w:r>
      <w:r w:rsidR="003A76C9" w:rsidRPr="000A6510">
        <w:t xml:space="preserve"> IAT de Servicios </w:t>
      </w:r>
      <w:r w:rsidR="00C469E9">
        <w:t>p</w:t>
      </w:r>
      <w:r w:rsidR="003A76C9" w:rsidRPr="000A6510">
        <w:t xml:space="preserve">rivados no </w:t>
      </w:r>
      <w:r w:rsidR="00C469E9">
        <w:t>f</w:t>
      </w:r>
      <w:r w:rsidR="003A76C9" w:rsidRPr="000A6510">
        <w:t xml:space="preserve">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Servicios inmobiliarios y de alquiler de bienes muebles e intangibles (sector 53), Servicios educativos (sector 61), Servicios de salud y de asistencia social (sector 62) y Servicios de esparcimiento culturales y deportivos, y otros servicios recreativos (sector 71).</w:t>
      </w:r>
    </w:p>
    <w:p w14:paraId="682A4FD2" w14:textId="77777777" w:rsidR="00AB69C8" w:rsidRDefault="00AB69C8" w:rsidP="00AB69C8">
      <w:pPr>
        <w:pStyle w:val="Default"/>
        <w:widowControl w:val="0"/>
        <w:spacing w:before="240" w:after="240"/>
        <w:ind w:left="-142"/>
        <w:jc w:val="both"/>
      </w:pPr>
    </w:p>
    <w:p w14:paraId="0A6138EE" w14:textId="77777777" w:rsidR="00AB69C8" w:rsidRDefault="00AB69C8" w:rsidP="00AB69C8">
      <w:pPr>
        <w:pStyle w:val="Default"/>
        <w:widowControl w:val="0"/>
        <w:spacing w:before="240" w:after="240"/>
        <w:ind w:left="-142"/>
        <w:jc w:val="both"/>
      </w:pPr>
    </w:p>
    <w:p w14:paraId="5AFFECF5" w14:textId="432F5874" w:rsidR="00237DEB" w:rsidRDefault="002E7091" w:rsidP="00AB69C8">
      <w:pPr>
        <w:pStyle w:val="Default"/>
        <w:widowControl w:val="0"/>
        <w:spacing w:before="240" w:after="240"/>
        <w:ind w:left="-142"/>
        <w:jc w:val="both"/>
      </w:pPr>
      <w:r>
        <w:lastRenderedPageBreak/>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w:t>
      </w:r>
      <w:r w:rsidR="00E842CA">
        <w:t xml:space="preserve">roducto </w:t>
      </w:r>
      <w:r w:rsidR="00430C10" w:rsidRPr="002152F0">
        <w:t>I</w:t>
      </w:r>
      <w:r w:rsidR="00E842CA">
        <w:t>nterno Bruto (PIB)</w:t>
      </w:r>
      <w:r w:rsidR="00430C10" w:rsidRPr="002152F0">
        <w:t xml:space="preserve">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E842CA">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5B6D7AFA" w14:textId="77777777" w:rsidTr="00435774">
        <w:trPr>
          <w:cantSplit/>
          <w:jc w:val="center"/>
        </w:trPr>
        <w:tc>
          <w:tcPr>
            <w:tcW w:w="3521" w:type="dxa"/>
            <w:tcBorders>
              <w:bottom w:val="single" w:sz="6" w:space="0" w:color="404040"/>
              <w:right w:val="single" w:sz="6" w:space="0" w:color="404040"/>
            </w:tcBorders>
            <w:shd w:val="clear" w:color="auto" w:fill="CCCCFF"/>
          </w:tcPr>
          <w:p w14:paraId="2732626D" w14:textId="77777777" w:rsidR="004B0E48" w:rsidRPr="005F67D9" w:rsidRDefault="004B0E48" w:rsidP="00435774">
            <w:pPr>
              <w:keepNext/>
              <w:keepLines/>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2F6A6E5" w14:textId="77777777" w:rsidR="004B0E48" w:rsidRPr="005F67D9" w:rsidRDefault="004B0E48" w:rsidP="00435774">
            <w:pPr>
              <w:keepNext/>
              <w:keepLines/>
              <w:widowControl w:val="0"/>
              <w:spacing w:before="120" w:after="120"/>
              <w:jc w:val="center"/>
              <w:rPr>
                <w:sz w:val="18"/>
                <w:szCs w:val="18"/>
              </w:rPr>
            </w:pPr>
            <w:r w:rsidRPr="005F67D9">
              <w:rPr>
                <w:sz w:val="18"/>
                <w:szCs w:val="18"/>
              </w:rPr>
              <w:t>Ponderador</w:t>
            </w:r>
          </w:p>
        </w:tc>
      </w:tr>
      <w:tr w:rsidR="004B0E48" w:rsidRPr="005F67D9" w14:paraId="1D36FE08" w14:textId="77777777" w:rsidTr="00435774">
        <w:trPr>
          <w:cantSplit/>
          <w:jc w:val="center"/>
        </w:trPr>
        <w:tc>
          <w:tcPr>
            <w:tcW w:w="3521" w:type="dxa"/>
            <w:tcBorders>
              <w:top w:val="single" w:sz="6" w:space="0" w:color="404040"/>
              <w:left w:val="single" w:sz="6" w:space="0" w:color="404040"/>
              <w:bottom w:val="nil"/>
              <w:right w:val="single" w:sz="6" w:space="0" w:color="404040"/>
            </w:tcBorders>
            <w:vAlign w:val="center"/>
          </w:tcPr>
          <w:p w14:paraId="1213B638" w14:textId="77777777" w:rsidR="004B0E48" w:rsidRPr="005F67D9" w:rsidRDefault="004B0E48" w:rsidP="00435774">
            <w:pPr>
              <w:keepNext/>
              <w:keepLines/>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19423D51" w14:textId="77777777" w:rsidR="004B0E48" w:rsidRPr="005F67D9" w:rsidRDefault="004B0E48" w:rsidP="00435774">
            <w:pPr>
              <w:keepNext/>
              <w:keepLines/>
              <w:widowControl w:val="0"/>
              <w:spacing w:before="40" w:after="40"/>
              <w:jc w:val="center"/>
              <w:rPr>
                <w:sz w:val="18"/>
                <w:szCs w:val="18"/>
              </w:rPr>
            </w:pPr>
            <w:r w:rsidRPr="005F67D9">
              <w:rPr>
                <w:sz w:val="18"/>
                <w:szCs w:val="18"/>
              </w:rPr>
              <w:t>9.69</w:t>
            </w:r>
          </w:p>
        </w:tc>
      </w:tr>
      <w:tr w:rsidR="004B0E48" w:rsidRPr="005F67D9" w14:paraId="4D1DDE0B" w14:textId="77777777" w:rsidTr="00435774">
        <w:trPr>
          <w:cantSplit/>
          <w:jc w:val="center"/>
        </w:trPr>
        <w:tc>
          <w:tcPr>
            <w:tcW w:w="3521" w:type="dxa"/>
            <w:tcBorders>
              <w:top w:val="nil"/>
              <w:left w:val="single" w:sz="6" w:space="0" w:color="404040"/>
              <w:bottom w:val="nil"/>
              <w:right w:val="single" w:sz="6" w:space="0" w:color="404040"/>
            </w:tcBorders>
            <w:vAlign w:val="center"/>
          </w:tcPr>
          <w:p w14:paraId="61BC35D2" w14:textId="3D50423D" w:rsidR="004B0E48" w:rsidRPr="005F67D9" w:rsidRDefault="004B0E48" w:rsidP="00435774">
            <w:pPr>
              <w:keepNext/>
              <w:keepLines/>
              <w:widowControl w:val="0"/>
              <w:tabs>
                <w:tab w:val="left" w:pos="865"/>
              </w:tabs>
              <w:spacing w:before="40" w:after="40"/>
              <w:ind w:firstLine="39"/>
              <w:jc w:val="left"/>
              <w:rPr>
                <w:sz w:val="18"/>
                <w:szCs w:val="18"/>
              </w:rPr>
            </w:pPr>
            <w:r w:rsidRPr="005F67D9">
              <w:rPr>
                <w:sz w:val="18"/>
                <w:szCs w:val="18"/>
              </w:rPr>
              <w:t xml:space="preserve">Industrias </w:t>
            </w:r>
            <w:r w:rsidR="00B44FB1">
              <w:rPr>
                <w:sz w:val="18"/>
                <w:szCs w:val="18"/>
              </w:rPr>
              <w:t>m</w:t>
            </w:r>
            <w:r w:rsidRPr="005F67D9">
              <w:rPr>
                <w:sz w:val="18"/>
                <w:szCs w:val="18"/>
              </w:rPr>
              <w:t>anufactureras</w:t>
            </w:r>
          </w:p>
        </w:tc>
        <w:tc>
          <w:tcPr>
            <w:tcW w:w="2724" w:type="dxa"/>
            <w:tcBorders>
              <w:top w:val="nil"/>
              <w:left w:val="single" w:sz="6" w:space="0" w:color="404040"/>
              <w:bottom w:val="nil"/>
            </w:tcBorders>
            <w:vAlign w:val="center"/>
          </w:tcPr>
          <w:p w14:paraId="0C69ACFB" w14:textId="77777777" w:rsidR="004B0E48" w:rsidRPr="005F67D9" w:rsidRDefault="004B0E48" w:rsidP="00435774">
            <w:pPr>
              <w:keepNext/>
              <w:keepLines/>
              <w:widowControl w:val="0"/>
              <w:spacing w:before="40" w:after="40"/>
              <w:jc w:val="center"/>
              <w:rPr>
                <w:sz w:val="18"/>
                <w:szCs w:val="18"/>
              </w:rPr>
            </w:pPr>
            <w:r w:rsidRPr="005F67D9">
              <w:rPr>
                <w:sz w:val="18"/>
                <w:szCs w:val="18"/>
              </w:rPr>
              <w:t>20.62</w:t>
            </w:r>
          </w:p>
        </w:tc>
      </w:tr>
      <w:tr w:rsidR="004B0E48" w:rsidRPr="005F67D9" w14:paraId="3819F1F2" w14:textId="77777777" w:rsidTr="00435774">
        <w:trPr>
          <w:cantSplit/>
          <w:jc w:val="center"/>
        </w:trPr>
        <w:tc>
          <w:tcPr>
            <w:tcW w:w="3521" w:type="dxa"/>
            <w:tcBorders>
              <w:top w:val="nil"/>
              <w:left w:val="single" w:sz="6" w:space="0" w:color="404040"/>
              <w:bottom w:val="nil"/>
              <w:right w:val="single" w:sz="6" w:space="0" w:color="404040"/>
            </w:tcBorders>
            <w:vAlign w:val="center"/>
          </w:tcPr>
          <w:p w14:paraId="0DDC2311" w14:textId="77777777" w:rsidR="004B0E48" w:rsidRPr="005F67D9" w:rsidRDefault="004B0E48" w:rsidP="00435774">
            <w:pPr>
              <w:keepNext/>
              <w:keepLines/>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5139F933" w14:textId="77777777" w:rsidR="004B0E48" w:rsidRPr="005F67D9" w:rsidRDefault="004B0E48" w:rsidP="00435774">
            <w:pPr>
              <w:keepNext/>
              <w:keepLines/>
              <w:widowControl w:val="0"/>
              <w:spacing w:before="40" w:after="40"/>
              <w:jc w:val="center"/>
              <w:rPr>
                <w:sz w:val="18"/>
                <w:szCs w:val="18"/>
              </w:rPr>
            </w:pPr>
            <w:r w:rsidRPr="005F67D9">
              <w:rPr>
                <w:sz w:val="18"/>
                <w:szCs w:val="18"/>
              </w:rPr>
              <w:t>21.95</w:t>
            </w:r>
          </w:p>
        </w:tc>
      </w:tr>
      <w:tr w:rsidR="004B0E48" w:rsidRPr="005F67D9" w14:paraId="74A07895" w14:textId="77777777" w:rsidTr="00435774">
        <w:trPr>
          <w:cantSplit/>
          <w:jc w:val="center"/>
        </w:trPr>
        <w:tc>
          <w:tcPr>
            <w:tcW w:w="3521" w:type="dxa"/>
            <w:tcBorders>
              <w:top w:val="nil"/>
              <w:left w:val="single" w:sz="6" w:space="0" w:color="404040"/>
              <w:bottom w:val="single" w:sz="6" w:space="0" w:color="404040"/>
              <w:right w:val="single" w:sz="6" w:space="0" w:color="404040"/>
            </w:tcBorders>
            <w:vAlign w:val="center"/>
          </w:tcPr>
          <w:p w14:paraId="56639147" w14:textId="0EDD0EC9" w:rsidR="004B0E48" w:rsidRPr="005F67D9" w:rsidRDefault="004B0E48" w:rsidP="00435774">
            <w:pPr>
              <w:keepNext/>
              <w:keepLines/>
              <w:widowControl w:val="0"/>
              <w:tabs>
                <w:tab w:val="left" w:pos="865"/>
              </w:tabs>
              <w:spacing w:before="40" w:after="40"/>
              <w:ind w:firstLine="39"/>
              <w:jc w:val="left"/>
              <w:rPr>
                <w:sz w:val="18"/>
                <w:szCs w:val="18"/>
              </w:rPr>
            </w:pPr>
            <w:r w:rsidRPr="005F67D9">
              <w:rPr>
                <w:sz w:val="18"/>
                <w:szCs w:val="18"/>
              </w:rPr>
              <w:t xml:space="preserve">Servicios </w:t>
            </w:r>
            <w:r w:rsidR="00C469E9">
              <w:rPr>
                <w:sz w:val="18"/>
                <w:szCs w:val="18"/>
              </w:rPr>
              <w:t>p</w:t>
            </w:r>
            <w:r w:rsidRPr="005F67D9">
              <w:rPr>
                <w:sz w:val="18"/>
                <w:szCs w:val="18"/>
              </w:rPr>
              <w:t xml:space="preserve">rivados no </w:t>
            </w:r>
            <w:r w:rsidR="00C469E9">
              <w:rPr>
                <w:sz w:val="18"/>
                <w:szCs w:val="18"/>
              </w:rPr>
              <w:t>f</w:t>
            </w:r>
            <w:r w:rsidRPr="005F67D9">
              <w:rPr>
                <w:sz w:val="18"/>
                <w:szCs w:val="18"/>
              </w:rPr>
              <w:t>inancieros</w:t>
            </w:r>
          </w:p>
        </w:tc>
        <w:tc>
          <w:tcPr>
            <w:tcW w:w="2724" w:type="dxa"/>
            <w:tcBorders>
              <w:top w:val="nil"/>
              <w:left w:val="single" w:sz="6" w:space="0" w:color="404040"/>
              <w:bottom w:val="single" w:sz="6" w:space="0" w:color="404040"/>
            </w:tcBorders>
            <w:vAlign w:val="center"/>
          </w:tcPr>
          <w:p w14:paraId="44C92BC2" w14:textId="77777777" w:rsidR="004B0E48" w:rsidRPr="005F67D9" w:rsidRDefault="004B0E48" w:rsidP="00435774">
            <w:pPr>
              <w:keepNext/>
              <w:keepLines/>
              <w:widowControl w:val="0"/>
              <w:spacing w:before="40" w:after="40"/>
              <w:jc w:val="center"/>
              <w:rPr>
                <w:sz w:val="18"/>
                <w:szCs w:val="18"/>
              </w:rPr>
            </w:pPr>
            <w:r w:rsidRPr="005F67D9">
              <w:rPr>
                <w:sz w:val="18"/>
                <w:szCs w:val="18"/>
              </w:rPr>
              <w:t>47.74</w:t>
            </w:r>
          </w:p>
        </w:tc>
      </w:tr>
    </w:tbl>
    <w:p w14:paraId="4B3ED46E" w14:textId="68763010" w:rsidR="00752A0D" w:rsidRDefault="00122979" w:rsidP="00AB69C8">
      <w:pPr>
        <w:pStyle w:val="Default"/>
        <w:spacing w:before="240"/>
        <w:ind w:left="-142" w:right="-142"/>
        <w:jc w:val="both"/>
        <w:rPr>
          <w:color w:val="auto"/>
        </w:rPr>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w:t>
      </w:r>
      <w:r w:rsidR="00546288">
        <w:rPr>
          <w:color w:val="auto"/>
        </w:rPr>
        <w:t>i</w:t>
      </w:r>
      <w:r w:rsidR="003A76C9" w:rsidRPr="000A6510">
        <w:rPr>
          <w:color w:val="auto"/>
        </w:rPr>
        <w:t xml:space="preserve">ndicadores de </w:t>
      </w:r>
      <w:r w:rsidR="00546288">
        <w:rPr>
          <w:color w:val="auto"/>
        </w:rPr>
        <w:t>p</w:t>
      </w:r>
      <w:r w:rsidR="003A76C9" w:rsidRPr="000A6510">
        <w:rPr>
          <w:color w:val="auto"/>
        </w:rPr>
        <w:t xml:space="preserve">recisión </w:t>
      </w:r>
      <w:r w:rsidR="00546288">
        <w:rPr>
          <w:color w:val="auto"/>
        </w:rPr>
        <w:t>e</w:t>
      </w:r>
      <w:r w:rsidR="003A76C9" w:rsidRPr="000A6510">
        <w:rPr>
          <w:color w:val="auto"/>
        </w:rPr>
        <w:t xml:space="preserve">stadística </w:t>
      </w:r>
      <w:r w:rsidR="003A76C9" w:rsidRPr="000A6510">
        <w:t>de</w:t>
      </w:r>
      <w:r w:rsidR="00DB0399">
        <w:t xml:space="preserve"> </w:t>
      </w:r>
      <w:r w:rsidR="003A76C9" w:rsidRPr="000A6510">
        <w:t>l</w:t>
      </w:r>
      <w:r w:rsidR="00DB0399">
        <w:t>os</w:t>
      </w:r>
      <w:r w:rsidR="003A76C9" w:rsidRPr="000A6510">
        <w:t xml:space="preserve"> I</w:t>
      </w:r>
      <w:r w:rsidR="00546288">
        <w:t xml:space="preserve">AT,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3" w:name="OLE_LINK1"/>
    </w:p>
    <w:p w14:paraId="446853CE" w14:textId="77777777" w:rsidR="00671B21" w:rsidRPr="000A6510" w:rsidRDefault="00000000" w:rsidP="00AB69C8">
      <w:pPr>
        <w:pStyle w:val="Default"/>
        <w:ind w:left="-142" w:right="-142"/>
        <w:jc w:val="both"/>
      </w:pPr>
      <w:hyperlink r:id="rId44" w:history="1">
        <w:r w:rsidR="00181AD5" w:rsidRPr="000A6510">
          <w:rPr>
            <w:rStyle w:val="Hipervnculo"/>
          </w:rPr>
          <w:t>https://www.inegi.org.mx/programas/emoe/2013/</w:t>
        </w:r>
      </w:hyperlink>
    </w:p>
    <w:bookmarkEnd w:id="3"/>
    <w:p w14:paraId="7163E97D" w14:textId="77777777" w:rsidR="003A76C9" w:rsidRPr="000A6510" w:rsidRDefault="002756A6" w:rsidP="00AB69C8">
      <w:pPr>
        <w:pStyle w:val="Default"/>
        <w:spacing w:before="240"/>
        <w:ind w:left="-142" w:right="-142"/>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4" w:name="_Hlk95823674"/>
      <w:r w:rsidR="00E15C48">
        <w:t xml:space="preserve">. </w:t>
      </w:r>
      <w:r w:rsidR="00C040BB">
        <w:t>E</w:t>
      </w:r>
      <w:r w:rsidR="00E15C48">
        <w:t>stas pueden ser:</w:t>
      </w:r>
      <w:r w:rsidR="003A76C9" w:rsidRPr="000A6510">
        <w:t xml:space="preserve"> </w:t>
      </w:r>
      <w:bookmarkEnd w:id="4"/>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21015094" w14:textId="191ED3EB" w:rsidR="003A76C9" w:rsidRPr="000A6510" w:rsidRDefault="002756A6" w:rsidP="00AB69C8">
      <w:pPr>
        <w:pStyle w:val="Default"/>
        <w:spacing w:before="240"/>
        <w:ind w:left="-142" w:right="-142"/>
        <w:jc w:val="both"/>
      </w:pPr>
      <w:r>
        <w:t>L</w:t>
      </w:r>
      <w:r w:rsidR="003A76C9" w:rsidRPr="000A6510">
        <w:t xml:space="preserve">a </w:t>
      </w:r>
      <w:r w:rsidR="003A76C9" w:rsidRPr="006E62B6">
        <w:t>desestacionalización o ajuste estacional de series económicas consiste en remover estas influencias intra-anuales</w:t>
      </w:r>
      <w:r w:rsidR="006E62B6" w:rsidRPr="006E62B6">
        <w:t xml:space="preserve"> periódicas</w:t>
      </w:r>
      <w:r w:rsidR="0007571A" w:rsidRPr="006E62B6">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comparar adecuadamente un determinado</w:t>
      </w:r>
      <w:r w:rsidR="00AB7CD0">
        <w:t xml:space="preserve"> mes con el inmediato anterior. </w:t>
      </w:r>
      <w:r w:rsidR="003A76C9" w:rsidRPr="000A6510">
        <w:t xml:space="preserve">Analizar la serie desestacionalizada ayuda a realizar un mejor diagnóstico y pronóstico de </w:t>
      </w:r>
      <w:r w:rsidR="009065D6" w:rsidRPr="00D23FCD">
        <w:t>su</w:t>
      </w:r>
      <w:r w:rsidR="009065D6">
        <w:t xml:space="preserve"> </w:t>
      </w:r>
      <w:r w:rsidR="006E62B6">
        <w:t xml:space="preserve">evolución, pues </w:t>
      </w:r>
      <w:r w:rsidRPr="000A6510">
        <w:t>en el corto plazo</w:t>
      </w:r>
      <w:r>
        <w:t>, identifica</w:t>
      </w:r>
      <w:r w:rsidR="003A76C9" w:rsidRPr="000A6510">
        <w:t xml:space="preserve"> la posible dirección de los movimientos </w:t>
      </w:r>
      <w:r>
        <w:t>de la variable en cuestión.</w:t>
      </w:r>
    </w:p>
    <w:p w14:paraId="4A7D1475" w14:textId="77777777" w:rsidR="00671B21" w:rsidRPr="000A6510" w:rsidRDefault="003A76C9" w:rsidP="00AB69C8">
      <w:pPr>
        <w:autoSpaceDE w:val="0"/>
        <w:autoSpaceDN w:val="0"/>
        <w:adjustRightInd w:val="0"/>
        <w:spacing w:before="240"/>
        <w:ind w:left="-142" w:right="-142"/>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3B86AC6A" w14:textId="77777777" w:rsidR="00671B21" w:rsidRPr="000A6510" w:rsidRDefault="00000000" w:rsidP="00AB69C8">
      <w:pPr>
        <w:pStyle w:val="Default"/>
        <w:ind w:left="-142" w:right="-142"/>
        <w:contextualSpacing/>
        <w:jc w:val="both"/>
      </w:pPr>
      <w:hyperlink r:id="rId45" w:history="1">
        <w:r w:rsidR="00D3179D" w:rsidRPr="000A6510">
          <w:rPr>
            <w:rStyle w:val="Hipervnculo"/>
          </w:rPr>
          <w:t>https://www.inegi.org.mx/app/biblioteca/ficha.html?upc=702825099060</w:t>
        </w:r>
      </w:hyperlink>
    </w:p>
    <w:p w14:paraId="3891252A" w14:textId="77777777" w:rsidR="003A76C9" w:rsidRPr="00752A0D" w:rsidRDefault="003C353D" w:rsidP="00AB69C8">
      <w:pPr>
        <w:pStyle w:val="Default"/>
        <w:spacing w:before="240"/>
        <w:ind w:left="-142" w:right="-142"/>
        <w:jc w:val="both"/>
        <w:rPr>
          <w:spacing w:val="-2"/>
        </w:rPr>
      </w:pPr>
      <w:r w:rsidRPr="000A6510">
        <w:rPr>
          <w:noProof/>
        </w:rPr>
        <w:drawing>
          <wp:anchor distT="0" distB="0" distL="114300" distR="114300" simplePos="0" relativeHeight="251658240" behindDoc="0" locked="0" layoutInCell="1" allowOverlap="1" wp14:anchorId="3A74A1E1" wp14:editId="3E21A336">
            <wp:simplePos x="0" y="0"/>
            <wp:positionH relativeFrom="rightMargin">
              <wp:posOffset>91913</wp:posOffset>
            </wp:positionH>
            <wp:positionV relativeFrom="paragraph">
              <wp:posOffset>531495</wp:posOffset>
            </wp:positionV>
            <wp:extent cx="126000" cy="126000"/>
            <wp:effectExtent l="0" t="0" r="7620" b="762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523">
        <w:t>L</w:t>
      </w:r>
      <w:r w:rsidR="003A76C9" w:rsidRPr="000A6510">
        <w:t xml:space="preserve">as especificaciones de los modelos utilizados para realizar el ajuste estacional están </w:t>
      </w:r>
      <w:r w:rsidR="003A76C9" w:rsidRPr="00752A0D">
        <w:rPr>
          <w:spacing w:val="-2"/>
        </w:rPr>
        <w:t>disponibles en el Banco de Info</w:t>
      </w:r>
      <w:r w:rsidR="00E87BD2" w:rsidRPr="00752A0D">
        <w:rPr>
          <w:spacing w:val="-2"/>
        </w:rPr>
        <w:t>rmación Económica</w:t>
      </w:r>
      <w:r w:rsidR="007C4108" w:rsidRPr="00752A0D">
        <w:rPr>
          <w:spacing w:val="-2"/>
        </w:rPr>
        <w:t xml:space="preserve"> (BIE)</w:t>
      </w:r>
      <w:r w:rsidR="00E87BD2" w:rsidRPr="00752A0D">
        <w:rPr>
          <w:spacing w:val="-2"/>
        </w:rPr>
        <w:t xml:space="preserve">. Seleccione «Indicadores económicos de coyuntura, Encuesta </w:t>
      </w:r>
      <w:r w:rsidR="00752A0D" w:rsidRPr="00752A0D">
        <w:rPr>
          <w:spacing w:val="-2"/>
        </w:rPr>
        <w:t>M</w:t>
      </w:r>
      <w:r w:rsidR="00E87BD2" w:rsidRPr="00752A0D">
        <w:rPr>
          <w:spacing w:val="-2"/>
        </w:rPr>
        <w:t xml:space="preserve">ensual de </w:t>
      </w:r>
      <w:r w:rsidR="00752A0D" w:rsidRPr="00752A0D">
        <w:rPr>
          <w:spacing w:val="-2"/>
        </w:rPr>
        <w:t>O</w:t>
      </w:r>
      <w:r w:rsidR="00E87BD2" w:rsidRPr="00752A0D">
        <w:rPr>
          <w:spacing w:val="-2"/>
        </w:rPr>
        <w:t xml:space="preserve">pinión </w:t>
      </w:r>
      <w:r w:rsidR="00752A0D" w:rsidRPr="00752A0D">
        <w:rPr>
          <w:spacing w:val="-2"/>
        </w:rPr>
        <w:t>E</w:t>
      </w:r>
      <w:r w:rsidR="00E87BD2" w:rsidRPr="00752A0D">
        <w:rPr>
          <w:spacing w:val="-2"/>
        </w:rPr>
        <w:t>mpresarial»</w:t>
      </w:r>
      <w:r w:rsidR="003A76C9" w:rsidRPr="00752A0D">
        <w:rPr>
          <w:spacing w:val="-2"/>
        </w:rPr>
        <w:t xml:space="preserve"> </w:t>
      </w:r>
      <w:r w:rsidR="00E87BD2" w:rsidRPr="00752A0D">
        <w:rPr>
          <w:spacing w:val="-2"/>
        </w:rPr>
        <w:t xml:space="preserve">y vaya al </w:t>
      </w:r>
      <w:r w:rsidR="003A76C9" w:rsidRPr="00752A0D">
        <w:rPr>
          <w:spacing w:val="-2"/>
        </w:rPr>
        <w:t>icono de información</w:t>
      </w:r>
      <w:r w:rsidR="00847ED0" w:rsidRPr="00752A0D">
        <w:rPr>
          <w:spacing w:val="-2"/>
        </w:rPr>
        <w:t xml:space="preserve">  </w:t>
      </w:r>
      <w:r w:rsidR="00E9647F" w:rsidRPr="00752A0D">
        <w:rPr>
          <w:spacing w:val="-2"/>
        </w:rPr>
        <w:t xml:space="preserve"> </w:t>
      </w:r>
      <w:r w:rsidR="00847ED0" w:rsidRPr="00752A0D">
        <w:rPr>
          <w:spacing w:val="-2"/>
        </w:rPr>
        <w:t xml:space="preserve">  </w:t>
      </w:r>
      <w:r w:rsidR="00900724" w:rsidRPr="00752A0D">
        <w:rPr>
          <w:spacing w:val="-2"/>
        </w:rPr>
        <w:t>correspondiente a las «</w:t>
      </w:r>
      <w:r w:rsidR="003A76C9" w:rsidRPr="00752A0D">
        <w:rPr>
          <w:spacing w:val="-2"/>
        </w:rPr>
        <w:t>series desestaci</w:t>
      </w:r>
      <w:r w:rsidR="00900724" w:rsidRPr="00752A0D">
        <w:rPr>
          <w:spacing w:val="-2"/>
        </w:rPr>
        <w:t>onalizadas y de tendencia-ciclo</w:t>
      </w:r>
      <w:r w:rsidR="00A632A8" w:rsidRPr="00752A0D">
        <w:rPr>
          <w:spacing w:val="-2"/>
        </w:rPr>
        <w:t>»</w:t>
      </w:r>
      <w:r w:rsidR="003A76C9" w:rsidRPr="00752A0D">
        <w:rPr>
          <w:spacing w:val="-2"/>
        </w:rPr>
        <w:t>.</w:t>
      </w:r>
    </w:p>
    <w:p w14:paraId="334BA11D" w14:textId="77777777" w:rsidR="003A76C9" w:rsidRPr="000A6510" w:rsidRDefault="005C6320" w:rsidP="00AB69C8">
      <w:pPr>
        <w:pStyle w:val="Default"/>
        <w:spacing w:before="240"/>
        <w:ind w:left="-142" w:right="-142"/>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6FF141F8" w14:textId="77777777" w:rsidR="00AB69C8" w:rsidRDefault="00AB69C8" w:rsidP="00AB69C8">
      <w:pPr>
        <w:pStyle w:val="texto0"/>
        <w:keepLines w:val="0"/>
        <w:widowControl/>
        <w:autoSpaceDE w:val="0"/>
        <w:autoSpaceDN w:val="0"/>
        <w:adjustRightInd w:val="0"/>
        <w:ind w:left="-142" w:right="-142"/>
        <w:rPr>
          <w:rFonts w:cs="Arial"/>
          <w:color w:val="auto"/>
        </w:rPr>
      </w:pPr>
    </w:p>
    <w:p w14:paraId="77709BBD" w14:textId="157CA847" w:rsidR="00671B21" w:rsidRPr="000A6510" w:rsidRDefault="00956D65" w:rsidP="00AB69C8">
      <w:pPr>
        <w:pStyle w:val="texto0"/>
        <w:keepLines w:val="0"/>
        <w:widowControl/>
        <w:autoSpaceDE w:val="0"/>
        <w:autoSpaceDN w:val="0"/>
        <w:adjustRightInd w:val="0"/>
        <w:ind w:left="-142" w:right="-142"/>
        <w:rPr>
          <w:rFonts w:cs="Arial"/>
          <w:color w:val="auto"/>
        </w:rPr>
      </w:pPr>
      <w:r>
        <w:rPr>
          <w:rFonts w:cs="Arial"/>
          <w:color w:val="auto"/>
        </w:rPr>
        <w:lastRenderedPageBreak/>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3613A96E" w14:textId="77777777" w:rsidR="00671B21" w:rsidRPr="000A6510" w:rsidRDefault="00671B21" w:rsidP="00AB69C8">
      <w:pPr>
        <w:pStyle w:val="Default"/>
        <w:ind w:left="-142" w:right="-142"/>
        <w:contextualSpacing/>
        <w:jc w:val="both"/>
        <w:rPr>
          <w:color w:val="auto"/>
        </w:rPr>
      </w:pPr>
      <w:r w:rsidRPr="000A6510">
        <w:rPr>
          <w:color w:val="auto"/>
        </w:rPr>
        <w:t>Tema:</w:t>
      </w:r>
      <w:r w:rsidR="00836AB9" w:rsidRPr="000A6510">
        <w:rPr>
          <w:color w:val="auto"/>
        </w:rPr>
        <w:t xml:space="preserve"> </w:t>
      </w:r>
      <w:hyperlink r:id="rId47" w:history="1">
        <w:r w:rsidR="00836AB9" w:rsidRPr="000A6510">
          <w:rPr>
            <w:rStyle w:val="Hipervnculo"/>
          </w:rPr>
          <w:t>https://www.inegi.org.mx/temas/expectativas/</w:t>
        </w:r>
      </w:hyperlink>
    </w:p>
    <w:p w14:paraId="2B57BFE6" w14:textId="77777777" w:rsidR="00E13B3E" w:rsidRPr="000A6510" w:rsidRDefault="00671B21" w:rsidP="00AB69C8">
      <w:pPr>
        <w:pStyle w:val="Default"/>
        <w:ind w:left="-142" w:right="-142"/>
      </w:pPr>
      <w:r w:rsidRPr="000A6510">
        <w:rPr>
          <w:color w:val="auto"/>
        </w:rPr>
        <w:t>Programa:</w:t>
      </w:r>
      <w:r w:rsidR="00E13B3E" w:rsidRPr="000A6510">
        <w:t xml:space="preserve"> </w:t>
      </w:r>
      <w:hyperlink r:id="rId48" w:history="1">
        <w:r w:rsidR="00E13B3E" w:rsidRPr="000A6510">
          <w:rPr>
            <w:rStyle w:val="Hipervnculo"/>
          </w:rPr>
          <w:t>https://www.inegi.org.mx/programas/emoe/2013/</w:t>
        </w:r>
      </w:hyperlink>
    </w:p>
    <w:p w14:paraId="60699359" w14:textId="77777777" w:rsidR="00671B21" w:rsidRPr="004B613C" w:rsidRDefault="00752A0D" w:rsidP="00AB69C8">
      <w:pPr>
        <w:pStyle w:val="Default"/>
        <w:widowControl w:val="0"/>
        <w:spacing w:before="120" w:after="240"/>
        <w:ind w:left="-142" w:right="-142"/>
        <w:contextualSpacing/>
        <w:jc w:val="both"/>
      </w:pPr>
      <w:r>
        <w:rPr>
          <w:color w:val="auto"/>
        </w:rPr>
        <w:t>BIE</w:t>
      </w:r>
      <w:r w:rsidR="00671B21" w:rsidRPr="000A6510">
        <w:rPr>
          <w:color w:val="auto"/>
        </w:rPr>
        <w:t xml:space="preserve">: </w:t>
      </w:r>
      <w:bookmarkEnd w:id="2"/>
      <w:r w:rsidR="008C1C51" w:rsidRPr="00FF108F">
        <w:rPr>
          <w:color w:val="0000FF"/>
        </w:rPr>
        <w:fldChar w:fldCharType="begin"/>
      </w:r>
      <w:r w:rsidR="008C1C51" w:rsidRPr="00FF108F">
        <w:rPr>
          <w:color w:val="0000FF"/>
        </w:rPr>
        <w:instrText xml:space="preserve"> HYPERLINK "https://www.inegi.org.mx/app/indicadores/?tm=0" </w:instrText>
      </w:r>
      <w:r w:rsidR="008C1C51" w:rsidRPr="00FF108F">
        <w:rPr>
          <w:color w:val="0000FF"/>
        </w:rPr>
      </w:r>
      <w:r w:rsidR="008C1C51" w:rsidRPr="00FF108F">
        <w:rPr>
          <w:color w:val="0000FF"/>
        </w:rPr>
        <w:fldChar w:fldCharType="separate"/>
      </w:r>
      <w:r w:rsidR="008C1C51" w:rsidRPr="00FF108F">
        <w:rPr>
          <w:rStyle w:val="Hipervnculo"/>
        </w:rPr>
        <w:t>https://www.inegi.org.mx/app/indicadores/?tm=0</w:t>
      </w:r>
      <w:r w:rsidR="008C1C51" w:rsidRPr="00FF108F">
        <w:rPr>
          <w:color w:val="0000FF"/>
        </w:rPr>
        <w:fldChar w:fldCharType="end"/>
      </w:r>
      <w:r w:rsidR="008C1C51">
        <w:rPr>
          <w:color w:val="auto"/>
        </w:rPr>
        <w:t xml:space="preserve"> </w:t>
      </w:r>
    </w:p>
    <w:sectPr w:rsidR="00671B21" w:rsidRPr="004B613C" w:rsidSect="00AB69C8">
      <w:headerReference w:type="default" r:id="rId49"/>
      <w:type w:val="continuous"/>
      <w:pgSz w:w="12242" w:h="15842" w:code="119"/>
      <w:pgMar w:top="2438" w:right="1327" w:bottom="1134" w:left="1276"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D22D" w14:textId="77777777" w:rsidR="00D71B9D" w:rsidRDefault="00D71B9D">
      <w:r>
        <w:separator/>
      </w:r>
    </w:p>
  </w:endnote>
  <w:endnote w:type="continuationSeparator" w:id="0">
    <w:p w14:paraId="1FCA0793" w14:textId="77777777" w:rsidR="00D71B9D" w:rsidRDefault="00D71B9D">
      <w:r>
        <w:continuationSeparator/>
      </w:r>
    </w:p>
  </w:endnote>
  <w:endnote w:type="continuationNotice" w:id="1">
    <w:p w14:paraId="7485F6A8" w14:textId="77777777" w:rsidR="00D71B9D" w:rsidRDefault="00D71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F0AF" w14:textId="77777777" w:rsidR="00A5706D" w:rsidRPr="00A5706D" w:rsidRDefault="00A5706D" w:rsidP="003076C4">
    <w:pPr>
      <w:pStyle w:val="Piedepgina"/>
      <w:jc w:val="center"/>
      <w:rPr>
        <w:b/>
        <w:color w:val="002060"/>
        <w:sz w:val="20"/>
        <w:szCs w:val="20"/>
        <w:lang w:val="es-MX"/>
      </w:rPr>
    </w:pPr>
    <w:r w:rsidRPr="00A5706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EE76" w14:textId="77777777" w:rsidR="00D71B9D" w:rsidRDefault="00D71B9D">
      <w:r>
        <w:separator/>
      </w:r>
    </w:p>
  </w:footnote>
  <w:footnote w:type="continuationSeparator" w:id="0">
    <w:p w14:paraId="67ECA63D" w14:textId="77777777" w:rsidR="00D71B9D" w:rsidRDefault="00D71B9D">
      <w:r>
        <w:continuationSeparator/>
      </w:r>
    </w:p>
  </w:footnote>
  <w:footnote w:type="continuationNotice" w:id="1">
    <w:p w14:paraId="642233BB" w14:textId="77777777" w:rsidR="00D71B9D" w:rsidRDefault="00D71B9D"/>
  </w:footnote>
  <w:footnote w:id="2">
    <w:p w14:paraId="4D347368" w14:textId="77777777" w:rsidR="00A5706D" w:rsidRPr="0027370D" w:rsidRDefault="00A5706D" w:rsidP="00A5706D">
      <w:pPr>
        <w:pStyle w:val="Textonotapie"/>
        <w:ind w:left="-142" w:right="-233" w:hanging="142"/>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3">
    <w:p w14:paraId="703C3AAA" w14:textId="77777777" w:rsidR="00A5706D" w:rsidRPr="00B6327C" w:rsidRDefault="00A5706D" w:rsidP="00AB69C8">
      <w:pPr>
        <w:pStyle w:val="Textonotapie"/>
        <w:ind w:left="-142" w:right="-233" w:hanging="142"/>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Instituto Nacional de Estadística y Geografía (INEGI).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A83B" w14:textId="490103EA" w:rsidR="00A5706D" w:rsidRPr="00306ECD" w:rsidRDefault="00A5706D" w:rsidP="00A5706D">
    <w:pPr>
      <w:pStyle w:val="Encabezado"/>
      <w:ind w:left="-142" w:right="-92" w:hanging="142"/>
      <w:jc w:val="right"/>
      <w:rPr>
        <w:b/>
        <w:color w:val="002060"/>
        <w:lang w:val="pt-BR"/>
      </w:rPr>
    </w:pPr>
    <w:r>
      <w:rPr>
        <w:noProof/>
        <w:lang w:val="es-MX" w:eastAsia="es-MX"/>
      </w:rPr>
      <w:drawing>
        <wp:anchor distT="0" distB="0" distL="114300" distR="114300" simplePos="0" relativeHeight="251658240" behindDoc="0" locked="0" layoutInCell="1" allowOverlap="1" wp14:anchorId="0011F589" wp14:editId="631DF183">
          <wp:simplePos x="0" y="0"/>
          <wp:positionH relativeFrom="margin">
            <wp:posOffset>-171450</wp:posOffset>
          </wp:positionH>
          <wp:positionV relativeFrom="topMargin">
            <wp:posOffset>222885</wp:posOffset>
          </wp:positionV>
          <wp:extent cx="819150" cy="857250"/>
          <wp:effectExtent l="0" t="0" r="0" b="0"/>
          <wp:wrapSquare wrapText="bothSides"/>
          <wp:docPr id="45" name="Imagen 4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ECD">
      <w:rPr>
        <w:b/>
        <w:color w:val="002060"/>
      </w:rPr>
      <w:t xml:space="preserve">COMUNICADO DE PRENSA NÚM. </w:t>
    </w:r>
    <w:r>
      <w:rPr>
        <w:b/>
        <w:color w:val="002060"/>
      </w:rPr>
      <w:t>74</w:t>
    </w:r>
    <w:r w:rsidRPr="00306ECD">
      <w:rPr>
        <w:b/>
        <w:color w:val="002060"/>
      </w:rPr>
      <w:t>/2</w:t>
    </w:r>
    <w:r>
      <w:rPr>
        <w:b/>
        <w:color w:val="002060"/>
      </w:rPr>
      <w:t>3</w:t>
    </w:r>
  </w:p>
  <w:p w14:paraId="0673E52F" w14:textId="6444BC67" w:rsidR="00A5706D" w:rsidRPr="00306ECD" w:rsidRDefault="00A5706D" w:rsidP="00A5706D">
    <w:pPr>
      <w:pStyle w:val="Encabezado"/>
      <w:ind w:left="-567" w:right="-92"/>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3</w:t>
    </w:r>
  </w:p>
  <w:p w14:paraId="272BF865" w14:textId="68E692CB" w:rsidR="00A5706D" w:rsidRPr="00306ECD" w:rsidRDefault="00A5706D" w:rsidP="00A5706D">
    <w:pPr>
      <w:pStyle w:val="Encabezado"/>
      <w:ind w:left="-567" w:right="-92"/>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4D6300">
      <w:rPr>
        <w:b/>
        <w:color w:val="002060"/>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2F84" w14:textId="22012E94" w:rsidR="00A5706D" w:rsidRPr="00306ECD" w:rsidRDefault="00A5706D" w:rsidP="00CF0CA0">
    <w:pPr>
      <w:pStyle w:val="Encabezado"/>
      <w:ind w:left="-142" w:right="49" w:hanging="142"/>
      <w:jc w:val="right"/>
      <w:rPr>
        <w:b/>
        <w:color w:val="002060"/>
      </w:rPr>
    </w:pPr>
    <w:r>
      <w:rPr>
        <w:noProof/>
        <w:lang w:val="es-MX" w:eastAsia="es-MX"/>
      </w:rPr>
      <w:drawing>
        <wp:anchor distT="0" distB="0" distL="114300" distR="114300" simplePos="0" relativeHeight="251660288" behindDoc="0" locked="0" layoutInCell="1" allowOverlap="1" wp14:anchorId="10D67FD4" wp14:editId="56CDD599">
          <wp:simplePos x="0" y="0"/>
          <wp:positionH relativeFrom="margin">
            <wp:align>center</wp:align>
          </wp:positionH>
          <wp:positionV relativeFrom="margin">
            <wp:posOffset>-1219200</wp:posOffset>
          </wp:positionV>
          <wp:extent cx="928800" cy="964800"/>
          <wp:effectExtent l="0" t="0" r="5080" b="6985"/>
          <wp:wrapSquare wrapText="bothSides"/>
          <wp:docPr id="23" name="Imagen 2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anchor>
      </w:drawing>
    </w:r>
    <w:r w:rsidRPr="00306ECD">
      <w:rPr>
        <w:b/>
        <w:color w:val="002060"/>
      </w:rPr>
      <w:t xml:space="preserve"> </w:t>
    </w:r>
  </w:p>
  <w:p w14:paraId="25C9B9E4" w14:textId="77777777" w:rsidR="00A5706D" w:rsidRDefault="00A5706D" w:rsidP="001E36D2">
    <w:pPr>
      <w:pStyle w:val="Encabezado"/>
      <w:ind w:right="49"/>
      <w:jc w:val="center"/>
    </w:pPr>
  </w:p>
  <w:p w14:paraId="46ED18A0" w14:textId="77777777" w:rsidR="00A5706D" w:rsidRDefault="00A5706D" w:rsidP="0014000C">
    <w:pPr>
      <w:pStyle w:val="Encabezado"/>
      <w:tabs>
        <w:tab w:val="clear" w:pos="4320"/>
        <w:tab w:val="clear" w:pos="8640"/>
        <w:tab w:val="left" w:pos="21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097F5B"/>
    <w:multiLevelType w:val="hybridMultilevel"/>
    <w:tmpl w:val="5762A4CA"/>
    <w:lvl w:ilvl="0" w:tplc="FFFFFFFF">
      <w:start w:val="1"/>
      <w:numFmt w:val="lowerLetter"/>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1"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130EDC"/>
    <w:multiLevelType w:val="hybridMultilevel"/>
    <w:tmpl w:val="6DD2AA06"/>
    <w:lvl w:ilvl="0" w:tplc="0C0A0001">
      <w:start w:val="1"/>
      <w:numFmt w:val="bullet"/>
      <w:lvlText w:val=""/>
      <w:lvlJc w:val="left"/>
      <w:pPr>
        <w:tabs>
          <w:tab w:val="num" w:pos="2629"/>
        </w:tabs>
        <w:ind w:left="2629" w:hanging="360"/>
      </w:pPr>
      <w:rPr>
        <w:rFonts w:ascii="Symbol" w:hAnsi="Symbol" w:hint="default"/>
      </w:rPr>
    </w:lvl>
    <w:lvl w:ilvl="1" w:tplc="0C0A0003" w:tentative="1">
      <w:start w:val="1"/>
      <w:numFmt w:val="bullet"/>
      <w:lvlText w:val="o"/>
      <w:lvlJc w:val="left"/>
      <w:pPr>
        <w:tabs>
          <w:tab w:val="num" w:pos="3349"/>
        </w:tabs>
        <w:ind w:left="3349" w:hanging="360"/>
      </w:pPr>
      <w:rPr>
        <w:rFonts w:ascii="Courier New" w:hAnsi="Courier New" w:cs="Courier New" w:hint="default"/>
      </w:rPr>
    </w:lvl>
    <w:lvl w:ilvl="2" w:tplc="0C0A0005" w:tentative="1">
      <w:start w:val="1"/>
      <w:numFmt w:val="bullet"/>
      <w:lvlText w:val=""/>
      <w:lvlJc w:val="left"/>
      <w:pPr>
        <w:tabs>
          <w:tab w:val="num" w:pos="4069"/>
        </w:tabs>
        <w:ind w:left="4069" w:hanging="360"/>
      </w:pPr>
      <w:rPr>
        <w:rFonts w:ascii="Wingdings" w:hAnsi="Wingdings" w:hint="default"/>
      </w:rPr>
    </w:lvl>
    <w:lvl w:ilvl="3" w:tplc="0C0A0001" w:tentative="1">
      <w:start w:val="1"/>
      <w:numFmt w:val="bullet"/>
      <w:lvlText w:val=""/>
      <w:lvlJc w:val="left"/>
      <w:pPr>
        <w:tabs>
          <w:tab w:val="num" w:pos="4789"/>
        </w:tabs>
        <w:ind w:left="4789" w:hanging="360"/>
      </w:pPr>
      <w:rPr>
        <w:rFonts w:ascii="Symbol" w:hAnsi="Symbol" w:hint="default"/>
      </w:rPr>
    </w:lvl>
    <w:lvl w:ilvl="4" w:tplc="0C0A0003" w:tentative="1">
      <w:start w:val="1"/>
      <w:numFmt w:val="bullet"/>
      <w:lvlText w:val="o"/>
      <w:lvlJc w:val="left"/>
      <w:pPr>
        <w:tabs>
          <w:tab w:val="num" w:pos="5509"/>
        </w:tabs>
        <w:ind w:left="5509" w:hanging="360"/>
      </w:pPr>
      <w:rPr>
        <w:rFonts w:ascii="Courier New" w:hAnsi="Courier New" w:cs="Courier New" w:hint="default"/>
      </w:rPr>
    </w:lvl>
    <w:lvl w:ilvl="5" w:tplc="0C0A0005" w:tentative="1">
      <w:start w:val="1"/>
      <w:numFmt w:val="bullet"/>
      <w:lvlText w:val=""/>
      <w:lvlJc w:val="left"/>
      <w:pPr>
        <w:tabs>
          <w:tab w:val="num" w:pos="6229"/>
        </w:tabs>
        <w:ind w:left="6229" w:hanging="360"/>
      </w:pPr>
      <w:rPr>
        <w:rFonts w:ascii="Wingdings" w:hAnsi="Wingdings" w:hint="default"/>
      </w:rPr>
    </w:lvl>
    <w:lvl w:ilvl="6" w:tplc="0C0A0001" w:tentative="1">
      <w:start w:val="1"/>
      <w:numFmt w:val="bullet"/>
      <w:lvlText w:val=""/>
      <w:lvlJc w:val="left"/>
      <w:pPr>
        <w:tabs>
          <w:tab w:val="num" w:pos="6949"/>
        </w:tabs>
        <w:ind w:left="6949" w:hanging="360"/>
      </w:pPr>
      <w:rPr>
        <w:rFonts w:ascii="Symbol" w:hAnsi="Symbol" w:hint="default"/>
      </w:rPr>
    </w:lvl>
    <w:lvl w:ilvl="7" w:tplc="0C0A0003" w:tentative="1">
      <w:start w:val="1"/>
      <w:numFmt w:val="bullet"/>
      <w:lvlText w:val="o"/>
      <w:lvlJc w:val="left"/>
      <w:pPr>
        <w:tabs>
          <w:tab w:val="num" w:pos="7669"/>
        </w:tabs>
        <w:ind w:left="7669" w:hanging="360"/>
      </w:pPr>
      <w:rPr>
        <w:rFonts w:ascii="Courier New" w:hAnsi="Courier New" w:cs="Courier New" w:hint="default"/>
      </w:rPr>
    </w:lvl>
    <w:lvl w:ilvl="8" w:tplc="0C0A0005" w:tentative="1">
      <w:start w:val="1"/>
      <w:numFmt w:val="bullet"/>
      <w:lvlText w:val=""/>
      <w:lvlJc w:val="left"/>
      <w:pPr>
        <w:tabs>
          <w:tab w:val="num" w:pos="8389"/>
        </w:tabs>
        <w:ind w:left="8389"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024998"/>
    <w:multiLevelType w:val="hybridMultilevel"/>
    <w:tmpl w:val="5762A4CA"/>
    <w:lvl w:ilvl="0" w:tplc="FFFFFFFF">
      <w:start w:val="1"/>
      <w:numFmt w:val="lowerLetter"/>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5"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3CE2D6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8"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9"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20"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8C7176"/>
    <w:multiLevelType w:val="hybridMultilevel"/>
    <w:tmpl w:val="5762A4CA"/>
    <w:lvl w:ilvl="0" w:tplc="FFFFFFFF">
      <w:start w:val="1"/>
      <w:numFmt w:val="lowerLetter"/>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2" w15:restartNumberingAfterBreak="0">
    <w:nsid w:val="6DEF4871"/>
    <w:multiLevelType w:val="hybridMultilevel"/>
    <w:tmpl w:val="5762A4CA"/>
    <w:lvl w:ilvl="0" w:tplc="FFFFFFFF">
      <w:start w:val="1"/>
      <w:numFmt w:val="lowerLetter"/>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num w:numId="1" w16cid:durableId="64312437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650942068">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584071905">
    <w:abstractNumId w:val="4"/>
  </w:num>
  <w:num w:numId="4" w16cid:durableId="245267492">
    <w:abstractNumId w:val="7"/>
  </w:num>
  <w:num w:numId="5" w16cid:durableId="1772971359">
    <w:abstractNumId w:val="13"/>
  </w:num>
  <w:num w:numId="6" w16cid:durableId="646279439">
    <w:abstractNumId w:val="2"/>
  </w:num>
  <w:num w:numId="7" w16cid:durableId="1437405082">
    <w:abstractNumId w:val="6"/>
  </w:num>
  <w:num w:numId="8" w16cid:durableId="949049245">
    <w:abstractNumId w:val="12"/>
  </w:num>
  <w:num w:numId="9" w16cid:durableId="765735794">
    <w:abstractNumId w:val="17"/>
  </w:num>
  <w:num w:numId="10" w16cid:durableId="1248540426">
    <w:abstractNumId w:val="9"/>
  </w:num>
  <w:num w:numId="11" w16cid:durableId="501162748">
    <w:abstractNumId w:val="11"/>
  </w:num>
  <w:num w:numId="12" w16cid:durableId="2103987648">
    <w:abstractNumId w:val="8"/>
  </w:num>
  <w:num w:numId="13" w16cid:durableId="1622151749">
    <w:abstractNumId w:val="20"/>
  </w:num>
  <w:num w:numId="14" w16cid:durableId="2083718444">
    <w:abstractNumId w:val="15"/>
  </w:num>
  <w:num w:numId="15" w16cid:durableId="1802335427">
    <w:abstractNumId w:val="18"/>
  </w:num>
  <w:num w:numId="16" w16cid:durableId="784037778">
    <w:abstractNumId w:val="3"/>
  </w:num>
  <w:num w:numId="17" w16cid:durableId="71972667">
    <w:abstractNumId w:val="1"/>
  </w:num>
  <w:num w:numId="18" w16cid:durableId="44719669">
    <w:abstractNumId w:val="19"/>
  </w:num>
  <w:num w:numId="19" w16cid:durableId="399908338">
    <w:abstractNumId w:val="5"/>
  </w:num>
  <w:num w:numId="20" w16cid:durableId="1797604057">
    <w:abstractNumId w:val="12"/>
  </w:num>
  <w:num w:numId="21" w16cid:durableId="1129974124">
    <w:abstractNumId w:val="16"/>
  </w:num>
  <w:num w:numId="22" w16cid:durableId="1782459513">
    <w:abstractNumId w:val="22"/>
  </w:num>
  <w:num w:numId="23" w16cid:durableId="101658562">
    <w:abstractNumId w:val="14"/>
  </w:num>
  <w:num w:numId="24" w16cid:durableId="590772212">
    <w:abstractNumId w:val="10"/>
  </w:num>
  <w:num w:numId="25" w16cid:durableId="21264605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0F51"/>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94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2E87"/>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0D5"/>
    <w:rsid w:val="0001718D"/>
    <w:rsid w:val="000176AC"/>
    <w:rsid w:val="00017CDF"/>
    <w:rsid w:val="00020162"/>
    <w:rsid w:val="000209C4"/>
    <w:rsid w:val="00020F14"/>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64C"/>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663"/>
    <w:rsid w:val="00056A88"/>
    <w:rsid w:val="00056DF2"/>
    <w:rsid w:val="00056F51"/>
    <w:rsid w:val="00057182"/>
    <w:rsid w:val="000573F5"/>
    <w:rsid w:val="0005751B"/>
    <w:rsid w:val="00057F37"/>
    <w:rsid w:val="000601E3"/>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6716E"/>
    <w:rsid w:val="0007012A"/>
    <w:rsid w:val="0007017F"/>
    <w:rsid w:val="000702B9"/>
    <w:rsid w:val="000703C8"/>
    <w:rsid w:val="00070431"/>
    <w:rsid w:val="000707FF"/>
    <w:rsid w:val="00070864"/>
    <w:rsid w:val="0007095F"/>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EC4"/>
    <w:rsid w:val="00082F11"/>
    <w:rsid w:val="000830C0"/>
    <w:rsid w:val="0008325D"/>
    <w:rsid w:val="000834DD"/>
    <w:rsid w:val="00084572"/>
    <w:rsid w:val="00084687"/>
    <w:rsid w:val="00084A57"/>
    <w:rsid w:val="00084BED"/>
    <w:rsid w:val="00084EDB"/>
    <w:rsid w:val="00084FF2"/>
    <w:rsid w:val="0008524D"/>
    <w:rsid w:val="000856E9"/>
    <w:rsid w:val="000860C3"/>
    <w:rsid w:val="00086295"/>
    <w:rsid w:val="00086FCA"/>
    <w:rsid w:val="000873F5"/>
    <w:rsid w:val="0008756B"/>
    <w:rsid w:val="00087DB7"/>
    <w:rsid w:val="0009005C"/>
    <w:rsid w:val="0009025D"/>
    <w:rsid w:val="00090B9C"/>
    <w:rsid w:val="00090D7B"/>
    <w:rsid w:val="00090E59"/>
    <w:rsid w:val="00091474"/>
    <w:rsid w:val="000915F7"/>
    <w:rsid w:val="00091AFF"/>
    <w:rsid w:val="00092378"/>
    <w:rsid w:val="00092764"/>
    <w:rsid w:val="0009292F"/>
    <w:rsid w:val="00092F4C"/>
    <w:rsid w:val="00093372"/>
    <w:rsid w:val="00093EC4"/>
    <w:rsid w:val="00094496"/>
    <w:rsid w:val="000950E7"/>
    <w:rsid w:val="00095360"/>
    <w:rsid w:val="000955AA"/>
    <w:rsid w:val="000957BC"/>
    <w:rsid w:val="00095BAA"/>
    <w:rsid w:val="00095FAB"/>
    <w:rsid w:val="00096737"/>
    <w:rsid w:val="00096897"/>
    <w:rsid w:val="00096972"/>
    <w:rsid w:val="00097C0A"/>
    <w:rsid w:val="000A0344"/>
    <w:rsid w:val="000A0823"/>
    <w:rsid w:val="000A0EF0"/>
    <w:rsid w:val="000A1817"/>
    <w:rsid w:val="000A21D6"/>
    <w:rsid w:val="000A2874"/>
    <w:rsid w:val="000A2B5F"/>
    <w:rsid w:val="000A2F4F"/>
    <w:rsid w:val="000A312E"/>
    <w:rsid w:val="000A31EF"/>
    <w:rsid w:val="000A3354"/>
    <w:rsid w:val="000A3733"/>
    <w:rsid w:val="000A3817"/>
    <w:rsid w:val="000A43B0"/>
    <w:rsid w:val="000A53E6"/>
    <w:rsid w:val="000A567E"/>
    <w:rsid w:val="000A574B"/>
    <w:rsid w:val="000A5B04"/>
    <w:rsid w:val="000A5E2A"/>
    <w:rsid w:val="000A643B"/>
    <w:rsid w:val="000A6510"/>
    <w:rsid w:val="000A6B8F"/>
    <w:rsid w:val="000A6E46"/>
    <w:rsid w:val="000A707A"/>
    <w:rsid w:val="000A73DD"/>
    <w:rsid w:val="000A78BA"/>
    <w:rsid w:val="000A7CE0"/>
    <w:rsid w:val="000B0710"/>
    <w:rsid w:val="000B0E00"/>
    <w:rsid w:val="000B158A"/>
    <w:rsid w:val="000B187F"/>
    <w:rsid w:val="000B1C11"/>
    <w:rsid w:val="000B1D13"/>
    <w:rsid w:val="000B1EA5"/>
    <w:rsid w:val="000B2334"/>
    <w:rsid w:val="000B29B8"/>
    <w:rsid w:val="000B2A27"/>
    <w:rsid w:val="000B311C"/>
    <w:rsid w:val="000B3713"/>
    <w:rsid w:val="000B3877"/>
    <w:rsid w:val="000B41FF"/>
    <w:rsid w:val="000B4A6A"/>
    <w:rsid w:val="000B4D5C"/>
    <w:rsid w:val="000B50FB"/>
    <w:rsid w:val="000B515D"/>
    <w:rsid w:val="000B58C7"/>
    <w:rsid w:val="000B5A74"/>
    <w:rsid w:val="000B5DE9"/>
    <w:rsid w:val="000B5FA3"/>
    <w:rsid w:val="000B6AF6"/>
    <w:rsid w:val="000B785A"/>
    <w:rsid w:val="000B7B3B"/>
    <w:rsid w:val="000B7EA8"/>
    <w:rsid w:val="000C1051"/>
    <w:rsid w:val="000C1EFB"/>
    <w:rsid w:val="000C1F04"/>
    <w:rsid w:val="000C2036"/>
    <w:rsid w:val="000C2892"/>
    <w:rsid w:val="000C2B3C"/>
    <w:rsid w:val="000C30D7"/>
    <w:rsid w:val="000C3105"/>
    <w:rsid w:val="000C34DD"/>
    <w:rsid w:val="000C37BC"/>
    <w:rsid w:val="000C44F6"/>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3D2D"/>
    <w:rsid w:val="000D40C6"/>
    <w:rsid w:val="000D4833"/>
    <w:rsid w:val="000D49D2"/>
    <w:rsid w:val="000D4A88"/>
    <w:rsid w:val="000D4BBC"/>
    <w:rsid w:val="000D4D39"/>
    <w:rsid w:val="000D4D90"/>
    <w:rsid w:val="000D4E26"/>
    <w:rsid w:val="000D5176"/>
    <w:rsid w:val="000D5EDB"/>
    <w:rsid w:val="000D6BA6"/>
    <w:rsid w:val="000D6C0F"/>
    <w:rsid w:val="000D6F1E"/>
    <w:rsid w:val="000D7A95"/>
    <w:rsid w:val="000D7B65"/>
    <w:rsid w:val="000D7BBD"/>
    <w:rsid w:val="000E03C0"/>
    <w:rsid w:val="000E0654"/>
    <w:rsid w:val="000E08EA"/>
    <w:rsid w:val="000E1434"/>
    <w:rsid w:val="000E19B3"/>
    <w:rsid w:val="000E1AE5"/>
    <w:rsid w:val="000E2678"/>
    <w:rsid w:val="000E2970"/>
    <w:rsid w:val="000E3CC1"/>
    <w:rsid w:val="000E3E03"/>
    <w:rsid w:val="000E417A"/>
    <w:rsid w:val="000E4C0C"/>
    <w:rsid w:val="000E5331"/>
    <w:rsid w:val="000E5526"/>
    <w:rsid w:val="000E5588"/>
    <w:rsid w:val="000E5D6B"/>
    <w:rsid w:val="000E5FE0"/>
    <w:rsid w:val="000E65F3"/>
    <w:rsid w:val="000E6D5D"/>
    <w:rsid w:val="000E7005"/>
    <w:rsid w:val="000E7CB6"/>
    <w:rsid w:val="000F05D5"/>
    <w:rsid w:val="000F0654"/>
    <w:rsid w:val="000F1AA6"/>
    <w:rsid w:val="000F1DEB"/>
    <w:rsid w:val="000F1E79"/>
    <w:rsid w:val="000F273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0F7FD3"/>
    <w:rsid w:val="00100317"/>
    <w:rsid w:val="001011EC"/>
    <w:rsid w:val="00101549"/>
    <w:rsid w:val="001017C1"/>
    <w:rsid w:val="00101CF2"/>
    <w:rsid w:val="00101E92"/>
    <w:rsid w:val="00101F40"/>
    <w:rsid w:val="00102B78"/>
    <w:rsid w:val="001031B3"/>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43B"/>
    <w:rsid w:val="0011552F"/>
    <w:rsid w:val="00115A20"/>
    <w:rsid w:val="00115E3F"/>
    <w:rsid w:val="001164E5"/>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C13"/>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A5B"/>
    <w:rsid w:val="00135E0B"/>
    <w:rsid w:val="0013618F"/>
    <w:rsid w:val="001361A8"/>
    <w:rsid w:val="00136509"/>
    <w:rsid w:val="001365A5"/>
    <w:rsid w:val="0013672B"/>
    <w:rsid w:val="0013678A"/>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476"/>
    <w:rsid w:val="001416EE"/>
    <w:rsid w:val="001418AF"/>
    <w:rsid w:val="0014198C"/>
    <w:rsid w:val="00141A0B"/>
    <w:rsid w:val="00141AF4"/>
    <w:rsid w:val="0014282D"/>
    <w:rsid w:val="00142E09"/>
    <w:rsid w:val="0014377B"/>
    <w:rsid w:val="00143D3A"/>
    <w:rsid w:val="00145F65"/>
    <w:rsid w:val="001460E0"/>
    <w:rsid w:val="00146902"/>
    <w:rsid w:val="00146DFA"/>
    <w:rsid w:val="00147434"/>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5B5"/>
    <w:rsid w:val="00162797"/>
    <w:rsid w:val="001628D2"/>
    <w:rsid w:val="00162A20"/>
    <w:rsid w:val="001631A9"/>
    <w:rsid w:val="00164CD1"/>
    <w:rsid w:val="00164CD6"/>
    <w:rsid w:val="001655BD"/>
    <w:rsid w:val="00165810"/>
    <w:rsid w:val="0016581D"/>
    <w:rsid w:val="00165E36"/>
    <w:rsid w:val="0016614B"/>
    <w:rsid w:val="001665FD"/>
    <w:rsid w:val="00167A64"/>
    <w:rsid w:val="00167A72"/>
    <w:rsid w:val="00167CD9"/>
    <w:rsid w:val="00167D50"/>
    <w:rsid w:val="00167FBE"/>
    <w:rsid w:val="0017080F"/>
    <w:rsid w:val="00170972"/>
    <w:rsid w:val="00170AF1"/>
    <w:rsid w:val="00170BD4"/>
    <w:rsid w:val="00170E9B"/>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7BC"/>
    <w:rsid w:val="00182CBE"/>
    <w:rsid w:val="001831B3"/>
    <w:rsid w:val="001842E4"/>
    <w:rsid w:val="001845FA"/>
    <w:rsid w:val="001847F2"/>
    <w:rsid w:val="00184E41"/>
    <w:rsid w:val="0018518B"/>
    <w:rsid w:val="0018522B"/>
    <w:rsid w:val="001854A8"/>
    <w:rsid w:val="00185D40"/>
    <w:rsid w:val="00186144"/>
    <w:rsid w:val="00186539"/>
    <w:rsid w:val="00186A0C"/>
    <w:rsid w:val="00186C17"/>
    <w:rsid w:val="001872FE"/>
    <w:rsid w:val="00190180"/>
    <w:rsid w:val="001904B3"/>
    <w:rsid w:val="00190A43"/>
    <w:rsid w:val="00190BB1"/>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97FC4"/>
    <w:rsid w:val="001A016C"/>
    <w:rsid w:val="001A0422"/>
    <w:rsid w:val="001A0C4B"/>
    <w:rsid w:val="001A102F"/>
    <w:rsid w:val="001A13B8"/>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6E"/>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972"/>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8B4"/>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84B"/>
    <w:rsid w:val="001E290B"/>
    <w:rsid w:val="001E3539"/>
    <w:rsid w:val="001E3646"/>
    <w:rsid w:val="001E36D2"/>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1DC"/>
    <w:rsid w:val="001F42FF"/>
    <w:rsid w:val="001F44B4"/>
    <w:rsid w:val="001F44D3"/>
    <w:rsid w:val="001F44FE"/>
    <w:rsid w:val="001F4510"/>
    <w:rsid w:val="001F58D3"/>
    <w:rsid w:val="001F5D36"/>
    <w:rsid w:val="001F60E9"/>
    <w:rsid w:val="001F65A4"/>
    <w:rsid w:val="001F65E0"/>
    <w:rsid w:val="001F69FD"/>
    <w:rsid w:val="001F6EBD"/>
    <w:rsid w:val="001F6EE3"/>
    <w:rsid w:val="001F7362"/>
    <w:rsid w:val="001F7AE9"/>
    <w:rsid w:val="001F7CFD"/>
    <w:rsid w:val="0020044D"/>
    <w:rsid w:val="00200677"/>
    <w:rsid w:val="00200988"/>
    <w:rsid w:val="002011B4"/>
    <w:rsid w:val="002011D5"/>
    <w:rsid w:val="00201884"/>
    <w:rsid w:val="00201C2D"/>
    <w:rsid w:val="00202EE0"/>
    <w:rsid w:val="00203367"/>
    <w:rsid w:val="0020362F"/>
    <w:rsid w:val="00203AE5"/>
    <w:rsid w:val="00204438"/>
    <w:rsid w:val="00204A44"/>
    <w:rsid w:val="00204E3D"/>
    <w:rsid w:val="0020558D"/>
    <w:rsid w:val="00206147"/>
    <w:rsid w:val="002064F3"/>
    <w:rsid w:val="002069A8"/>
    <w:rsid w:val="00206DDB"/>
    <w:rsid w:val="00206EE7"/>
    <w:rsid w:val="002076D3"/>
    <w:rsid w:val="0020789A"/>
    <w:rsid w:val="00207C83"/>
    <w:rsid w:val="002104A7"/>
    <w:rsid w:val="0021055A"/>
    <w:rsid w:val="00210869"/>
    <w:rsid w:val="00210F7E"/>
    <w:rsid w:val="002116AD"/>
    <w:rsid w:val="00211999"/>
    <w:rsid w:val="002123A4"/>
    <w:rsid w:val="002126CD"/>
    <w:rsid w:val="00213773"/>
    <w:rsid w:val="00213AA1"/>
    <w:rsid w:val="00213B0E"/>
    <w:rsid w:val="00213CBC"/>
    <w:rsid w:val="002141FB"/>
    <w:rsid w:val="002146CA"/>
    <w:rsid w:val="002147D6"/>
    <w:rsid w:val="00214B44"/>
    <w:rsid w:val="002155E6"/>
    <w:rsid w:val="0021575B"/>
    <w:rsid w:val="00215783"/>
    <w:rsid w:val="00215CE4"/>
    <w:rsid w:val="0021669B"/>
    <w:rsid w:val="0021685B"/>
    <w:rsid w:val="00216876"/>
    <w:rsid w:val="0022018A"/>
    <w:rsid w:val="00220ADA"/>
    <w:rsid w:val="00220B7B"/>
    <w:rsid w:val="0022180E"/>
    <w:rsid w:val="002220BA"/>
    <w:rsid w:val="0022259F"/>
    <w:rsid w:val="002227B3"/>
    <w:rsid w:val="00222CE3"/>
    <w:rsid w:val="002231D5"/>
    <w:rsid w:val="0022330D"/>
    <w:rsid w:val="002235D7"/>
    <w:rsid w:val="00223791"/>
    <w:rsid w:val="002239C4"/>
    <w:rsid w:val="00224617"/>
    <w:rsid w:val="0022520B"/>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8DB"/>
    <w:rsid w:val="00232A4E"/>
    <w:rsid w:val="00232C82"/>
    <w:rsid w:val="0023360A"/>
    <w:rsid w:val="00233A7D"/>
    <w:rsid w:val="00233AEA"/>
    <w:rsid w:val="0023482B"/>
    <w:rsid w:val="0023482C"/>
    <w:rsid w:val="00234AA4"/>
    <w:rsid w:val="00234C7F"/>
    <w:rsid w:val="00234E62"/>
    <w:rsid w:val="00234F8F"/>
    <w:rsid w:val="002351D0"/>
    <w:rsid w:val="002362BD"/>
    <w:rsid w:val="0023658F"/>
    <w:rsid w:val="00236872"/>
    <w:rsid w:val="00236890"/>
    <w:rsid w:val="002368C0"/>
    <w:rsid w:val="00236CC2"/>
    <w:rsid w:val="00236CDE"/>
    <w:rsid w:val="00236FA2"/>
    <w:rsid w:val="0023763A"/>
    <w:rsid w:val="00237D7D"/>
    <w:rsid w:val="00237DEB"/>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6E7"/>
    <w:rsid w:val="00243AC5"/>
    <w:rsid w:val="0024401E"/>
    <w:rsid w:val="0024405D"/>
    <w:rsid w:val="00244516"/>
    <w:rsid w:val="00244641"/>
    <w:rsid w:val="00244AA7"/>
    <w:rsid w:val="00244BB0"/>
    <w:rsid w:val="00244CF8"/>
    <w:rsid w:val="00244DB2"/>
    <w:rsid w:val="002454F0"/>
    <w:rsid w:val="002455CF"/>
    <w:rsid w:val="00245B9E"/>
    <w:rsid w:val="002465AC"/>
    <w:rsid w:val="002465C5"/>
    <w:rsid w:val="002465EC"/>
    <w:rsid w:val="00246614"/>
    <w:rsid w:val="00246907"/>
    <w:rsid w:val="00246A59"/>
    <w:rsid w:val="00246C0E"/>
    <w:rsid w:val="00246EC9"/>
    <w:rsid w:val="00246FC4"/>
    <w:rsid w:val="00246FE9"/>
    <w:rsid w:val="00247130"/>
    <w:rsid w:val="0024723E"/>
    <w:rsid w:val="00247574"/>
    <w:rsid w:val="002476DD"/>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561"/>
    <w:rsid w:val="00257730"/>
    <w:rsid w:val="00257803"/>
    <w:rsid w:val="00257B74"/>
    <w:rsid w:val="00257CD8"/>
    <w:rsid w:val="00260161"/>
    <w:rsid w:val="002610D8"/>
    <w:rsid w:val="002612ED"/>
    <w:rsid w:val="002619E7"/>
    <w:rsid w:val="00261A6C"/>
    <w:rsid w:val="002629E2"/>
    <w:rsid w:val="00262BA8"/>
    <w:rsid w:val="00262BC8"/>
    <w:rsid w:val="00262BCB"/>
    <w:rsid w:val="00263D10"/>
    <w:rsid w:val="00263D7B"/>
    <w:rsid w:val="0026402C"/>
    <w:rsid w:val="002641D9"/>
    <w:rsid w:val="002643C5"/>
    <w:rsid w:val="002646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25C"/>
    <w:rsid w:val="002765B7"/>
    <w:rsid w:val="00276ACD"/>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96F"/>
    <w:rsid w:val="00294A06"/>
    <w:rsid w:val="00294FFB"/>
    <w:rsid w:val="002954FD"/>
    <w:rsid w:val="002955DF"/>
    <w:rsid w:val="00296242"/>
    <w:rsid w:val="00296B48"/>
    <w:rsid w:val="00296CE6"/>
    <w:rsid w:val="00296D4F"/>
    <w:rsid w:val="002973DF"/>
    <w:rsid w:val="00297A3D"/>
    <w:rsid w:val="00297D6A"/>
    <w:rsid w:val="002A0190"/>
    <w:rsid w:val="002A0983"/>
    <w:rsid w:val="002A0BF5"/>
    <w:rsid w:val="002A10CB"/>
    <w:rsid w:val="002A1128"/>
    <w:rsid w:val="002A158C"/>
    <w:rsid w:val="002A2056"/>
    <w:rsid w:val="002A24EB"/>
    <w:rsid w:val="002A2C5E"/>
    <w:rsid w:val="002A2D5E"/>
    <w:rsid w:val="002A2D66"/>
    <w:rsid w:val="002A428E"/>
    <w:rsid w:val="002A4368"/>
    <w:rsid w:val="002A46FA"/>
    <w:rsid w:val="002A47AB"/>
    <w:rsid w:val="002A49E5"/>
    <w:rsid w:val="002A4CB2"/>
    <w:rsid w:val="002A4E01"/>
    <w:rsid w:val="002A513F"/>
    <w:rsid w:val="002A5227"/>
    <w:rsid w:val="002A53F9"/>
    <w:rsid w:val="002A57BC"/>
    <w:rsid w:val="002A581C"/>
    <w:rsid w:val="002A6510"/>
    <w:rsid w:val="002A6FD1"/>
    <w:rsid w:val="002B00FE"/>
    <w:rsid w:val="002B0E27"/>
    <w:rsid w:val="002B0ECF"/>
    <w:rsid w:val="002B10B6"/>
    <w:rsid w:val="002B10D3"/>
    <w:rsid w:val="002B1113"/>
    <w:rsid w:val="002B1867"/>
    <w:rsid w:val="002B1EA3"/>
    <w:rsid w:val="002B24E2"/>
    <w:rsid w:val="002B2A55"/>
    <w:rsid w:val="002B2D18"/>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168"/>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07FD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6B48"/>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3F9B"/>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9D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C98"/>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467D"/>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17CF"/>
    <w:rsid w:val="00361D98"/>
    <w:rsid w:val="0036236D"/>
    <w:rsid w:val="00362B5E"/>
    <w:rsid w:val="00362C4D"/>
    <w:rsid w:val="00362C61"/>
    <w:rsid w:val="003635B6"/>
    <w:rsid w:val="0036360A"/>
    <w:rsid w:val="003638E9"/>
    <w:rsid w:val="003643A5"/>
    <w:rsid w:val="00364D97"/>
    <w:rsid w:val="0036533F"/>
    <w:rsid w:val="00365370"/>
    <w:rsid w:val="003658E5"/>
    <w:rsid w:val="00365A0D"/>
    <w:rsid w:val="003661C9"/>
    <w:rsid w:val="00366273"/>
    <w:rsid w:val="0036693A"/>
    <w:rsid w:val="00366AFA"/>
    <w:rsid w:val="00366C31"/>
    <w:rsid w:val="00366E4E"/>
    <w:rsid w:val="003673F3"/>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1A9"/>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18"/>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3DEF"/>
    <w:rsid w:val="00394181"/>
    <w:rsid w:val="00394221"/>
    <w:rsid w:val="00394435"/>
    <w:rsid w:val="003949F6"/>
    <w:rsid w:val="00394FE8"/>
    <w:rsid w:val="00395069"/>
    <w:rsid w:val="00395368"/>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3C6"/>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1B5"/>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9FC"/>
    <w:rsid w:val="003E6AC1"/>
    <w:rsid w:val="003E6BD3"/>
    <w:rsid w:val="003E7EEA"/>
    <w:rsid w:val="003F01E7"/>
    <w:rsid w:val="003F18CF"/>
    <w:rsid w:val="003F1CEC"/>
    <w:rsid w:val="003F26BA"/>
    <w:rsid w:val="003F2BFE"/>
    <w:rsid w:val="003F3A44"/>
    <w:rsid w:val="003F5F0A"/>
    <w:rsid w:val="003F61C7"/>
    <w:rsid w:val="003F695D"/>
    <w:rsid w:val="003F6BA2"/>
    <w:rsid w:val="003F6C2F"/>
    <w:rsid w:val="003F6DF4"/>
    <w:rsid w:val="003F7022"/>
    <w:rsid w:val="003F7263"/>
    <w:rsid w:val="003F791C"/>
    <w:rsid w:val="003F7D77"/>
    <w:rsid w:val="003F7FA8"/>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303"/>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018"/>
    <w:rsid w:val="004133CD"/>
    <w:rsid w:val="00413549"/>
    <w:rsid w:val="00414538"/>
    <w:rsid w:val="0041479C"/>
    <w:rsid w:val="0041495F"/>
    <w:rsid w:val="004151CD"/>
    <w:rsid w:val="004155B1"/>
    <w:rsid w:val="004159FD"/>
    <w:rsid w:val="00416787"/>
    <w:rsid w:val="0041740C"/>
    <w:rsid w:val="0041749D"/>
    <w:rsid w:val="00420186"/>
    <w:rsid w:val="004203CA"/>
    <w:rsid w:val="00420868"/>
    <w:rsid w:val="004208D7"/>
    <w:rsid w:val="00420CA2"/>
    <w:rsid w:val="00421878"/>
    <w:rsid w:val="004228EE"/>
    <w:rsid w:val="0042299B"/>
    <w:rsid w:val="00422BB1"/>
    <w:rsid w:val="00422D87"/>
    <w:rsid w:val="0042325A"/>
    <w:rsid w:val="0042325D"/>
    <w:rsid w:val="0042336F"/>
    <w:rsid w:val="004234EF"/>
    <w:rsid w:val="00423A24"/>
    <w:rsid w:val="00423A83"/>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2708C"/>
    <w:rsid w:val="004300E1"/>
    <w:rsid w:val="00430294"/>
    <w:rsid w:val="004309CF"/>
    <w:rsid w:val="00430B44"/>
    <w:rsid w:val="00430C10"/>
    <w:rsid w:val="00430CF6"/>
    <w:rsid w:val="00430F27"/>
    <w:rsid w:val="0043104B"/>
    <w:rsid w:val="0043181D"/>
    <w:rsid w:val="00431D44"/>
    <w:rsid w:val="00432875"/>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774"/>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2919"/>
    <w:rsid w:val="004437F3"/>
    <w:rsid w:val="00443A3A"/>
    <w:rsid w:val="00443AE0"/>
    <w:rsid w:val="00443D1A"/>
    <w:rsid w:val="004442B1"/>
    <w:rsid w:val="004443FB"/>
    <w:rsid w:val="0044476D"/>
    <w:rsid w:val="00444DD5"/>
    <w:rsid w:val="00445064"/>
    <w:rsid w:val="0044510E"/>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57F"/>
    <w:rsid w:val="004529D7"/>
    <w:rsid w:val="00452A11"/>
    <w:rsid w:val="00453083"/>
    <w:rsid w:val="00453BF4"/>
    <w:rsid w:val="00453DA1"/>
    <w:rsid w:val="00454571"/>
    <w:rsid w:val="004546A2"/>
    <w:rsid w:val="0045475C"/>
    <w:rsid w:val="00455523"/>
    <w:rsid w:val="00455759"/>
    <w:rsid w:val="00455AFA"/>
    <w:rsid w:val="00456092"/>
    <w:rsid w:val="00456308"/>
    <w:rsid w:val="00456385"/>
    <w:rsid w:val="004566BE"/>
    <w:rsid w:val="0045682E"/>
    <w:rsid w:val="004568B4"/>
    <w:rsid w:val="004569ED"/>
    <w:rsid w:val="00457142"/>
    <w:rsid w:val="00457170"/>
    <w:rsid w:val="004573A4"/>
    <w:rsid w:val="00457493"/>
    <w:rsid w:val="00457540"/>
    <w:rsid w:val="00457958"/>
    <w:rsid w:val="00457AC6"/>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AAD"/>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17C"/>
    <w:rsid w:val="004822CA"/>
    <w:rsid w:val="00482A2C"/>
    <w:rsid w:val="00483D4C"/>
    <w:rsid w:val="00483F95"/>
    <w:rsid w:val="00484D20"/>
    <w:rsid w:val="00484D3C"/>
    <w:rsid w:val="00484F66"/>
    <w:rsid w:val="004850C1"/>
    <w:rsid w:val="00486808"/>
    <w:rsid w:val="00486F54"/>
    <w:rsid w:val="004870A9"/>
    <w:rsid w:val="0048712A"/>
    <w:rsid w:val="004871B4"/>
    <w:rsid w:val="004876DD"/>
    <w:rsid w:val="00487BC6"/>
    <w:rsid w:val="00490D48"/>
    <w:rsid w:val="00490DB9"/>
    <w:rsid w:val="004915F3"/>
    <w:rsid w:val="0049178A"/>
    <w:rsid w:val="004917AC"/>
    <w:rsid w:val="00491C1D"/>
    <w:rsid w:val="00491DF1"/>
    <w:rsid w:val="00491F6B"/>
    <w:rsid w:val="00492535"/>
    <w:rsid w:val="00492541"/>
    <w:rsid w:val="00493435"/>
    <w:rsid w:val="00493ABF"/>
    <w:rsid w:val="004945AC"/>
    <w:rsid w:val="004945E7"/>
    <w:rsid w:val="00494B28"/>
    <w:rsid w:val="00494DE1"/>
    <w:rsid w:val="00494F86"/>
    <w:rsid w:val="00495FFF"/>
    <w:rsid w:val="004963C2"/>
    <w:rsid w:val="004964D8"/>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A7A"/>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514"/>
    <w:rsid w:val="004B6928"/>
    <w:rsid w:val="004B7016"/>
    <w:rsid w:val="004B73DB"/>
    <w:rsid w:val="004B7666"/>
    <w:rsid w:val="004B79FA"/>
    <w:rsid w:val="004B7D94"/>
    <w:rsid w:val="004C0018"/>
    <w:rsid w:val="004C0430"/>
    <w:rsid w:val="004C0F7B"/>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1F5A"/>
    <w:rsid w:val="004D2417"/>
    <w:rsid w:val="004D2683"/>
    <w:rsid w:val="004D2EC3"/>
    <w:rsid w:val="004D2FF6"/>
    <w:rsid w:val="004D3FD6"/>
    <w:rsid w:val="004D405F"/>
    <w:rsid w:val="004D55CA"/>
    <w:rsid w:val="004D595C"/>
    <w:rsid w:val="004D5A27"/>
    <w:rsid w:val="004D5F0E"/>
    <w:rsid w:val="004D6300"/>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B7"/>
    <w:rsid w:val="004E1FDC"/>
    <w:rsid w:val="004E212B"/>
    <w:rsid w:val="004E28E1"/>
    <w:rsid w:val="004E293F"/>
    <w:rsid w:val="004E2A07"/>
    <w:rsid w:val="004E2B01"/>
    <w:rsid w:val="004E34C7"/>
    <w:rsid w:val="004E356A"/>
    <w:rsid w:val="004E375D"/>
    <w:rsid w:val="004E3850"/>
    <w:rsid w:val="004E3CF2"/>
    <w:rsid w:val="004E3FC1"/>
    <w:rsid w:val="004E4884"/>
    <w:rsid w:val="004E4948"/>
    <w:rsid w:val="004E58EA"/>
    <w:rsid w:val="004E596E"/>
    <w:rsid w:val="004E5F65"/>
    <w:rsid w:val="004E61B0"/>
    <w:rsid w:val="004E690A"/>
    <w:rsid w:val="004E6C7A"/>
    <w:rsid w:val="004E7317"/>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952"/>
    <w:rsid w:val="004F6B28"/>
    <w:rsid w:val="004F6C65"/>
    <w:rsid w:val="004F6D2E"/>
    <w:rsid w:val="004F7390"/>
    <w:rsid w:val="004F748C"/>
    <w:rsid w:val="004F7DD5"/>
    <w:rsid w:val="004F7E66"/>
    <w:rsid w:val="004F7F0F"/>
    <w:rsid w:val="004F7FBC"/>
    <w:rsid w:val="005001AE"/>
    <w:rsid w:val="0050042F"/>
    <w:rsid w:val="005007D0"/>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5F18"/>
    <w:rsid w:val="00516083"/>
    <w:rsid w:val="0051635A"/>
    <w:rsid w:val="0051646E"/>
    <w:rsid w:val="005166C3"/>
    <w:rsid w:val="00516EA5"/>
    <w:rsid w:val="005176E5"/>
    <w:rsid w:val="005179DA"/>
    <w:rsid w:val="00517E2A"/>
    <w:rsid w:val="00520C1C"/>
    <w:rsid w:val="00520FD7"/>
    <w:rsid w:val="00521439"/>
    <w:rsid w:val="00522133"/>
    <w:rsid w:val="0052292E"/>
    <w:rsid w:val="00522D78"/>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3A1C"/>
    <w:rsid w:val="00543C76"/>
    <w:rsid w:val="005448B9"/>
    <w:rsid w:val="00544C85"/>
    <w:rsid w:val="00545136"/>
    <w:rsid w:val="005452C1"/>
    <w:rsid w:val="00545551"/>
    <w:rsid w:val="00545B42"/>
    <w:rsid w:val="0054612B"/>
    <w:rsid w:val="00546288"/>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4BDF"/>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AE6"/>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5F80"/>
    <w:rsid w:val="005764C0"/>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35B"/>
    <w:rsid w:val="00585C21"/>
    <w:rsid w:val="00586634"/>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B26"/>
    <w:rsid w:val="00594C1A"/>
    <w:rsid w:val="00595106"/>
    <w:rsid w:val="005951B8"/>
    <w:rsid w:val="00595692"/>
    <w:rsid w:val="00595B7B"/>
    <w:rsid w:val="00595DBD"/>
    <w:rsid w:val="00596020"/>
    <w:rsid w:val="00596112"/>
    <w:rsid w:val="0059625C"/>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45F5"/>
    <w:rsid w:val="005B5378"/>
    <w:rsid w:val="005B5926"/>
    <w:rsid w:val="005B5A74"/>
    <w:rsid w:val="005B5DBE"/>
    <w:rsid w:val="005B6220"/>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2125"/>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720"/>
    <w:rsid w:val="005D0B47"/>
    <w:rsid w:val="005D101F"/>
    <w:rsid w:val="005D1247"/>
    <w:rsid w:val="005D169A"/>
    <w:rsid w:val="005D1D60"/>
    <w:rsid w:val="005D205D"/>
    <w:rsid w:val="005D2112"/>
    <w:rsid w:val="005D28E2"/>
    <w:rsid w:val="005D2F54"/>
    <w:rsid w:val="005D33D2"/>
    <w:rsid w:val="005D353D"/>
    <w:rsid w:val="005D3FD5"/>
    <w:rsid w:val="005D42D9"/>
    <w:rsid w:val="005D4475"/>
    <w:rsid w:val="005D5402"/>
    <w:rsid w:val="005D593D"/>
    <w:rsid w:val="005D63A5"/>
    <w:rsid w:val="005D661A"/>
    <w:rsid w:val="005D68ED"/>
    <w:rsid w:val="005D69A4"/>
    <w:rsid w:val="005D6F3F"/>
    <w:rsid w:val="005D749D"/>
    <w:rsid w:val="005D79B5"/>
    <w:rsid w:val="005D7BDA"/>
    <w:rsid w:val="005E0A1F"/>
    <w:rsid w:val="005E0DEA"/>
    <w:rsid w:val="005E0ECD"/>
    <w:rsid w:val="005E1465"/>
    <w:rsid w:val="005E1667"/>
    <w:rsid w:val="005E17B3"/>
    <w:rsid w:val="005E1982"/>
    <w:rsid w:val="005E1BB5"/>
    <w:rsid w:val="005E1BD6"/>
    <w:rsid w:val="005E1E32"/>
    <w:rsid w:val="005E20D0"/>
    <w:rsid w:val="005E26A3"/>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37C"/>
    <w:rsid w:val="005E777B"/>
    <w:rsid w:val="005F03D5"/>
    <w:rsid w:val="005F07C5"/>
    <w:rsid w:val="005F0860"/>
    <w:rsid w:val="005F14A7"/>
    <w:rsid w:val="005F1797"/>
    <w:rsid w:val="005F1B20"/>
    <w:rsid w:val="005F1E18"/>
    <w:rsid w:val="005F27E0"/>
    <w:rsid w:val="005F29C0"/>
    <w:rsid w:val="005F2A66"/>
    <w:rsid w:val="005F2B32"/>
    <w:rsid w:val="005F2F7B"/>
    <w:rsid w:val="005F3176"/>
    <w:rsid w:val="005F33B0"/>
    <w:rsid w:val="005F3549"/>
    <w:rsid w:val="005F3D8C"/>
    <w:rsid w:val="005F4D70"/>
    <w:rsid w:val="005F4FC5"/>
    <w:rsid w:val="005F54B4"/>
    <w:rsid w:val="005F5534"/>
    <w:rsid w:val="005F5576"/>
    <w:rsid w:val="005F5A18"/>
    <w:rsid w:val="005F5A4E"/>
    <w:rsid w:val="005F5A6F"/>
    <w:rsid w:val="005F5C0D"/>
    <w:rsid w:val="005F5C12"/>
    <w:rsid w:val="005F5C6D"/>
    <w:rsid w:val="005F5E1E"/>
    <w:rsid w:val="005F5E8E"/>
    <w:rsid w:val="005F6058"/>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821"/>
    <w:rsid w:val="00603902"/>
    <w:rsid w:val="00604617"/>
    <w:rsid w:val="00604730"/>
    <w:rsid w:val="006048FA"/>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061"/>
    <w:rsid w:val="00607C10"/>
    <w:rsid w:val="0061022F"/>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B00"/>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2E03"/>
    <w:rsid w:val="00643B07"/>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0CF3"/>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01C"/>
    <w:rsid w:val="0065559B"/>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5CA"/>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0D4"/>
    <w:rsid w:val="0066527F"/>
    <w:rsid w:val="00665A11"/>
    <w:rsid w:val="00666754"/>
    <w:rsid w:val="006667A4"/>
    <w:rsid w:val="00666AEA"/>
    <w:rsid w:val="00666CE9"/>
    <w:rsid w:val="006679EB"/>
    <w:rsid w:val="00667BED"/>
    <w:rsid w:val="00667FB2"/>
    <w:rsid w:val="00670919"/>
    <w:rsid w:val="00670D2E"/>
    <w:rsid w:val="00671B21"/>
    <w:rsid w:val="006725B8"/>
    <w:rsid w:val="0067269F"/>
    <w:rsid w:val="006726CB"/>
    <w:rsid w:val="0067272F"/>
    <w:rsid w:val="00673BA4"/>
    <w:rsid w:val="006747DA"/>
    <w:rsid w:val="00674C5D"/>
    <w:rsid w:val="00674E33"/>
    <w:rsid w:val="00674ED8"/>
    <w:rsid w:val="00675793"/>
    <w:rsid w:val="006758D7"/>
    <w:rsid w:val="00675C5E"/>
    <w:rsid w:val="0067654F"/>
    <w:rsid w:val="00676AC8"/>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132"/>
    <w:rsid w:val="006872DA"/>
    <w:rsid w:val="0068731C"/>
    <w:rsid w:val="006875AD"/>
    <w:rsid w:val="00690256"/>
    <w:rsid w:val="006904AD"/>
    <w:rsid w:val="0069051E"/>
    <w:rsid w:val="006905F1"/>
    <w:rsid w:val="00691206"/>
    <w:rsid w:val="006912E6"/>
    <w:rsid w:val="006914E9"/>
    <w:rsid w:val="00691815"/>
    <w:rsid w:val="00691E51"/>
    <w:rsid w:val="00691EA5"/>
    <w:rsid w:val="006920CA"/>
    <w:rsid w:val="00692594"/>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570"/>
    <w:rsid w:val="006A06E3"/>
    <w:rsid w:val="006A06F7"/>
    <w:rsid w:val="006A0B03"/>
    <w:rsid w:val="006A0ECA"/>
    <w:rsid w:val="006A11F4"/>
    <w:rsid w:val="006A129B"/>
    <w:rsid w:val="006A14A8"/>
    <w:rsid w:val="006A182D"/>
    <w:rsid w:val="006A1ADF"/>
    <w:rsid w:val="006A1C6F"/>
    <w:rsid w:val="006A23AC"/>
    <w:rsid w:val="006A2835"/>
    <w:rsid w:val="006A2915"/>
    <w:rsid w:val="006A2C82"/>
    <w:rsid w:val="006A3A19"/>
    <w:rsid w:val="006A3B9E"/>
    <w:rsid w:val="006A3D6D"/>
    <w:rsid w:val="006A3D73"/>
    <w:rsid w:val="006A43EA"/>
    <w:rsid w:val="006A471A"/>
    <w:rsid w:val="006A5290"/>
    <w:rsid w:val="006A626F"/>
    <w:rsid w:val="006A6655"/>
    <w:rsid w:val="006A6C89"/>
    <w:rsid w:val="006A71B7"/>
    <w:rsid w:val="006A774A"/>
    <w:rsid w:val="006A777A"/>
    <w:rsid w:val="006A77B9"/>
    <w:rsid w:val="006A7AE9"/>
    <w:rsid w:val="006A7BB0"/>
    <w:rsid w:val="006A7C9D"/>
    <w:rsid w:val="006B0264"/>
    <w:rsid w:val="006B0CF9"/>
    <w:rsid w:val="006B15BD"/>
    <w:rsid w:val="006B1E59"/>
    <w:rsid w:val="006B2233"/>
    <w:rsid w:val="006B2995"/>
    <w:rsid w:val="006B2F13"/>
    <w:rsid w:val="006B3EFD"/>
    <w:rsid w:val="006B40C8"/>
    <w:rsid w:val="006B4178"/>
    <w:rsid w:val="006B472A"/>
    <w:rsid w:val="006B476C"/>
    <w:rsid w:val="006B4A2E"/>
    <w:rsid w:val="006B4BD5"/>
    <w:rsid w:val="006B5290"/>
    <w:rsid w:val="006B549F"/>
    <w:rsid w:val="006B65CB"/>
    <w:rsid w:val="006B6AFB"/>
    <w:rsid w:val="006B71C4"/>
    <w:rsid w:val="006B765D"/>
    <w:rsid w:val="006C084A"/>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604"/>
    <w:rsid w:val="006C795C"/>
    <w:rsid w:val="006D045E"/>
    <w:rsid w:val="006D085D"/>
    <w:rsid w:val="006D0B6D"/>
    <w:rsid w:val="006D0F26"/>
    <w:rsid w:val="006D1549"/>
    <w:rsid w:val="006D170C"/>
    <w:rsid w:val="006D19E8"/>
    <w:rsid w:val="006D1A5F"/>
    <w:rsid w:val="006D1E9C"/>
    <w:rsid w:val="006D24A7"/>
    <w:rsid w:val="006D27F9"/>
    <w:rsid w:val="006D29AD"/>
    <w:rsid w:val="006D2DE0"/>
    <w:rsid w:val="006D3315"/>
    <w:rsid w:val="006D381C"/>
    <w:rsid w:val="006D39EA"/>
    <w:rsid w:val="006D3CE0"/>
    <w:rsid w:val="006D43B1"/>
    <w:rsid w:val="006D4801"/>
    <w:rsid w:val="006D4826"/>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2B6"/>
    <w:rsid w:val="006E645F"/>
    <w:rsid w:val="006E6636"/>
    <w:rsid w:val="006E6904"/>
    <w:rsid w:val="006E6F3D"/>
    <w:rsid w:val="006F006F"/>
    <w:rsid w:val="006F117D"/>
    <w:rsid w:val="006F1195"/>
    <w:rsid w:val="006F13F3"/>
    <w:rsid w:val="006F1C59"/>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AED"/>
    <w:rsid w:val="00706C3A"/>
    <w:rsid w:val="00706E1E"/>
    <w:rsid w:val="007071D4"/>
    <w:rsid w:val="0070767C"/>
    <w:rsid w:val="00707C37"/>
    <w:rsid w:val="00710164"/>
    <w:rsid w:val="00710167"/>
    <w:rsid w:val="00710595"/>
    <w:rsid w:val="00710772"/>
    <w:rsid w:val="00710870"/>
    <w:rsid w:val="007110B3"/>
    <w:rsid w:val="00711D85"/>
    <w:rsid w:val="00712020"/>
    <w:rsid w:val="00712026"/>
    <w:rsid w:val="0071214D"/>
    <w:rsid w:val="007121C0"/>
    <w:rsid w:val="00712638"/>
    <w:rsid w:val="0071276A"/>
    <w:rsid w:val="00712B22"/>
    <w:rsid w:val="00712D93"/>
    <w:rsid w:val="007136B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1282"/>
    <w:rsid w:val="007213CA"/>
    <w:rsid w:val="00721918"/>
    <w:rsid w:val="007220CD"/>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C34"/>
    <w:rsid w:val="00735EBF"/>
    <w:rsid w:val="00735F00"/>
    <w:rsid w:val="007360CA"/>
    <w:rsid w:val="007365ED"/>
    <w:rsid w:val="00736927"/>
    <w:rsid w:val="007377BF"/>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4AB"/>
    <w:rsid w:val="007505F4"/>
    <w:rsid w:val="007507C4"/>
    <w:rsid w:val="00750979"/>
    <w:rsid w:val="0075097C"/>
    <w:rsid w:val="00750AEF"/>
    <w:rsid w:val="00750B87"/>
    <w:rsid w:val="00751313"/>
    <w:rsid w:val="007514AA"/>
    <w:rsid w:val="0075173A"/>
    <w:rsid w:val="00751760"/>
    <w:rsid w:val="007518C9"/>
    <w:rsid w:val="007519E9"/>
    <w:rsid w:val="00751A9D"/>
    <w:rsid w:val="00751D4B"/>
    <w:rsid w:val="0075218A"/>
    <w:rsid w:val="00752238"/>
    <w:rsid w:val="00752A0D"/>
    <w:rsid w:val="00752D99"/>
    <w:rsid w:val="00752DE0"/>
    <w:rsid w:val="00752E14"/>
    <w:rsid w:val="00753DA5"/>
    <w:rsid w:val="00754E53"/>
    <w:rsid w:val="00754EA0"/>
    <w:rsid w:val="0075502B"/>
    <w:rsid w:val="007553FF"/>
    <w:rsid w:val="00755633"/>
    <w:rsid w:val="00755B4B"/>
    <w:rsid w:val="00755B6F"/>
    <w:rsid w:val="00756A17"/>
    <w:rsid w:val="00756B41"/>
    <w:rsid w:val="007576EC"/>
    <w:rsid w:val="00757957"/>
    <w:rsid w:val="0076033C"/>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B37"/>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4948"/>
    <w:rsid w:val="0077558B"/>
    <w:rsid w:val="007756E4"/>
    <w:rsid w:val="00775C2C"/>
    <w:rsid w:val="00775DE7"/>
    <w:rsid w:val="00775F42"/>
    <w:rsid w:val="00776053"/>
    <w:rsid w:val="00776874"/>
    <w:rsid w:val="00776A1A"/>
    <w:rsid w:val="00776BDA"/>
    <w:rsid w:val="0077726C"/>
    <w:rsid w:val="00777321"/>
    <w:rsid w:val="00777AAB"/>
    <w:rsid w:val="007803A2"/>
    <w:rsid w:val="00780953"/>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50D"/>
    <w:rsid w:val="00791B93"/>
    <w:rsid w:val="00791DE1"/>
    <w:rsid w:val="00792298"/>
    <w:rsid w:val="007924A4"/>
    <w:rsid w:val="00792DE4"/>
    <w:rsid w:val="00793181"/>
    <w:rsid w:val="007936BD"/>
    <w:rsid w:val="007936C1"/>
    <w:rsid w:val="00793C61"/>
    <w:rsid w:val="00793D45"/>
    <w:rsid w:val="00795762"/>
    <w:rsid w:val="007957ED"/>
    <w:rsid w:val="00795E20"/>
    <w:rsid w:val="007963FF"/>
    <w:rsid w:val="0079645A"/>
    <w:rsid w:val="007965D0"/>
    <w:rsid w:val="00796787"/>
    <w:rsid w:val="0079724E"/>
    <w:rsid w:val="007975BD"/>
    <w:rsid w:val="0079792F"/>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DB0"/>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108"/>
    <w:rsid w:val="007C43F8"/>
    <w:rsid w:val="007C44DC"/>
    <w:rsid w:val="007C4545"/>
    <w:rsid w:val="007C45F7"/>
    <w:rsid w:val="007C46D1"/>
    <w:rsid w:val="007C47C2"/>
    <w:rsid w:val="007C4822"/>
    <w:rsid w:val="007C4DEF"/>
    <w:rsid w:val="007C5376"/>
    <w:rsid w:val="007C5468"/>
    <w:rsid w:val="007C55F1"/>
    <w:rsid w:val="007C58AB"/>
    <w:rsid w:val="007C5AD1"/>
    <w:rsid w:val="007C6148"/>
    <w:rsid w:val="007C67ED"/>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794"/>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1F"/>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5D98"/>
    <w:rsid w:val="007F6607"/>
    <w:rsid w:val="007F7865"/>
    <w:rsid w:val="007F7EEB"/>
    <w:rsid w:val="007F7FB3"/>
    <w:rsid w:val="008000B5"/>
    <w:rsid w:val="0080026A"/>
    <w:rsid w:val="00800340"/>
    <w:rsid w:val="00800538"/>
    <w:rsid w:val="00800953"/>
    <w:rsid w:val="00800A37"/>
    <w:rsid w:val="00801255"/>
    <w:rsid w:val="0080197B"/>
    <w:rsid w:val="00801C1F"/>
    <w:rsid w:val="00801CB2"/>
    <w:rsid w:val="008021C6"/>
    <w:rsid w:val="008021D3"/>
    <w:rsid w:val="00802849"/>
    <w:rsid w:val="00802971"/>
    <w:rsid w:val="00803607"/>
    <w:rsid w:val="0080372C"/>
    <w:rsid w:val="008038E3"/>
    <w:rsid w:val="008038F6"/>
    <w:rsid w:val="00803EFF"/>
    <w:rsid w:val="008040F8"/>
    <w:rsid w:val="00804558"/>
    <w:rsid w:val="008047AE"/>
    <w:rsid w:val="00804B21"/>
    <w:rsid w:val="00805483"/>
    <w:rsid w:val="008054FA"/>
    <w:rsid w:val="0080554C"/>
    <w:rsid w:val="0080585D"/>
    <w:rsid w:val="00805D5F"/>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5EC2"/>
    <w:rsid w:val="00816080"/>
    <w:rsid w:val="008160D1"/>
    <w:rsid w:val="008162B3"/>
    <w:rsid w:val="0081640D"/>
    <w:rsid w:val="0081687A"/>
    <w:rsid w:val="008169A1"/>
    <w:rsid w:val="00817F62"/>
    <w:rsid w:val="008200AE"/>
    <w:rsid w:val="00820160"/>
    <w:rsid w:val="0082022B"/>
    <w:rsid w:val="0082087B"/>
    <w:rsid w:val="00820AC1"/>
    <w:rsid w:val="00820B8C"/>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5BFC"/>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2DEA"/>
    <w:rsid w:val="008337C1"/>
    <w:rsid w:val="00834120"/>
    <w:rsid w:val="00834F23"/>
    <w:rsid w:val="00835356"/>
    <w:rsid w:val="008353B6"/>
    <w:rsid w:val="00835ACD"/>
    <w:rsid w:val="008360F7"/>
    <w:rsid w:val="008363F5"/>
    <w:rsid w:val="00836A67"/>
    <w:rsid w:val="00836AB9"/>
    <w:rsid w:val="00836CEB"/>
    <w:rsid w:val="00837324"/>
    <w:rsid w:val="00837406"/>
    <w:rsid w:val="0084021C"/>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963"/>
    <w:rsid w:val="00845FC4"/>
    <w:rsid w:val="008461B0"/>
    <w:rsid w:val="0084694E"/>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139"/>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831"/>
    <w:rsid w:val="0086092A"/>
    <w:rsid w:val="00860D51"/>
    <w:rsid w:val="00860E90"/>
    <w:rsid w:val="008611C1"/>
    <w:rsid w:val="0086151A"/>
    <w:rsid w:val="0086161E"/>
    <w:rsid w:val="0086173C"/>
    <w:rsid w:val="00861745"/>
    <w:rsid w:val="00861DA4"/>
    <w:rsid w:val="00861FD6"/>
    <w:rsid w:val="00862131"/>
    <w:rsid w:val="00862330"/>
    <w:rsid w:val="0086264B"/>
    <w:rsid w:val="008626E9"/>
    <w:rsid w:val="008626EB"/>
    <w:rsid w:val="008628D1"/>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4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4A8"/>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312"/>
    <w:rsid w:val="008A0905"/>
    <w:rsid w:val="008A0B02"/>
    <w:rsid w:val="008A0E0D"/>
    <w:rsid w:val="008A155C"/>
    <w:rsid w:val="008A180E"/>
    <w:rsid w:val="008A197C"/>
    <w:rsid w:val="008A2545"/>
    <w:rsid w:val="008A2636"/>
    <w:rsid w:val="008A35DB"/>
    <w:rsid w:val="008A3648"/>
    <w:rsid w:val="008A3AF9"/>
    <w:rsid w:val="008A3FBE"/>
    <w:rsid w:val="008A4013"/>
    <w:rsid w:val="008A4221"/>
    <w:rsid w:val="008A4C9C"/>
    <w:rsid w:val="008A4F23"/>
    <w:rsid w:val="008A550D"/>
    <w:rsid w:val="008A6041"/>
    <w:rsid w:val="008A60F8"/>
    <w:rsid w:val="008A634E"/>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4CB"/>
    <w:rsid w:val="008B46D2"/>
    <w:rsid w:val="008B5253"/>
    <w:rsid w:val="008B53D8"/>
    <w:rsid w:val="008B551A"/>
    <w:rsid w:val="008B63BE"/>
    <w:rsid w:val="008B640E"/>
    <w:rsid w:val="008B64DD"/>
    <w:rsid w:val="008B6505"/>
    <w:rsid w:val="008B6522"/>
    <w:rsid w:val="008B670A"/>
    <w:rsid w:val="008B688D"/>
    <w:rsid w:val="008B6C03"/>
    <w:rsid w:val="008B6E96"/>
    <w:rsid w:val="008B70EE"/>
    <w:rsid w:val="008B715C"/>
    <w:rsid w:val="008B75B8"/>
    <w:rsid w:val="008B79B6"/>
    <w:rsid w:val="008B7E85"/>
    <w:rsid w:val="008C0A85"/>
    <w:rsid w:val="008C0EAD"/>
    <w:rsid w:val="008C118F"/>
    <w:rsid w:val="008C1442"/>
    <w:rsid w:val="008C1693"/>
    <w:rsid w:val="008C19D9"/>
    <w:rsid w:val="008C1A5E"/>
    <w:rsid w:val="008C1A81"/>
    <w:rsid w:val="008C1C5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72B"/>
    <w:rsid w:val="008D2D3E"/>
    <w:rsid w:val="008D2E5A"/>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85"/>
    <w:rsid w:val="008E20BE"/>
    <w:rsid w:val="008E241B"/>
    <w:rsid w:val="008E3096"/>
    <w:rsid w:val="008E330C"/>
    <w:rsid w:val="008E332F"/>
    <w:rsid w:val="008E3C5E"/>
    <w:rsid w:val="008E4114"/>
    <w:rsid w:val="008E4238"/>
    <w:rsid w:val="008E45EA"/>
    <w:rsid w:val="008E4A1A"/>
    <w:rsid w:val="008E4A1B"/>
    <w:rsid w:val="008E5C67"/>
    <w:rsid w:val="008E5E01"/>
    <w:rsid w:val="008E69A3"/>
    <w:rsid w:val="008E6ABA"/>
    <w:rsid w:val="008E706B"/>
    <w:rsid w:val="008E73D4"/>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165"/>
    <w:rsid w:val="00904476"/>
    <w:rsid w:val="009045AC"/>
    <w:rsid w:val="009046C9"/>
    <w:rsid w:val="009046F1"/>
    <w:rsid w:val="009046FD"/>
    <w:rsid w:val="009047AF"/>
    <w:rsid w:val="00904883"/>
    <w:rsid w:val="00904AF0"/>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581"/>
    <w:rsid w:val="0091268D"/>
    <w:rsid w:val="009129C1"/>
    <w:rsid w:val="00912A0F"/>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6F2"/>
    <w:rsid w:val="00922A2B"/>
    <w:rsid w:val="00922D7F"/>
    <w:rsid w:val="00922FF5"/>
    <w:rsid w:val="00923498"/>
    <w:rsid w:val="009235ED"/>
    <w:rsid w:val="00923ACE"/>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27F6E"/>
    <w:rsid w:val="00930298"/>
    <w:rsid w:val="009302A6"/>
    <w:rsid w:val="0093106F"/>
    <w:rsid w:val="00931074"/>
    <w:rsid w:val="0093116C"/>
    <w:rsid w:val="00931325"/>
    <w:rsid w:val="0093152D"/>
    <w:rsid w:val="009319DC"/>
    <w:rsid w:val="00931AAD"/>
    <w:rsid w:val="00931E6D"/>
    <w:rsid w:val="0093201D"/>
    <w:rsid w:val="00932D04"/>
    <w:rsid w:val="00932E9E"/>
    <w:rsid w:val="00932F52"/>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1719"/>
    <w:rsid w:val="00941AE6"/>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1F38"/>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6D81"/>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9E6"/>
    <w:rsid w:val="00967AC3"/>
    <w:rsid w:val="00970F12"/>
    <w:rsid w:val="00970FB5"/>
    <w:rsid w:val="009710BF"/>
    <w:rsid w:val="009711B7"/>
    <w:rsid w:val="00971874"/>
    <w:rsid w:val="00971F83"/>
    <w:rsid w:val="00971FD5"/>
    <w:rsid w:val="00972061"/>
    <w:rsid w:val="0097245C"/>
    <w:rsid w:val="009725FE"/>
    <w:rsid w:val="0097282B"/>
    <w:rsid w:val="00972BB5"/>
    <w:rsid w:val="00972DAC"/>
    <w:rsid w:val="00972EEC"/>
    <w:rsid w:val="009733CD"/>
    <w:rsid w:val="00973747"/>
    <w:rsid w:val="00973A35"/>
    <w:rsid w:val="00973CF7"/>
    <w:rsid w:val="00974A1E"/>
    <w:rsid w:val="00974D8B"/>
    <w:rsid w:val="0097559A"/>
    <w:rsid w:val="00975D48"/>
    <w:rsid w:val="009761A9"/>
    <w:rsid w:val="00976546"/>
    <w:rsid w:val="00976C81"/>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AEE"/>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06F"/>
    <w:rsid w:val="00997258"/>
    <w:rsid w:val="00997913"/>
    <w:rsid w:val="00997A2B"/>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AC4"/>
    <w:rsid w:val="009B1F3A"/>
    <w:rsid w:val="009B22E0"/>
    <w:rsid w:val="009B2766"/>
    <w:rsid w:val="009B2B4F"/>
    <w:rsid w:val="009B32F0"/>
    <w:rsid w:val="009B3EB4"/>
    <w:rsid w:val="009B3EE0"/>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0C5"/>
    <w:rsid w:val="009C125A"/>
    <w:rsid w:val="009C1910"/>
    <w:rsid w:val="009C1CA0"/>
    <w:rsid w:val="009C1EB2"/>
    <w:rsid w:val="009C2675"/>
    <w:rsid w:val="009C2839"/>
    <w:rsid w:val="009C2B95"/>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1779"/>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586B"/>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2F9"/>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686"/>
    <w:rsid w:val="009F776E"/>
    <w:rsid w:val="00A00F42"/>
    <w:rsid w:val="00A01519"/>
    <w:rsid w:val="00A0195A"/>
    <w:rsid w:val="00A02C8F"/>
    <w:rsid w:val="00A02D3C"/>
    <w:rsid w:val="00A02FEC"/>
    <w:rsid w:val="00A032EA"/>
    <w:rsid w:val="00A03440"/>
    <w:rsid w:val="00A03C2B"/>
    <w:rsid w:val="00A03DD9"/>
    <w:rsid w:val="00A0408F"/>
    <w:rsid w:val="00A04E68"/>
    <w:rsid w:val="00A05088"/>
    <w:rsid w:val="00A05975"/>
    <w:rsid w:val="00A05EAA"/>
    <w:rsid w:val="00A0608D"/>
    <w:rsid w:val="00A060BE"/>
    <w:rsid w:val="00A065C1"/>
    <w:rsid w:val="00A0665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6FD"/>
    <w:rsid w:val="00A13A4E"/>
    <w:rsid w:val="00A14780"/>
    <w:rsid w:val="00A15566"/>
    <w:rsid w:val="00A15B2D"/>
    <w:rsid w:val="00A163CD"/>
    <w:rsid w:val="00A1646E"/>
    <w:rsid w:val="00A1668A"/>
    <w:rsid w:val="00A16778"/>
    <w:rsid w:val="00A16B57"/>
    <w:rsid w:val="00A16D7D"/>
    <w:rsid w:val="00A17752"/>
    <w:rsid w:val="00A20224"/>
    <w:rsid w:val="00A21424"/>
    <w:rsid w:val="00A21997"/>
    <w:rsid w:val="00A2247E"/>
    <w:rsid w:val="00A2352C"/>
    <w:rsid w:val="00A23A98"/>
    <w:rsid w:val="00A24217"/>
    <w:rsid w:val="00A244E9"/>
    <w:rsid w:val="00A24622"/>
    <w:rsid w:val="00A246A3"/>
    <w:rsid w:val="00A2562F"/>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3ECF"/>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0B"/>
    <w:rsid w:val="00A50FEC"/>
    <w:rsid w:val="00A51459"/>
    <w:rsid w:val="00A514D0"/>
    <w:rsid w:val="00A51FC3"/>
    <w:rsid w:val="00A532FC"/>
    <w:rsid w:val="00A533E9"/>
    <w:rsid w:val="00A53624"/>
    <w:rsid w:val="00A53AC1"/>
    <w:rsid w:val="00A54F72"/>
    <w:rsid w:val="00A565B6"/>
    <w:rsid w:val="00A567E2"/>
    <w:rsid w:val="00A56806"/>
    <w:rsid w:val="00A5706D"/>
    <w:rsid w:val="00A57D66"/>
    <w:rsid w:val="00A57DFB"/>
    <w:rsid w:val="00A57F15"/>
    <w:rsid w:val="00A60066"/>
    <w:rsid w:val="00A60179"/>
    <w:rsid w:val="00A60610"/>
    <w:rsid w:val="00A60B80"/>
    <w:rsid w:val="00A615DA"/>
    <w:rsid w:val="00A6175A"/>
    <w:rsid w:val="00A61782"/>
    <w:rsid w:val="00A61FD9"/>
    <w:rsid w:val="00A61FDA"/>
    <w:rsid w:val="00A629A1"/>
    <w:rsid w:val="00A632A8"/>
    <w:rsid w:val="00A632C9"/>
    <w:rsid w:val="00A63417"/>
    <w:rsid w:val="00A63850"/>
    <w:rsid w:val="00A64787"/>
    <w:rsid w:val="00A648E9"/>
    <w:rsid w:val="00A65181"/>
    <w:rsid w:val="00A653AB"/>
    <w:rsid w:val="00A6587D"/>
    <w:rsid w:val="00A658FC"/>
    <w:rsid w:val="00A6654A"/>
    <w:rsid w:val="00A66C0D"/>
    <w:rsid w:val="00A66CA1"/>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8F3"/>
    <w:rsid w:val="00A92DB9"/>
    <w:rsid w:val="00A932B5"/>
    <w:rsid w:val="00A9335D"/>
    <w:rsid w:val="00A93738"/>
    <w:rsid w:val="00A94084"/>
    <w:rsid w:val="00A9446E"/>
    <w:rsid w:val="00A946D1"/>
    <w:rsid w:val="00A94935"/>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387"/>
    <w:rsid w:val="00AA2A7D"/>
    <w:rsid w:val="00AA2A95"/>
    <w:rsid w:val="00AA2ECC"/>
    <w:rsid w:val="00AA3A3E"/>
    <w:rsid w:val="00AA3B94"/>
    <w:rsid w:val="00AA3C94"/>
    <w:rsid w:val="00AA41D4"/>
    <w:rsid w:val="00AA4203"/>
    <w:rsid w:val="00AA4775"/>
    <w:rsid w:val="00AA488F"/>
    <w:rsid w:val="00AA5377"/>
    <w:rsid w:val="00AA5515"/>
    <w:rsid w:val="00AA567F"/>
    <w:rsid w:val="00AA569C"/>
    <w:rsid w:val="00AA583C"/>
    <w:rsid w:val="00AA60F4"/>
    <w:rsid w:val="00AA61FE"/>
    <w:rsid w:val="00AA65CF"/>
    <w:rsid w:val="00AA65EC"/>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741"/>
    <w:rsid w:val="00AB3D9B"/>
    <w:rsid w:val="00AB4923"/>
    <w:rsid w:val="00AB49C3"/>
    <w:rsid w:val="00AB4EF1"/>
    <w:rsid w:val="00AB52AD"/>
    <w:rsid w:val="00AB55F8"/>
    <w:rsid w:val="00AB5DF2"/>
    <w:rsid w:val="00AB613A"/>
    <w:rsid w:val="00AB69C8"/>
    <w:rsid w:val="00AB6C4D"/>
    <w:rsid w:val="00AB72B2"/>
    <w:rsid w:val="00AB72B3"/>
    <w:rsid w:val="00AB7866"/>
    <w:rsid w:val="00AB7CD0"/>
    <w:rsid w:val="00AC0C79"/>
    <w:rsid w:val="00AC0F1D"/>
    <w:rsid w:val="00AC14B5"/>
    <w:rsid w:val="00AC1D3B"/>
    <w:rsid w:val="00AC226A"/>
    <w:rsid w:val="00AC246C"/>
    <w:rsid w:val="00AC2FB2"/>
    <w:rsid w:val="00AC30BF"/>
    <w:rsid w:val="00AC3229"/>
    <w:rsid w:val="00AC32FB"/>
    <w:rsid w:val="00AC3453"/>
    <w:rsid w:val="00AC3ADE"/>
    <w:rsid w:val="00AC3BFC"/>
    <w:rsid w:val="00AC3E39"/>
    <w:rsid w:val="00AC3F58"/>
    <w:rsid w:val="00AC4117"/>
    <w:rsid w:val="00AC4C44"/>
    <w:rsid w:val="00AC4C92"/>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6D5"/>
    <w:rsid w:val="00AD1A1C"/>
    <w:rsid w:val="00AD1C10"/>
    <w:rsid w:val="00AD1D16"/>
    <w:rsid w:val="00AD1D37"/>
    <w:rsid w:val="00AD1D4D"/>
    <w:rsid w:val="00AD1EB5"/>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B7F"/>
    <w:rsid w:val="00AE0D8D"/>
    <w:rsid w:val="00AE1A1D"/>
    <w:rsid w:val="00AE23C8"/>
    <w:rsid w:val="00AE2653"/>
    <w:rsid w:val="00AE265A"/>
    <w:rsid w:val="00AE268D"/>
    <w:rsid w:val="00AE308D"/>
    <w:rsid w:val="00AE36D1"/>
    <w:rsid w:val="00AE3DDB"/>
    <w:rsid w:val="00AE4746"/>
    <w:rsid w:val="00AE4A64"/>
    <w:rsid w:val="00AE53A4"/>
    <w:rsid w:val="00AE5771"/>
    <w:rsid w:val="00AE59FC"/>
    <w:rsid w:val="00AE5A01"/>
    <w:rsid w:val="00AE646F"/>
    <w:rsid w:val="00AE6485"/>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853"/>
    <w:rsid w:val="00AF7968"/>
    <w:rsid w:val="00AF7BDD"/>
    <w:rsid w:val="00AF7EC8"/>
    <w:rsid w:val="00B0037C"/>
    <w:rsid w:val="00B00645"/>
    <w:rsid w:val="00B00A42"/>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6E79"/>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016"/>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983"/>
    <w:rsid w:val="00B36D4C"/>
    <w:rsid w:val="00B36D9E"/>
    <w:rsid w:val="00B37034"/>
    <w:rsid w:val="00B37311"/>
    <w:rsid w:val="00B373FB"/>
    <w:rsid w:val="00B37627"/>
    <w:rsid w:val="00B376E9"/>
    <w:rsid w:val="00B37975"/>
    <w:rsid w:val="00B40057"/>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4FB1"/>
    <w:rsid w:val="00B45847"/>
    <w:rsid w:val="00B45B99"/>
    <w:rsid w:val="00B45D9D"/>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67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0F72"/>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9D0"/>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04A"/>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4A3"/>
    <w:rsid w:val="00BB25BB"/>
    <w:rsid w:val="00BB3382"/>
    <w:rsid w:val="00BB35BC"/>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85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3981"/>
    <w:rsid w:val="00BD404E"/>
    <w:rsid w:val="00BD4A52"/>
    <w:rsid w:val="00BD51CA"/>
    <w:rsid w:val="00BD558F"/>
    <w:rsid w:val="00BD592C"/>
    <w:rsid w:val="00BD5CD2"/>
    <w:rsid w:val="00BD7138"/>
    <w:rsid w:val="00BD771B"/>
    <w:rsid w:val="00BD77B5"/>
    <w:rsid w:val="00BD77DE"/>
    <w:rsid w:val="00BD79C2"/>
    <w:rsid w:val="00BD7CAE"/>
    <w:rsid w:val="00BE01E0"/>
    <w:rsid w:val="00BE02F5"/>
    <w:rsid w:val="00BE0A47"/>
    <w:rsid w:val="00BE0DB7"/>
    <w:rsid w:val="00BE1196"/>
    <w:rsid w:val="00BE175B"/>
    <w:rsid w:val="00BE1F2E"/>
    <w:rsid w:val="00BE1FA7"/>
    <w:rsid w:val="00BE2AD7"/>
    <w:rsid w:val="00BE2BAA"/>
    <w:rsid w:val="00BE3457"/>
    <w:rsid w:val="00BE4CF8"/>
    <w:rsid w:val="00BE4E9F"/>
    <w:rsid w:val="00BE4F8D"/>
    <w:rsid w:val="00BE590A"/>
    <w:rsid w:val="00BE616A"/>
    <w:rsid w:val="00BE61FF"/>
    <w:rsid w:val="00BE770F"/>
    <w:rsid w:val="00BE778C"/>
    <w:rsid w:val="00BE7B59"/>
    <w:rsid w:val="00BF01D4"/>
    <w:rsid w:val="00BF12D2"/>
    <w:rsid w:val="00BF15DD"/>
    <w:rsid w:val="00BF15FF"/>
    <w:rsid w:val="00BF17D9"/>
    <w:rsid w:val="00BF20FB"/>
    <w:rsid w:val="00BF2261"/>
    <w:rsid w:val="00BF2997"/>
    <w:rsid w:val="00BF2A6A"/>
    <w:rsid w:val="00BF4C22"/>
    <w:rsid w:val="00BF4CD1"/>
    <w:rsid w:val="00BF4DD7"/>
    <w:rsid w:val="00BF51E4"/>
    <w:rsid w:val="00BF6043"/>
    <w:rsid w:val="00BF68BD"/>
    <w:rsid w:val="00BF6B20"/>
    <w:rsid w:val="00BF739A"/>
    <w:rsid w:val="00BF76ED"/>
    <w:rsid w:val="00BF7B84"/>
    <w:rsid w:val="00BF7EBF"/>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319"/>
    <w:rsid w:val="00C04C59"/>
    <w:rsid w:val="00C0524E"/>
    <w:rsid w:val="00C05428"/>
    <w:rsid w:val="00C058A3"/>
    <w:rsid w:val="00C05E05"/>
    <w:rsid w:val="00C05E5D"/>
    <w:rsid w:val="00C0641B"/>
    <w:rsid w:val="00C066A5"/>
    <w:rsid w:val="00C06DFE"/>
    <w:rsid w:val="00C0711F"/>
    <w:rsid w:val="00C077E1"/>
    <w:rsid w:val="00C106CF"/>
    <w:rsid w:val="00C107BE"/>
    <w:rsid w:val="00C10BD0"/>
    <w:rsid w:val="00C10C03"/>
    <w:rsid w:val="00C11100"/>
    <w:rsid w:val="00C112F7"/>
    <w:rsid w:val="00C1161D"/>
    <w:rsid w:val="00C11688"/>
    <w:rsid w:val="00C12026"/>
    <w:rsid w:val="00C12053"/>
    <w:rsid w:val="00C12CC4"/>
    <w:rsid w:val="00C12CE6"/>
    <w:rsid w:val="00C12D9C"/>
    <w:rsid w:val="00C12E47"/>
    <w:rsid w:val="00C13208"/>
    <w:rsid w:val="00C133F5"/>
    <w:rsid w:val="00C1360E"/>
    <w:rsid w:val="00C13819"/>
    <w:rsid w:val="00C13C88"/>
    <w:rsid w:val="00C13CCA"/>
    <w:rsid w:val="00C13CE9"/>
    <w:rsid w:val="00C142EA"/>
    <w:rsid w:val="00C14AD2"/>
    <w:rsid w:val="00C14CA5"/>
    <w:rsid w:val="00C15BE1"/>
    <w:rsid w:val="00C160C5"/>
    <w:rsid w:val="00C160D9"/>
    <w:rsid w:val="00C1659A"/>
    <w:rsid w:val="00C16B32"/>
    <w:rsid w:val="00C16FDE"/>
    <w:rsid w:val="00C16FF1"/>
    <w:rsid w:val="00C17089"/>
    <w:rsid w:val="00C1715B"/>
    <w:rsid w:val="00C1757F"/>
    <w:rsid w:val="00C17B74"/>
    <w:rsid w:val="00C17BCC"/>
    <w:rsid w:val="00C17E69"/>
    <w:rsid w:val="00C20358"/>
    <w:rsid w:val="00C20A09"/>
    <w:rsid w:val="00C20AEB"/>
    <w:rsid w:val="00C20C1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1C0"/>
    <w:rsid w:val="00C4271F"/>
    <w:rsid w:val="00C42A6C"/>
    <w:rsid w:val="00C42B60"/>
    <w:rsid w:val="00C43E4A"/>
    <w:rsid w:val="00C43FD4"/>
    <w:rsid w:val="00C4445E"/>
    <w:rsid w:val="00C44846"/>
    <w:rsid w:val="00C455AB"/>
    <w:rsid w:val="00C45A51"/>
    <w:rsid w:val="00C45AEA"/>
    <w:rsid w:val="00C45BF4"/>
    <w:rsid w:val="00C469E3"/>
    <w:rsid w:val="00C469E9"/>
    <w:rsid w:val="00C46AA6"/>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A6C"/>
    <w:rsid w:val="00C61D42"/>
    <w:rsid w:val="00C61D6E"/>
    <w:rsid w:val="00C6265C"/>
    <w:rsid w:val="00C6277F"/>
    <w:rsid w:val="00C638E4"/>
    <w:rsid w:val="00C643F8"/>
    <w:rsid w:val="00C6454C"/>
    <w:rsid w:val="00C64585"/>
    <w:rsid w:val="00C64762"/>
    <w:rsid w:val="00C65030"/>
    <w:rsid w:val="00C652A1"/>
    <w:rsid w:val="00C655E4"/>
    <w:rsid w:val="00C65738"/>
    <w:rsid w:val="00C6590A"/>
    <w:rsid w:val="00C65FFB"/>
    <w:rsid w:val="00C66438"/>
    <w:rsid w:val="00C66663"/>
    <w:rsid w:val="00C668D8"/>
    <w:rsid w:val="00C66BCD"/>
    <w:rsid w:val="00C66BCF"/>
    <w:rsid w:val="00C66E56"/>
    <w:rsid w:val="00C66E74"/>
    <w:rsid w:val="00C67029"/>
    <w:rsid w:val="00C6704A"/>
    <w:rsid w:val="00C67576"/>
    <w:rsid w:val="00C67C84"/>
    <w:rsid w:val="00C67CC2"/>
    <w:rsid w:val="00C7044B"/>
    <w:rsid w:val="00C70B38"/>
    <w:rsid w:val="00C70B43"/>
    <w:rsid w:val="00C71776"/>
    <w:rsid w:val="00C7186C"/>
    <w:rsid w:val="00C71A56"/>
    <w:rsid w:val="00C71D9E"/>
    <w:rsid w:val="00C71E08"/>
    <w:rsid w:val="00C730CC"/>
    <w:rsid w:val="00C7318C"/>
    <w:rsid w:val="00C732C2"/>
    <w:rsid w:val="00C73DA1"/>
    <w:rsid w:val="00C7532A"/>
    <w:rsid w:val="00C75721"/>
    <w:rsid w:val="00C760A6"/>
    <w:rsid w:val="00C762B7"/>
    <w:rsid w:val="00C763B2"/>
    <w:rsid w:val="00C76825"/>
    <w:rsid w:val="00C76B79"/>
    <w:rsid w:val="00C7727E"/>
    <w:rsid w:val="00C77C2C"/>
    <w:rsid w:val="00C77C4B"/>
    <w:rsid w:val="00C77D50"/>
    <w:rsid w:val="00C80DC6"/>
    <w:rsid w:val="00C8146C"/>
    <w:rsid w:val="00C815E4"/>
    <w:rsid w:val="00C818F6"/>
    <w:rsid w:val="00C81D62"/>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530"/>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1FBB"/>
    <w:rsid w:val="00CA2A57"/>
    <w:rsid w:val="00CA2C4B"/>
    <w:rsid w:val="00CA2D96"/>
    <w:rsid w:val="00CA30A9"/>
    <w:rsid w:val="00CA35D4"/>
    <w:rsid w:val="00CA35EC"/>
    <w:rsid w:val="00CA3D36"/>
    <w:rsid w:val="00CA3EC4"/>
    <w:rsid w:val="00CA41FC"/>
    <w:rsid w:val="00CA4249"/>
    <w:rsid w:val="00CA481E"/>
    <w:rsid w:val="00CA4EF3"/>
    <w:rsid w:val="00CA4FD3"/>
    <w:rsid w:val="00CA575F"/>
    <w:rsid w:val="00CA593C"/>
    <w:rsid w:val="00CA6BF5"/>
    <w:rsid w:val="00CA6C44"/>
    <w:rsid w:val="00CA6F7C"/>
    <w:rsid w:val="00CB0154"/>
    <w:rsid w:val="00CB0652"/>
    <w:rsid w:val="00CB0A8A"/>
    <w:rsid w:val="00CB0BAD"/>
    <w:rsid w:val="00CB0FE5"/>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C28"/>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6CD1"/>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377"/>
    <w:rsid w:val="00CD6634"/>
    <w:rsid w:val="00CD6905"/>
    <w:rsid w:val="00CD6B16"/>
    <w:rsid w:val="00CD6B5E"/>
    <w:rsid w:val="00CD7422"/>
    <w:rsid w:val="00CD7743"/>
    <w:rsid w:val="00CD7897"/>
    <w:rsid w:val="00CD7C87"/>
    <w:rsid w:val="00CD7FB3"/>
    <w:rsid w:val="00CE04C5"/>
    <w:rsid w:val="00CE06F3"/>
    <w:rsid w:val="00CE0950"/>
    <w:rsid w:val="00CE09ED"/>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77E"/>
    <w:rsid w:val="00CE7FF2"/>
    <w:rsid w:val="00CF0ACB"/>
    <w:rsid w:val="00CF0CA0"/>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493C"/>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02A"/>
    <w:rsid w:val="00D16747"/>
    <w:rsid w:val="00D175C7"/>
    <w:rsid w:val="00D17B39"/>
    <w:rsid w:val="00D17E09"/>
    <w:rsid w:val="00D201A1"/>
    <w:rsid w:val="00D20886"/>
    <w:rsid w:val="00D2091D"/>
    <w:rsid w:val="00D20EEE"/>
    <w:rsid w:val="00D20FC8"/>
    <w:rsid w:val="00D21E86"/>
    <w:rsid w:val="00D22877"/>
    <w:rsid w:val="00D22B8C"/>
    <w:rsid w:val="00D22E00"/>
    <w:rsid w:val="00D23039"/>
    <w:rsid w:val="00D23692"/>
    <w:rsid w:val="00D238E9"/>
    <w:rsid w:val="00D23FCD"/>
    <w:rsid w:val="00D24EA9"/>
    <w:rsid w:val="00D251E6"/>
    <w:rsid w:val="00D259B0"/>
    <w:rsid w:val="00D26097"/>
    <w:rsid w:val="00D2609E"/>
    <w:rsid w:val="00D261C5"/>
    <w:rsid w:val="00D26391"/>
    <w:rsid w:val="00D2699D"/>
    <w:rsid w:val="00D272E2"/>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0E08"/>
    <w:rsid w:val="00D41108"/>
    <w:rsid w:val="00D41658"/>
    <w:rsid w:val="00D41962"/>
    <w:rsid w:val="00D41AE8"/>
    <w:rsid w:val="00D426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47916"/>
    <w:rsid w:val="00D50522"/>
    <w:rsid w:val="00D50ADA"/>
    <w:rsid w:val="00D50EA6"/>
    <w:rsid w:val="00D50F4A"/>
    <w:rsid w:val="00D51089"/>
    <w:rsid w:val="00D511EC"/>
    <w:rsid w:val="00D51DA1"/>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25"/>
    <w:rsid w:val="00D57FA7"/>
    <w:rsid w:val="00D60190"/>
    <w:rsid w:val="00D602D3"/>
    <w:rsid w:val="00D605A5"/>
    <w:rsid w:val="00D606A0"/>
    <w:rsid w:val="00D60A2F"/>
    <w:rsid w:val="00D60DAB"/>
    <w:rsid w:val="00D61A8A"/>
    <w:rsid w:val="00D62369"/>
    <w:rsid w:val="00D623AA"/>
    <w:rsid w:val="00D62A24"/>
    <w:rsid w:val="00D62C25"/>
    <w:rsid w:val="00D62FAC"/>
    <w:rsid w:val="00D632C6"/>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1B9D"/>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610"/>
    <w:rsid w:val="00D777FD"/>
    <w:rsid w:val="00D77E7B"/>
    <w:rsid w:val="00D801EB"/>
    <w:rsid w:val="00D8041B"/>
    <w:rsid w:val="00D805B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EDF"/>
    <w:rsid w:val="00D84FDB"/>
    <w:rsid w:val="00D85237"/>
    <w:rsid w:val="00D85475"/>
    <w:rsid w:val="00D85A2F"/>
    <w:rsid w:val="00D861B4"/>
    <w:rsid w:val="00D86605"/>
    <w:rsid w:val="00D874E2"/>
    <w:rsid w:val="00D87949"/>
    <w:rsid w:val="00D87BDC"/>
    <w:rsid w:val="00D9038F"/>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717"/>
    <w:rsid w:val="00DA3CF1"/>
    <w:rsid w:val="00DA46CB"/>
    <w:rsid w:val="00DA4B0E"/>
    <w:rsid w:val="00DA4DB7"/>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6D3"/>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39C"/>
    <w:rsid w:val="00DB444B"/>
    <w:rsid w:val="00DB4628"/>
    <w:rsid w:val="00DB4714"/>
    <w:rsid w:val="00DB4788"/>
    <w:rsid w:val="00DB4D04"/>
    <w:rsid w:val="00DB4E68"/>
    <w:rsid w:val="00DB510A"/>
    <w:rsid w:val="00DB5178"/>
    <w:rsid w:val="00DB5386"/>
    <w:rsid w:val="00DB5416"/>
    <w:rsid w:val="00DB5ABE"/>
    <w:rsid w:val="00DB5C37"/>
    <w:rsid w:val="00DB5D03"/>
    <w:rsid w:val="00DB6292"/>
    <w:rsid w:val="00DB67E7"/>
    <w:rsid w:val="00DB68BB"/>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945"/>
    <w:rsid w:val="00DC7BD4"/>
    <w:rsid w:val="00DC7EBE"/>
    <w:rsid w:val="00DD00DA"/>
    <w:rsid w:val="00DD05AB"/>
    <w:rsid w:val="00DD0985"/>
    <w:rsid w:val="00DD0BDF"/>
    <w:rsid w:val="00DD12EF"/>
    <w:rsid w:val="00DD158F"/>
    <w:rsid w:val="00DD16FB"/>
    <w:rsid w:val="00DD1B9C"/>
    <w:rsid w:val="00DD235A"/>
    <w:rsid w:val="00DD2381"/>
    <w:rsid w:val="00DD2458"/>
    <w:rsid w:val="00DD2B1D"/>
    <w:rsid w:val="00DD2E42"/>
    <w:rsid w:val="00DD3821"/>
    <w:rsid w:val="00DD391B"/>
    <w:rsid w:val="00DD3BE5"/>
    <w:rsid w:val="00DD45D3"/>
    <w:rsid w:val="00DD472A"/>
    <w:rsid w:val="00DD48F3"/>
    <w:rsid w:val="00DD4E0C"/>
    <w:rsid w:val="00DD5A2A"/>
    <w:rsid w:val="00DD6581"/>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2D3"/>
    <w:rsid w:val="00DE635B"/>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9FC"/>
    <w:rsid w:val="00DF2C58"/>
    <w:rsid w:val="00DF2FC2"/>
    <w:rsid w:val="00DF303F"/>
    <w:rsid w:val="00DF3D62"/>
    <w:rsid w:val="00DF40AB"/>
    <w:rsid w:val="00DF4838"/>
    <w:rsid w:val="00DF4D05"/>
    <w:rsid w:val="00DF4F74"/>
    <w:rsid w:val="00DF546E"/>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DAE"/>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1BC8"/>
    <w:rsid w:val="00E3203D"/>
    <w:rsid w:val="00E32AE4"/>
    <w:rsid w:val="00E32D6A"/>
    <w:rsid w:val="00E32E7D"/>
    <w:rsid w:val="00E33396"/>
    <w:rsid w:val="00E335C5"/>
    <w:rsid w:val="00E33BC8"/>
    <w:rsid w:val="00E33D24"/>
    <w:rsid w:val="00E33E8E"/>
    <w:rsid w:val="00E34668"/>
    <w:rsid w:val="00E34706"/>
    <w:rsid w:val="00E34A28"/>
    <w:rsid w:val="00E34EB5"/>
    <w:rsid w:val="00E34ED4"/>
    <w:rsid w:val="00E35580"/>
    <w:rsid w:val="00E35943"/>
    <w:rsid w:val="00E365B9"/>
    <w:rsid w:val="00E36DD5"/>
    <w:rsid w:val="00E36E5B"/>
    <w:rsid w:val="00E3751A"/>
    <w:rsid w:val="00E375D8"/>
    <w:rsid w:val="00E377A6"/>
    <w:rsid w:val="00E4005E"/>
    <w:rsid w:val="00E40A1E"/>
    <w:rsid w:val="00E40C27"/>
    <w:rsid w:val="00E41CF2"/>
    <w:rsid w:val="00E41D23"/>
    <w:rsid w:val="00E4233D"/>
    <w:rsid w:val="00E423D5"/>
    <w:rsid w:val="00E4297F"/>
    <w:rsid w:val="00E43603"/>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CCE"/>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4AAE"/>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A"/>
    <w:rsid w:val="00E7264E"/>
    <w:rsid w:val="00E72651"/>
    <w:rsid w:val="00E72C2B"/>
    <w:rsid w:val="00E732DA"/>
    <w:rsid w:val="00E73957"/>
    <w:rsid w:val="00E73C90"/>
    <w:rsid w:val="00E73D3A"/>
    <w:rsid w:val="00E743A1"/>
    <w:rsid w:val="00E7461C"/>
    <w:rsid w:val="00E74A6A"/>
    <w:rsid w:val="00E74BC5"/>
    <w:rsid w:val="00E74F05"/>
    <w:rsid w:val="00E7518B"/>
    <w:rsid w:val="00E7593F"/>
    <w:rsid w:val="00E76497"/>
    <w:rsid w:val="00E76C33"/>
    <w:rsid w:val="00E774A5"/>
    <w:rsid w:val="00E779EB"/>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2CA"/>
    <w:rsid w:val="00E84650"/>
    <w:rsid w:val="00E8495E"/>
    <w:rsid w:val="00E84AD4"/>
    <w:rsid w:val="00E8534F"/>
    <w:rsid w:val="00E854EA"/>
    <w:rsid w:val="00E8584F"/>
    <w:rsid w:val="00E85EC9"/>
    <w:rsid w:val="00E86BAE"/>
    <w:rsid w:val="00E87091"/>
    <w:rsid w:val="00E876A3"/>
    <w:rsid w:val="00E87BD2"/>
    <w:rsid w:val="00E87DC5"/>
    <w:rsid w:val="00E903A5"/>
    <w:rsid w:val="00E907B3"/>
    <w:rsid w:val="00E909AD"/>
    <w:rsid w:val="00E90A19"/>
    <w:rsid w:val="00E91460"/>
    <w:rsid w:val="00E915F1"/>
    <w:rsid w:val="00E917F3"/>
    <w:rsid w:val="00E91C42"/>
    <w:rsid w:val="00E92341"/>
    <w:rsid w:val="00E92417"/>
    <w:rsid w:val="00E92C3C"/>
    <w:rsid w:val="00E93635"/>
    <w:rsid w:val="00E94B33"/>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58A"/>
    <w:rsid w:val="00EA08E8"/>
    <w:rsid w:val="00EA1514"/>
    <w:rsid w:val="00EA16E1"/>
    <w:rsid w:val="00EA1767"/>
    <w:rsid w:val="00EA1F8E"/>
    <w:rsid w:val="00EA2360"/>
    <w:rsid w:val="00EA272B"/>
    <w:rsid w:val="00EA2D40"/>
    <w:rsid w:val="00EA2F5D"/>
    <w:rsid w:val="00EA301E"/>
    <w:rsid w:val="00EA37DC"/>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03F"/>
    <w:rsid w:val="00EB66EC"/>
    <w:rsid w:val="00EB6FB8"/>
    <w:rsid w:val="00EB75EB"/>
    <w:rsid w:val="00EB7605"/>
    <w:rsid w:val="00EB76CB"/>
    <w:rsid w:val="00EB7B51"/>
    <w:rsid w:val="00EB7DFA"/>
    <w:rsid w:val="00EC00C6"/>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139"/>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E49"/>
    <w:rsid w:val="00EE3F8D"/>
    <w:rsid w:val="00EE4436"/>
    <w:rsid w:val="00EE4547"/>
    <w:rsid w:val="00EE4BBE"/>
    <w:rsid w:val="00EE4DC6"/>
    <w:rsid w:val="00EE521A"/>
    <w:rsid w:val="00EE546C"/>
    <w:rsid w:val="00EE563D"/>
    <w:rsid w:val="00EE5AE2"/>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717"/>
    <w:rsid w:val="00EF1821"/>
    <w:rsid w:val="00EF1D2F"/>
    <w:rsid w:val="00EF20C3"/>
    <w:rsid w:val="00EF231B"/>
    <w:rsid w:val="00EF2449"/>
    <w:rsid w:val="00EF2467"/>
    <w:rsid w:val="00EF256C"/>
    <w:rsid w:val="00EF2A25"/>
    <w:rsid w:val="00EF32C6"/>
    <w:rsid w:val="00EF3390"/>
    <w:rsid w:val="00EF3393"/>
    <w:rsid w:val="00EF3B9F"/>
    <w:rsid w:val="00EF3C6A"/>
    <w:rsid w:val="00EF3CFE"/>
    <w:rsid w:val="00EF3F1A"/>
    <w:rsid w:val="00EF463E"/>
    <w:rsid w:val="00EF4776"/>
    <w:rsid w:val="00EF4F15"/>
    <w:rsid w:val="00EF4FC4"/>
    <w:rsid w:val="00EF5100"/>
    <w:rsid w:val="00EF541D"/>
    <w:rsid w:val="00EF571F"/>
    <w:rsid w:val="00EF579C"/>
    <w:rsid w:val="00EF57BB"/>
    <w:rsid w:val="00EF585C"/>
    <w:rsid w:val="00EF5B95"/>
    <w:rsid w:val="00EF60B7"/>
    <w:rsid w:val="00EF613D"/>
    <w:rsid w:val="00EF6466"/>
    <w:rsid w:val="00EF687F"/>
    <w:rsid w:val="00EF78EB"/>
    <w:rsid w:val="00EF7C48"/>
    <w:rsid w:val="00EF7CC4"/>
    <w:rsid w:val="00EF7DF9"/>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B6F"/>
    <w:rsid w:val="00F05FA3"/>
    <w:rsid w:val="00F06454"/>
    <w:rsid w:val="00F06CB2"/>
    <w:rsid w:val="00F06E4A"/>
    <w:rsid w:val="00F06E72"/>
    <w:rsid w:val="00F076BB"/>
    <w:rsid w:val="00F07C8A"/>
    <w:rsid w:val="00F07D8B"/>
    <w:rsid w:val="00F100BD"/>
    <w:rsid w:val="00F104D0"/>
    <w:rsid w:val="00F10840"/>
    <w:rsid w:val="00F116E1"/>
    <w:rsid w:val="00F118E5"/>
    <w:rsid w:val="00F11D08"/>
    <w:rsid w:val="00F11E4F"/>
    <w:rsid w:val="00F12195"/>
    <w:rsid w:val="00F122B1"/>
    <w:rsid w:val="00F1272B"/>
    <w:rsid w:val="00F12E00"/>
    <w:rsid w:val="00F13033"/>
    <w:rsid w:val="00F13232"/>
    <w:rsid w:val="00F132E7"/>
    <w:rsid w:val="00F138C8"/>
    <w:rsid w:val="00F13A85"/>
    <w:rsid w:val="00F13C6A"/>
    <w:rsid w:val="00F13C93"/>
    <w:rsid w:val="00F14212"/>
    <w:rsid w:val="00F14213"/>
    <w:rsid w:val="00F14A1F"/>
    <w:rsid w:val="00F14D95"/>
    <w:rsid w:val="00F14FDD"/>
    <w:rsid w:val="00F159FB"/>
    <w:rsid w:val="00F15D2C"/>
    <w:rsid w:val="00F16582"/>
    <w:rsid w:val="00F16B9D"/>
    <w:rsid w:val="00F16CE1"/>
    <w:rsid w:val="00F17125"/>
    <w:rsid w:val="00F179EF"/>
    <w:rsid w:val="00F17DB7"/>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72"/>
    <w:rsid w:val="00F232DA"/>
    <w:rsid w:val="00F23303"/>
    <w:rsid w:val="00F23A11"/>
    <w:rsid w:val="00F2468C"/>
    <w:rsid w:val="00F24874"/>
    <w:rsid w:val="00F24980"/>
    <w:rsid w:val="00F24B20"/>
    <w:rsid w:val="00F24EF6"/>
    <w:rsid w:val="00F256D7"/>
    <w:rsid w:val="00F25B9C"/>
    <w:rsid w:val="00F25C36"/>
    <w:rsid w:val="00F26145"/>
    <w:rsid w:val="00F26345"/>
    <w:rsid w:val="00F2634C"/>
    <w:rsid w:val="00F26373"/>
    <w:rsid w:val="00F26A0C"/>
    <w:rsid w:val="00F26A63"/>
    <w:rsid w:val="00F26D6D"/>
    <w:rsid w:val="00F30616"/>
    <w:rsid w:val="00F30809"/>
    <w:rsid w:val="00F30FC5"/>
    <w:rsid w:val="00F31677"/>
    <w:rsid w:val="00F31810"/>
    <w:rsid w:val="00F319F9"/>
    <w:rsid w:val="00F31DC3"/>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5B58"/>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2ED"/>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3D8"/>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779"/>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7EE"/>
    <w:rsid w:val="00FA38A1"/>
    <w:rsid w:val="00FA3AA3"/>
    <w:rsid w:val="00FA3B65"/>
    <w:rsid w:val="00FA3C01"/>
    <w:rsid w:val="00FA3E72"/>
    <w:rsid w:val="00FA3F41"/>
    <w:rsid w:val="00FA44D9"/>
    <w:rsid w:val="00FA48C9"/>
    <w:rsid w:val="00FA4918"/>
    <w:rsid w:val="00FA4A3B"/>
    <w:rsid w:val="00FA4C69"/>
    <w:rsid w:val="00FA62C1"/>
    <w:rsid w:val="00FA6B17"/>
    <w:rsid w:val="00FA7082"/>
    <w:rsid w:val="00FA7749"/>
    <w:rsid w:val="00FA7860"/>
    <w:rsid w:val="00FA7C4C"/>
    <w:rsid w:val="00FB0060"/>
    <w:rsid w:val="00FB012F"/>
    <w:rsid w:val="00FB0A08"/>
    <w:rsid w:val="00FB0AD3"/>
    <w:rsid w:val="00FB0D58"/>
    <w:rsid w:val="00FB16E1"/>
    <w:rsid w:val="00FB185F"/>
    <w:rsid w:val="00FB1CDD"/>
    <w:rsid w:val="00FB21EE"/>
    <w:rsid w:val="00FB2506"/>
    <w:rsid w:val="00FB2BA3"/>
    <w:rsid w:val="00FB306B"/>
    <w:rsid w:val="00FB3784"/>
    <w:rsid w:val="00FB37D3"/>
    <w:rsid w:val="00FB42C1"/>
    <w:rsid w:val="00FB4355"/>
    <w:rsid w:val="00FB461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2FC"/>
    <w:rsid w:val="00FD143C"/>
    <w:rsid w:val="00FD1946"/>
    <w:rsid w:val="00FD1C6C"/>
    <w:rsid w:val="00FD2066"/>
    <w:rsid w:val="00FD2965"/>
    <w:rsid w:val="00FD2A64"/>
    <w:rsid w:val="00FD2CC3"/>
    <w:rsid w:val="00FD3704"/>
    <w:rsid w:val="00FD3D61"/>
    <w:rsid w:val="00FD3E7B"/>
    <w:rsid w:val="00FD436D"/>
    <w:rsid w:val="00FD474F"/>
    <w:rsid w:val="00FD491D"/>
    <w:rsid w:val="00FD49DB"/>
    <w:rsid w:val="00FD4EA5"/>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781"/>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6B44"/>
    <w:rsid w:val="00FE78FD"/>
    <w:rsid w:val="00FE7BA2"/>
    <w:rsid w:val="00FE7D33"/>
    <w:rsid w:val="00FE7F82"/>
    <w:rsid w:val="00FF025B"/>
    <w:rsid w:val="00FF0586"/>
    <w:rsid w:val="00FF080D"/>
    <w:rsid w:val="00FF09BD"/>
    <w:rsid w:val="00FF108F"/>
    <w:rsid w:val="00FF162B"/>
    <w:rsid w:val="00FF1744"/>
    <w:rsid w:val="00FF2265"/>
    <w:rsid w:val="00FF31A9"/>
    <w:rsid w:val="00FF3496"/>
    <w:rsid w:val="00FF3AB1"/>
    <w:rsid w:val="00FF3C7E"/>
    <w:rsid w:val="00FF3CA1"/>
    <w:rsid w:val="00FF4177"/>
    <w:rsid w:val="00FF4493"/>
    <w:rsid w:val="00FF4518"/>
    <w:rsid w:val="00FF4675"/>
    <w:rsid w:val="00FF48C8"/>
    <w:rsid w:val="00FF5308"/>
    <w:rsid w:val="00FF5523"/>
    <w:rsid w:val="00FF61A1"/>
    <w:rsid w:val="00FF6310"/>
    <w:rsid w:val="00FF6A0A"/>
    <w:rsid w:val="00FF7932"/>
    <w:rsid w:val="013651E1"/>
    <w:rsid w:val="019FB02C"/>
    <w:rsid w:val="0250107E"/>
    <w:rsid w:val="02B85519"/>
    <w:rsid w:val="02FDF852"/>
    <w:rsid w:val="0323897F"/>
    <w:rsid w:val="0366926F"/>
    <w:rsid w:val="03810EE1"/>
    <w:rsid w:val="048461DC"/>
    <w:rsid w:val="04E86B00"/>
    <w:rsid w:val="05534359"/>
    <w:rsid w:val="058D6DF6"/>
    <w:rsid w:val="05D2812A"/>
    <w:rsid w:val="064D2237"/>
    <w:rsid w:val="07169C1C"/>
    <w:rsid w:val="087F5E4B"/>
    <w:rsid w:val="08A29253"/>
    <w:rsid w:val="0915C78D"/>
    <w:rsid w:val="098C58C6"/>
    <w:rsid w:val="09B22FF1"/>
    <w:rsid w:val="09C95A74"/>
    <w:rsid w:val="0AE32076"/>
    <w:rsid w:val="0B1F640A"/>
    <w:rsid w:val="0B486E6E"/>
    <w:rsid w:val="0C57888F"/>
    <w:rsid w:val="0CAFEAB6"/>
    <w:rsid w:val="0CB2899A"/>
    <w:rsid w:val="0D5FAD4A"/>
    <w:rsid w:val="0DC948B8"/>
    <w:rsid w:val="0DD263F6"/>
    <w:rsid w:val="0E17CDC4"/>
    <w:rsid w:val="0E476AF6"/>
    <w:rsid w:val="0E657E21"/>
    <w:rsid w:val="0E7E8229"/>
    <w:rsid w:val="0F02060C"/>
    <w:rsid w:val="0F4A6775"/>
    <w:rsid w:val="0F87D199"/>
    <w:rsid w:val="0F9CF7D0"/>
    <w:rsid w:val="0FE7B2A6"/>
    <w:rsid w:val="1050B3B2"/>
    <w:rsid w:val="1091C569"/>
    <w:rsid w:val="109B0ADE"/>
    <w:rsid w:val="10A7AB04"/>
    <w:rsid w:val="1118AFC6"/>
    <w:rsid w:val="1160288E"/>
    <w:rsid w:val="119864B7"/>
    <w:rsid w:val="122333C3"/>
    <w:rsid w:val="12CE71BD"/>
    <w:rsid w:val="130C15C0"/>
    <w:rsid w:val="139E02D0"/>
    <w:rsid w:val="147D5614"/>
    <w:rsid w:val="14A8BE38"/>
    <w:rsid w:val="158662FC"/>
    <w:rsid w:val="15FBFB2F"/>
    <w:rsid w:val="1620B72A"/>
    <w:rsid w:val="1625AF58"/>
    <w:rsid w:val="162F8A68"/>
    <w:rsid w:val="1817349D"/>
    <w:rsid w:val="181A2AF9"/>
    <w:rsid w:val="187E352D"/>
    <w:rsid w:val="18C2B3F6"/>
    <w:rsid w:val="191B46C3"/>
    <w:rsid w:val="1955ECFD"/>
    <w:rsid w:val="19AB55EA"/>
    <w:rsid w:val="19D20E56"/>
    <w:rsid w:val="1AE88C96"/>
    <w:rsid w:val="1BBFD5CB"/>
    <w:rsid w:val="1BFB9A8E"/>
    <w:rsid w:val="1C1117DB"/>
    <w:rsid w:val="1CE88BBB"/>
    <w:rsid w:val="1D91B78A"/>
    <w:rsid w:val="1E7450D1"/>
    <w:rsid w:val="1EA89F21"/>
    <w:rsid w:val="1EE48AD8"/>
    <w:rsid w:val="1F1DF86B"/>
    <w:rsid w:val="1F529DA8"/>
    <w:rsid w:val="1FE8D2B9"/>
    <w:rsid w:val="1FF022A8"/>
    <w:rsid w:val="20524102"/>
    <w:rsid w:val="20C6BD6A"/>
    <w:rsid w:val="216AF0D2"/>
    <w:rsid w:val="21A8BF91"/>
    <w:rsid w:val="21C19E4E"/>
    <w:rsid w:val="21DFD138"/>
    <w:rsid w:val="22118771"/>
    <w:rsid w:val="2226FBE3"/>
    <w:rsid w:val="222A70AA"/>
    <w:rsid w:val="2261FEFD"/>
    <w:rsid w:val="22AE0F0B"/>
    <w:rsid w:val="244208BA"/>
    <w:rsid w:val="24538321"/>
    <w:rsid w:val="25072277"/>
    <w:rsid w:val="257199BD"/>
    <w:rsid w:val="266B2E84"/>
    <w:rsid w:val="27107039"/>
    <w:rsid w:val="272EFE9D"/>
    <w:rsid w:val="27B48790"/>
    <w:rsid w:val="27FCA356"/>
    <w:rsid w:val="282C9BB9"/>
    <w:rsid w:val="2892BFDA"/>
    <w:rsid w:val="29CEC983"/>
    <w:rsid w:val="2A606C89"/>
    <w:rsid w:val="2AC66185"/>
    <w:rsid w:val="2AF02E04"/>
    <w:rsid w:val="2AF97944"/>
    <w:rsid w:val="2B05F584"/>
    <w:rsid w:val="2BE47533"/>
    <w:rsid w:val="2C0799B3"/>
    <w:rsid w:val="2CDF2ACD"/>
    <w:rsid w:val="2DBC4FF0"/>
    <w:rsid w:val="2EBF987D"/>
    <w:rsid w:val="2F388ADE"/>
    <w:rsid w:val="2FC3486C"/>
    <w:rsid w:val="2FF88908"/>
    <w:rsid w:val="30CD2A0F"/>
    <w:rsid w:val="30F36F61"/>
    <w:rsid w:val="32A976F2"/>
    <w:rsid w:val="32CA8615"/>
    <w:rsid w:val="32D6AA61"/>
    <w:rsid w:val="32D79063"/>
    <w:rsid w:val="338FA76C"/>
    <w:rsid w:val="34B46F6A"/>
    <w:rsid w:val="3535EB3E"/>
    <w:rsid w:val="35366176"/>
    <w:rsid w:val="35C9CB9E"/>
    <w:rsid w:val="35D4B05E"/>
    <w:rsid w:val="364F626D"/>
    <w:rsid w:val="3658C739"/>
    <w:rsid w:val="3674125F"/>
    <w:rsid w:val="36802C1E"/>
    <w:rsid w:val="36BBFED2"/>
    <w:rsid w:val="36C78FE3"/>
    <w:rsid w:val="36DCDD04"/>
    <w:rsid w:val="373B498E"/>
    <w:rsid w:val="373BD41B"/>
    <w:rsid w:val="376791AD"/>
    <w:rsid w:val="3776BE6D"/>
    <w:rsid w:val="3850756C"/>
    <w:rsid w:val="39653416"/>
    <w:rsid w:val="3A6DB129"/>
    <w:rsid w:val="3AAF9B17"/>
    <w:rsid w:val="3C217BF7"/>
    <w:rsid w:val="3C505005"/>
    <w:rsid w:val="3CE43B2F"/>
    <w:rsid w:val="3CE9EB7F"/>
    <w:rsid w:val="3D6F2ABF"/>
    <w:rsid w:val="3D918386"/>
    <w:rsid w:val="3DBA5838"/>
    <w:rsid w:val="3DC2D390"/>
    <w:rsid w:val="3DE50633"/>
    <w:rsid w:val="3E007532"/>
    <w:rsid w:val="3E583861"/>
    <w:rsid w:val="3E63BE71"/>
    <w:rsid w:val="3EA15CC7"/>
    <w:rsid w:val="3ED96373"/>
    <w:rsid w:val="3F5C2B00"/>
    <w:rsid w:val="401B0EB4"/>
    <w:rsid w:val="40A57E18"/>
    <w:rsid w:val="417DA6AC"/>
    <w:rsid w:val="41F6A46A"/>
    <w:rsid w:val="42066004"/>
    <w:rsid w:val="427997B8"/>
    <w:rsid w:val="43250099"/>
    <w:rsid w:val="4330527F"/>
    <w:rsid w:val="437943A9"/>
    <w:rsid w:val="43A60793"/>
    <w:rsid w:val="43C291BE"/>
    <w:rsid w:val="43CCD156"/>
    <w:rsid w:val="43E588BF"/>
    <w:rsid w:val="44718DD3"/>
    <w:rsid w:val="45E51109"/>
    <w:rsid w:val="45E5B9A0"/>
    <w:rsid w:val="463FE775"/>
    <w:rsid w:val="46401562"/>
    <w:rsid w:val="48E63777"/>
    <w:rsid w:val="490C4D78"/>
    <w:rsid w:val="493F09D6"/>
    <w:rsid w:val="4959E220"/>
    <w:rsid w:val="4965F2D2"/>
    <w:rsid w:val="49D8E3FC"/>
    <w:rsid w:val="49DA70CB"/>
    <w:rsid w:val="4B47461B"/>
    <w:rsid w:val="4BDD6A6B"/>
    <w:rsid w:val="4BFC9773"/>
    <w:rsid w:val="4DC877EA"/>
    <w:rsid w:val="4DD0E3D9"/>
    <w:rsid w:val="4DEA1F79"/>
    <w:rsid w:val="4DF287B3"/>
    <w:rsid w:val="4E966370"/>
    <w:rsid w:val="4E98320E"/>
    <w:rsid w:val="4EBEE2FA"/>
    <w:rsid w:val="4EF8B2EF"/>
    <w:rsid w:val="4F089E6C"/>
    <w:rsid w:val="51B93181"/>
    <w:rsid w:val="51CC2C9B"/>
    <w:rsid w:val="53C75322"/>
    <w:rsid w:val="54140FFF"/>
    <w:rsid w:val="551A0D6B"/>
    <w:rsid w:val="56EAC3BB"/>
    <w:rsid w:val="571E53D8"/>
    <w:rsid w:val="578C6CC3"/>
    <w:rsid w:val="57AE085B"/>
    <w:rsid w:val="58D20B5E"/>
    <w:rsid w:val="594769BF"/>
    <w:rsid w:val="59753306"/>
    <w:rsid w:val="598D4783"/>
    <w:rsid w:val="5AA098EE"/>
    <w:rsid w:val="5AA35A26"/>
    <w:rsid w:val="5AB70A4F"/>
    <w:rsid w:val="5AD6849F"/>
    <w:rsid w:val="5B351482"/>
    <w:rsid w:val="5C514277"/>
    <w:rsid w:val="5CCE096E"/>
    <w:rsid w:val="5CD71F37"/>
    <w:rsid w:val="5CEEA68C"/>
    <w:rsid w:val="5D13BEF0"/>
    <w:rsid w:val="5D59BDD2"/>
    <w:rsid w:val="5D8D3389"/>
    <w:rsid w:val="5DF06B2E"/>
    <w:rsid w:val="5E14D469"/>
    <w:rsid w:val="5E3F098F"/>
    <w:rsid w:val="5F3798BE"/>
    <w:rsid w:val="5F88C921"/>
    <w:rsid w:val="5F99E05B"/>
    <w:rsid w:val="6042F479"/>
    <w:rsid w:val="60DDCB7D"/>
    <w:rsid w:val="61D7762A"/>
    <w:rsid w:val="62205127"/>
    <w:rsid w:val="62B9E24F"/>
    <w:rsid w:val="62C19ED7"/>
    <w:rsid w:val="62FD0FA0"/>
    <w:rsid w:val="6334FBA6"/>
    <w:rsid w:val="636EB424"/>
    <w:rsid w:val="63F65818"/>
    <w:rsid w:val="654F79F7"/>
    <w:rsid w:val="666D33DC"/>
    <w:rsid w:val="66D4A8F0"/>
    <w:rsid w:val="66E87FBB"/>
    <w:rsid w:val="67AEFBA1"/>
    <w:rsid w:val="6888752F"/>
    <w:rsid w:val="68F4AACB"/>
    <w:rsid w:val="69330258"/>
    <w:rsid w:val="69C0AA21"/>
    <w:rsid w:val="69F9FCAD"/>
    <w:rsid w:val="6A049197"/>
    <w:rsid w:val="6A0DA1A8"/>
    <w:rsid w:val="6A5EB256"/>
    <w:rsid w:val="6ACE2AA0"/>
    <w:rsid w:val="6B1E36D4"/>
    <w:rsid w:val="6B743E9C"/>
    <w:rsid w:val="6BBB13B7"/>
    <w:rsid w:val="6C212B9D"/>
    <w:rsid w:val="6CD34B32"/>
    <w:rsid w:val="6DE07005"/>
    <w:rsid w:val="6EF296D6"/>
    <w:rsid w:val="6F063B1C"/>
    <w:rsid w:val="6F1AC043"/>
    <w:rsid w:val="70705A94"/>
    <w:rsid w:val="714CE73D"/>
    <w:rsid w:val="715B725E"/>
    <w:rsid w:val="73A80334"/>
    <w:rsid w:val="74095FED"/>
    <w:rsid w:val="7409C7BB"/>
    <w:rsid w:val="749C35CD"/>
    <w:rsid w:val="74B160B0"/>
    <w:rsid w:val="74CDDB3E"/>
    <w:rsid w:val="752D2D9F"/>
    <w:rsid w:val="756557B3"/>
    <w:rsid w:val="757F6219"/>
    <w:rsid w:val="75F3A55E"/>
    <w:rsid w:val="766E7F8E"/>
    <w:rsid w:val="76E04669"/>
    <w:rsid w:val="76EBDF9E"/>
    <w:rsid w:val="7717902E"/>
    <w:rsid w:val="77522F04"/>
    <w:rsid w:val="788251F5"/>
    <w:rsid w:val="78BBA06C"/>
    <w:rsid w:val="78E7AE6F"/>
    <w:rsid w:val="792581DD"/>
    <w:rsid w:val="794AAA9A"/>
    <w:rsid w:val="799628EB"/>
    <w:rsid w:val="7A9C3830"/>
    <w:rsid w:val="7ADF85A1"/>
    <w:rsid w:val="7BCBE263"/>
    <w:rsid w:val="7BE9DDFB"/>
    <w:rsid w:val="7BEE9560"/>
    <w:rsid w:val="7C46BE04"/>
    <w:rsid w:val="7CDF438D"/>
    <w:rsid w:val="7D4E8594"/>
    <w:rsid w:val="7D5EF802"/>
    <w:rsid w:val="7DDD7B8A"/>
    <w:rsid w:val="7E12C573"/>
    <w:rsid w:val="7E6BFB11"/>
    <w:rsid w:val="7F057B38"/>
    <w:rsid w:val="7F487A14"/>
    <w:rsid w:val="7FC3C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C6F39"/>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uiPriority w:val="99"/>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8C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temas/expectativa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s://www.inegi.org.mx/app/biblioteca/ficha.html?upc=702825099060"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programas/emo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www.inegi.org.mx/programas/emoe/2013/" TargetMode="Externa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7.gif"/><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MAN'!$C$173:$C$244</c:f>
              <c:numCache>
                <c:formatCode>0.0_)</c:formatCode>
                <c:ptCount val="61"/>
                <c:pt idx="0">
                  <c:v>52.776764033529503</c:v>
                </c:pt>
                <c:pt idx="1">
                  <c:v>52.520365333721003</c:v>
                </c:pt>
                <c:pt idx="2">
                  <c:v>55.197441758158803</c:v>
                </c:pt>
                <c:pt idx="3">
                  <c:v>52.045601612435</c:v>
                </c:pt>
                <c:pt idx="4">
                  <c:v>52.044238573021701</c:v>
                </c:pt>
                <c:pt idx="5">
                  <c:v>52.074918839422402</c:v>
                </c:pt>
                <c:pt idx="6">
                  <c:v>51.679667972797802</c:v>
                </c:pt>
                <c:pt idx="7">
                  <c:v>52.446365904922096</c:v>
                </c:pt>
                <c:pt idx="8">
                  <c:v>51.876709484470901</c:v>
                </c:pt>
                <c:pt idx="9">
                  <c:v>52.009703376301999</c:v>
                </c:pt>
                <c:pt idx="10">
                  <c:v>51.703086592516698</c:v>
                </c:pt>
                <c:pt idx="11">
                  <c:v>51.4118767678792</c:v>
                </c:pt>
                <c:pt idx="12">
                  <c:v>52.645424123625098</c:v>
                </c:pt>
                <c:pt idx="13">
                  <c:v>51.896365917901001</c:v>
                </c:pt>
                <c:pt idx="14">
                  <c:v>52.158177804810997</c:v>
                </c:pt>
                <c:pt idx="15">
                  <c:v>52.048100936210901</c:v>
                </c:pt>
                <c:pt idx="16">
                  <c:v>51.802156540183603</c:v>
                </c:pt>
                <c:pt idx="17">
                  <c:v>52.006172026151802</c:v>
                </c:pt>
                <c:pt idx="18">
                  <c:v>51.118567021802598</c:v>
                </c:pt>
                <c:pt idx="19">
                  <c:v>51.607289184319697</c:v>
                </c:pt>
                <c:pt idx="20">
                  <c:v>50.947954075349898</c:v>
                </c:pt>
                <c:pt idx="21">
                  <c:v>48.772641774691799</c:v>
                </c:pt>
                <c:pt idx="22">
                  <c:v>50.948413017498197</c:v>
                </c:pt>
                <c:pt idx="23">
                  <c:v>50.786912018933499</c:v>
                </c:pt>
                <c:pt idx="24">
                  <c:v>49.966296225578198</c:v>
                </c:pt>
                <c:pt idx="25">
                  <c:v>50.1840257151825</c:v>
                </c:pt>
                <c:pt idx="26">
                  <c:v>46.115077840487203</c:v>
                </c:pt>
                <c:pt idx="27">
                  <c:v>39.515660546090601</c:v>
                </c:pt>
                <c:pt idx="28">
                  <c:v>43.943493592698097</c:v>
                </c:pt>
                <c:pt idx="29">
                  <c:v>49.4055360922791</c:v>
                </c:pt>
                <c:pt idx="30">
                  <c:v>49.829983609637601</c:v>
                </c:pt>
                <c:pt idx="31">
                  <c:v>49.581782961136099</c:v>
                </c:pt>
                <c:pt idx="32">
                  <c:v>51.204034156865198</c:v>
                </c:pt>
                <c:pt idx="33">
                  <c:v>50.697528584225601</c:v>
                </c:pt>
                <c:pt idx="34">
                  <c:v>50.160423251497697</c:v>
                </c:pt>
                <c:pt idx="35">
                  <c:v>50.7430750711884</c:v>
                </c:pt>
                <c:pt idx="36">
                  <c:v>50.1004870703092</c:v>
                </c:pt>
                <c:pt idx="37">
                  <c:v>49.635062204537803</c:v>
                </c:pt>
                <c:pt idx="38">
                  <c:v>51.679473722733299</c:v>
                </c:pt>
                <c:pt idx="39">
                  <c:v>48.498273000283604</c:v>
                </c:pt>
                <c:pt idx="40">
                  <c:v>50.375578770076999</c:v>
                </c:pt>
                <c:pt idx="41">
                  <c:v>51.064478183856103</c:v>
                </c:pt>
                <c:pt idx="42">
                  <c:v>51.186747375297898</c:v>
                </c:pt>
                <c:pt idx="43">
                  <c:v>50.302204319201699</c:v>
                </c:pt>
                <c:pt idx="44">
                  <c:v>51.037507775772497</c:v>
                </c:pt>
                <c:pt idx="45">
                  <c:v>51.440566859476398</c:v>
                </c:pt>
                <c:pt idx="46">
                  <c:v>51.424461144307003</c:v>
                </c:pt>
                <c:pt idx="47">
                  <c:v>50.538437026144301</c:v>
                </c:pt>
                <c:pt idx="48">
                  <c:v>50.764683002615001</c:v>
                </c:pt>
                <c:pt idx="49">
                  <c:v>53.640049594759603</c:v>
                </c:pt>
                <c:pt idx="50">
                  <c:v>51.730697651961101</c:v>
                </c:pt>
                <c:pt idx="51">
                  <c:v>51.944585654339903</c:v>
                </c:pt>
                <c:pt idx="52">
                  <c:v>51.416751252888297</c:v>
                </c:pt>
                <c:pt idx="53">
                  <c:v>50.4169245490585</c:v>
                </c:pt>
                <c:pt idx="54">
                  <c:v>50.5584083293638</c:v>
                </c:pt>
                <c:pt idx="55">
                  <c:v>51.505579323133702</c:v>
                </c:pt>
                <c:pt idx="56">
                  <c:v>49.901535479219497</c:v>
                </c:pt>
                <c:pt idx="57">
                  <c:v>50.234761770800603</c:v>
                </c:pt>
                <c:pt idx="58">
                  <c:v>51.0045954807699</c:v>
                </c:pt>
                <c:pt idx="59">
                  <c:v>51.729043986650801</c:v>
                </c:pt>
                <c:pt idx="60">
                  <c:v>51.988776602860703</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MAN'!$D$173:$D$244</c:f>
              <c:numCache>
                <c:formatCode>0.0_)</c:formatCode>
                <c:ptCount val="61"/>
                <c:pt idx="0">
                  <c:v>52.453266595267799</c:v>
                </c:pt>
                <c:pt idx="1">
                  <c:v>52.414293963662303</c:v>
                </c:pt>
                <c:pt idx="2">
                  <c:v>52.334581961096298</c:v>
                </c:pt>
                <c:pt idx="3">
                  <c:v>52.223640138091199</c:v>
                </c:pt>
                <c:pt idx="4">
                  <c:v>52.118504548266301</c:v>
                </c:pt>
                <c:pt idx="5">
                  <c:v>52.047634833981498</c:v>
                </c:pt>
                <c:pt idx="6">
                  <c:v>52.001174554729801</c:v>
                </c:pt>
                <c:pt idx="7">
                  <c:v>51.968305613554399</c:v>
                </c:pt>
                <c:pt idx="8">
                  <c:v>51.932675996375799</c:v>
                </c:pt>
                <c:pt idx="9">
                  <c:v>51.905213004198501</c:v>
                </c:pt>
                <c:pt idx="10">
                  <c:v>51.903677523126603</c:v>
                </c:pt>
                <c:pt idx="11">
                  <c:v>51.934828222444303</c:v>
                </c:pt>
                <c:pt idx="12">
                  <c:v>52.000656331116197</c:v>
                </c:pt>
                <c:pt idx="13">
                  <c:v>52.062342181352697</c:v>
                </c:pt>
                <c:pt idx="14">
                  <c:v>52.087324435868602</c:v>
                </c:pt>
                <c:pt idx="15">
                  <c:v>52.034305227156402</c:v>
                </c:pt>
                <c:pt idx="16">
                  <c:v>51.901634485671799</c:v>
                </c:pt>
                <c:pt idx="17">
                  <c:v>51.707001899936003</c:v>
                </c:pt>
                <c:pt idx="18">
                  <c:v>51.507934560614402</c:v>
                </c:pt>
                <c:pt idx="19">
                  <c:v>51.319471904689202</c:v>
                </c:pt>
                <c:pt idx="20">
                  <c:v>51.133986138669698</c:v>
                </c:pt>
                <c:pt idx="21">
                  <c:v>50.961412911290502</c:v>
                </c:pt>
                <c:pt idx="22">
                  <c:v>50.759721017238803</c:v>
                </c:pt>
                <c:pt idx="23">
                  <c:v>50.5050019433248</c:v>
                </c:pt>
                <c:pt idx="24">
                  <c:v>50.194070149512498</c:v>
                </c:pt>
                <c:pt idx="25">
                  <c:v>49.869075697304503</c:v>
                </c:pt>
                <c:pt idx="26">
                  <c:v>49.575109480513397</c:v>
                </c:pt>
                <c:pt idx="27">
                  <c:v>49.374000629770798</c:v>
                </c:pt>
                <c:pt idx="28">
                  <c:v>49.352422483748299</c:v>
                </c:pt>
                <c:pt idx="29">
                  <c:v>49.504831527001002</c:v>
                </c:pt>
                <c:pt idx="30">
                  <c:v>49.778947221638802</c:v>
                </c:pt>
                <c:pt idx="31">
                  <c:v>50.101582292980801</c:v>
                </c:pt>
                <c:pt idx="32">
                  <c:v>50.374346360656197</c:v>
                </c:pt>
                <c:pt idx="33">
                  <c:v>50.503942335272299</c:v>
                </c:pt>
                <c:pt idx="34">
                  <c:v>50.482089984985997</c:v>
                </c:pt>
                <c:pt idx="35">
                  <c:v>50.338894511479403</c:v>
                </c:pt>
                <c:pt idx="36">
                  <c:v>50.154464112926</c:v>
                </c:pt>
                <c:pt idx="37">
                  <c:v>50.0578098115516</c:v>
                </c:pt>
                <c:pt idx="38">
                  <c:v>50.100187802074302</c:v>
                </c:pt>
                <c:pt idx="39">
                  <c:v>50.259064335110097</c:v>
                </c:pt>
                <c:pt idx="40">
                  <c:v>50.456603375160299</c:v>
                </c:pt>
                <c:pt idx="41">
                  <c:v>50.6763108022285</c:v>
                </c:pt>
                <c:pt idx="42">
                  <c:v>50.876846228985301</c:v>
                </c:pt>
                <c:pt idx="43">
                  <c:v>50.990785902695201</c:v>
                </c:pt>
                <c:pt idx="44">
                  <c:v>51.026369857368998</c:v>
                </c:pt>
                <c:pt idx="45">
                  <c:v>51.024085129650203</c:v>
                </c:pt>
                <c:pt idx="46">
                  <c:v>51.039655073116499</c:v>
                </c:pt>
                <c:pt idx="47">
                  <c:v>51.129839171980798</c:v>
                </c:pt>
                <c:pt idx="48">
                  <c:v>51.278794604043199</c:v>
                </c:pt>
                <c:pt idx="49">
                  <c:v>51.4049387464067</c:v>
                </c:pt>
                <c:pt idx="50">
                  <c:v>51.475752528224497</c:v>
                </c:pt>
                <c:pt idx="51">
                  <c:v>51.457802277093499</c:v>
                </c:pt>
                <c:pt idx="52">
                  <c:v>51.287063368817002</c:v>
                </c:pt>
                <c:pt idx="53">
                  <c:v>50.973473987294298</c:v>
                </c:pt>
                <c:pt idx="54">
                  <c:v>50.632154286393302</c:v>
                </c:pt>
                <c:pt idx="55">
                  <c:v>50.419998994586003</c:v>
                </c:pt>
                <c:pt idx="56">
                  <c:v>50.425983575839098</c:v>
                </c:pt>
                <c:pt idx="57">
                  <c:v>50.661861590884598</c:v>
                </c:pt>
                <c:pt idx="58">
                  <c:v>51.04428348767</c:v>
                </c:pt>
                <c:pt idx="59">
                  <c:v>51.440062803379</c:v>
                </c:pt>
                <c:pt idx="60">
                  <c:v>51.750261557006297</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781009288"/>
        <c:axId val="781012424"/>
      </c:lineChart>
      <c:catAx>
        <c:axId val="781009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81012424"/>
        <c:crossesAt val="50"/>
        <c:auto val="1"/>
        <c:lblAlgn val="ctr"/>
        <c:lblOffset val="50"/>
        <c:tickLblSkip val="1"/>
        <c:tickMarkSkip val="12"/>
        <c:noMultiLvlLbl val="1"/>
      </c:catAx>
      <c:valAx>
        <c:axId val="78101242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81009288"/>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CONS'!$I$89:$I$160</c:f>
              <c:numCache>
                <c:formatCode>0.0_)</c:formatCode>
                <c:ptCount val="61"/>
                <c:pt idx="0">
                  <c:v>52.6440512733815</c:v>
                </c:pt>
                <c:pt idx="1">
                  <c:v>51.598000363212797</c:v>
                </c:pt>
                <c:pt idx="2">
                  <c:v>51.438234877017301</c:v>
                </c:pt>
                <c:pt idx="3">
                  <c:v>51.617989846479297</c:v>
                </c:pt>
                <c:pt idx="4">
                  <c:v>53.170971976025299</c:v>
                </c:pt>
                <c:pt idx="5">
                  <c:v>50.9345122615075</c:v>
                </c:pt>
                <c:pt idx="6">
                  <c:v>52.890645417120403</c:v>
                </c:pt>
                <c:pt idx="7">
                  <c:v>53.099376567777703</c:v>
                </c:pt>
                <c:pt idx="8">
                  <c:v>52.008454384719997</c:v>
                </c:pt>
                <c:pt idx="9">
                  <c:v>53.029439102876701</c:v>
                </c:pt>
                <c:pt idx="10">
                  <c:v>51.939507710724698</c:v>
                </c:pt>
                <c:pt idx="11">
                  <c:v>51.908744141323702</c:v>
                </c:pt>
                <c:pt idx="12">
                  <c:v>52.388000406375802</c:v>
                </c:pt>
                <c:pt idx="13">
                  <c:v>52.745804576357799</c:v>
                </c:pt>
                <c:pt idx="14">
                  <c:v>52.065621958424003</c:v>
                </c:pt>
                <c:pt idx="15">
                  <c:v>51.706025984569301</c:v>
                </c:pt>
                <c:pt idx="16">
                  <c:v>51.295346787898403</c:v>
                </c:pt>
                <c:pt idx="17">
                  <c:v>51.072106697130202</c:v>
                </c:pt>
                <c:pt idx="18">
                  <c:v>49.773316914946598</c:v>
                </c:pt>
                <c:pt idx="19">
                  <c:v>50.628137070410098</c:v>
                </c:pt>
                <c:pt idx="20">
                  <c:v>50.9349809939878</c:v>
                </c:pt>
                <c:pt idx="21">
                  <c:v>50.326145414548698</c:v>
                </c:pt>
                <c:pt idx="22">
                  <c:v>50.367416076781403</c:v>
                </c:pt>
                <c:pt idx="23">
                  <c:v>48.5715907504404</c:v>
                </c:pt>
                <c:pt idx="24">
                  <c:v>49.5914532693591</c:v>
                </c:pt>
                <c:pt idx="25">
                  <c:v>50.142291106597099</c:v>
                </c:pt>
                <c:pt idx="26">
                  <c:v>49.284792938075803</c:v>
                </c:pt>
                <c:pt idx="27">
                  <c:v>46.527511567843597</c:v>
                </c:pt>
                <c:pt idx="28">
                  <c:v>45.319990740710601</c:v>
                </c:pt>
                <c:pt idx="29">
                  <c:v>49.036927444851202</c:v>
                </c:pt>
                <c:pt idx="30">
                  <c:v>49.193151844415198</c:v>
                </c:pt>
                <c:pt idx="31">
                  <c:v>50.2924637986589</c:v>
                </c:pt>
                <c:pt idx="32">
                  <c:v>50.602725483761702</c:v>
                </c:pt>
                <c:pt idx="33">
                  <c:v>50.777512962844803</c:v>
                </c:pt>
                <c:pt idx="34">
                  <c:v>51.2290816158648</c:v>
                </c:pt>
                <c:pt idx="35">
                  <c:v>52.071518041294098</c:v>
                </c:pt>
                <c:pt idx="36">
                  <c:v>52.280103579297602</c:v>
                </c:pt>
                <c:pt idx="37">
                  <c:v>52.334490761457801</c:v>
                </c:pt>
                <c:pt idx="38">
                  <c:v>53.082649695724797</c:v>
                </c:pt>
                <c:pt idx="39">
                  <c:v>53.217300338915301</c:v>
                </c:pt>
                <c:pt idx="40">
                  <c:v>53.077295862016001</c:v>
                </c:pt>
                <c:pt idx="41">
                  <c:v>53.611994654132303</c:v>
                </c:pt>
                <c:pt idx="42">
                  <c:v>53.745029835652602</c:v>
                </c:pt>
                <c:pt idx="43">
                  <c:v>53.506069880914502</c:v>
                </c:pt>
                <c:pt idx="44">
                  <c:v>53.649680489109599</c:v>
                </c:pt>
                <c:pt idx="45">
                  <c:v>52.359134964012704</c:v>
                </c:pt>
                <c:pt idx="46">
                  <c:v>52.965526633750201</c:v>
                </c:pt>
                <c:pt idx="47">
                  <c:v>53.974269416642102</c:v>
                </c:pt>
                <c:pt idx="48">
                  <c:v>54.094472757336803</c:v>
                </c:pt>
                <c:pt idx="49">
                  <c:v>54.1264010172452</c:v>
                </c:pt>
                <c:pt idx="50">
                  <c:v>54.450848634946603</c:v>
                </c:pt>
                <c:pt idx="51">
                  <c:v>54.509745976498102</c:v>
                </c:pt>
                <c:pt idx="52">
                  <c:v>54.370020744012102</c:v>
                </c:pt>
                <c:pt idx="53">
                  <c:v>54.783988339884402</c:v>
                </c:pt>
                <c:pt idx="54">
                  <c:v>54.665035445700703</c:v>
                </c:pt>
                <c:pt idx="55">
                  <c:v>54.150577385575403</c:v>
                </c:pt>
                <c:pt idx="56">
                  <c:v>54.255425432665</c:v>
                </c:pt>
                <c:pt idx="57">
                  <c:v>54.916086220746003</c:v>
                </c:pt>
                <c:pt idx="58">
                  <c:v>55.132691823994101</c:v>
                </c:pt>
                <c:pt idx="59">
                  <c:v>54.306537785184702</c:v>
                </c:pt>
                <c:pt idx="60">
                  <c:v>54.4881452017435</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CONS'!$J$89:$J$160</c:f>
              <c:numCache>
                <c:formatCode>0.0_)</c:formatCode>
                <c:ptCount val="61"/>
                <c:pt idx="0">
                  <c:v>52.280089707906598</c:v>
                </c:pt>
                <c:pt idx="1">
                  <c:v>51.959678241640702</c:v>
                </c:pt>
                <c:pt idx="2">
                  <c:v>51.804220588086203</c:v>
                </c:pt>
                <c:pt idx="3">
                  <c:v>51.839109258592401</c:v>
                </c:pt>
                <c:pt idx="4">
                  <c:v>52.055171117437098</c:v>
                </c:pt>
                <c:pt idx="5">
                  <c:v>52.352893129697001</c:v>
                </c:pt>
                <c:pt idx="6">
                  <c:v>52.5870777510602</c:v>
                </c:pt>
                <c:pt idx="7">
                  <c:v>52.6665500310515</c:v>
                </c:pt>
                <c:pt idx="8">
                  <c:v>52.598693315404702</c:v>
                </c:pt>
                <c:pt idx="9">
                  <c:v>52.475308459496802</c:v>
                </c:pt>
                <c:pt idx="10">
                  <c:v>52.372852087047796</c:v>
                </c:pt>
                <c:pt idx="11">
                  <c:v>52.316538843523901</c:v>
                </c:pt>
                <c:pt idx="12">
                  <c:v>52.277672531756998</c:v>
                </c:pt>
                <c:pt idx="13">
                  <c:v>52.201202224603797</c:v>
                </c:pt>
                <c:pt idx="14">
                  <c:v>52.023458460041702</c:v>
                </c:pt>
                <c:pt idx="15">
                  <c:v>51.752948736532197</c:v>
                </c:pt>
                <c:pt idx="16">
                  <c:v>51.442335846194702</c:v>
                </c:pt>
                <c:pt idx="17">
                  <c:v>51.136902765731797</c:v>
                </c:pt>
                <c:pt idx="18">
                  <c:v>50.908800818433797</c:v>
                </c:pt>
                <c:pt idx="19">
                  <c:v>50.742742169038003</c:v>
                </c:pt>
                <c:pt idx="20">
                  <c:v>50.595967118080402</c:v>
                </c:pt>
                <c:pt idx="21">
                  <c:v>50.424330482205498</c:v>
                </c:pt>
                <c:pt idx="22">
                  <c:v>50.216196454147997</c:v>
                </c:pt>
                <c:pt idx="23">
                  <c:v>50.000147001213598</c:v>
                </c:pt>
                <c:pt idx="24">
                  <c:v>49.805799949128797</c:v>
                </c:pt>
                <c:pt idx="25">
                  <c:v>49.628806818885401</c:v>
                </c:pt>
                <c:pt idx="26">
                  <c:v>49.477672912723399</c:v>
                </c:pt>
                <c:pt idx="27">
                  <c:v>49.377672361945301</c:v>
                </c:pt>
                <c:pt idx="28">
                  <c:v>49.354411650244899</c:v>
                </c:pt>
                <c:pt idx="29">
                  <c:v>49.435453817381003</c:v>
                </c:pt>
                <c:pt idx="30">
                  <c:v>49.637478299473202</c:v>
                </c:pt>
                <c:pt idx="31">
                  <c:v>49.975483102903397</c:v>
                </c:pt>
                <c:pt idx="32">
                  <c:v>50.412770082875198</c:v>
                </c:pt>
                <c:pt idx="33">
                  <c:v>50.893597517006697</c:v>
                </c:pt>
                <c:pt idx="34">
                  <c:v>51.385310592426102</c:v>
                </c:pt>
                <c:pt idx="35">
                  <c:v>51.834846401011397</c:v>
                </c:pt>
                <c:pt idx="36">
                  <c:v>52.223067596322103</c:v>
                </c:pt>
                <c:pt idx="37">
                  <c:v>52.576574560706</c:v>
                </c:pt>
                <c:pt idx="38">
                  <c:v>52.889995856433899</c:v>
                </c:pt>
                <c:pt idx="39">
                  <c:v>53.145255883324602</c:v>
                </c:pt>
                <c:pt idx="40">
                  <c:v>53.349849500753798</c:v>
                </c:pt>
                <c:pt idx="41">
                  <c:v>53.489884299134403</c:v>
                </c:pt>
                <c:pt idx="42">
                  <c:v>53.555128082076699</c:v>
                </c:pt>
                <c:pt idx="43">
                  <c:v>53.560476019292601</c:v>
                </c:pt>
                <c:pt idx="44">
                  <c:v>53.5499549479918</c:v>
                </c:pt>
                <c:pt idx="45">
                  <c:v>53.569910599050402</c:v>
                </c:pt>
                <c:pt idx="46">
                  <c:v>53.647917210543497</c:v>
                </c:pt>
                <c:pt idx="47">
                  <c:v>53.790704278962799</c:v>
                </c:pt>
                <c:pt idx="48">
                  <c:v>53.983424565278703</c:v>
                </c:pt>
                <c:pt idx="49">
                  <c:v>54.191646055885599</c:v>
                </c:pt>
                <c:pt idx="50">
                  <c:v>54.374944331205398</c:v>
                </c:pt>
                <c:pt idx="51">
                  <c:v>54.488364538711899</c:v>
                </c:pt>
                <c:pt idx="52">
                  <c:v>54.518195167391497</c:v>
                </c:pt>
                <c:pt idx="53">
                  <c:v>54.516499797965203</c:v>
                </c:pt>
                <c:pt idx="54">
                  <c:v>54.522165279633597</c:v>
                </c:pt>
                <c:pt idx="55">
                  <c:v>54.5311769027198</c:v>
                </c:pt>
                <c:pt idx="56">
                  <c:v>54.542455342864599</c:v>
                </c:pt>
                <c:pt idx="57">
                  <c:v>54.560924013232103</c:v>
                </c:pt>
                <c:pt idx="58">
                  <c:v>54.595812071708004</c:v>
                </c:pt>
                <c:pt idx="59">
                  <c:v>54.656845130078104</c:v>
                </c:pt>
                <c:pt idx="60">
                  <c:v>54.752501986423802</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780991256"/>
        <c:axId val="780994392"/>
      </c:lineChart>
      <c:catAx>
        <c:axId val="7809912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0994392"/>
        <c:crossesAt val="50"/>
        <c:auto val="1"/>
        <c:lblAlgn val="ctr"/>
        <c:lblOffset val="50"/>
        <c:tickLblSkip val="1"/>
        <c:tickMarkSkip val="12"/>
        <c:noMultiLvlLbl val="1"/>
      </c:catAx>
      <c:valAx>
        <c:axId val="780994392"/>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0991256"/>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CONS'!$K$89:$K$160</c:f>
              <c:numCache>
                <c:formatCode>0.0_)</c:formatCode>
                <c:ptCount val="61"/>
                <c:pt idx="0">
                  <c:v>50.105533399652998</c:v>
                </c:pt>
                <c:pt idx="1">
                  <c:v>49.882003864893399</c:v>
                </c:pt>
                <c:pt idx="2">
                  <c:v>50.049856696907199</c:v>
                </c:pt>
                <c:pt idx="3">
                  <c:v>49.744936136419497</c:v>
                </c:pt>
                <c:pt idx="4">
                  <c:v>49.492349449314403</c:v>
                </c:pt>
                <c:pt idx="5">
                  <c:v>48.661662056244801</c:v>
                </c:pt>
                <c:pt idx="6">
                  <c:v>48.662834750640798</c:v>
                </c:pt>
                <c:pt idx="7">
                  <c:v>49.365588340847502</c:v>
                </c:pt>
                <c:pt idx="8">
                  <c:v>48.709351460402097</c:v>
                </c:pt>
                <c:pt idx="9">
                  <c:v>48.918792906895</c:v>
                </c:pt>
                <c:pt idx="10">
                  <c:v>47.858230158625901</c:v>
                </c:pt>
                <c:pt idx="11">
                  <c:v>47.381817476064697</c:v>
                </c:pt>
                <c:pt idx="12">
                  <c:v>48.138107980778102</c:v>
                </c:pt>
                <c:pt idx="13">
                  <c:v>48.490708754942098</c:v>
                </c:pt>
                <c:pt idx="14">
                  <c:v>48.476358129008801</c:v>
                </c:pt>
                <c:pt idx="15">
                  <c:v>49.053855759562197</c:v>
                </c:pt>
                <c:pt idx="16">
                  <c:v>48.748684138145599</c:v>
                </c:pt>
                <c:pt idx="17">
                  <c:v>49.060561522994497</c:v>
                </c:pt>
                <c:pt idx="18">
                  <c:v>48.941140200574303</c:v>
                </c:pt>
                <c:pt idx="19">
                  <c:v>48.142902531120399</c:v>
                </c:pt>
                <c:pt idx="20">
                  <c:v>48.146937579251599</c:v>
                </c:pt>
                <c:pt idx="21">
                  <c:v>47.786465218410498</c:v>
                </c:pt>
                <c:pt idx="22">
                  <c:v>47.4351871863187</c:v>
                </c:pt>
                <c:pt idx="23">
                  <c:v>46.847829425270298</c:v>
                </c:pt>
                <c:pt idx="24">
                  <c:v>47.124093230342098</c:v>
                </c:pt>
                <c:pt idx="25">
                  <c:v>47.747048816606203</c:v>
                </c:pt>
                <c:pt idx="26">
                  <c:v>46.694713547645797</c:v>
                </c:pt>
                <c:pt idx="27">
                  <c:v>42.267969795009002</c:v>
                </c:pt>
                <c:pt idx="28">
                  <c:v>40.6156919097659</c:v>
                </c:pt>
                <c:pt idx="29">
                  <c:v>46.6082876552275</c:v>
                </c:pt>
                <c:pt idx="30">
                  <c:v>48.103094937498703</c:v>
                </c:pt>
                <c:pt idx="31">
                  <c:v>48.184530342616803</c:v>
                </c:pt>
                <c:pt idx="32">
                  <c:v>48.659005790903997</c:v>
                </c:pt>
                <c:pt idx="33">
                  <c:v>49.081241969719301</c:v>
                </c:pt>
                <c:pt idx="34">
                  <c:v>49.804195629453503</c:v>
                </c:pt>
                <c:pt idx="35">
                  <c:v>50.474312879204099</c:v>
                </c:pt>
                <c:pt idx="36">
                  <c:v>50.382710311181299</c:v>
                </c:pt>
                <c:pt idx="37">
                  <c:v>50.565108779465497</c:v>
                </c:pt>
                <c:pt idx="38">
                  <c:v>50.935465106140498</c:v>
                </c:pt>
                <c:pt idx="39">
                  <c:v>50.605517905122099</c:v>
                </c:pt>
                <c:pt idx="40">
                  <c:v>51.105947982251401</c:v>
                </c:pt>
                <c:pt idx="41">
                  <c:v>51.140526385647398</c:v>
                </c:pt>
                <c:pt idx="42">
                  <c:v>51.165793535328099</c:v>
                </c:pt>
                <c:pt idx="43">
                  <c:v>51.4087368662627</c:v>
                </c:pt>
                <c:pt idx="44">
                  <c:v>51.719045215590697</c:v>
                </c:pt>
                <c:pt idx="45">
                  <c:v>50.700036230818696</c:v>
                </c:pt>
                <c:pt idx="46">
                  <c:v>51.632170415316899</c:v>
                </c:pt>
                <c:pt idx="47">
                  <c:v>52.401186252901503</c:v>
                </c:pt>
                <c:pt idx="48">
                  <c:v>52.637145258539398</c:v>
                </c:pt>
                <c:pt idx="49">
                  <c:v>52.722420429946098</c:v>
                </c:pt>
                <c:pt idx="50">
                  <c:v>52.197892921661797</c:v>
                </c:pt>
                <c:pt idx="51">
                  <c:v>52.889989781441599</c:v>
                </c:pt>
                <c:pt idx="52">
                  <c:v>52.792437091041897</c:v>
                </c:pt>
                <c:pt idx="53">
                  <c:v>52.836332728396997</c:v>
                </c:pt>
                <c:pt idx="54">
                  <c:v>52.4236676111232</c:v>
                </c:pt>
                <c:pt idx="55">
                  <c:v>51.832339142897297</c:v>
                </c:pt>
                <c:pt idx="56">
                  <c:v>52.472044519290101</c:v>
                </c:pt>
                <c:pt idx="57">
                  <c:v>52.920643325076199</c:v>
                </c:pt>
                <c:pt idx="58">
                  <c:v>53.510151814979501</c:v>
                </c:pt>
                <c:pt idx="59">
                  <c:v>52.724612173556302</c:v>
                </c:pt>
                <c:pt idx="60">
                  <c:v>52.788864232573502</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CONS'!$L$89:$L$160</c:f>
              <c:numCache>
                <c:formatCode>0.0_)</c:formatCode>
                <c:ptCount val="61"/>
                <c:pt idx="0">
                  <c:v>50.054693400503297</c:v>
                </c:pt>
                <c:pt idx="1">
                  <c:v>49.963621291502903</c:v>
                </c:pt>
                <c:pt idx="2">
                  <c:v>49.805842916358102</c:v>
                </c:pt>
                <c:pt idx="3">
                  <c:v>49.584934135660603</c:v>
                </c:pt>
                <c:pt idx="4">
                  <c:v>49.366095488904698</c:v>
                </c:pt>
                <c:pt idx="5">
                  <c:v>49.173741408999703</c:v>
                </c:pt>
                <c:pt idx="6">
                  <c:v>48.998975839398803</c:v>
                </c:pt>
                <c:pt idx="7">
                  <c:v>48.836394801259402</c:v>
                </c:pt>
                <c:pt idx="8">
                  <c:v>48.663422912924602</c:v>
                </c:pt>
                <c:pt idx="9">
                  <c:v>48.474672426210603</c:v>
                </c:pt>
                <c:pt idx="10">
                  <c:v>48.300416387896597</c:v>
                </c:pt>
                <c:pt idx="11">
                  <c:v>48.192013171014999</c:v>
                </c:pt>
                <c:pt idx="12">
                  <c:v>48.200420157418897</c:v>
                </c:pt>
                <c:pt idx="13">
                  <c:v>48.357147559062902</c:v>
                </c:pt>
                <c:pt idx="14">
                  <c:v>48.593961679904403</c:v>
                </c:pt>
                <c:pt idx="15">
                  <c:v>48.801038231105103</c:v>
                </c:pt>
                <c:pt idx="16">
                  <c:v>48.905230274822102</c:v>
                </c:pt>
                <c:pt idx="17">
                  <c:v>48.8697457203697</c:v>
                </c:pt>
                <c:pt idx="18">
                  <c:v>48.703590941170802</c:v>
                </c:pt>
                <c:pt idx="19">
                  <c:v>48.427859549810996</c:v>
                </c:pt>
                <c:pt idx="20">
                  <c:v>48.0877209553298</c:v>
                </c:pt>
                <c:pt idx="21">
                  <c:v>47.731239965536197</c:v>
                </c:pt>
                <c:pt idx="22">
                  <c:v>47.408769151944597</c:v>
                </c:pt>
                <c:pt idx="23">
                  <c:v>47.143871894706301</c:v>
                </c:pt>
                <c:pt idx="24">
                  <c:v>46.942034254886003</c:v>
                </c:pt>
                <c:pt idx="25">
                  <c:v>46.805975616278999</c:v>
                </c:pt>
                <c:pt idx="26">
                  <c:v>46.7590217627302</c:v>
                </c:pt>
                <c:pt idx="27">
                  <c:v>46.830435847430898</c:v>
                </c:pt>
                <c:pt idx="28">
                  <c:v>47.014715030565299</c:v>
                </c:pt>
                <c:pt idx="29">
                  <c:v>47.304365534239899</c:v>
                </c:pt>
                <c:pt idx="30">
                  <c:v>47.702747178365797</c:v>
                </c:pt>
                <c:pt idx="31">
                  <c:v>48.194881422957799</c:v>
                </c:pt>
                <c:pt idx="32">
                  <c:v>48.725020790139801</c:v>
                </c:pt>
                <c:pt idx="33">
                  <c:v>49.256356622641903</c:v>
                </c:pt>
                <c:pt idx="34">
                  <c:v>49.738407086178199</c:v>
                </c:pt>
                <c:pt idx="35">
                  <c:v>50.134503929988099</c:v>
                </c:pt>
                <c:pt idx="36">
                  <c:v>50.438174830963803</c:v>
                </c:pt>
                <c:pt idx="37">
                  <c:v>50.649670834584597</c:v>
                </c:pt>
                <c:pt idx="38">
                  <c:v>50.779627718963198</c:v>
                </c:pt>
                <c:pt idx="39">
                  <c:v>50.878022185915803</c:v>
                </c:pt>
                <c:pt idx="40">
                  <c:v>50.989664207844399</c:v>
                </c:pt>
                <c:pt idx="41">
                  <c:v>51.118892225683098</c:v>
                </c:pt>
                <c:pt idx="42">
                  <c:v>51.252706657970798</c:v>
                </c:pt>
                <c:pt idx="43">
                  <c:v>51.393463557291703</c:v>
                </c:pt>
                <c:pt idx="44">
                  <c:v>51.569120832746798</c:v>
                </c:pt>
                <c:pt idx="45">
                  <c:v>51.775858845345503</c:v>
                </c:pt>
                <c:pt idx="46">
                  <c:v>52.002435574749398</c:v>
                </c:pt>
                <c:pt idx="47">
                  <c:v>52.236317007021299</c:v>
                </c:pt>
                <c:pt idx="48">
                  <c:v>52.452763563127</c:v>
                </c:pt>
                <c:pt idx="49">
                  <c:v>52.625559061154497</c:v>
                </c:pt>
                <c:pt idx="50">
                  <c:v>52.7368092471458</c:v>
                </c:pt>
                <c:pt idx="51">
                  <c:v>52.768045823270498</c:v>
                </c:pt>
                <c:pt idx="52">
                  <c:v>52.736611274559102</c:v>
                </c:pt>
                <c:pt idx="53">
                  <c:v>52.688925217544302</c:v>
                </c:pt>
                <c:pt idx="54">
                  <c:v>52.658288482853003</c:v>
                </c:pt>
                <c:pt idx="55">
                  <c:v>52.645191681853497</c:v>
                </c:pt>
                <c:pt idx="56">
                  <c:v>52.651832300575499</c:v>
                </c:pt>
                <c:pt idx="57">
                  <c:v>52.679671607843602</c:v>
                </c:pt>
                <c:pt idx="58">
                  <c:v>52.735618105487603</c:v>
                </c:pt>
                <c:pt idx="59">
                  <c:v>52.808419358229699</c:v>
                </c:pt>
                <c:pt idx="60">
                  <c:v>52.897722779402102</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780993216"/>
        <c:axId val="780995176"/>
      </c:lineChart>
      <c:catAx>
        <c:axId val="780993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0995176"/>
        <c:crossesAt val="50"/>
        <c:auto val="1"/>
        <c:lblAlgn val="ctr"/>
        <c:lblOffset val="50"/>
        <c:tickLblSkip val="1"/>
        <c:tickMarkSkip val="12"/>
        <c:noMultiLvlLbl val="1"/>
      </c:catAx>
      <c:valAx>
        <c:axId val="78099517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0993216"/>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COM'!$C$89:$C$160</c:f>
              <c:numCache>
                <c:formatCode>0.0_)</c:formatCode>
                <c:ptCount val="61"/>
                <c:pt idx="0">
                  <c:v>56.959511022572798</c:v>
                </c:pt>
                <c:pt idx="1">
                  <c:v>57.082428973761203</c:v>
                </c:pt>
                <c:pt idx="2">
                  <c:v>58.555018381817902</c:v>
                </c:pt>
                <c:pt idx="3">
                  <c:v>51.760485406742099</c:v>
                </c:pt>
                <c:pt idx="4">
                  <c:v>55.257506479961499</c:v>
                </c:pt>
                <c:pt idx="5">
                  <c:v>54.408957797193104</c:v>
                </c:pt>
                <c:pt idx="6">
                  <c:v>55.344847026860201</c:v>
                </c:pt>
                <c:pt idx="7">
                  <c:v>55.416262098084303</c:v>
                </c:pt>
                <c:pt idx="8">
                  <c:v>55.207267229737397</c:v>
                </c:pt>
                <c:pt idx="9">
                  <c:v>54.141542247012403</c:v>
                </c:pt>
                <c:pt idx="10">
                  <c:v>54.5450542110556</c:v>
                </c:pt>
                <c:pt idx="11">
                  <c:v>55.220511135638503</c:v>
                </c:pt>
                <c:pt idx="12">
                  <c:v>53.460596039975201</c:v>
                </c:pt>
                <c:pt idx="13">
                  <c:v>53.664024864103702</c:v>
                </c:pt>
                <c:pt idx="14">
                  <c:v>53.153417395865098</c:v>
                </c:pt>
                <c:pt idx="15">
                  <c:v>55.008567135565897</c:v>
                </c:pt>
                <c:pt idx="16">
                  <c:v>54.016651191923401</c:v>
                </c:pt>
                <c:pt idx="17">
                  <c:v>53.4006285136457</c:v>
                </c:pt>
                <c:pt idx="18">
                  <c:v>54.020489693395902</c:v>
                </c:pt>
                <c:pt idx="19">
                  <c:v>54.629873276574401</c:v>
                </c:pt>
                <c:pt idx="20">
                  <c:v>53.452389804060303</c:v>
                </c:pt>
                <c:pt idx="21">
                  <c:v>53.468546295569602</c:v>
                </c:pt>
                <c:pt idx="22">
                  <c:v>52.889622179861803</c:v>
                </c:pt>
                <c:pt idx="23">
                  <c:v>51.976058971498396</c:v>
                </c:pt>
                <c:pt idx="24">
                  <c:v>53.431545630603303</c:v>
                </c:pt>
                <c:pt idx="25">
                  <c:v>52.039326878771099</c:v>
                </c:pt>
                <c:pt idx="26">
                  <c:v>47.578827779716001</c:v>
                </c:pt>
                <c:pt idx="27">
                  <c:v>36.634587051313403</c:v>
                </c:pt>
                <c:pt idx="28">
                  <c:v>43.7451603528365</c:v>
                </c:pt>
                <c:pt idx="29">
                  <c:v>53.189607807471198</c:v>
                </c:pt>
                <c:pt idx="30">
                  <c:v>53.549865495570003</c:v>
                </c:pt>
                <c:pt idx="31">
                  <c:v>51.655130399808598</c:v>
                </c:pt>
                <c:pt idx="32">
                  <c:v>52.4499425880974</c:v>
                </c:pt>
                <c:pt idx="33">
                  <c:v>52.869130744269398</c:v>
                </c:pt>
                <c:pt idx="34">
                  <c:v>51.978121728096802</c:v>
                </c:pt>
                <c:pt idx="35">
                  <c:v>53.245833289585399</c:v>
                </c:pt>
                <c:pt idx="36">
                  <c:v>52.726601068719098</c:v>
                </c:pt>
                <c:pt idx="37">
                  <c:v>56.541230343876002</c:v>
                </c:pt>
                <c:pt idx="38">
                  <c:v>53.704682775397103</c:v>
                </c:pt>
                <c:pt idx="39">
                  <c:v>51.512701272702699</c:v>
                </c:pt>
                <c:pt idx="40">
                  <c:v>52.948007339147402</c:v>
                </c:pt>
                <c:pt idx="41">
                  <c:v>53.5476050663789</c:v>
                </c:pt>
                <c:pt idx="42">
                  <c:v>52.669796847834697</c:v>
                </c:pt>
                <c:pt idx="43">
                  <c:v>52.4953709908809</c:v>
                </c:pt>
                <c:pt idx="44">
                  <c:v>53.912916593086003</c:v>
                </c:pt>
                <c:pt idx="45">
                  <c:v>52.938111639485101</c:v>
                </c:pt>
                <c:pt idx="46">
                  <c:v>53.352561193366299</c:v>
                </c:pt>
                <c:pt idx="47">
                  <c:v>53.248356235273398</c:v>
                </c:pt>
                <c:pt idx="48">
                  <c:v>50.0404739199505</c:v>
                </c:pt>
                <c:pt idx="49">
                  <c:v>52.374350107765103</c:v>
                </c:pt>
                <c:pt idx="50">
                  <c:v>52.7134522821719</c:v>
                </c:pt>
                <c:pt idx="51">
                  <c:v>52.015109143482199</c:v>
                </c:pt>
                <c:pt idx="52">
                  <c:v>52.703376597253097</c:v>
                </c:pt>
                <c:pt idx="53">
                  <c:v>52.279364799312397</c:v>
                </c:pt>
                <c:pt idx="54">
                  <c:v>52.118265547740101</c:v>
                </c:pt>
                <c:pt idx="55">
                  <c:v>53.099565369545203</c:v>
                </c:pt>
                <c:pt idx="56">
                  <c:v>51.200100531262798</c:v>
                </c:pt>
                <c:pt idx="57">
                  <c:v>52.698168223817198</c:v>
                </c:pt>
                <c:pt idx="58">
                  <c:v>52.941662443071202</c:v>
                </c:pt>
                <c:pt idx="59">
                  <c:v>52.1113790898521</c:v>
                </c:pt>
                <c:pt idx="60">
                  <c:v>52.754438153518798</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COM'!$D$89:$D$160</c:f>
              <c:numCache>
                <c:formatCode>0.0_)</c:formatCode>
                <c:ptCount val="61"/>
                <c:pt idx="0">
                  <c:v>56.431308855967899</c:v>
                </c:pt>
                <c:pt idx="1">
                  <c:v>56.293806587002102</c:v>
                </c:pt>
                <c:pt idx="2">
                  <c:v>56.119915953262797</c:v>
                </c:pt>
                <c:pt idx="3">
                  <c:v>55.918783858193201</c:v>
                </c:pt>
                <c:pt idx="4">
                  <c:v>55.6900464624634</c:v>
                </c:pt>
                <c:pt idx="5">
                  <c:v>55.443393146222803</c:v>
                </c:pt>
                <c:pt idx="6">
                  <c:v>55.198424083705603</c:v>
                </c:pt>
                <c:pt idx="7">
                  <c:v>54.972468535561198</c:v>
                </c:pt>
                <c:pt idx="8">
                  <c:v>54.765981736684303</c:v>
                </c:pt>
                <c:pt idx="9">
                  <c:v>54.581230812343598</c:v>
                </c:pt>
                <c:pt idx="10">
                  <c:v>54.416304804408902</c:v>
                </c:pt>
                <c:pt idx="11">
                  <c:v>54.277015710025097</c:v>
                </c:pt>
                <c:pt idx="12">
                  <c:v>54.169845213121398</c:v>
                </c:pt>
                <c:pt idx="13">
                  <c:v>54.082361837800299</c:v>
                </c:pt>
                <c:pt idx="14">
                  <c:v>54.011808132303599</c:v>
                </c:pt>
                <c:pt idx="15">
                  <c:v>53.952625872933403</c:v>
                </c:pt>
                <c:pt idx="16">
                  <c:v>53.896820761944703</c:v>
                </c:pt>
                <c:pt idx="17">
                  <c:v>53.832365105484399</c:v>
                </c:pt>
                <c:pt idx="18">
                  <c:v>53.7448012739587</c:v>
                </c:pt>
                <c:pt idx="19">
                  <c:v>53.6203656652212</c:v>
                </c:pt>
                <c:pt idx="20">
                  <c:v>53.468698350272398</c:v>
                </c:pt>
                <c:pt idx="21">
                  <c:v>53.304334936867797</c:v>
                </c:pt>
                <c:pt idx="22">
                  <c:v>53.140393011625399</c:v>
                </c:pt>
                <c:pt idx="23">
                  <c:v>52.9901314070285</c:v>
                </c:pt>
                <c:pt idx="24">
                  <c:v>52.863663749669598</c:v>
                </c:pt>
                <c:pt idx="25">
                  <c:v>52.772811122923201</c:v>
                </c:pt>
                <c:pt idx="26">
                  <c:v>52.713833385320903</c:v>
                </c:pt>
                <c:pt idx="27">
                  <c:v>52.677491706382597</c:v>
                </c:pt>
                <c:pt idx="28">
                  <c:v>52.655197453571397</c:v>
                </c:pt>
                <c:pt idx="29">
                  <c:v>52.648132272699499</c:v>
                </c:pt>
                <c:pt idx="30">
                  <c:v>52.651379766757898</c:v>
                </c:pt>
                <c:pt idx="31">
                  <c:v>52.662565950876299</c:v>
                </c:pt>
                <c:pt idx="32">
                  <c:v>52.6866904386629</c:v>
                </c:pt>
                <c:pt idx="33">
                  <c:v>52.725711327207797</c:v>
                </c:pt>
                <c:pt idx="34">
                  <c:v>52.780470281034603</c:v>
                </c:pt>
                <c:pt idx="35">
                  <c:v>52.849953664275603</c:v>
                </c:pt>
                <c:pt idx="36">
                  <c:v>52.928352676791498</c:v>
                </c:pt>
                <c:pt idx="37">
                  <c:v>53.008278628424897</c:v>
                </c:pt>
                <c:pt idx="38">
                  <c:v>53.087803522833802</c:v>
                </c:pt>
                <c:pt idx="39">
                  <c:v>53.154504422978597</c:v>
                </c:pt>
                <c:pt idx="40">
                  <c:v>53.202317066479502</c:v>
                </c:pt>
                <c:pt idx="41">
                  <c:v>53.222243764525999</c:v>
                </c:pt>
                <c:pt idx="42">
                  <c:v>53.212246532822199</c:v>
                </c:pt>
                <c:pt idx="43">
                  <c:v>53.178520842638299</c:v>
                </c:pt>
                <c:pt idx="44">
                  <c:v>53.1257617652834</c:v>
                </c:pt>
                <c:pt idx="45">
                  <c:v>53.057891301751297</c:v>
                </c:pt>
                <c:pt idx="46">
                  <c:v>52.977502412292701</c:v>
                </c:pt>
                <c:pt idx="47">
                  <c:v>52.8856954877809</c:v>
                </c:pt>
                <c:pt idx="48">
                  <c:v>52.784111824563603</c:v>
                </c:pt>
                <c:pt idx="49">
                  <c:v>52.678591719164203</c:v>
                </c:pt>
                <c:pt idx="50">
                  <c:v>52.572930532038299</c:v>
                </c:pt>
                <c:pt idx="51">
                  <c:v>52.480130386977301</c:v>
                </c:pt>
                <c:pt idx="52">
                  <c:v>52.412164482890702</c:v>
                </c:pt>
                <c:pt idx="53">
                  <c:v>52.375267584021103</c:v>
                </c:pt>
                <c:pt idx="54">
                  <c:v>52.369759743047602</c:v>
                </c:pt>
                <c:pt idx="55">
                  <c:v>52.390618693117702</c:v>
                </c:pt>
                <c:pt idx="56">
                  <c:v>52.423990828215203</c:v>
                </c:pt>
                <c:pt idx="57">
                  <c:v>52.453458898141399</c:v>
                </c:pt>
                <c:pt idx="58">
                  <c:v>52.473949949094298</c:v>
                </c:pt>
                <c:pt idx="59">
                  <c:v>52.480733227908999</c:v>
                </c:pt>
                <c:pt idx="60">
                  <c:v>52.4729886541054</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780999096"/>
        <c:axId val="780992824"/>
      </c:lineChart>
      <c:catAx>
        <c:axId val="780999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80992824"/>
        <c:crossesAt val="50"/>
        <c:auto val="1"/>
        <c:lblAlgn val="ctr"/>
        <c:lblOffset val="50"/>
        <c:tickLblSkip val="1"/>
        <c:tickMarkSkip val="12"/>
        <c:noMultiLvlLbl val="1"/>
      </c:catAx>
      <c:valAx>
        <c:axId val="78099282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80999096"/>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COM'!$E$89:$E$160</c:f>
              <c:numCache>
                <c:formatCode>0.0_)</c:formatCode>
                <c:ptCount val="61"/>
                <c:pt idx="0">
                  <c:v>52.633708110751797</c:v>
                </c:pt>
                <c:pt idx="1">
                  <c:v>52.176845152079402</c:v>
                </c:pt>
                <c:pt idx="2">
                  <c:v>57.125504705338898</c:v>
                </c:pt>
                <c:pt idx="3">
                  <c:v>45.970627850120202</c:v>
                </c:pt>
                <c:pt idx="4">
                  <c:v>54.375861290787597</c:v>
                </c:pt>
                <c:pt idx="5">
                  <c:v>53.943572129046302</c:v>
                </c:pt>
                <c:pt idx="6">
                  <c:v>54.999478066411598</c:v>
                </c:pt>
                <c:pt idx="7">
                  <c:v>53.328335418126898</c:v>
                </c:pt>
                <c:pt idx="8">
                  <c:v>53.130516456632499</c:v>
                </c:pt>
                <c:pt idx="9">
                  <c:v>52.983347429864303</c:v>
                </c:pt>
                <c:pt idx="10">
                  <c:v>53.495179075157097</c:v>
                </c:pt>
                <c:pt idx="11">
                  <c:v>53.607954949912703</c:v>
                </c:pt>
                <c:pt idx="12">
                  <c:v>53.461607041443301</c:v>
                </c:pt>
                <c:pt idx="13">
                  <c:v>53.823064529446</c:v>
                </c:pt>
                <c:pt idx="14">
                  <c:v>51.972851567079601</c:v>
                </c:pt>
                <c:pt idx="15">
                  <c:v>55.884400605323997</c:v>
                </c:pt>
                <c:pt idx="16">
                  <c:v>53.590798406445998</c:v>
                </c:pt>
                <c:pt idx="17">
                  <c:v>52.638143002773297</c:v>
                </c:pt>
                <c:pt idx="18">
                  <c:v>53.504787861185598</c:v>
                </c:pt>
                <c:pt idx="19">
                  <c:v>55.2725325656085</c:v>
                </c:pt>
                <c:pt idx="20">
                  <c:v>53.548831909777803</c:v>
                </c:pt>
                <c:pt idx="21">
                  <c:v>53.174925522326902</c:v>
                </c:pt>
                <c:pt idx="22">
                  <c:v>53.365222207314702</c:v>
                </c:pt>
                <c:pt idx="23">
                  <c:v>53.273777084444298</c:v>
                </c:pt>
                <c:pt idx="24">
                  <c:v>53.696037276223898</c:v>
                </c:pt>
                <c:pt idx="25">
                  <c:v>53.091011271331098</c:v>
                </c:pt>
                <c:pt idx="26">
                  <c:v>52.112013463136797</c:v>
                </c:pt>
                <c:pt idx="27">
                  <c:v>30.152461627920101</c:v>
                </c:pt>
                <c:pt idx="28">
                  <c:v>45.725432402818399</c:v>
                </c:pt>
                <c:pt idx="29">
                  <c:v>55.728235589360303</c:v>
                </c:pt>
                <c:pt idx="30">
                  <c:v>54.900198138773902</c:v>
                </c:pt>
                <c:pt idx="31">
                  <c:v>54.586921175715602</c:v>
                </c:pt>
                <c:pt idx="32">
                  <c:v>53.802350309348903</c:v>
                </c:pt>
                <c:pt idx="33">
                  <c:v>53.884730070132697</c:v>
                </c:pt>
                <c:pt idx="34">
                  <c:v>53.166829135853298</c:v>
                </c:pt>
                <c:pt idx="35">
                  <c:v>53.861284415913403</c:v>
                </c:pt>
                <c:pt idx="36">
                  <c:v>52.4400887675626</c:v>
                </c:pt>
                <c:pt idx="37">
                  <c:v>54.704742101425502</c:v>
                </c:pt>
                <c:pt idx="38">
                  <c:v>55.061638757404999</c:v>
                </c:pt>
                <c:pt idx="39">
                  <c:v>51.181090860595198</c:v>
                </c:pt>
                <c:pt idx="40">
                  <c:v>52.036502066113897</c:v>
                </c:pt>
                <c:pt idx="41">
                  <c:v>53.670480979741498</c:v>
                </c:pt>
                <c:pt idx="42">
                  <c:v>53.406968933920901</c:v>
                </c:pt>
                <c:pt idx="43">
                  <c:v>52.800513071761301</c:v>
                </c:pt>
                <c:pt idx="44">
                  <c:v>54.2350893666625</c:v>
                </c:pt>
                <c:pt idx="45">
                  <c:v>54.101429761146299</c:v>
                </c:pt>
                <c:pt idx="46">
                  <c:v>53.949196243648203</c:v>
                </c:pt>
                <c:pt idx="47">
                  <c:v>53.354392055165597</c:v>
                </c:pt>
                <c:pt idx="48">
                  <c:v>54.392538578753097</c:v>
                </c:pt>
                <c:pt idx="49">
                  <c:v>53.277249626499703</c:v>
                </c:pt>
                <c:pt idx="50">
                  <c:v>53.870272551203598</c:v>
                </c:pt>
                <c:pt idx="51">
                  <c:v>53.3727394437283</c:v>
                </c:pt>
                <c:pt idx="52">
                  <c:v>54.5222765654295</c:v>
                </c:pt>
                <c:pt idx="53">
                  <c:v>53.282087111362003</c:v>
                </c:pt>
                <c:pt idx="54">
                  <c:v>53.051012841065599</c:v>
                </c:pt>
                <c:pt idx="55">
                  <c:v>53.814468351488003</c:v>
                </c:pt>
                <c:pt idx="56">
                  <c:v>53.530460556213001</c:v>
                </c:pt>
                <c:pt idx="57">
                  <c:v>53.697570117471301</c:v>
                </c:pt>
                <c:pt idx="58">
                  <c:v>53.660492276795203</c:v>
                </c:pt>
                <c:pt idx="59">
                  <c:v>53.429530522863303</c:v>
                </c:pt>
                <c:pt idx="60">
                  <c:v>53.821997336037498</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COM'!$F$89:$F$160</c:f>
              <c:numCache>
                <c:formatCode>0.0_)</c:formatCode>
                <c:ptCount val="61"/>
                <c:pt idx="0">
                  <c:v>53.972118639876498</c:v>
                </c:pt>
                <c:pt idx="1">
                  <c:v>54.178379991846001</c:v>
                </c:pt>
                <c:pt idx="2">
                  <c:v>54.320087632587999</c:v>
                </c:pt>
                <c:pt idx="3">
                  <c:v>54.377362251308298</c:v>
                </c:pt>
                <c:pt idx="4">
                  <c:v>54.333721601642999</c:v>
                </c:pt>
                <c:pt idx="5">
                  <c:v>54.208947884729596</c:v>
                </c:pt>
                <c:pt idx="6">
                  <c:v>54.041067839686598</c:v>
                </c:pt>
                <c:pt idx="7">
                  <c:v>53.866275244313201</c:v>
                </c:pt>
                <c:pt idx="8">
                  <c:v>53.702732564331498</c:v>
                </c:pt>
                <c:pt idx="9">
                  <c:v>53.569720804479502</c:v>
                </c:pt>
                <c:pt idx="10">
                  <c:v>53.480420177446597</c:v>
                </c:pt>
                <c:pt idx="11">
                  <c:v>53.4433263750687</c:v>
                </c:pt>
                <c:pt idx="12">
                  <c:v>53.458127154782403</c:v>
                </c:pt>
                <c:pt idx="13">
                  <c:v>53.509728570354902</c:v>
                </c:pt>
                <c:pt idx="14">
                  <c:v>53.573114233438403</c:v>
                </c:pt>
                <c:pt idx="15">
                  <c:v>53.628610722408901</c:v>
                </c:pt>
                <c:pt idx="16">
                  <c:v>53.669216469938704</c:v>
                </c:pt>
                <c:pt idx="17">
                  <c:v>53.678534488661697</c:v>
                </c:pt>
                <c:pt idx="18">
                  <c:v>53.6440307147083</c:v>
                </c:pt>
                <c:pt idx="19">
                  <c:v>53.566585166072102</c:v>
                </c:pt>
                <c:pt idx="20">
                  <c:v>53.467520626639597</c:v>
                </c:pt>
                <c:pt idx="21">
                  <c:v>53.371773092527903</c:v>
                </c:pt>
                <c:pt idx="22">
                  <c:v>53.303063289320498</c:v>
                </c:pt>
                <c:pt idx="23">
                  <c:v>53.281722639683103</c:v>
                </c:pt>
                <c:pt idx="24">
                  <c:v>53.317227919507602</c:v>
                </c:pt>
                <c:pt idx="25">
                  <c:v>53.413269900733198</c:v>
                </c:pt>
                <c:pt idx="26">
                  <c:v>53.549971429420097</c:v>
                </c:pt>
                <c:pt idx="27">
                  <c:v>53.697165958478799</c:v>
                </c:pt>
                <c:pt idx="28">
                  <c:v>53.837755524028303</c:v>
                </c:pt>
                <c:pt idx="29">
                  <c:v>53.971026664032998</c:v>
                </c:pt>
                <c:pt idx="30">
                  <c:v>54.073503756431897</c:v>
                </c:pt>
                <c:pt idx="31">
                  <c:v>54.119718879784301</c:v>
                </c:pt>
                <c:pt idx="32">
                  <c:v>54.100357668963802</c:v>
                </c:pt>
                <c:pt idx="33">
                  <c:v>54.015093974367197</c:v>
                </c:pt>
                <c:pt idx="34">
                  <c:v>53.872475580904599</c:v>
                </c:pt>
                <c:pt idx="35">
                  <c:v>53.692406469207498</c:v>
                </c:pt>
                <c:pt idx="36">
                  <c:v>53.507075153754201</c:v>
                </c:pt>
                <c:pt idx="37">
                  <c:v>53.345467074579403</c:v>
                </c:pt>
                <c:pt idx="38">
                  <c:v>53.237030419870202</c:v>
                </c:pt>
                <c:pt idx="39">
                  <c:v>53.192070322266197</c:v>
                </c:pt>
                <c:pt idx="40">
                  <c:v>53.203263465920998</c:v>
                </c:pt>
                <c:pt idx="41">
                  <c:v>53.2531146299387</c:v>
                </c:pt>
                <c:pt idx="42">
                  <c:v>53.329854653184398</c:v>
                </c:pt>
                <c:pt idx="43">
                  <c:v>53.427481673802703</c:v>
                </c:pt>
                <c:pt idx="44">
                  <c:v>53.535699040080203</c:v>
                </c:pt>
                <c:pt idx="45">
                  <c:v>53.643011800531497</c:v>
                </c:pt>
                <c:pt idx="46">
                  <c:v>53.734686909488303</c:v>
                </c:pt>
                <c:pt idx="47">
                  <c:v>53.798865605746997</c:v>
                </c:pt>
                <c:pt idx="48">
                  <c:v>53.826483010781701</c:v>
                </c:pt>
                <c:pt idx="49">
                  <c:v>53.815687436120697</c:v>
                </c:pt>
                <c:pt idx="50">
                  <c:v>53.769425569522099</c:v>
                </c:pt>
                <c:pt idx="51">
                  <c:v>53.712230330701203</c:v>
                </c:pt>
                <c:pt idx="52">
                  <c:v>53.664550962793797</c:v>
                </c:pt>
                <c:pt idx="53">
                  <c:v>53.625485855382998</c:v>
                </c:pt>
                <c:pt idx="54">
                  <c:v>53.595798417444399</c:v>
                </c:pt>
                <c:pt idx="55">
                  <c:v>53.579470059914001</c:v>
                </c:pt>
                <c:pt idx="56">
                  <c:v>53.574970480942703</c:v>
                </c:pt>
                <c:pt idx="57">
                  <c:v>53.576966668791997</c:v>
                </c:pt>
                <c:pt idx="58">
                  <c:v>53.586422186917098</c:v>
                </c:pt>
                <c:pt idx="59">
                  <c:v>53.602431362776898</c:v>
                </c:pt>
                <c:pt idx="60">
                  <c:v>53.621163844204602</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780992040"/>
        <c:axId val="780999488"/>
      </c:lineChart>
      <c:catAx>
        <c:axId val="7809920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0999488"/>
        <c:crossesAt val="50"/>
        <c:auto val="1"/>
        <c:lblAlgn val="ctr"/>
        <c:lblOffset val="50"/>
        <c:tickLblSkip val="1"/>
        <c:tickMarkSkip val="12"/>
        <c:noMultiLvlLbl val="1"/>
      </c:catAx>
      <c:valAx>
        <c:axId val="780999488"/>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0992040"/>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COM'!$G$89:$G$160</c:f>
              <c:numCache>
                <c:formatCode>0.0_)</c:formatCode>
                <c:ptCount val="61"/>
                <c:pt idx="0">
                  <c:v>71.945506911698899</c:v>
                </c:pt>
                <c:pt idx="1">
                  <c:v>62.206592895567098</c:v>
                </c:pt>
                <c:pt idx="2">
                  <c:v>63.4879751293034</c:v>
                </c:pt>
                <c:pt idx="3">
                  <c:v>51.210735768904797</c:v>
                </c:pt>
                <c:pt idx="4">
                  <c:v>56.340050464656002</c:v>
                </c:pt>
                <c:pt idx="5">
                  <c:v>45.455914467653301</c:v>
                </c:pt>
                <c:pt idx="6">
                  <c:v>55.278537708120197</c:v>
                </c:pt>
                <c:pt idx="7">
                  <c:v>53.895317384201</c:v>
                </c:pt>
                <c:pt idx="8">
                  <c:v>53.692196859126703</c:v>
                </c:pt>
                <c:pt idx="9">
                  <c:v>55.519116969968799</c:v>
                </c:pt>
                <c:pt idx="10">
                  <c:v>55.956707395277</c:v>
                </c:pt>
                <c:pt idx="11">
                  <c:v>55.428086449535101</c:v>
                </c:pt>
                <c:pt idx="12">
                  <c:v>52.246651937545501</c:v>
                </c:pt>
                <c:pt idx="13">
                  <c:v>59.7571618880988</c:v>
                </c:pt>
                <c:pt idx="14">
                  <c:v>52.9567246865778</c:v>
                </c:pt>
                <c:pt idx="15">
                  <c:v>55.2044787617479</c:v>
                </c:pt>
                <c:pt idx="16">
                  <c:v>54.286801785847601</c:v>
                </c:pt>
                <c:pt idx="17">
                  <c:v>53.8143042908506</c:v>
                </c:pt>
                <c:pt idx="18">
                  <c:v>55.194738428080498</c:v>
                </c:pt>
                <c:pt idx="19">
                  <c:v>58.030367345614202</c:v>
                </c:pt>
                <c:pt idx="20">
                  <c:v>53.848290257694202</c:v>
                </c:pt>
                <c:pt idx="21">
                  <c:v>54.986965405515299</c:v>
                </c:pt>
                <c:pt idx="22">
                  <c:v>53.794222754175003</c:v>
                </c:pt>
                <c:pt idx="23">
                  <c:v>52.741735113411401</c:v>
                </c:pt>
                <c:pt idx="24">
                  <c:v>53.567240571955097</c:v>
                </c:pt>
                <c:pt idx="25">
                  <c:v>51.094539790974999</c:v>
                </c:pt>
                <c:pt idx="26">
                  <c:v>40.343143520942299</c:v>
                </c:pt>
                <c:pt idx="27">
                  <c:v>36.337010537255303</c:v>
                </c:pt>
                <c:pt idx="28">
                  <c:v>41.433676733439398</c:v>
                </c:pt>
                <c:pt idx="29">
                  <c:v>59.677055310082203</c:v>
                </c:pt>
                <c:pt idx="30">
                  <c:v>57.373964315698998</c:v>
                </c:pt>
                <c:pt idx="31">
                  <c:v>56.532236891395002</c:v>
                </c:pt>
                <c:pt idx="32">
                  <c:v>57.409430735073499</c:v>
                </c:pt>
                <c:pt idx="33">
                  <c:v>54.023642629656102</c:v>
                </c:pt>
                <c:pt idx="34">
                  <c:v>53.336373326606797</c:v>
                </c:pt>
                <c:pt idx="35">
                  <c:v>55.3637565239003</c:v>
                </c:pt>
                <c:pt idx="36">
                  <c:v>56.731708537355402</c:v>
                </c:pt>
                <c:pt idx="37">
                  <c:v>59.925912545433398</c:v>
                </c:pt>
                <c:pt idx="38">
                  <c:v>58.117722949784998</c:v>
                </c:pt>
                <c:pt idx="39">
                  <c:v>53.261352172914698</c:v>
                </c:pt>
                <c:pt idx="40">
                  <c:v>55.107465891201599</c:v>
                </c:pt>
                <c:pt idx="41">
                  <c:v>56.236816798416001</c:v>
                </c:pt>
                <c:pt idx="42">
                  <c:v>53.557051565690301</c:v>
                </c:pt>
                <c:pt idx="43">
                  <c:v>53.6926642954068</c:v>
                </c:pt>
                <c:pt idx="44">
                  <c:v>54.5393266666781</c:v>
                </c:pt>
                <c:pt idx="45">
                  <c:v>53.769740220320003</c:v>
                </c:pt>
                <c:pt idx="46">
                  <c:v>53.231764666473303</c:v>
                </c:pt>
                <c:pt idx="47">
                  <c:v>53.015026872098801</c:v>
                </c:pt>
                <c:pt idx="48">
                  <c:v>41.623874140628999</c:v>
                </c:pt>
                <c:pt idx="49">
                  <c:v>46.8953436371539</c:v>
                </c:pt>
                <c:pt idx="50">
                  <c:v>49.1097416736676</c:v>
                </c:pt>
                <c:pt idx="51">
                  <c:v>53.364364054869597</c:v>
                </c:pt>
                <c:pt idx="52">
                  <c:v>49.630267645100403</c:v>
                </c:pt>
                <c:pt idx="53">
                  <c:v>46.235517979165401</c:v>
                </c:pt>
                <c:pt idx="54">
                  <c:v>48.904517298248003</c:v>
                </c:pt>
                <c:pt idx="55">
                  <c:v>46.566053181448297</c:v>
                </c:pt>
                <c:pt idx="56">
                  <c:v>45.024940005462902</c:v>
                </c:pt>
                <c:pt idx="57">
                  <c:v>51.332980089646703</c:v>
                </c:pt>
                <c:pt idx="58">
                  <c:v>52.621177134957499</c:v>
                </c:pt>
                <c:pt idx="59">
                  <c:v>52.6109247257817</c:v>
                </c:pt>
                <c:pt idx="60">
                  <c:v>53.060924062464601</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COM'!$H$89:$H$160</c:f>
              <c:numCache>
                <c:formatCode>0.0_)</c:formatCode>
                <c:ptCount val="61"/>
                <c:pt idx="0">
                  <c:v>61.623579088304702</c:v>
                </c:pt>
                <c:pt idx="1">
                  <c:v>61.588164526063203</c:v>
                </c:pt>
                <c:pt idx="2">
                  <c:v>61.587418452009302</c:v>
                </c:pt>
                <c:pt idx="3">
                  <c:v>54.147489994369998</c:v>
                </c:pt>
                <c:pt idx="4">
                  <c:v>54.2035409969521</c:v>
                </c:pt>
                <c:pt idx="5">
                  <c:v>54.273459220064197</c:v>
                </c:pt>
                <c:pt idx="6">
                  <c:v>54.355411965169402</c:v>
                </c:pt>
                <c:pt idx="7">
                  <c:v>54.436829447070302</c:v>
                </c:pt>
                <c:pt idx="8">
                  <c:v>54.485121169224598</c:v>
                </c:pt>
                <c:pt idx="9">
                  <c:v>54.500031764080099</c:v>
                </c:pt>
                <c:pt idx="10">
                  <c:v>54.485862469209202</c:v>
                </c:pt>
                <c:pt idx="11">
                  <c:v>54.462083430473498</c:v>
                </c:pt>
                <c:pt idx="12">
                  <c:v>54.456278423673503</c:v>
                </c:pt>
                <c:pt idx="13">
                  <c:v>54.466684276898697</c:v>
                </c:pt>
                <c:pt idx="14">
                  <c:v>54.507888537118603</c:v>
                </c:pt>
                <c:pt idx="15">
                  <c:v>54.5750859656494</c:v>
                </c:pt>
                <c:pt idx="16">
                  <c:v>54.643653054398698</c:v>
                </c:pt>
                <c:pt idx="17">
                  <c:v>54.672350329631797</c:v>
                </c:pt>
                <c:pt idx="18">
                  <c:v>54.630729633727299</c:v>
                </c:pt>
                <c:pt idx="19">
                  <c:v>54.504125505746899</c:v>
                </c:pt>
                <c:pt idx="20">
                  <c:v>54.3140822461867</c:v>
                </c:pt>
                <c:pt idx="21">
                  <c:v>54.090597996317399</c:v>
                </c:pt>
                <c:pt idx="22">
                  <c:v>53.8918013528355</c:v>
                </c:pt>
                <c:pt idx="23">
                  <c:v>53.790000311238302</c:v>
                </c:pt>
                <c:pt idx="24">
                  <c:v>53.831806175894201</c:v>
                </c:pt>
                <c:pt idx="25">
                  <c:v>54.0225186174996</c:v>
                </c:pt>
                <c:pt idx="26">
                  <c:v>54.319126325396098</c:v>
                </c:pt>
                <c:pt idx="27">
                  <c:v>54.678379673132397</c:v>
                </c:pt>
                <c:pt idx="28">
                  <c:v>55.068140230198999</c:v>
                </c:pt>
                <c:pt idx="29">
                  <c:v>55.4552445125071</c:v>
                </c:pt>
                <c:pt idx="30">
                  <c:v>55.789797521567699</c:v>
                </c:pt>
                <c:pt idx="31">
                  <c:v>56.0378141731344</c:v>
                </c:pt>
                <c:pt idx="32">
                  <c:v>56.188885130450103</c:v>
                </c:pt>
                <c:pt idx="33">
                  <c:v>56.251908142378497</c:v>
                </c:pt>
                <c:pt idx="34">
                  <c:v>56.235710684976098</c:v>
                </c:pt>
                <c:pt idx="35">
                  <c:v>56.166541460311798</c:v>
                </c:pt>
                <c:pt idx="36">
                  <c:v>56.066802445516103</c:v>
                </c:pt>
                <c:pt idx="37">
                  <c:v>55.951754197769702</c:v>
                </c:pt>
                <c:pt idx="38">
                  <c:v>55.833873889627</c:v>
                </c:pt>
                <c:pt idx="39">
                  <c:v>55.695328210566402</c:v>
                </c:pt>
                <c:pt idx="40">
                  <c:v>55.506323425310804</c:v>
                </c:pt>
                <c:pt idx="41">
                  <c:v>55.238313760091103</c:v>
                </c:pt>
                <c:pt idx="42">
                  <c:v>54.878316813831503</c:v>
                </c:pt>
                <c:pt idx="43">
                  <c:v>54.430022546415501</c:v>
                </c:pt>
                <c:pt idx="44">
                  <c:v>53.912813313455899</c:v>
                </c:pt>
                <c:pt idx="45">
                  <c:v>53.338589875327301</c:v>
                </c:pt>
                <c:pt idx="46">
                  <c:v>52.712421352862997</c:v>
                </c:pt>
                <c:pt idx="47">
                  <c:v>52.021003362203601</c:v>
                </c:pt>
                <c:pt idx="48">
                  <c:v>51.265034958820202</c:v>
                </c:pt>
                <c:pt idx="49">
                  <c:v>50.480307271838001</c:v>
                </c:pt>
                <c:pt idx="50">
                  <c:v>49.740379499247901</c:v>
                </c:pt>
                <c:pt idx="51">
                  <c:v>49.140735191420703</c:v>
                </c:pt>
                <c:pt idx="52">
                  <c:v>48.757894602082203</c:v>
                </c:pt>
                <c:pt idx="53">
                  <c:v>48.626442935493401</c:v>
                </c:pt>
                <c:pt idx="54">
                  <c:v>48.764823871335103</c:v>
                </c:pt>
                <c:pt idx="55">
                  <c:v>49.156813219477499</c:v>
                </c:pt>
                <c:pt idx="56">
                  <c:v>49.737569812951598</c:v>
                </c:pt>
                <c:pt idx="57">
                  <c:v>50.4232967399914</c:v>
                </c:pt>
                <c:pt idx="58">
                  <c:v>51.111714446232199</c:v>
                </c:pt>
                <c:pt idx="59">
                  <c:v>51.703651823890603</c:v>
                </c:pt>
                <c:pt idx="60">
                  <c:v>52.1285383878662</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781002624"/>
        <c:axId val="780998704"/>
      </c:lineChart>
      <c:catAx>
        <c:axId val="781002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0998704"/>
        <c:crossesAt val="50"/>
        <c:auto val="1"/>
        <c:lblAlgn val="ctr"/>
        <c:lblOffset val="50"/>
        <c:tickLblSkip val="1"/>
        <c:tickMarkSkip val="12"/>
        <c:noMultiLvlLbl val="1"/>
      </c:catAx>
      <c:valAx>
        <c:axId val="780998704"/>
        <c:scaling>
          <c:orientation val="minMax"/>
          <c:max val="75"/>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02624"/>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COM'!$I$89:$I$160</c:f>
              <c:numCache>
                <c:formatCode>0.0_)</c:formatCode>
                <c:ptCount val="61"/>
                <c:pt idx="0">
                  <c:v>52.1634124081368</c:v>
                </c:pt>
                <c:pt idx="1">
                  <c:v>55.782109107924299</c:v>
                </c:pt>
                <c:pt idx="2">
                  <c:v>58.556791455777002</c:v>
                </c:pt>
                <c:pt idx="3">
                  <c:v>50.601948275435603</c:v>
                </c:pt>
                <c:pt idx="4">
                  <c:v>53.315889235851003</c:v>
                </c:pt>
                <c:pt idx="5">
                  <c:v>54.815898617852199</c:v>
                </c:pt>
                <c:pt idx="6">
                  <c:v>53.972290075663501</c:v>
                </c:pt>
                <c:pt idx="7">
                  <c:v>56.071905981082097</c:v>
                </c:pt>
                <c:pt idx="8">
                  <c:v>55.571995192868798</c:v>
                </c:pt>
                <c:pt idx="9">
                  <c:v>53.216553916745497</c:v>
                </c:pt>
                <c:pt idx="10">
                  <c:v>54.657555273791303</c:v>
                </c:pt>
                <c:pt idx="11">
                  <c:v>54.331334196301398</c:v>
                </c:pt>
                <c:pt idx="12">
                  <c:v>53.734200266740601</c:v>
                </c:pt>
                <c:pt idx="13">
                  <c:v>52.834277127908898</c:v>
                </c:pt>
                <c:pt idx="14">
                  <c:v>52.538179088450903</c:v>
                </c:pt>
                <c:pt idx="15">
                  <c:v>56.341118979247703</c:v>
                </c:pt>
                <c:pt idx="16">
                  <c:v>54.373214211018897</c:v>
                </c:pt>
                <c:pt idx="17">
                  <c:v>50.121367983747</c:v>
                </c:pt>
                <c:pt idx="18">
                  <c:v>54.857723964078197</c:v>
                </c:pt>
                <c:pt idx="19">
                  <c:v>53.914733690594502</c:v>
                </c:pt>
                <c:pt idx="20">
                  <c:v>52.843976863494603</c:v>
                </c:pt>
                <c:pt idx="21">
                  <c:v>54.5310300048302</c:v>
                </c:pt>
                <c:pt idx="22">
                  <c:v>52.426165274020597</c:v>
                </c:pt>
                <c:pt idx="23">
                  <c:v>52.196538253900798</c:v>
                </c:pt>
                <c:pt idx="24">
                  <c:v>53.551147940771102</c:v>
                </c:pt>
                <c:pt idx="25">
                  <c:v>51.170692125308697</c:v>
                </c:pt>
                <c:pt idx="26">
                  <c:v>52.106353202379402</c:v>
                </c:pt>
                <c:pt idx="27">
                  <c:v>31.759311706674598</c:v>
                </c:pt>
                <c:pt idx="28">
                  <c:v>42.716008007242202</c:v>
                </c:pt>
                <c:pt idx="29">
                  <c:v>52.827624382662101</c:v>
                </c:pt>
                <c:pt idx="30">
                  <c:v>54.008151716940901</c:v>
                </c:pt>
                <c:pt idx="31">
                  <c:v>51.338306206895197</c:v>
                </c:pt>
                <c:pt idx="32">
                  <c:v>51.729893149452003</c:v>
                </c:pt>
                <c:pt idx="33">
                  <c:v>53.292338848595101</c:v>
                </c:pt>
                <c:pt idx="34">
                  <c:v>51.3372210558056</c:v>
                </c:pt>
                <c:pt idx="35">
                  <c:v>53.263084123323203</c:v>
                </c:pt>
                <c:pt idx="36">
                  <c:v>53.0728826332968</c:v>
                </c:pt>
                <c:pt idx="37">
                  <c:v>55.180626851601097</c:v>
                </c:pt>
                <c:pt idx="38">
                  <c:v>54.753624757750899</c:v>
                </c:pt>
                <c:pt idx="39">
                  <c:v>51.800667116566302</c:v>
                </c:pt>
                <c:pt idx="40">
                  <c:v>53.1792778433365</c:v>
                </c:pt>
                <c:pt idx="41">
                  <c:v>54.313358628865501</c:v>
                </c:pt>
                <c:pt idx="42">
                  <c:v>52.088380956096103</c:v>
                </c:pt>
                <c:pt idx="43">
                  <c:v>51.675717609449698</c:v>
                </c:pt>
                <c:pt idx="44">
                  <c:v>55.051845856119797</c:v>
                </c:pt>
                <c:pt idx="45">
                  <c:v>51.846381795946499</c:v>
                </c:pt>
                <c:pt idx="46">
                  <c:v>53.636518002571997</c:v>
                </c:pt>
                <c:pt idx="47">
                  <c:v>53.653735498206998</c:v>
                </c:pt>
                <c:pt idx="48">
                  <c:v>52.334636481203603</c:v>
                </c:pt>
                <c:pt idx="49">
                  <c:v>52.68035083617</c:v>
                </c:pt>
                <c:pt idx="50">
                  <c:v>52.9458034706239</c:v>
                </c:pt>
                <c:pt idx="51">
                  <c:v>52.715572222440201</c:v>
                </c:pt>
                <c:pt idx="52">
                  <c:v>53.9078666545781</c:v>
                </c:pt>
                <c:pt idx="53">
                  <c:v>51.736425275090603</c:v>
                </c:pt>
                <c:pt idx="54">
                  <c:v>51.833742027329798</c:v>
                </c:pt>
                <c:pt idx="55">
                  <c:v>58.331367473796497</c:v>
                </c:pt>
                <c:pt idx="56">
                  <c:v>51.750163070421898</c:v>
                </c:pt>
                <c:pt idx="57">
                  <c:v>53.279046980368001</c:v>
                </c:pt>
                <c:pt idx="58">
                  <c:v>52.968766204258401</c:v>
                </c:pt>
                <c:pt idx="59">
                  <c:v>51.3293004221118</c:v>
                </c:pt>
                <c:pt idx="60">
                  <c:v>52.329994844156403</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COM'!$J$89:$J$160</c:f>
              <c:numCache>
                <c:formatCode>0.0_)</c:formatCode>
                <c:ptCount val="61"/>
                <c:pt idx="0">
                  <c:v>55.562857921034997</c:v>
                </c:pt>
                <c:pt idx="1">
                  <c:v>55.353427682529798</c:v>
                </c:pt>
                <c:pt idx="2">
                  <c:v>55.156856245643397</c:v>
                </c:pt>
                <c:pt idx="3">
                  <c:v>54.987002802208799</c:v>
                </c:pt>
                <c:pt idx="4">
                  <c:v>54.843901435957797</c:v>
                </c:pt>
                <c:pt idx="5">
                  <c:v>54.716754634498798</c:v>
                </c:pt>
                <c:pt idx="6">
                  <c:v>54.606198857941102</c:v>
                </c:pt>
                <c:pt idx="7">
                  <c:v>54.501574731865396</c:v>
                </c:pt>
                <c:pt idx="8">
                  <c:v>54.390223203592399</c:v>
                </c:pt>
                <c:pt idx="9">
                  <c:v>54.272666701744903</c:v>
                </c:pt>
                <c:pt idx="10">
                  <c:v>54.147611209355397</c:v>
                </c:pt>
                <c:pt idx="11">
                  <c:v>54.022570358132</c:v>
                </c:pt>
                <c:pt idx="12">
                  <c:v>53.916913593145203</c:v>
                </c:pt>
                <c:pt idx="13">
                  <c:v>53.8367461809556</c:v>
                </c:pt>
                <c:pt idx="14">
                  <c:v>53.790721533608497</c:v>
                </c:pt>
                <c:pt idx="15">
                  <c:v>53.779713004408102</c:v>
                </c:pt>
                <c:pt idx="16">
                  <c:v>53.784661865486001</c:v>
                </c:pt>
                <c:pt idx="17">
                  <c:v>53.784260148807803</c:v>
                </c:pt>
                <c:pt idx="18">
                  <c:v>53.747919384481399</c:v>
                </c:pt>
                <c:pt idx="19">
                  <c:v>53.652279631239203</c:v>
                </c:pt>
                <c:pt idx="20">
                  <c:v>53.497802981157903</c:v>
                </c:pt>
                <c:pt idx="21">
                  <c:v>53.308757386741902</c:v>
                </c:pt>
                <c:pt idx="22">
                  <c:v>53.104545569313203</c:v>
                </c:pt>
                <c:pt idx="23">
                  <c:v>52.905609521753298</c:v>
                </c:pt>
                <c:pt idx="24">
                  <c:v>52.731960992498102</c:v>
                </c:pt>
                <c:pt idx="25">
                  <c:v>52.598604686343997</c:v>
                </c:pt>
                <c:pt idx="26">
                  <c:v>52.503054441051098</c:v>
                </c:pt>
                <c:pt idx="27">
                  <c:v>52.434832438376503</c:v>
                </c:pt>
                <c:pt idx="28">
                  <c:v>52.396878065286501</c:v>
                </c:pt>
                <c:pt idx="29">
                  <c:v>52.396311640489301</c:v>
                </c:pt>
                <c:pt idx="30">
                  <c:v>52.430176875619999</c:v>
                </c:pt>
                <c:pt idx="31">
                  <c:v>52.499914094727501</c:v>
                </c:pt>
                <c:pt idx="32">
                  <c:v>52.612196486456497</c:v>
                </c:pt>
                <c:pt idx="33">
                  <c:v>52.7511616384744</c:v>
                </c:pt>
                <c:pt idx="34">
                  <c:v>52.904800707255497</c:v>
                </c:pt>
                <c:pt idx="35">
                  <c:v>53.060978533793097</c:v>
                </c:pt>
                <c:pt idx="36">
                  <c:v>53.197037602029603</c:v>
                </c:pt>
                <c:pt idx="37">
                  <c:v>53.3008203351541</c:v>
                </c:pt>
                <c:pt idx="38">
                  <c:v>53.368208071153298</c:v>
                </c:pt>
                <c:pt idx="39">
                  <c:v>53.385200278863103</c:v>
                </c:pt>
                <c:pt idx="40">
                  <c:v>53.350323041070801</c:v>
                </c:pt>
                <c:pt idx="41">
                  <c:v>53.2710709706869</c:v>
                </c:pt>
                <c:pt idx="42">
                  <c:v>53.1660687240092</c:v>
                </c:pt>
                <c:pt idx="43">
                  <c:v>53.0642909506577</c:v>
                </c:pt>
                <c:pt idx="44">
                  <c:v>52.988194839192197</c:v>
                </c:pt>
                <c:pt idx="45">
                  <c:v>52.943754790132203</c:v>
                </c:pt>
                <c:pt idx="46">
                  <c:v>52.922893159056102</c:v>
                </c:pt>
                <c:pt idx="47">
                  <c:v>52.915824382426301</c:v>
                </c:pt>
                <c:pt idx="48">
                  <c:v>52.907133422599003</c:v>
                </c:pt>
                <c:pt idx="49">
                  <c:v>52.885266219791802</c:v>
                </c:pt>
                <c:pt idx="50">
                  <c:v>52.845489455199697</c:v>
                </c:pt>
                <c:pt idx="51">
                  <c:v>52.795634249874098</c:v>
                </c:pt>
                <c:pt idx="52">
                  <c:v>52.739333433988897</c:v>
                </c:pt>
                <c:pt idx="53">
                  <c:v>52.6725481050022</c:v>
                </c:pt>
                <c:pt idx="54">
                  <c:v>52.597121685653804</c:v>
                </c:pt>
                <c:pt idx="55">
                  <c:v>52.517259518924</c:v>
                </c:pt>
                <c:pt idx="56">
                  <c:v>52.4243773681291</c:v>
                </c:pt>
                <c:pt idx="57">
                  <c:v>52.318227689826699</c:v>
                </c:pt>
                <c:pt idx="58">
                  <c:v>52.215505057656998</c:v>
                </c:pt>
                <c:pt idx="59">
                  <c:v>52.1232876769622</c:v>
                </c:pt>
                <c:pt idx="60">
                  <c:v>52.053309077861002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781001056"/>
        <c:axId val="780994000"/>
      </c:lineChart>
      <c:catAx>
        <c:axId val="781001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0994000"/>
        <c:crossesAt val="50"/>
        <c:auto val="1"/>
        <c:lblAlgn val="ctr"/>
        <c:lblOffset val="50"/>
        <c:tickLblSkip val="1"/>
        <c:tickMarkSkip val="12"/>
        <c:noMultiLvlLbl val="1"/>
      </c:catAx>
      <c:valAx>
        <c:axId val="780994000"/>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01056"/>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COM'!$K$89:$K$160</c:f>
              <c:numCache>
                <c:formatCode>0.0_)</c:formatCode>
                <c:ptCount val="61"/>
                <c:pt idx="0">
                  <c:v>50.226872805813002</c:v>
                </c:pt>
                <c:pt idx="1">
                  <c:v>61.181737643770703</c:v>
                </c:pt>
                <c:pt idx="2">
                  <c:v>54.804802997028403</c:v>
                </c:pt>
                <c:pt idx="3">
                  <c:v>55.761379434803999</c:v>
                </c:pt>
                <c:pt idx="4">
                  <c:v>53.8147498561368</c:v>
                </c:pt>
                <c:pt idx="5">
                  <c:v>55.383377126227302</c:v>
                </c:pt>
                <c:pt idx="6">
                  <c:v>53.745088125434201</c:v>
                </c:pt>
                <c:pt idx="7">
                  <c:v>55.058070748978601</c:v>
                </c:pt>
                <c:pt idx="8">
                  <c:v>54.438601566201299</c:v>
                </c:pt>
                <c:pt idx="9">
                  <c:v>53.538840157683097</c:v>
                </c:pt>
                <c:pt idx="10">
                  <c:v>53.215817959412099</c:v>
                </c:pt>
                <c:pt idx="11">
                  <c:v>58.244499139493001</c:v>
                </c:pt>
                <c:pt idx="12">
                  <c:v>52.470218836236597</c:v>
                </c:pt>
                <c:pt idx="13">
                  <c:v>51.230260429030899</c:v>
                </c:pt>
                <c:pt idx="14">
                  <c:v>53.541940095583797</c:v>
                </c:pt>
                <c:pt idx="15">
                  <c:v>53.741817392802702</c:v>
                </c:pt>
                <c:pt idx="16">
                  <c:v>53.4782066689272</c:v>
                </c:pt>
                <c:pt idx="17">
                  <c:v>51.636810124524899</c:v>
                </c:pt>
                <c:pt idx="18">
                  <c:v>51.9061450498684</c:v>
                </c:pt>
                <c:pt idx="19">
                  <c:v>50.406448938925998</c:v>
                </c:pt>
                <c:pt idx="20">
                  <c:v>51.270650798570202</c:v>
                </c:pt>
                <c:pt idx="21">
                  <c:v>52.228576967043701</c:v>
                </c:pt>
                <c:pt idx="22">
                  <c:v>51.932808813094297</c:v>
                </c:pt>
                <c:pt idx="23">
                  <c:v>49.192795685830603</c:v>
                </c:pt>
                <c:pt idx="24">
                  <c:v>51.652325946413796</c:v>
                </c:pt>
                <c:pt idx="25">
                  <c:v>50.208110912444901</c:v>
                </c:pt>
                <c:pt idx="26">
                  <c:v>49.086198287406802</c:v>
                </c:pt>
                <c:pt idx="27">
                  <c:v>44.5176235030331</c:v>
                </c:pt>
                <c:pt idx="28">
                  <c:v>44.286325691555</c:v>
                </c:pt>
                <c:pt idx="29">
                  <c:v>51.137626537867199</c:v>
                </c:pt>
                <c:pt idx="30">
                  <c:v>52.125446547813802</c:v>
                </c:pt>
                <c:pt idx="31">
                  <c:v>44.838649328767303</c:v>
                </c:pt>
                <c:pt idx="32">
                  <c:v>51.254164123427202</c:v>
                </c:pt>
                <c:pt idx="33">
                  <c:v>51.235377770699699</c:v>
                </c:pt>
                <c:pt idx="34">
                  <c:v>50.516111030315898</c:v>
                </c:pt>
                <c:pt idx="35">
                  <c:v>52.800951854771199</c:v>
                </c:pt>
                <c:pt idx="36">
                  <c:v>52.938693631246203</c:v>
                </c:pt>
                <c:pt idx="37">
                  <c:v>52.962894524861298</c:v>
                </c:pt>
                <c:pt idx="38">
                  <c:v>51.845916819259003</c:v>
                </c:pt>
                <c:pt idx="39">
                  <c:v>51.8731264919887</c:v>
                </c:pt>
                <c:pt idx="40">
                  <c:v>51.762102166825599</c:v>
                </c:pt>
                <c:pt idx="41">
                  <c:v>49.448765462023097</c:v>
                </c:pt>
                <c:pt idx="42">
                  <c:v>52.037601977109503</c:v>
                </c:pt>
                <c:pt idx="43">
                  <c:v>51.182077185845998</c:v>
                </c:pt>
                <c:pt idx="44">
                  <c:v>51.684953278264103</c:v>
                </c:pt>
                <c:pt idx="45">
                  <c:v>51.680698920780699</c:v>
                </c:pt>
                <c:pt idx="46">
                  <c:v>52.1945269905505</c:v>
                </c:pt>
                <c:pt idx="47">
                  <c:v>53.4705478170739</c:v>
                </c:pt>
                <c:pt idx="48">
                  <c:v>51.420986821917502</c:v>
                </c:pt>
                <c:pt idx="49">
                  <c:v>54.016947084492301</c:v>
                </c:pt>
                <c:pt idx="50">
                  <c:v>54.872672951398798</c:v>
                </c:pt>
                <c:pt idx="51">
                  <c:v>50.943172040172499</c:v>
                </c:pt>
                <c:pt idx="52">
                  <c:v>49.980785032417799</c:v>
                </c:pt>
                <c:pt idx="53">
                  <c:v>54.814071739980797</c:v>
                </c:pt>
                <c:pt idx="54">
                  <c:v>51.581883347112701</c:v>
                </c:pt>
                <c:pt idx="55">
                  <c:v>53.865905152707299</c:v>
                </c:pt>
                <c:pt idx="56">
                  <c:v>51.923269236567599</c:v>
                </c:pt>
                <c:pt idx="57">
                  <c:v>51.891061470643798</c:v>
                </c:pt>
                <c:pt idx="58">
                  <c:v>51.5027182378494</c:v>
                </c:pt>
                <c:pt idx="59">
                  <c:v>50.550672723296998</c:v>
                </c:pt>
                <c:pt idx="60">
                  <c:v>50.668618438475796</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COM'!$L$89:$L$160</c:f>
              <c:numCache>
                <c:formatCode>0.0_)</c:formatCode>
                <c:ptCount val="61"/>
                <c:pt idx="0">
                  <c:v>54.3452491644777</c:v>
                </c:pt>
                <c:pt idx="1">
                  <c:v>54.458960040184699</c:v>
                </c:pt>
                <c:pt idx="2">
                  <c:v>54.549443899747601</c:v>
                </c:pt>
                <c:pt idx="3">
                  <c:v>54.600246189272099</c:v>
                </c:pt>
                <c:pt idx="4">
                  <c:v>54.597528525521803</c:v>
                </c:pt>
                <c:pt idx="5">
                  <c:v>54.530571326926903</c:v>
                </c:pt>
                <c:pt idx="6">
                  <c:v>54.4089123264351</c:v>
                </c:pt>
                <c:pt idx="7">
                  <c:v>54.2484700956946</c:v>
                </c:pt>
                <c:pt idx="8">
                  <c:v>54.060444303376499</c:v>
                </c:pt>
                <c:pt idx="9">
                  <c:v>53.854882220179398</c:v>
                </c:pt>
                <c:pt idx="10">
                  <c:v>53.639130335984497</c:v>
                </c:pt>
                <c:pt idx="11">
                  <c:v>53.423896098658098</c:v>
                </c:pt>
                <c:pt idx="12">
                  <c:v>53.225627310426702</c:v>
                </c:pt>
                <c:pt idx="13">
                  <c:v>53.035838449034102</c:v>
                </c:pt>
                <c:pt idx="14">
                  <c:v>52.850215693666598</c:v>
                </c:pt>
                <c:pt idx="15">
                  <c:v>52.6643832768967</c:v>
                </c:pt>
                <c:pt idx="16">
                  <c:v>52.472362628617802</c:v>
                </c:pt>
                <c:pt idx="17">
                  <c:v>52.268063105782097</c:v>
                </c:pt>
                <c:pt idx="18">
                  <c:v>52.038174235893401</c:v>
                </c:pt>
                <c:pt idx="19">
                  <c:v>51.779986148621902</c:v>
                </c:pt>
                <c:pt idx="20">
                  <c:v>51.498155004305197</c:v>
                </c:pt>
                <c:pt idx="21">
                  <c:v>51.219812767948802</c:v>
                </c:pt>
                <c:pt idx="22">
                  <c:v>50.975826834902499</c:v>
                </c:pt>
                <c:pt idx="23">
                  <c:v>50.793714219660103</c:v>
                </c:pt>
                <c:pt idx="24">
                  <c:v>50.680109359793299</c:v>
                </c:pt>
                <c:pt idx="25">
                  <c:v>50.630203464218198</c:v>
                </c:pt>
                <c:pt idx="26">
                  <c:v>50.630813076534103</c:v>
                </c:pt>
                <c:pt idx="27">
                  <c:v>50.675460812186301</c:v>
                </c:pt>
                <c:pt idx="28">
                  <c:v>50.767029968170498</c:v>
                </c:pt>
                <c:pt idx="29">
                  <c:v>50.910154292118101</c:v>
                </c:pt>
                <c:pt idx="30">
                  <c:v>51.106377310030503</c:v>
                </c:pt>
                <c:pt idx="31">
                  <c:v>51.334812845076101</c:v>
                </c:pt>
                <c:pt idx="32">
                  <c:v>51.570955252337498</c:v>
                </c:pt>
                <c:pt idx="33">
                  <c:v>51.7798435507856</c:v>
                </c:pt>
                <c:pt idx="34">
                  <c:v>51.937652704960399</c:v>
                </c:pt>
                <c:pt idx="35">
                  <c:v>52.035010175973703</c:v>
                </c:pt>
                <c:pt idx="36">
                  <c:v>52.0672815206118</c:v>
                </c:pt>
                <c:pt idx="37">
                  <c:v>52.044514450697399</c:v>
                </c:pt>
                <c:pt idx="38">
                  <c:v>51.983720048672502</c:v>
                </c:pt>
                <c:pt idx="39">
                  <c:v>51.902312191636902</c:v>
                </c:pt>
                <c:pt idx="40">
                  <c:v>51.822141133292199</c:v>
                </c:pt>
                <c:pt idx="41">
                  <c:v>51.763543283891401</c:v>
                </c:pt>
                <c:pt idx="42">
                  <c:v>51.742532418900801</c:v>
                </c:pt>
                <c:pt idx="43">
                  <c:v>51.775066266034401</c:v>
                </c:pt>
                <c:pt idx="44">
                  <c:v>51.863273738357897</c:v>
                </c:pt>
                <c:pt idx="45">
                  <c:v>52.003052340313999</c:v>
                </c:pt>
                <c:pt idx="46">
                  <c:v>52.177038491393098</c:v>
                </c:pt>
                <c:pt idx="47">
                  <c:v>52.358211493503198</c:v>
                </c:pt>
                <c:pt idx="48">
                  <c:v>52.516817027544697</c:v>
                </c:pt>
                <c:pt idx="49">
                  <c:v>52.635432281858002</c:v>
                </c:pt>
                <c:pt idx="50">
                  <c:v>52.7052365867738</c:v>
                </c:pt>
                <c:pt idx="51">
                  <c:v>52.712795991809699</c:v>
                </c:pt>
                <c:pt idx="52">
                  <c:v>52.648405541732103</c:v>
                </c:pt>
                <c:pt idx="53">
                  <c:v>52.517435929422703</c:v>
                </c:pt>
                <c:pt idx="54">
                  <c:v>52.330485018170101</c:v>
                </c:pt>
                <c:pt idx="55">
                  <c:v>52.104780112070699</c:v>
                </c:pt>
                <c:pt idx="56">
                  <c:v>51.867812229447303</c:v>
                </c:pt>
                <c:pt idx="57">
                  <c:v>51.639955252667903</c:v>
                </c:pt>
                <c:pt idx="58">
                  <c:v>51.439270135680097</c:v>
                </c:pt>
                <c:pt idx="59">
                  <c:v>51.277502047843399</c:v>
                </c:pt>
                <c:pt idx="60">
                  <c:v>51.166558873383501</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781000272"/>
        <c:axId val="781000664"/>
      </c:lineChart>
      <c:catAx>
        <c:axId val="781000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1000664"/>
        <c:crossesAt val="50"/>
        <c:auto val="1"/>
        <c:lblAlgn val="ctr"/>
        <c:lblOffset val="50"/>
        <c:tickLblSkip val="1"/>
        <c:tickMarkSkip val="12"/>
        <c:noMultiLvlLbl val="1"/>
      </c:catAx>
      <c:valAx>
        <c:axId val="781000664"/>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0027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COM'!$M$89:$M$160</c:f>
              <c:numCache>
                <c:formatCode>0.0_)</c:formatCode>
                <c:ptCount val="61"/>
                <c:pt idx="0">
                  <c:v>57.671972230144199</c:v>
                </c:pt>
                <c:pt idx="1">
                  <c:v>58.281131627650801</c:v>
                </c:pt>
                <c:pt idx="2">
                  <c:v>57.981427976554599</c:v>
                </c:pt>
                <c:pt idx="3">
                  <c:v>56.252852151477597</c:v>
                </c:pt>
                <c:pt idx="4">
                  <c:v>58.240901627480497</c:v>
                </c:pt>
                <c:pt idx="5">
                  <c:v>57.5077639991475</c:v>
                </c:pt>
                <c:pt idx="6">
                  <c:v>58.395730753682599</c:v>
                </c:pt>
                <c:pt idx="7">
                  <c:v>57.920537957219302</c:v>
                </c:pt>
                <c:pt idx="8">
                  <c:v>57.8111313003254</c:v>
                </c:pt>
                <c:pt idx="9">
                  <c:v>56.915986629574498</c:v>
                </c:pt>
                <c:pt idx="10">
                  <c:v>56.2716557922231</c:v>
                </c:pt>
                <c:pt idx="11">
                  <c:v>56.196214725758502</c:v>
                </c:pt>
                <c:pt idx="12">
                  <c:v>54.890649110389496</c:v>
                </c:pt>
                <c:pt idx="13">
                  <c:v>52.604635773838197</c:v>
                </c:pt>
                <c:pt idx="14">
                  <c:v>54.873409608443801</c:v>
                </c:pt>
                <c:pt idx="15">
                  <c:v>56.097723562469803</c:v>
                </c:pt>
                <c:pt idx="16">
                  <c:v>54.210658187681503</c:v>
                </c:pt>
                <c:pt idx="17">
                  <c:v>54.544463790404201</c:v>
                </c:pt>
                <c:pt idx="18">
                  <c:v>54.977081359853003</c:v>
                </c:pt>
                <c:pt idx="19">
                  <c:v>54.924980592411799</c:v>
                </c:pt>
                <c:pt idx="20">
                  <c:v>55.279648462986898</c:v>
                </c:pt>
                <c:pt idx="21">
                  <c:v>53.588699275982897</c:v>
                </c:pt>
                <c:pt idx="22">
                  <c:v>53.203726950332701</c:v>
                </c:pt>
                <c:pt idx="23">
                  <c:v>52.763805106625298</c:v>
                </c:pt>
                <c:pt idx="24">
                  <c:v>54.297558154137299</c:v>
                </c:pt>
                <c:pt idx="25">
                  <c:v>53.061351339960602</c:v>
                </c:pt>
                <c:pt idx="26">
                  <c:v>45.359530943658498</c:v>
                </c:pt>
                <c:pt idx="27">
                  <c:v>41.791001456801403</c:v>
                </c:pt>
                <c:pt idx="28">
                  <c:v>44.277200667511302</c:v>
                </c:pt>
                <c:pt idx="29">
                  <c:v>43.395336685861103</c:v>
                </c:pt>
                <c:pt idx="30">
                  <c:v>49.838417048280597</c:v>
                </c:pt>
                <c:pt idx="31">
                  <c:v>50.264909280990601</c:v>
                </c:pt>
                <c:pt idx="32">
                  <c:v>48.397337813636298</c:v>
                </c:pt>
                <c:pt idx="33">
                  <c:v>52.622010624935498</c:v>
                </c:pt>
                <c:pt idx="34">
                  <c:v>51.164559830552498</c:v>
                </c:pt>
                <c:pt idx="35">
                  <c:v>52.017242177913403</c:v>
                </c:pt>
                <c:pt idx="36">
                  <c:v>48.283112469837597</c:v>
                </c:pt>
                <c:pt idx="37">
                  <c:v>56.706529240131601</c:v>
                </c:pt>
                <c:pt idx="38">
                  <c:v>49.862746157738201</c:v>
                </c:pt>
                <c:pt idx="39">
                  <c:v>52.754105734952603</c:v>
                </c:pt>
                <c:pt idx="40">
                  <c:v>51.902091661369901</c:v>
                </c:pt>
                <c:pt idx="41">
                  <c:v>52.288920028986198</c:v>
                </c:pt>
                <c:pt idx="42">
                  <c:v>52.098901589283898</c:v>
                </c:pt>
                <c:pt idx="43">
                  <c:v>52.795477152841798</c:v>
                </c:pt>
                <c:pt idx="44">
                  <c:v>53.726033221434399</c:v>
                </c:pt>
                <c:pt idx="45">
                  <c:v>53.839928550318803</c:v>
                </c:pt>
                <c:pt idx="46">
                  <c:v>53.934831615667598</c:v>
                </c:pt>
                <c:pt idx="47">
                  <c:v>53.743661166111401</c:v>
                </c:pt>
                <c:pt idx="48">
                  <c:v>51.7040998907638</c:v>
                </c:pt>
                <c:pt idx="49">
                  <c:v>51.852392081491601</c:v>
                </c:pt>
                <c:pt idx="50">
                  <c:v>53.563493535171901</c:v>
                </c:pt>
                <c:pt idx="51">
                  <c:v>52.900706028690898</c:v>
                </c:pt>
                <c:pt idx="52">
                  <c:v>54.1311944668062</c:v>
                </c:pt>
                <c:pt idx="53">
                  <c:v>53.805447529180697</c:v>
                </c:pt>
                <c:pt idx="54">
                  <c:v>54.734860252618802</c:v>
                </c:pt>
                <c:pt idx="55">
                  <c:v>53.160263118161502</c:v>
                </c:pt>
                <c:pt idx="56">
                  <c:v>52.598475067987799</c:v>
                </c:pt>
                <c:pt idx="57">
                  <c:v>53.445933928368802</c:v>
                </c:pt>
                <c:pt idx="58">
                  <c:v>54.369881114764503</c:v>
                </c:pt>
                <c:pt idx="59">
                  <c:v>53.428363929821401</c:v>
                </c:pt>
                <c:pt idx="60">
                  <c:v>54.2982660866627</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COM'!$N$89:$N$160</c:f>
              <c:numCache>
                <c:formatCode>0.0_)</c:formatCode>
                <c:ptCount val="61"/>
                <c:pt idx="0">
                  <c:v>57.238494680323299</c:v>
                </c:pt>
                <c:pt idx="1">
                  <c:v>57.525404435224601</c:v>
                </c:pt>
                <c:pt idx="2">
                  <c:v>57.711007387383198</c:v>
                </c:pt>
                <c:pt idx="3">
                  <c:v>57.808200185272597</c:v>
                </c:pt>
                <c:pt idx="4">
                  <c:v>57.886018679483897</c:v>
                </c:pt>
                <c:pt idx="5">
                  <c:v>57.924695355833002</c:v>
                </c:pt>
                <c:pt idx="6">
                  <c:v>57.933964453226601</c:v>
                </c:pt>
                <c:pt idx="7">
                  <c:v>57.833940128985297</c:v>
                </c:pt>
                <c:pt idx="8">
                  <c:v>57.5367613311574</c:v>
                </c:pt>
                <c:pt idx="9">
                  <c:v>57.018631244318797</c:v>
                </c:pt>
                <c:pt idx="10">
                  <c:v>56.422816839331297</c:v>
                </c:pt>
                <c:pt idx="11">
                  <c:v>55.892776653755902</c:v>
                </c:pt>
                <c:pt idx="12">
                  <c:v>55.467853025541899</c:v>
                </c:pt>
                <c:pt idx="13">
                  <c:v>55.1812352549968</c:v>
                </c:pt>
                <c:pt idx="14">
                  <c:v>54.992744015769901</c:v>
                </c:pt>
                <c:pt idx="15">
                  <c:v>54.912519061839603</c:v>
                </c:pt>
                <c:pt idx="16">
                  <c:v>54.909444407100999</c:v>
                </c:pt>
                <c:pt idx="17">
                  <c:v>54.9280427635778</c:v>
                </c:pt>
                <c:pt idx="18">
                  <c:v>54.852883185447801</c:v>
                </c:pt>
                <c:pt idx="19">
                  <c:v>54.654287937271199</c:v>
                </c:pt>
                <c:pt idx="20">
                  <c:v>54.391919764911897</c:v>
                </c:pt>
                <c:pt idx="21">
                  <c:v>54.092698300612199</c:v>
                </c:pt>
                <c:pt idx="22">
                  <c:v>53.763248849405699</c:v>
                </c:pt>
                <c:pt idx="23">
                  <c:v>53.409164110512997</c:v>
                </c:pt>
                <c:pt idx="24">
                  <c:v>53.106214666121502</c:v>
                </c:pt>
                <c:pt idx="25">
                  <c:v>52.807195507036099</c:v>
                </c:pt>
                <c:pt idx="26">
                  <c:v>52.4430531151907</c:v>
                </c:pt>
                <c:pt idx="27">
                  <c:v>51.961895168212699</c:v>
                </c:pt>
                <c:pt idx="28">
                  <c:v>51.387018608686603</c:v>
                </c:pt>
                <c:pt idx="29">
                  <c:v>50.839817768436703</c:v>
                </c:pt>
                <c:pt idx="30">
                  <c:v>50.4480189548566</c:v>
                </c:pt>
                <c:pt idx="31">
                  <c:v>50.282691701295299</c:v>
                </c:pt>
                <c:pt idx="32">
                  <c:v>50.346065490311901</c:v>
                </c:pt>
                <c:pt idx="33">
                  <c:v>50.628020679650803</c:v>
                </c:pt>
                <c:pt idx="34">
                  <c:v>51.076598354668803</c:v>
                </c:pt>
                <c:pt idx="35">
                  <c:v>51.559165515107203</c:v>
                </c:pt>
                <c:pt idx="36">
                  <c:v>51.948672074723099</c:v>
                </c:pt>
                <c:pt idx="37">
                  <c:v>52.175441936821798</c:v>
                </c:pt>
                <c:pt idx="38">
                  <c:v>52.249002900837503</c:v>
                </c:pt>
                <c:pt idx="39">
                  <c:v>52.228367444649699</c:v>
                </c:pt>
                <c:pt idx="40">
                  <c:v>52.229230882306602</c:v>
                </c:pt>
                <c:pt idx="41">
                  <c:v>52.336386222328898</c:v>
                </c:pt>
                <c:pt idx="42">
                  <c:v>52.619445907909601</c:v>
                </c:pt>
                <c:pt idx="43">
                  <c:v>53.017067270604997</c:v>
                </c:pt>
                <c:pt idx="44">
                  <c:v>53.360173778199403</c:v>
                </c:pt>
                <c:pt idx="45">
                  <c:v>53.514745570418498</c:v>
                </c:pt>
                <c:pt idx="46">
                  <c:v>53.418628239199101</c:v>
                </c:pt>
                <c:pt idx="47">
                  <c:v>53.1441242613624</c:v>
                </c:pt>
                <c:pt idx="48">
                  <c:v>52.856368534539399</c:v>
                </c:pt>
                <c:pt idx="49">
                  <c:v>52.7498106996903</c:v>
                </c:pt>
                <c:pt idx="50">
                  <c:v>52.928671907306899</c:v>
                </c:pt>
                <c:pt idx="51">
                  <c:v>53.2901010442366</c:v>
                </c:pt>
                <c:pt idx="52">
                  <c:v>53.624562772657399</c:v>
                </c:pt>
                <c:pt idx="53">
                  <c:v>53.802506207594497</c:v>
                </c:pt>
                <c:pt idx="54">
                  <c:v>53.771380607397298</c:v>
                </c:pt>
                <c:pt idx="55">
                  <c:v>53.609371184408403</c:v>
                </c:pt>
                <c:pt idx="56">
                  <c:v>53.5094053863561</c:v>
                </c:pt>
                <c:pt idx="57">
                  <c:v>53.542317266208201</c:v>
                </c:pt>
                <c:pt idx="58">
                  <c:v>53.6843803980167</c:v>
                </c:pt>
                <c:pt idx="59">
                  <c:v>53.880024842316502</c:v>
                </c:pt>
                <c:pt idx="60">
                  <c:v>54.022909224241097</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780992432"/>
        <c:axId val="781003016"/>
      </c:lineChart>
      <c:catAx>
        <c:axId val="7809924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1003016"/>
        <c:crossesAt val="50"/>
        <c:auto val="1"/>
        <c:lblAlgn val="ctr"/>
        <c:lblOffset val="50"/>
        <c:tickLblSkip val="1"/>
        <c:tickMarkSkip val="12"/>
        <c:noMultiLvlLbl val="1"/>
      </c:catAx>
      <c:valAx>
        <c:axId val="781003016"/>
        <c:scaling>
          <c:orientation val="minMax"/>
          <c:max val="63"/>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0992432"/>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SERV'!$C$17:$C$88</c:f>
              <c:numCache>
                <c:formatCode>0.0_)</c:formatCode>
                <c:ptCount val="61"/>
                <c:pt idx="0">
                  <c:v>56.098806532583403</c:v>
                </c:pt>
                <c:pt idx="1">
                  <c:v>55.116918914943497</c:v>
                </c:pt>
                <c:pt idx="2">
                  <c:v>55.5450090592904</c:v>
                </c:pt>
                <c:pt idx="3">
                  <c:v>54.851172068587402</c:v>
                </c:pt>
                <c:pt idx="4">
                  <c:v>54.922224795882997</c:v>
                </c:pt>
                <c:pt idx="5">
                  <c:v>57.810913557048998</c:v>
                </c:pt>
                <c:pt idx="6">
                  <c:v>54.788183229191603</c:v>
                </c:pt>
                <c:pt idx="7">
                  <c:v>53.1496863594434</c:v>
                </c:pt>
                <c:pt idx="8">
                  <c:v>53.782382585810701</c:v>
                </c:pt>
                <c:pt idx="9">
                  <c:v>53.0170315811298</c:v>
                </c:pt>
                <c:pt idx="10">
                  <c:v>52.9524844723081</c:v>
                </c:pt>
                <c:pt idx="11">
                  <c:v>57.6952716585198</c:v>
                </c:pt>
                <c:pt idx="12">
                  <c:v>56.128141406063797</c:v>
                </c:pt>
                <c:pt idx="13">
                  <c:v>55.740373562095897</c:v>
                </c:pt>
                <c:pt idx="14">
                  <c:v>53.4012242760164</c:v>
                </c:pt>
                <c:pt idx="15">
                  <c:v>60.162387615297</c:v>
                </c:pt>
                <c:pt idx="16">
                  <c:v>52.402000845396401</c:v>
                </c:pt>
                <c:pt idx="17">
                  <c:v>52.8829103521254</c:v>
                </c:pt>
                <c:pt idx="18">
                  <c:v>53.200081715988297</c:v>
                </c:pt>
                <c:pt idx="19">
                  <c:v>51.584462587308302</c:v>
                </c:pt>
                <c:pt idx="20">
                  <c:v>51.167998237526703</c:v>
                </c:pt>
                <c:pt idx="21">
                  <c:v>51.819894988677397</c:v>
                </c:pt>
                <c:pt idx="22">
                  <c:v>52.348960541064002</c:v>
                </c:pt>
                <c:pt idx="23">
                  <c:v>50.576396461312399</c:v>
                </c:pt>
                <c:pt idx="24">
                  <c:v>52.438953376337899</c:v>
                </c:pt>
                <c:pt idx="25">
                  <c:v>51.467537753355103</c:v>
                </c:pt>
                <c:pt idx="26">
                  <c:v>41.583389007844403</c:v>
                </c:pt>
                <c:pt idx="27">
                  <c:v>38.216349252364601</c:v>
                </c:pt>
                <c:pt idx="28">
                  <c:v>38.509681817256102</c:v>
                </c:pt>
                <c:pt idx="29">
                  <c:v>51.013573393973502</c:v>
                </c:pt>
                <c:pt idx="30">
                  <c:v>49.703370801720602</c:v>
                </c:pt>
                <c:pt idx="31">
                  <c:v>52.963337681025898</c:v>
                </c:pt>
                <c:pt idx="32">
                  <c:v>54.219458232029403</c:v>
                </c:pt>
                <c:pt idx="33">
                  <c:v>52.781172064258499</c:v>
                </c:pt>
                <c:pt idx="34">
                  <c:v>52.746702719532401</c:v>
                </c:pt>
                <c:pt idx="35">
                  <c:v>51.989645822111399</c:v>
                </c:pt>
                <c:pt idx="36">
                  <c:v>44.426488795290403</c:v>
                </c:pt>
                <c:pt idx="37">
                  <c:v>53.748655179523801</c:v>
                </c:pt>
                <c:pt idx="38">
                  <c:v>52.389723541455503</c:v>
                </c:pt>
                <c:pt idx="39">
                  <c:v>54.205988588972097</c:v>
                </c:pt>
                <c:pt idx="40">
                  <c:v>53.9646339235521</c:v>
                </c:pt>
                <c:pt idx="41">
                  <c:v>53.791021724915403</c:v>
                </c:pt>
                <c:pt idx="42">
                  <c:v>51.0399130241045</c:v>
                </c:pt>
                <c:pt idx="43">
                  <c:v>50.871930957496701</c:v>
                </c:pt>
                <c:pt idx="44">
                  <c:v>51.416033488628997</c:v>
                </c:pt>
                <c:pt idx="45">
                  <c:v>51.321009892908599</c:v>
                </c:pt>
                <c:pt idx="46">
                  <c:v>49.842983177531302</c:v>
                </c:pt>
                <c:pt idx="47">
                  <c:v>50.214673206135799</c:v>
                </c:pt>
                <c:pt idx="48">
                  <c:v>49.489909515366797</c:v>
                </c:pt>
                <c:pt idx="49">
                  <c:v>49.4752518608746</c:v>
                </c:pt>
                <c:pt idx="50">
                  <c:v>51.715292407506098</c:v>
                </c:pt>
                <c:pt idx="51">
                  <c:v>50.524923966249197</c:v>
                </c:pt>
                <c:pt idx="52">
                  <c:v>51.591143531464901</c:v>
                </c:pt>
                <c:pt idx="53">
                  <c:v>51.183878883534597</c:v>
                </c:pt>
                <c:pt idx="54">
                  <c:v>52.6866361691484</c:v>
                </c:pt>
                <c:pt idx="55">
                  <c:v>52.6617426424827</c:v>
                </c:pt>
                <c:pt idx="56">
                  <c:v>49.687525115819497</c:v>
                </c:pt>
                <c:pt idx="57">
                  <c:v>51.970129994102003</c:v>
                </c:pt>
                <c:pt idx="58">
                  <c:v>52.181105328111997</c:v>
                </c:pt>
                <c:pt idx="59">
                  <c:v>52.559707695576598</c:v>
                </c:pt>
                <c:pt idx="60">
                  <c:v>48.210248812780499</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SERV'!$D$17:$D$88</c:f>
              <c:numCache>
                <c:formatCode>0.0_)</c:formatCode>
                <c:ptCount val="61"/>
                <c:pt idx="0">
                  <c:v>56.100503053627598</c:v>
                </c:pt>
                <c:pt idx="1">
                  <c:v>55.754382993899199</c:v>
                </c:pt>
                <c:pt idx="2">
                  <c:v>55.430766965284903</c:v>
                </c:pt>
                <c:pt idx="3">
                  <c:v>55.124573770747801</c:v>
                </c:pt>
                <c:pt idx="4">
                  <c:v>54.837789224440499</c:v>
                </c:pt>
                <c:pt idx="5">
                  <c:v>54.523355223988197</c:v>
                </c:pt>
                <c:pt idx="6">
                  <c:v>54.127607194243602</c:v>
                </c:pt>
                <c:pt idx="7">
                  <c:v>53.741514219533897</c:v>
                </c:pt>
                <c:pt idx="8">
                  <c:v>53.588009224396998</c:v>
                </c:pt>
                <c:pt idx="9">
                  <c:v>53.7562182681582</c:v>
                </c:pt>
                <c:pt idx="10">
                  <c:v>54.172638030491598</c:v>
                </c:pt>
                <c:pt idx="11">
                  <c:v>54.630428909711199</c:v>
                </c:pt>
                <c:pt idx="12">
                  <c:v>54.870841519080102</c:v>
                </c:pt>
                <c:pt idx="13">
                  <c:v>54.776175536720601</c:v>
                </c:pt>
                <c:pt idx="14">
                  <c:v>54.369016658900698</c:v>
                </c:pt>
                <c:pt idx="15">
                  <c:v>53.771789746409397</c:v>
                </c:pt>
                <c:pt idx="16">
                  <c:v>53.118056669437898</c:v>
                </c:pt>
                <c:pt idx="17">
                  <c:v>52.610294662690102</c:v>
                </c:pt>
                <c:pt idx="18">
                  <c:v>52.2645861756409</c:v>
                </c:pt>
                <c:pt idx="19">
                  <c:v>52.018538188226501</c:v>
                </c:pt>
                <c:pt idx="20">
                  <c:v>51.8181238607675</c:v>
                </c:pt>
                <c:pt idx="21">
                  <c:v>51.669714126552897</c:v>
                </c:pt>
                <c:pt idx="22">
                  <c:v>51.610646419995803</c:v>
                </c:pt>
                <c:pt idx="23">
                  <c:v>51.619552915255397</c:v>
                </c:pt>
                <c:pt idx="24">
                  <c:v>51.646003605755801</c:v>
                </c:pt>
                <c:pt idx="25">
                  <c:v>51.593991210649101</c:v>
                </c:pt>
                <c:pt idx="26">
                  <c:v>51.472258946998103</c:v>
                </c:pt>
                <c:pt idx="27">
                  <c:v>51.405948686519302</c:v>
                </c:pt>
                <c:pt idx="28">
                  <c:v>51.476167697587101</c:v>
                </c:pt>
                <c:pt idx="29">
                  <c:v>51.7040912156397</c:v>
                </c:pt>
                <c:pt idx="30">
                  <c:v>52.043263439136901</c:v>
                </c:pt>
                <c:pt idx="31">
                  <c:v>52.385766329031902</c:v>
                </c:pt>
                <c:pt idx="32">
                  <c:v>52.622988094264997</c:v>
                </c:pt>
                <c:pt idx="33">
                  <c:v>52.711415746138996</c:v>
                </c:pt>
                <c:pt idx="34">
                  <c:v>52.6815114356775</c:v>
                </c:pt>
                <c:pt idx="35">
                  <c:v>52.641819556155802</c:v>
                </c:pt>
                <c:pt idx="36">
                  <c:v>52.764208688231903</c:v>
                </c:pt>
                <c:pt idx="37">
                  <c:v>53.074773035617099</c:v>
                </c:pt>
                <c:pt idx="38">
                  <c:v>53.395827260484303</c:v>
                </c:pt>
                <c:pt idx="39">
                  <c:v>53.508620244767897</c:v>
                </c:pt>
                <c:pt idx="40">
                  <c:v>53.331424242025797</c:v>
                </c:pt>
                <c:pt idx="41">
                  <c:v>52.876768436422097</c:v>
                </c:pt>
                <c:pt idx="42">
                  <c:v>52.258100287703201</c:v>
                </c:pt>
                <c:pt idx="43">
                  <c:v>51.623615865268597</c:v>
                </c:pt>
                <c:pt idx="44">
                  <c:v>51.022674673173597</c:v>
                </c:pt>
                <c:pt idx="45">
                  <c:v>50.535268044606397</c:v>
                </c:pt>
                <c:pt idx="46">
                  <c:v>50.219932549840301</c:v>
                </c:pt>
                <c:pt idx="47">
                  <c:v>50.053660393882403</c:v>
                </c:pt>
                <c:pt idx="48">
                  <c:v>50.014835402901198</c:v>
                </c:pt>
                <c:pt idx="49">
                  <c:v>50.127288410027099</c:v>
                </c:pt>
                <c:pt idx="50">
                  <c:v>50.455757105631399</c:v>
                </c:pt>
                <c:pt idx="51">
                  <c:v>50.931819337271897</c:v>
                </c:pt>
                <c:pt idx="52">
                  <c:v>51.419412341763298</c:v>
                </c:pt>
                <c:pt idx="53">
                  <c:v>51.812182419913498</c:v>
                </c:pt>
                <c:pt idx="54">
                  <c:v>52.105605543709103</c:v>
                </c:pt>
                <c:pt idx="55">
                  <c:v>52.300705925290202</c:v>
                </c:pt>
                <c:pt idx="56">
                  <c:v>52.379862916695998</c:v>
                </c:pt>
                <c:pt idx="57">
                  <c:v>52.304217969063799</c:v>
                </c:pt>
                <c:pt idx="58">
                  <c:v>52.045690497599502</c:v>
                </c:pt>
                <c:pt idx="59">
                  <c:v>51.6982111446357</c:v>
                </c:pt>
                <c:pt idx="60">
                  <c:v>51.3394565084565</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827408712"/>
        <c:axId val="827409104"/>
      </c:lineChart>
      <c:catAx>
        <c:axId val="827408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827409104"/>
        <c:crossesAt val="50"/>
        <c:auto val="1"/>
        <c:lblAlgn val="ctr"/>
        <c:lblOffset val="50"/>
        <c:tickLblSkip val="1"/>
        <c:tickMarkSkip val="12"/>
        <c:noMultiLvlLbl val="1"/>
      </c:catAx>
      <c:valAx>
        <c:axId val="82740910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827408712"/>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SERV'!$E$17:$E$88</c:f>
              <c:numCache>
                <c:formatCode>0.0_)</c:formatCode>
                <c:ptCount val="61"/>
                <c:pt idx="0">
                  <c:v>57.847636652408397</c:v>
                </c:pt>
                <c:pt idx="1">
                  <c:v>55.889943439708198</c:v>
                </c:pt>
                <c:pt idx="2">
                  <c:v>56.815311238556603</c:v>
                </c:pt>
                <c:pt idx="3">
                  <c:v>56.101160590037303</c:v>
                </c:pt>
                <c:pt idx="4">
                  <c:v>55.197515736133198</c:v>
                </c:pt>
                <c:pt idx="5">
                  <c:v>60.871138415240402</c:v>
                </c:pt>
                <c:pt idx="6">
                  <c:v>55.375119881185199</c:v>
                </c:pt>
                <c:pt idx="7">
                  <c:v>53.6700142430482</c:v>
                </c:pt>
                <c:pt idx="8">
                  <c:v>53.324001669438402</c:v>
                </c:pt>
                <c:pt idx="9">
                  <c:v>54.268498311435401</c:v>
                </c:pt>
                <c:pt idx="10">
                  <c:v>54.078167406457098</c:v>
                </c:pt>
                <c:pt idx="11">
                  <c:v>61.941305172485102</c:v>
                </c:pt>
                <c:pt idx="12">
                  <c:v>56.5803745392301</c:v>
                </c:pt>
                <c:pt idx="13">
                  <c:v>56.865626873189299</c:v>
                </c:pt>
                <c:pt idx="14">
                  <c:v>54.585918577668103</c:v>
                </c:pt>
                <c:pt idx="15">
                  <c:v>63.217064651521802</c:v>
                </c:pt>
                <c:pt idx="16">
                  <c:v>55.012969101428602</c:v>
                </c:pt>
                <c:pt idx="17">
                  <c:v>55.064246541243897</c:v>
                </c:pt>
                <c:pt idx="18">
                  <c:v>55.433763224548798</c:v>
                </c:pt>
                <c:pt idx="19">
                  <c:v>50.935470212839903</c:v>
                </c:pt>
                <c:pt idx="20">
                  <c:v>50.650359830322103</c:v>
                </c:pt>
                <c:pt idx="21">
                  <c:v>51.605461315939799</c:v>
                </c:pt>
                <c:pt idx="22">
                  <c:v>53.7258476005996</c:v>
                </c:pt>
                <c:pt idx="23">
                  <c:v>50.129814784390497</c:v>
                </c:pt>
                <c:pt idx="24">
                  <c:v>53.121086894255001</c:v>
                </c:pt>
                <c:pt idx="25">
                  <c:v>52.805353234112197</c:v>
                </c:pt>
                <c:pt idx="26">
                  <c:v>39.023927449531797</c:v>
                </c:pt>
                <c:pt idx="27">
                  <c:v>35.857136932713502</c:v>
                </c:pt>
                <c:pt idx="28">
                  <c:v>36.499763287299601</c:v>
                </c:pt>
                <c:pt idx="29">
                  <c:v>53.378851093966603</c:v>
                </c:pt>
                <c:pt idx="30">
                  <c:v>50.359103382382798</c:v>
                </c:pt>
                <c:pt idx="31">
                  <c:v>55.766041226798301</c:v>
                </c:pt>
                <c:pt idx="32">
                  <c:v>57.084396379995297</c:v>
                </c:pt>
                <c:pt idx="33">
                  <c:v>57.165918018642202</c:v>
                </c:pt>
                <c:pt idx="34">
                  <c:v>53.8507611438637</c:v>
                </c:pt>
                <c:pt idx="35">
                  <c:v>54.4798421597133</c:v>
                </c:pt>
                <c:pt idx="36">
                  <c:v>43.567238521359201</c:v>
                </c:pt>
                <c:pt idx="37">
                  <c:v>55.977545150487302</c:v>
                </c:pt>
                <c:pt idx="38">
                  <c:v>53.259421254619099</c:v>
                </c:pt>
                <c:pt idx="39">
                  <c:v>59.0320372746136</c:v>
                </c:pt>
                <c:pt idx="40">
                  <c:v>55.5232054524988</c:v>
                </c:pt>
                <c:pt idx="41">
                  <c:v>53.496499624293001</c:v>
                </c:pt>
                <c:pt idx="42">
                  <c:v>49.424346770967396</c:v>
                </c:pt>
                <c:pt idx="43">
                  <c:v>52.632185624825397</c:v>
                </c:pt>
                <c:pt idx="44">
                  <c:v>54.624358364310702</c:v>
                </c:pt>
                <c:pt idx="45">
                  <c:v>54.052571778979498</c:v>
                </c:pt>
                <c:pt idx="46">
                  <c:v>52.7070623112185</c:v>
                </c:pt>
                <c:pt idx="47">
                  <c:v>51.630984833031697</c:v>
                </c:pt>
                <c:pt idx="48">
                  <c:v>50.768497808820797</c:v>
                </c:pt>
                <c:pt idx="49">
                  <c:v>49.753131462922198</c:v>
                </c:pt>
                <c:pt idx="50">
                  <c:v>52.4510066538123</c:v>
                </c:pt>
                <c:pt idx="51">
                  <c:v>51.505297709697302</c:v>
                </c:pt>
                <c:pt idx="52">
                  <c:v>51.694406369629199</c:v>
                </c:pt>
                <c:pt idx="53">
                  <c:v>53.299873733811403</c:v>
                </c:pt>
                <c:pt idx="54">
                  <c:v>54.314257578845201</c:v>
                </c:pt>
                <c:pt idx="55">
                  <c:v>54.529317982937798</c:v>
                </c:pt>
                <c:pt idx="56">
                  <c:v>47.23400272101</c:v>
                </c:pt>
                <c:pt idx="57">
                  <c:v>50.86369645661</c:v>
                </c:pt>
                <c:pt idx="58">
                  <c:v>53.799585151485999</c:v>
                </c:pt>
                <c:pt idx="59">
                  <c:v>54.8272308978149</c:v>
                </c:pt>
                <c:pt idx="60">
                  <c:v>49.123593546007797</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SERV'!$F$17:$F$88</c:f>
              <c:numCache>
                <c:formatCode>0.0_)</c:formatCode>
                <c:ptCount val="61"/>
                <c:pt idx="0">
                  <c:v>56.976710224194299</c:v>
                </c:pt>
                <c:pt idx="1">
                  <c:v>56.890116932090898</c:v>
                </c:pt>
                <c:pt idx="2">
                  <c:v>56.659461118861302</c:v>
                </c:pt>
                <c:pt idx="3">
                  <c:v>56.213865691643498</c:v>
                </c:pt>
                <c:pt idx="4">
                  <c:v>55.669459107752701</c:v>
                </c:pt>
                <c:pt idx="5">
                  <c:v>55.130194754935999</c:v>
                </c:pt>
                <c:pt idx="6">
                  <c:v>54.632632869205899</c:v>
                </c:pt>
                <c:pt idx="7">
                  <c:v>54.209460218938801</c:v>
                </c:pt>
                <c:pt idx="8">
                  <c:v>54.083483756782201</c:v>
                </c:pt>
                <c:pt idx="9">
                  <c:v>54.3374801567861</c:v>
                </c:pt>
                <c:pt idx="10">
                  <c:v>54.8405851596332</c:v>
                </c:pt>
                <c:pt idx="11">
                  <c:v>55.396982829515203</c:v>
                </c:pt>
                <c:pt idx="12">
                  <c:v>55.785118985236501</c:v>
                </c:pt>
                <c:pt idx="13">
                  <c:v>55.945258862062701</c:v>
                </c:pt>
                <c:pt idx="14">
                  <c:v>55.877617699042297</c:v>
                </c:pt>
                <c:pt idx="15">
                  <c:v>55.578449678121601</c:v>
                </c:pt>
                <c:pt idx="16">
                  <c:v>55.002696592536097</c:v>
                </c:pt>
                <c:pt idx="17">
                  <c:v>54.27877514811</c:v>
                </c:pt>
                <c:pt idx="18">
                  <c:v>53.480705872612603</c:v>
                </c:pt>
                <c:pt idx="19">
                  <c:v>52.681884801067703</c:v>
                </c:pt>
                <c:pt idx="20">
                  <c:v>52.003828789923404</c:v>
                </c:pt>
                <c:pt idx="21">
                  <c:v>51.608886216077501</c:v>
                </c:pt>
                <c:pt idx="22">
                  <c:v>51.642253587766497</c:v>
                </c:pt>
                <c:pt idx="23">
                  <c:v>52.040167223533999</c:v>
                </c:pt>
                <c:pt idx="24">
                  <c:v>52.6194253176266</c:v>
                </c:pt>
                <c:pt idx="25">
                  <c:v>53.095056955346401</c:v>
                </c:pt>
                <c:pt idx="26">
                  <c:v>53.335806141823603</c:v>
                </c:pt>
                <c:pt idx="27">
                  <c:v>53.483832940168703</c:v>
                </c:pt>
                <c:pt idx="28">
                  <c:v>53.731010421613703</c:v>
                </c:pt>
                <c:pt idx="29">
                  <c:v>54.130073113625301</c:v>
                </c:pt>
                <c:pt idx="30">
                  <c:v>54.645255975517401</c:v>
                </c:pt>
                <c:pt idx="31">
                  <c:v>55.180244401695099</c:v>
                </c:pt>
                <c:pt idx="32">
                  <c:v>55.564753666594797</c:v>
                </c:pt>
                <c:pt idx="33">
                  <c:v>55.675557807419899</c:v>
                </c:pt>
                <c:pt idx="34">
                  <c:v>55.442251844699399</c:v>
                </c:pt>
                <c:pt idx="35">
                  <c:v>55.029938206045799</c:v>
                </c:pt>
                <c:pt idx="36">
                  <c:v>54.674800048733303</c:v>
                </c:pt>
                <c:pt idx="37">
                  <c:v>54.523423650730003</c:v>
                </c:pt>
                <c:pt idx="38">
                  <c:v>54.4942994305068</c:v>
                </c:pt>
                <c:pt idx="39">
                  <c:v>54.402864966490398</c:v>
                </c:pt>
                <c:pt idx="40">
                  <c:v>54.197663712610698</c:v>
                </c:pt>
                <c:pt idx="41">
                  <c:v>53.961012379963996</c:v>
                </c:pt>
                <c:pt idx="42">
                  <c:v>53.812934627208499</c:v>
                </c:pt>
                <c:pt idx="43">
                  <c:v>53.715609549211599</c:v>
                </c:pt>
                <c:pt idx="44">
                  <c:v>53.502477740762302</c:v>
                </c:pt>
                <c:pt idx="45">
                  <c:v>53.085402305918201</c:v>
                </c:pt>
                <c:pt idx="46">
                  <c:v>52.539907232233702</c:v>
                </c:pt>
                <c:pt idx="47">
                  <c:v>51.895567404427702</c:v>
                </c:pt>
                <c:pt idx="48">
                  <c:v>51.299764950951399</c:v>
                </c:pt>
                <c:pt idx="49">
                  <c:v>50.998297097365501</c:v>
                </c:pt>
                <c:pt idx="50">
                  <c:v>51.165418906084</c:v>
                </c:pt>
                <c:pt idx="51">
                  <c:v>51.779045323450703</c:v>
                </c:pt>
                <c:pt idx="52">
                  <c:v>52.493635465192597</c:v>
                </c:pt>
                <c:pt idx="53">
                  <c:v>53.032130174785699</c:v>
                </c:pt>
                <c:pt idx="54">
                  <c:v>53.326916928224499</c:v>
                </c:pt>
                <c:pt idx="55">
                  <c:v>53.385451469058403</c:v>
                </c:pt>
                <c:pt idx="56">
                  <c:v>53.2488542687517</c:v>
                </c:pt>
                <c:pt idx="57">
                  <c:v>52.9686332258254</c:v>
                </c:pt>
                <c:pt idx="58">
                  <c:v>52.599940410763097</c:v>
                </c:pt>
                <c:pt idx="59">
                  <c:v>52.263402516092199</c:v>
                </c:pt>
                <c:pt idx="60">
                  <c:v>52.017306094731197</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827405968"/>
        <c:axId val="827404792"/>
      </c:lineChart>
      <c:catAx>
        <c:axId val="8274059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7404792"/>
        <c:crossesAt val="50"/>
        <c:auto val="1"/>
        <c:lblAlgn val="ctr"/>
        <c:lblOffset val="50"/>
        <c:tickLblSkip val="1"/>
        <c:tickMarkSkip val="12"/>
        <c:noMultiLvlLbl val="1"/>
      </c:catAx>
      <c:valAx>
        <c:axId val="827404792"/>
        <c:scaling>
          <c:orientation val="minMax"/>
          <c:max val="67"/>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7405968"/>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MAN'!$E$173:$E$244</c:f>
              <c:numCache>
                <c:formatCode>0.0_)</c:formatCode>
                <c:ptCount val="61"/>
                <c:pt idx="0">
                  <c:v>54.375956016152202</c:v>
                </c:pt>
                <c:pt idx="1">
                  <c:v>52.891557447555897</c:v>
                </c:pt>
                <c:pt idx="2">
                  <c:v>57.733037974584299</c:v>
                </c:pt>
                <c:pt idx="3">
                  <c:v>50.0904606378637</c:v>
                </c:pt>
                <c:pt idx="4">
                  <c:v>52.199002170507399</c:v>
                </c:pt>
                <c:pt idx="5">
                  <c:v>51.6111756562618</c:v>
                </c:pt>
                <c:pt idx="6">
                  <c:v>52.151643472437897</c:v>
                </c:pt>
                <c:pt idx="7">
                  <c:v>51.267477387104897</c:v>
                </c:pt>
                <c:pt idx="8">
                  <c:v>52.375803814488599</c:v>
                </c:pt>
                <c:pt idx="9">
                  <c:v>53.5298321448915</c:v>
                </c:pt>
                <c:pt idx="10">
                  <c:v>52.165885625924098</c:v>
                </c:pt>
                <c:pt idx="11">
                  <c:v>52.8502072718261</c:v>
                </c:pt>
                <c:pt idx="12">
                  <c:v>53.668526637705199</c:v>
                </c:pt>
                <c:pt idx="13">
                  <c:v>51.772569887446799</c:v>
                </c:pt>
                <c:pt idx="14">
                  <c:v>52.812819468547801</c:v>
                </c:pt>
                <c:pt idx="15">
                  <c:v>52.979064503223697</c:v>
                </c:pt>
                <c:pt idx="16">
                  <c:v>53.510086520275401</c:v>
                </c:pt>
                <c:pt idx="17">
                  <c:v>52.957540190406597</c:v>
                </c:pt>
                <c:pt idx="18">
                  <c:v>51.081483092252597</c:v>
                </c:pt>
                <c:pt idx="19">
                  <c:v>53.973650910830997</c:v>
                </c:pt>
                <c:pt idx="20">
                  <c:v>52.693032181938399</c:v>
                </c:pt>
                <c:pt idx="21">
                  <c:v>48.731727977686198</c:v>
                </c:pt>
                <c:pt idx="22">
                  <c:v>51.367603986432599</c:v>
                </c:pt>
                <c:pt idx="23">
                  <c:v>52.202839350572503</c:v>
                </c:pt>
                <c:pt idx="24">
                  <c:v>51.199483282420701</c:v>
                </c:pt>
                <c:pt idx="25">
                  <c:v>52.317771237781002</c:v>
                </c:pt>
                <c:pt idx="26">
                  <c:v>49.112533171880003</c:v>
                </c:pt>
                <c:pt idx="27">
                  <c:v>38.878908346046799</c:v>
                </c:pt>
                <c:pt idx="28">
                  <c:v>41.4519073665709</c:v>
                </c:pt>
                <c:pt idx="29">
                  <c:v>50.888717452521597</c:v>
                </c:pt>
                <c:pt idx="30">
                  <c:v>50.499185742705798</c:v>
                </c:pt>
                <c:pt idx="31">
                  <c:v>49.582571267903397</c:v>
                </c:pt>
                <c:pt idx="32">
                  <c:v>53.745489747616901</c:v>
                </c:pt>
                <c:pt idx="33">
                  <c:v>50.215029352004798</c:v>
                </c:pt>
                <c:pt idx="34">
                  <c:v>49.884266625553003</c:v>
                </c:pt>
                <c:pt idx="35">
                  <c:v>49.132776078710897</c:v>
                </c:pt>
                <c:pt idx="36">
                  <c:v>49.155225705495901</c:v>
                </c:pt>
                <c:pt idx="37">
                  <c:v>48.624679366984203</c:v>
                </c:pt>
                <c:pt idx="38">
                  <c:v>54.266825671617603</c:v>
                </c:pt>
                <c:pt idx="39">
                  <c:v>47.698759898220203</c:v>
                </c:pt>
                <c:pt idx="40">
                  <c:v>50.437716905536597</c:v>
                </c:pt>
                <c:pt idx="41">
                  <c:v>50.981847167578003</c:v>
                </c:pt>
                <c:pt idx="42">
                  <c:v>51.699480467596501</c:v>
                </c:pt>
                <c:pt idx="43">
                  <c:v>50.754115743772203</c:v>
                </c:pt>
                <c:pt idx="44">
                  <c:v>51.779526443580103</c:v>
                </c:pt>
                <c:pt idx="45">
                  <c:v>51.509536934977397</c:v>
                </c:pt>
                <c:pt idx="46">
                  <c:v>52.436707029154199</c:v>
                </c:pt>
                <c:pt idx="47">
                  <c:v>50.930054169156101</c:v>
                </c:pt>
                <c:pt idx="48">
                  <c:v>51.291407032420203</c:v>
                </c:pt>
                <c:pt idx="49">
                  <c:v>55.147230358642403</c:v>
                </c:pt>
                <c:pt idx="50">
                  <c:v>52.345918827376501</c:v>
                </c:pt>
                <c:pt idx="51">
                  <c:v>52.7305855822651</c:v>
                </c:pt>
                <c:pt idx="52">
                  <c:v>52.222380381393002</c:v>
                </c:pt>
                <c:pt idx="53">
                  <c:v>49.060682047519499</c:v>
                </c:pt>
                <c:pt idx="54">
                  <c:v>51.473965448820998</c:v>
                </c:pt>
                <c:pt idx="55">
                  <c:v>51.506376589553703</c:v>
                </c:pt>
                <c:pt idx="56">
                  <c:v>50.077588827466698</c:v>
                </c:pt>
                <c:pt idx="57">
                  <c:v>51.395104753586502</c:v>
                </c:pt>
                <c:pt idx="58">
                  <c:v>51.175454981506498</c:v>
                </c:pt>
                <c:pt idx="59">
                  <c:v>52.5092748196884</c:v>
                </c:pt>
                <c:pt idx="60">
                  <c:v>51.756255048993403</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MAN'!$F$173:$F$244</c:f>
              <c:numCache>
                <c:formatCode>0.0_)</c:formatCode>
                <c:ptCount val="61"/>
                <c:pt idx="0">
                  <c:v>52.918392737037799</c:v>
                </c:pt>
                <c:pt idx="1">
                  <c:v>52.683201283778502</c:v>
                </c:pt>
                <c:pt idx="2">
                  <c:v>52.487920610616897</c:v>
                </c:pt>
                <c:pt idx="3">
                  <c:v>52.332206180621199</c:v>
                </c:pt>
                <c:pt idx="4">
                  <c:v>52.219155817033098</c:v>
                </c:pt>
                <c:pt idx="5">
                  <c:v>52.155844081995902</c:v>
                </c:pt>
                <c:pt idx="6">
                  <c:v>52.143971993853903</c:v>
                </c:pt>
                <c:pt idx="7">
                  <c:v>52.188096574385902</c:v>
                </c:pt>
                <c:pt idx="8">
                  <c:v>52.276977503480097</c:v>
                </c:pt>
                <c:pt idx="9">
                  <c:v>52.401655692732596</c:v>
                </c:pt>
                <c:pt idx="10">
                  <c:v>52.541953219357097</c:v>
                </c:pt>
                <c:pt idx="11">
                  <c:v>52.682649438517203</c:v>
                </c:pt>
                <c:pt idx="12">
                  <c:v>52.799149919060198</c:v>
                </c:pt>
                <c:pt idx="13">
                  <c:v>52.873644137429999</c:v>
                </c:pt>
                <c:pt idx="14">
                  <c:v>52.900326073215403</c:v>
                </c:pt>
                <c:pt idx="15">
                  <c:v>52.887233487059298</c:v>
                </c:pt>
                <c:pt idx="16">
                  <c:v>52.842693532668299</c:v>
                </c:pt>
                <c:pt idx="17">
                  <c:v>52.769849566044797</c:v>
                </c:pt>
                <c:pt idx="18">
                  <c:v>52.6648473337819</c:v>
                </c:pt>
                <c:pt idx="19">
                  <c:v>52.521149301055097</c:v>
                </c:pt>
                <c:pt idx="20">
                  <c:v>52.339540717847299</c:v>
                </c:pt>
                <c:pt idx="21">
                  <c:v>52.116291623807903</c:v>
                </c:pt>
                <c:pt idx="22">
                  <c:v>51.857455269754603</c:v>
                </c:pt>
                <c:pt idx="23">
                  <c:v>51.579757223313401</c:v>
                </c:pt>
                <c:pt idx="24">
                  <c:v>51.299276170288501</c:v>
                </c:pt>
                <c:pt idx="25">
                  <c:v>51.0347045385477</c:v>
                </c:pt>
                <c:pt idx="26">
                  <c:v>50.803721164063298</c:v>
                </c:pt>
                <c:pt idx="27">
                  <c:v>50.600341877323203</c:v>
                </c:pt>
                <c:pt idx="28">
                  <c:v>50.417541939352397</c:v>
                </c:pt>
                <c:pt idx="29">
                  <c:v>50.249323489512001</c:v>
                </c:pt>
                <c:pt idx="30">
                  <c:v>50.093186910452602</c:v>
                </c:pt>
                <c:pt idx="31">
                  <c:v>49.944019493943102</c:v>
                </c:pt>
                <c:pt idx="32">
                  <c:v>49.801512395626403</c:v>
                </c:pt>
                <c:pt idx="33">
                  <c:v>49.682493629039101</c:v>
                </c:pt>
                <c:pt idx="34">
                  <c:v>49.602571037560402</c:v>
                </c:pt>
                <c:pt idx="35">
                  <c:v>49.568622454907803</c:v>
                </c:pt>
                <c:pt idx="36">
                  <c:v>49.594216330491101</c:v>
                </c:pt>
                <c:pt idx="37">
                  <c:v>49.693616716711702</c:v>
                </c:pt>
                <c:pt idx="38">
                  <c:v>49.866158071907897</c:v>
                </c:pt>
                <c:pt idx="39">
                  <c:v>50.105910690286002</c:v>
                </c:pt>
                <c:pt idx="40">
                  <c:v>50.384080074364697</c:v>
                </c:pt>
                <c:pt idx="41">
                  <c:v>50.674432236046897</c:v>
                </c:pt>
                <c:pt idx="42">
                  <c:v>50.9567088948303</c:v>
                </c:pt>
                <c:pt idx="43">
                  <c:v>51.2186229651386</c:v>
                </c:pt>
                <c:pt idx="44">
                  <c:v>51.448130331735499</c:v>
                </c:pt>
                <c:pt idx="45">
                  <c:v>51.639188621883498</c:v>
                </c:pt>
                <c:pt idx="46">
                  <c:v>51.788234113387098</c:v>
                </c:pt>
                <c:pt idx="47">
                  <c:v>51.896019983046102</c:v>
                </c:pt>
                <c:pt idx="48">
                  <c:v>51.958789203071802</c:v>
                </c:pt>
                <c:pt idx="49">
                  <c:v>51.975985547467197</c:v>
                </c:pt>
                <c:pt idx="50">
                  <c:v>51.9476079843515</c:v>
                </c:pt>
                <c:pt idx="51">
                  <c:v>51.873008775010398</c:v>
                </c:pt>
                <c:pt idx="52">
                  <c:v>51.776627940987801</c:v>
                </c:pt>
                <c:pt idx="53">
                  <c:v>51.680356000851802</c:v>
                </c:pt>
                <c:pt idx="54">
                  <c:v>51.605646933705799</c:v>
                </c:pt>
                <c:pt idx="55">
                  <c:v>51.562846132236999</c:v>
                </c:pt>
                <c:pt idx="56">
                  <c:v>51.554217108585803</c:v>
                </c:pt>
                <c:pt idx="57">
                  <c:v>51.570616943397702</c:v>
                </c:pt>
                <c:pt idx="58">
                  <c:v>51.601918268912399</c:v>
                </c:pt>
                <c:pt idx="59">
                  <c:v>51.634114378290903</c:v>
                </c:pt>
                <c:pt idx="60">
                  <c:v>51.655473298012303</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781003800"/>
        <c:axId val="781004192"/>
      </c:lineChart>
      <c:catAx>
        <c:axId val="781003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1004192"/>
        <c:crossesAt val="50"/>
        <c:auto val="1"/>
        <c:lblAlgn val="ctr"/>
        <c:lblOffset val="50"/>
        <c:tickLblSkip val="1"/>
        <c:tickMarkSkip val="12"/>
        <c:noMultiLvlLbl val="1"/>
      </c:catAx>
      <c:valAx>
        <c:axId val="78100419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03800"/>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SERV'!$G$17:$G$88</c:f>
              <c:numCache>
                <c:formatCode>0.0_)</c:formatCode>
                <c:ptCount val="61"/>
                <c:pt idx="0">
                  <c:v>58.141971995870698</c:v>
                </c:pt>
                <c:pt idx="1">
                  <c:v>56.193204684915102</c:v>
                </c:pt>
                <c:pt idx="2">
                  <c:v>57.6254034894502</c:v>
                </c:pt>
                <c:pt idx="3">
                  <c:v>53.912275926098701</c:v>
                </c:pt>
                <c:pt idx="4">
                  <c:v>56.304346770772597</c:v>
                </c:pt>
                <c:pt idx="5">
                  <c:v>60.595170130522803</c:v>
                </c:pt>
                <c:pt idx="6">
                  <c:v>58.3513673183595</c:v>
                </c:pt>
                <c:pt idx="7">
                  <c:v>54.367067571827903</c:v>
                </c:pt>
                <c:pt idx="8">
                  <c:v>54.912026816709897</c:v>
                </c:pt>
                <c:pt idx="9">
                  <c:v>56.249202642529802</c:v>
                </c:pt>
                <c:pt idx="10">
                  <c:v>54.825684524807897</c:v>
                </c:pt>
                <c:pt idx="11">
                  <c:v>56.388514073000501</c:v>
                </c:pt>
                <c:pt idx="12">
                  <c:v>58.066784483310599</c:v>
                </c:pt>
                <c:pt idx="13">
                  <c:v>56.666219975233197</c:v>
                </c:pt>
                <c:pt idx="14">
                  <c:v>54.374406126525102</c:v>
                </c:pt>
                <c:pt idx="15">
                  <c:v>60.590330877159403</c:v>
                </c:pt>
                <c:pt idx="16">
                  <c:v>53.133386591709197</c:v>
                </c:pt>
                <c:pt idx="17">
                  <c:v>53.740181750427503</c:v>
                </c:pt>
                <c:pt idx="18">
                  <c:v>54.539908932854203</c:v>
                </c:pt>
                <c:pt idx="19">
                  <c:v>53.149680254673697</c:v>
                </c:pt>
                <c:pt idx="20">
                  <c:v>50.954435585157498</c:v>
                </c:pt>
                <c:pt idx="21">
                  <c:v>51.677434544384802</c:v>
                </c:pt>
                <c:pt idx="22">
                  <c:v>54.296591742464102</c:v>
                </c:pt>
                <c:pt idx="23">
                  <c:v>52.169186633621599</c:v>
                </c:pt>
                <c:pt idx="24">
                  <c:v>52.642089720150402</c:v>
                </c:pt>
                <c:pt idx="25">
                  <c:v>51.128235189821098</c:v>
                </c:pt>
                <c:pt idx="26">
                  <c:v>41.480645749419701</c:v>
                </c:pt>
                <c:pt idx="27">
                  <c:v>33.706752486601097</c:v>
                </c:pt>
                <c:pt idx="28">
                  <c:v>36.773887024960501</c:v>
                </c:pt>
                <c:pt idx="29">
                  <c:v>52.296499075393001</c:v>
                </c:pt>
                <c:pt idx="30">
                  <c:v>51.142768151513401</c:v>
                </c:pt>
                <c:pt idx="31">
                  <c:v>54.833811071359897</c:v>
                </c:pt>
                <c:pt idx="32">
                  <c:v>56.116589827542398</c:v>
                </c:pt>
                <c:pt idx="33">
                  <c:v>52.835043937953998</c:v>
                </c:pt>
                <c:pt idx="34">
                  <c:v>52.006941437758002</c:v>
                </c:pt>
                <c:pt idx="35">
                  <c:v>52.434621760780402</c:v>
                </c:pt>
                <c:pt idx="36">
                  <c:v>44.261717292056602</c:v>
                </c:pt>
                <c:pt idx="37">
                  <c:v>55.752244775014702</c:v>
                </c:pt>
                <c:pt idx="38">
                  <c:v>49.452321349636698</c:v>
                </c:pt>
                <c:pt idx="39">
                  <c:v>55.7981051385702</c:v>
                </c:pt>
                <c:pt idx="40">
                  <c:v>54.899771409760902</c:v>
                </c:pt>
                <c:pt idx="41">
                  <c:v>54.652149752471402</c:v>
                </c:pt>
                <c:pt idx="42">
                  <c:v>48.913776221278901</c:v>
                </c:pt>
                <c:pt idx="43">
                  <c:v>51.573498373406203</c:v>
                </c:pt>
                <c:pt idx="44">
                  <c:v>53.453256655838203</c:v>
                </c:pt>
                <c:pt idx="45">
                  <c:v>55.353803496399998</c:v>
                </c:pt>
                <c:pt idx="46">
                  <c:v>49.686684656724303</c:v>
                </c:pt>
                <c:pt idx="47">
                  <c:v>50.003549262412399</c:v>
                </c:pt>
                <c:pt idx="48">
                  <c:v>49.844414982520597</c:v>
                </c:pt>
                <c:pt idx="49">
                  <c:v>48.349425823590799</c:v>
                </c:pt>
                <c:pt idx="50">
                  <c:v>51.999024511765498</c:v>
                </c:pt>
                <c:pt idx="51">
                  <c:v>49.375713411423</c:v>
                </c:pt>
                <c:pt idx="52">
                  <c:v>51.1829815661917</c:v>
                </c:pt>
                <c:pt idx="53">
                  <c:v>50.242982125182898</c:v>
                </c:pt>
                <c:pt idx="54">
                  <c:v>54.486917438748698</c:v>
                </c:pt>
                <c:pt idx="55">
                  <c:v>52.698801813604298</c:v>
                </c:pt>
                <c:pt idx="56">
                  <c:v>48.690134107957597</c:v>
                </c:pt>
                <c:pt idx="57">
                  <c:v>52.7268687450511</c:v>
                </c:pt>
                <c:pt idx="58">
                  <c:v>53.7581645699955</c:v>
                </c:pt>
                <c:pt idx="59">
                  <c:v>53.740115105676701</c:v>
                </c:pt>
                <c:pt idx="60">
                  <c:v>49.922670403306597</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SERV'!$H$17:$H$88</c:f>
              <c:numCache>
                <c:formatCode>0.0_)</c:formatCode>
                <c:ptCount val="61"/>
                <c:pt idx="0">
                  <c:v>56.731517842003498</c:v>
                </c:pt>
                <c:pt idx="1">
                  <c:v>56.929145636138898</c:v>
                </c:pt>
                <c:pt idx="2">
                  <c:v>56.979431581311999</c:v>
                </c:pt>
                <c:pt idx="3">
                  <c:v>56.909994567432499</c:v>
                </c:pt>
                <c:pt idx="4">
                  <c:v>56.760674537659099</c:v>
                </c:pt>
                <c:pt idx="5">
                  <c:v>56.587733112080798</c:v>
                </c:pt>
                <c:pt idx="6">
                  <c:v>56.431957798289503</c:v>
                </c:pt>
                <c:pt idx="7">
                  <c:v>56.3077336429049</c:v>
                </c:pt>
                <c:pt idx="8">
                  <c:v>56.207496635210397</c:v>
                </c:pt>
                <c:pt idx="9">
                  <c:v>56.1250180215116</c:v>
                </c:pt>
                <c:pt idx="10">
                  <c:v>56.048109117441697</c:v>
                </c:pt>
                <c:pt idx="11">
                  <c:v>55.932110135198997</c:v>
                </c:pt>
                <c:pt idx="12">
                  <c:v>55.751364255527498</c:v>
                </c:pt>
                <c:pt idx="13">
                  <c:v>55.491922865901898</c:v>
                </c:pt>
                <c:pt idx="14">
                  <c:v>55.164588502605497</c:v>
                </c:pt>
                <c:pt idx="15">
                  <c:v>54.776212167421498</c:v>
                </c:pt>
                <c:pt idx="16">
                  <c:v>54.348588443784401</c:v>
                </c:pt>
                <c:pt idx="17">
                  <c:v>53.898113892896298</c:v>
                </c:pt>
                <c:pt idx="18">
                  <c:v>53.452720798460298</c:v>
                </c:pt>
                <c:pt idx="19">
                  <c:v>53.057181118846103</c:v>
                </c:pt>
                <c:pt idx="20">
                  <c:v>52.735914799777397</c:v>
                </c:pt>
                <c:pt idx="21">
                  <c:v>52.485182459509197</c:v>
                </c:pt>
                <c:pt idx="22">
                  <c:v>52.304292334523097</c:v>
                </c:pt>
                <c:pt idx="23">
                  <c:v>52.196069247260603</c:v>
                </c:pt>
                <c:pt idx="24">
                  <c:v>52.148521173496498</c:v>
                </c:pt>
                <c:pt idx="25">
                  <c:v>52.152743156382698</c:v>
                </c:pt>
                <c:pt idx="26">
                  <c:v>52.195667878752403</c:v>
                </c:pt>
                <c:pt idx="27">
                  <c:v>52.270291496307799</c:v>
                </c:pt>
                <c:pt idx="28">
                  <c:v>52.359865603175699</c:v>
                </c:pt>
                <c:pt idx="29">
                  <c:v>52.462282417769401</c:v>
                </c:pt>
                <c:pt idx="30">
                  <c:v>52.577690808593402</c:v>
                </c:pt>
                <c:pt idx="31">
                  <c:v>52.722669572353801</c:v>
                </c:pt>
                <c:pt idx="32">
                  <c:v>52.923009119885599</c:v>
                </c:pt>
                <c:pt idx="33">
                  <c:v>53.173017015203101</c:v>
                </c:pt>
                <c:pt idx="34">
                  <c:v>53.4483852732155</c:v>
                </c:pt>
                <c:pt idx="35">
                  <c:v>53.729235753292201</c:v>
                </c:pt>
                <c:pt idx="36">
                  <c:v>53.998002539125302</c:v>
                </c:pt>
                <c:pt idx="37">
                  <c:v>54.218961893890501</c:v>
                </c:pt>
                <c:pt idx="38">
                  <c:v>54.359801581897202</c:v>
                </c:pt>
                <c:pt idx="39">
                  <c:v>54.368247066066601</c:v>
                </c:pt>
                <c:pt idx="40">
                  <c:v>54.217959055639099</c:v>
                </c:pt>
                <c:pt idx="41">
                  <c:v>53.893650176978298</c:v>
                </c:pt>
                <c:pt idx="42">
                  <c:v>53.411202189479198</c:v>
                </c:pt>
                <c:pt idx="43">
                  <c:v>52.798105141445397</c:v>
                </c:pt>
                <c:pt idx="44">
                  <c:v>52.099340178475202</c:v>
                </c:pt>
                <c:pt idx="45">
                  <c:v>51.401978446224199</c:v>
                </c:pt>
                <c:pt idx="46">
                  <c:v>50.791386399711598</c:v>
                </c:pt>
                <c:pt idx="47">
                  <c:v>50.327751244210802</c:v>
                </c:pt>
                <c:pt idx="48">
                  <c:v>50.043125527473101</c:v>
                </c:pt>
                <c:pt idx="49">
                  <c:v>49.961053055102802</c:v>
                </c:pt>
                <c:pt idx="50">
                  <c:v>50.073719217832299</c:v>
                </c:pt>
                <c:pt idx="51">
                  <c:v>50.358865246085202</c:v>
                </c:pt>
                <c:pt idx="52">
                  <c:v>50.756310712118101</c:v>
                </c:pt>
                <c:pt idx="53">
                  <c:v>51.200782655276001</c:v>
                </c:pt>
                <c:pt idx="54">
                  <c:v>51.626216971625297</c:v>
                </c:pt>
                <c:pt idx="55">
                  <c:v>51.9799904942778</c:v>
                </c:pt>
                <c:pt idx="56">
                  <c:v>52.2220401861886</c:v>
                </c:pt>
                <c:pt idx="57">
                  <c:v>52.337184440766897</c:v>
                </c:pt>
                <c:pt idx="58">
                  <c:v>52.331991236869101</c:v>
                </c:pt>
                <c:pt idx="59">
                  <c:v>52.229319989942901</c:v>
                </c:pt>
                <c:pt idx="60">
                  <c:v>52.060586680774399</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827396952"/>
        <c:axId val="827397344"/>
      </c:lineChart>
      <c:catAx>
        <c:axId val="8273969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7397344"/>
        <c:crossesAt val="50"/>
        <c:auto val="1"/>
        <c:lblAlgn val="ctr"/>
        <c:lblOffset val="50"/>
        <c:tickLblSkip val="1"/>
        <c:tickMarkSkip val="12"/>
        <c:noMultiLvlLbl val="1"/>
      </c:catAx>
      <c:valAx>
        <c:axId val="827397344"/>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7396952"/>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SERV'!$I$17:$I$88</c:f>
              <c:numCache>
                <c:formatCode>0.0_)</c:formatCode>
                <c:ptCount val="61"/>
                <c:pt idx="0">
                  <c:v>57.846352708533402</c:v>
                </c:pt>
                <c:pt idx="1">
                  <c:v>57.215749112456699</c:v>
                </c:pt>
                <c:pt idx="2">
                  <c:v>57.988243050315702</c:v>
                </c:pt>
                <c:pt idx="3">
                  <c:v>58.636699417945898</c:v>
                </c:pt>
                <c:pt idx="4">
                  <c:v>57.236122798515503</c:v>
                </c:pt>
                <c:pt idx="5">
                  <c:v>58.667592932114303</c:v>
                </c:pt>
                <c:pt idx="6">
                  <c:v>54.136926445828003</c:v>
                </c:pt>
                <c:pt idx="7">
                  <c:v>53.8729866140024</c:v>
                </c:pt>
                <c:pt idx="8">
                  <c:v>57.125136559266998</c:v>
                </c:pt>
                <c:pt idx="9">
                  <c:v>52.610458855479301</c:v>
                </c:pt>
                <c:pt idx="10">
                  <c:v>54.133455510305303</c:v>
                </c:pt>
                <c:pt idx="11">
                  <c:v>58.931663860397599</c:v>
                </c:pt>
                <c:pt idx="12">
                  <c:v>57.616395383883301</c:v>
                </c:pt>
                <c:pt idx="13">
                  <c:v>56.813764041123299</c:v>
                </c:pt>
                <c:pt idx="14">
                  <c:v>53.9716231224306</c:v>
                </c:pt>
                <c:pt idx="15">
                  <c:v>62.902672345066001</c:v>
                </c:pt>
                <c:pt idx="16">
                  <c:v>50.938696488700899</c:v>
                </c:pt>
                <c:pt idx="17">
                  <c:v>50.811328851611499</c:v>
                </c:pt>
                <c:pt idx="18">
                  <c:v>52.256602425925202</c:v>
                </c:pt>
                <c:pt idx="19">
                  <c:v>51.7961193928546</c:v>
                </c:pt>
                <c:pt idx="20">
                  <c:v>52.105247376704199</c:v>
                </c:pt>
                <c:pt idx="21">
                  <c:v>54.851476458799802</c:v>
                </c:pt>
                <c:pt idx="22">
                  <c:v>52.496958573413103</c:v>
                </c:pt>
                <c:pt idx="23">
                  <c:v>50.358888542542999</c:v>
                </c:pt>
                <c:pt idx="24">
                  <c:v>56.3136678336353</c:v>
                </c:pt>
                <c:pt idx="25">
                  <c:v>52.3794247745654</c:v>
                </c:pt>
                <c:pt idx="26">
                  <c:v>41.624921792186797</c:v>
                </c:pt>
                <c:pt idx="27">
                  <c:v>37.451040163818703</c:v>
                </c:pt>
                <c:pt idx="28">
                  <c:v>37.532547458150901</c:v>
                </c:pt>
                <c:pt idx="29">
                  <c:v>53.096708424943202</c:v>
                </c:pt>
                <c:pt idx="30">
                  <c:v>50.059883995405102</c:v>
                </c:pt>
                <c:pt idx="31">
                  <c:v>53.996162434138199</c:v>
                </c:pt>
                <c:pt idx="32">
                  <c:v>55.177904300016401</c:v>
                </c:pt>
                <c:pt idx="33">
                  <c:v>53.736690572859601</c:v>
                </c:pt>
                <c:pt idx="34">
                  <c:v>56.763902337094301</c:v>
                </c:pt>
                <c:pt idx="35">
                  <c:v>52.310744755695097</c:v>
                </c:pt>
                <c:pt idx="36">
                  <c:v>43.007072203718501</c:v>
                </c:pt>
                <c:pt idx="37">
                  <c:v>54.734430771296601</c:v>
                </c:pt>
                <c:pt idx="38">
                  <c:v>54.816643552199601</c:v>
                </c:pt>
                <c:pt idx="39">
                  <c:v>52.740477609229004</c:v>
                </c:pt>
                <c:pt idx="40">
                  <c:v>53.545032680429102</c:v>
                </c:pt>
                <c:pt idx="41">
                  <c:v>54.672503346003502</c:v>
                </c:pt>
                <c:pt idx="42">
                  <c:v>55.428730820450902</c:v>
                </c:pt>
                <c:pt idx="43">
                  <c:v>51.296455379051501</c:v>
                </c:pt>
                <c:pt idx="44">
                  <c:v>49.8593606403685</c:v>
                </c:pt>
                <c:pt idx="45">
                  <c:v>49.096967562197101</c:v>
                </c:pt>
                <c:pt idx="46">
                  <c:v>48.363720705307898</c:v>
                </c:pt>
                <c:pt idx="47">
                  <c:v>49.318674215823101</c:v>
                </c:pt>
                <c:pt idx="48">
                  <c:v>50.0843838831968</c:v>
                </c:pt>
                <c:pt idx="49">
                  <c:v>49.817972155429104</c:v>
                </c:pt>
                <c:pt idx="50">
                  <c:v>51.0701601134855</c:v>
                </c:pt>
                <c:pt idx="51">
                  <c:v>51.776450398949201</c:v>
                </c:pt>
                <c:pt idx="52">
                  <c:v>53.620555132713903</c:v>
                </c:pt>
                <c:pt idx="53">
                  <c:v>50.758551191414597</c:v>
                </c:pt>
                <c:pt idx="54">
                  <c:v>52.052246779729202</c:v>
                </c:pt>
                <c:pt idx="55">
                  <c:v>53.162837682308599</c:v>
                </c:pt>
                <c:pt idx="56">
                  <c:v>51.098638673506002</c:v>
                </c:pt>
                <c:pt idx="57">
                  <c:v>56.131367449770202</c:v>
                </c:pt>
                <c:pt idx="58">
                  <c:v>52.161090189845297</c:v>
                </c:pt>
                <c:pt idx="59">
                  <c:v>52.975831082414302</c:v>
                </c:pt>
                <c:pt idx="60">
                  <c:v>44.706755393269098</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SERV'!$J$17:$J$88</c:f>
              <c:numCache>
                <c:formatCode>0.0_)</c:formatCode>
                <c:ptCount val="61"/>
                <c:pt idx="0">
                  <c:v>58.556174957626098</c:v>
                </c:pt>
                <c:pt idx="1">
                  <c:v>58.367307889669199</c:v>
                </c:pt>
                <c:pt idx="2">
                  <c:v>58.107231010931898</c:v>
                </c:pt>
                <c:pt idx="3">
                  <c:v>57.7478626924918</c:v>
                </c:pt>
                <c:pt idx="4">
                  <c:v>57.311979816453501</c:v>
                </c:pt>
                <c:pt idx="5">
                  <c:v>56.676499593443801</c:v>
                </c:pt>
                <c:pt idx="6">
                  <c:v>55.869766945403597</c:v>
                </c:pt>
                <c:pt idx="7">
                  <c:v>55.176005907963102</c:v>
                </c:pt>
                <c:pt idx="8">
                  <c:v>54.939790996748101</c:v>
                </c:pt>
                <c:pt idx="9">
                  <c:v>55.228947701042998</c:v>
                </c:pt>
                <c:pt idx="10">
                  <c:v>55.836044511749897</c:v>
                </c:pt>
                <c:pt idx="11">
                  <c:v>56.358457249174499</c:v>
                </c:pt>
                <c:pt idx="12">
                  <c:v>56.387288921502702</c:v>
                </c:pt>
                <c:pt idx="13">
                  <c:v>55.745301870915398</c:v>
                </c:pt>
                <c:pt idx="14">
                  <c:v>54.634007929172597</c:v>
                </c:pt>
                <c:pt idx="15">
                  <c:v>53.281945713986602</c:v>
                </c:pt>
                <c:pt idx="16">
                  <c:v>52.1045579465709</c:v>
                </c:pt>
                <c:pt idx="17">
                  <c:v>51.564775073587199</c:v>
                </c:pt>
                <c:pt idx="18">
                  <c:v>51.634236752039598</c:v>
                </c:pt>
                <c:pt idx="19">
                  <c:v>52.035676227505299</c:v>
                </c:pt>
                <c:pt idx="20">
                  <c:v>52.4804775998278</c:v>
                </c:pt>
                <c:pt idx="21">
                  <c:v>52.766425784421997</c:v>
                </c:pt>
                <c:pt idx="22">
                  <c:v>52.8661793774112</c:v>
                </c:pt>
                <c:pt idx="23">
                  <c:v>52.861463636807201</c:v>
                </c:pt>
                <c:pt idx="24">
                  <c:v>52.894686668652596</c:v>
                </c:pt>
                <c:pt idx="25">
                  <c:v>52.994736668289697</c:v>
                </c:pt>
                <c:pt idx="26">
                  <c:v>53.115888555814003</c:v>
                </c:pt>
                <c:pt idx="27">
                  <c:v>53.284484700247297</c:v>
                </c:pt>
                <c:pt idx="28">
                  <c:v>53.423916558666598</c:v>
                </c:pt>
                <c:pt idx="29">
                  <c:v>53.574105356266003</c:v>
                </c:pt>
                <c:pt idx="30">
                  <c:v>53.828228423804603</c:v>
                </c:pt>
                <c:pt idx="31">
                  <c:v>54.083640410153798</c:v>
                </c:pt>
                <c:pt idx="32">
                  <c:v>54.201152743220703</c:v>
                </c:pt>
                <c:pt idx="33">
                  <c:v>54.218691226030998</c:v>
                </c:pt>
                <c:pt idx="34">
                  <c:v>54.1260842017358</c:v>
                </c:pt>
                <c:pt idx="35">
                  <c:v>53.938011166287097</c:v>
                </c:pt>
                <c:pt idx="36">
                  <c:v>53.765124064324901</c:v>
                </c:pt>
                <c:pt idx="37">
                  <c:v>53.744596100326198</c:v>
                </c:pt>
                <c:pt idx="38">
                  <c:v>53.879071936157601</c:v>
                </c:pt>
                <c:pt idx="39">
                  <c:v>54.005490179682802</c:v>
                </c:pt>
                <c:pt idx="40">
                  <c:v>53.910056398546303</c:v>
                </c:pt>
                <c:pt idx="41">
                  <c:v>53.4340511287174</c:v>
                </c:pt>
                <c:pt idx="42">
                  <c:v>52.531131178919203</c:v>
                </c:pt>
                <c:pt idx="43">
                  <c:v>51.445870954649003</c:v>
                </c:pt>
                <c:pt idx="44">
                  <c:v>50.3730615964758</c:v>
                </c:pt>
                <c:pt idx="45">
                  <c:v>49.499164868623097</c:v>
                </c:pt>
                <c:pt idx="46">
                  <c:v>49.016483431108398</c:v>
                </c:pt>
                <c:pt idx="47">
                  <c:v>49.1102880497859</c:v>
                </c:pt>
                <c:pt idx="48">
                  <c:v>49.648013090006799</c:v>
                </c:pt>
                <c:pt idx="49">
                  <c:v>50.347014001295697</c:v>
                </c:pt>
                <c:pt idx="50">
                  <c:v>51.048959232965601</c:v>
                </c:pt>
                <c:pt idx="51">
                  <c:v>51.614940368928899</c:v>
                </c:pt>
                <c:pt idx="52">
                  <c:v>51.978659457854903</c:v>
                </c:pt>
                <c:pt idx="53">
                  <c:v>52.1329900544632</c:v>
                </c:pt>
                <c:pt idx="54">
                  <c:v>52.178687272713098</c:v>
                </c:pt>
                <c:pt idx="55">
                  <c:v>52.205400346412901</c:v>
                </c:pt>
                <c:pt idx="56">
                  <c:v>52.240894265364197</c:v>
                </c:pt>
                <c:pt idx="57">
                  <c:v>52.253979262892003</c:v>
                </c:pt>
                <c:pt idx="58">
                  <c:v>52.1330315075746</c:v>
                </c:pt>
                <c:pt idx="59">
                  <c:v>51.820450339350998</c:v>
                </c:pt>
                <c:pt idx="60">
                  <c:v>51.340237816284002</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827405184"/>
        <c:axId val="827398520"/>
      </c:lineChart>
      <c:catAx>
        <c:axId val="827405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7398520"/>
        <c:crossesAt val="50"/>
        <c:auto val="1"/>
        <c:lblAlgn val="ctr"/>
        <c:lblOffset val="50"/>
        <c:tickLblSkip val="1"/>
        <c:tickMarkSkip val="12"/>
        <c:noMultiLvlLbl val="1"/>
      </c:catAx>
      <c:valAx>
        <c:axId val="827398520"/>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7405184"/>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SERV'!$K$17:$K$88</c:f>
              <c:numCache>
                <c:formatCode>0.0_)</c:formatCode>
                <c:ptCount val="61"/>
                <c:pt idx="0">
                  <c:v>51.217489008501197</c:v>
                </c:pt>
                <c:pt idx="1">
                  <c:v>50.655068532659897</c:v>
                </c:pt>
                <c:pt idx="2">
                  <c:v>50.310482319368802</c:v>
                </c:pt>
                <c:pt idx="3">
                  <c:v>50.3415391405237</c:v>
                </c:pt>
                <c:pt idx="4">
                  <c:v>50.403433582916101</c:v>
                </c:pt>
                <c:pt idx="5">
                  <c:v>49.846693209595301</c:v>
                </c:pt>
                <c:pt idx="6">
                  <c:v>51.1195827194163</c:v>
                </c:pt>
                <c:pt idx="7">
                  <c:v>50.697181829554502</c:v>
                </c:pt>
                <c:pt idx="8">
                  <c:v>49.963815955029297</c:v>
                </c:pt>
                <c:pt idx="9">
                  <c:v>50.079079780143999</c:v>
                </c:pt>
                <c:pt idx="10">
                  <c:v>50.135532388191201</c:v>
                </c:pt>
                <c:pt idx="11">
                  <c:v>52.170939984451003</c:v>
                </c:pt>
                <c:pt idx="12">
                  <c:v>53.428201342195102</c:v>
                </c:pt>
                <c:pt idx="13">
                  <c:v>52.284972672046898</c:v>
                </c:pt>
                <c:pt idx="14">
                  <c:v>50.272057892968498</c:v>
                </c:pt>
                <c:pt idx="15">
                  <c:v>54.070695825063702</c:v>
                </c:pt>
                <c:pt idx="16">
                  <c:v>50.046528533900499</c:v>
                </c:pt>
                <c:pt idx="17">
                  <c:v>50.804408362410101</c:v>
                </c:pt>
                <c:pt idx="18">
                  <c:v>50.188677577032401</c:v>
                </c:pt>
                <c:pt idx="19">
                  <c:v>50.287159666233798</c:v>
                </c:pt>
                <c:pt idx="20">
                  <c:v>50.7286008808167</c:v>
                </c:pt>
                <c:pt idx="21">
                  <c:v>50.568912510798597</c:v>
                </c:pt>
                <c:pt idx="22">
                  <c:v>49.9868975024729</c:v>
                </c:pt>
                <c:pt idx="23">
                  <c:v>49.0969110432316</c:v>
                </c:pt>
                <c:pt idx="24">
                  <c:v>49.538939959431602</c:v>
                </c:pt>
                <c:pt idx="25">
                  <c:v>49.226344614883899</c:v>
                </c:pt>
                <c:pt idx="26">
                  <c:v>43.426433310391303</c:v>
                </c:pt>
                <c:pt idx="27">
                  <c:v>45.771421412695403</c:v>
                </c:pt>
                <c:pt idx="28">
                  <c:v>43.264094521425903</c:v>
                </c:pt>
                <c:pt idx="29">
                  <c:v>44.555163827678101</c:v>
                </c:pt>
                <c:pt idx="30">
                  <c:v>46.6881086975798</c:v>
                </c:pt>
                <c:pt idx="31">
                  <c:v>46.933472626848797</c:v>
                </c:pt>
                <c:pt idx="32">
                  <c:v>47.9164108321187</c:v>
                </c:pt>
                <c:pt idx="33">
                  <c:v>48.9615318477153</c:v>
                </c:pt>
                <c:pt idx="34">
                  <c:v>49.246744555579603</c:v>
                </c:pt>
                <c:pt idx="35">
                  <c:v>48.646119336699002</c:v>
                </c:pt>
                <c:pt idx="36">
                  <c:v>48.476248880621803</c:v>
                </c:pt>
                <c:pt idx="37">
                  <c:v>48.535106361062297</c:v>
                </c:pt>
                <c:pt idx="38">
                  <c:v>50.180954970944903</c:v>
                </c:pt>
                <c:pt idx="39">
                  <c:v>50.003865671139501</c:v>
                </c:pt>
                <c:pt idx="40">
                  <c:v>51.4578950331641</c:v>
                </c:pt>
                <c:pt idx="41">
                  <c:v>51.4817123485278</c:v>
                </c:pt>
                <c:pt idx="42">
                  <c:v>50.034129515860499</c:v>
                </c:pt>
                <c:pt idx="43">
                  <c:v>47.567002277579</c:v>
                </c:pt>
                <c:pt idx="44">
                  <c:v>46.649926899674497</c:v>
                </c:pt>
                <c:pt idx="45">
                  <c:v>48.398876282197598</c:v>
                </c:pt>
                <c:pt idx="46">
                  <c:v>49.171895078814003</c:v>
                </c:pt>
                <c:pt idx="47">
                  <c:v>50.676120050528397</c:v>
                </c:pt>
                <c:pt idx="48">
                  <c:v>49.431132580651798</c:v>
                </c:pt>
                <c:pt idx="49">
                  <c:v>49.326954172462401</c:v>
                </c:pt>
                <c:pt idx="50">
                  <c:v>49.444695343062499</c:v>
                </c:pt>
                <c:pt idx="51">
                  <c:v>50.174510195441698</c:v>
                </c:pt>
                <c:pt idx="52">
                  <c:v>49.427747370725598</c:v>
                </c:pt>
                <c:pt idx="53">
                  <c:v>49.662008757407897</c:v>
                </c:pt>
                <c:pt idx="54">
                  <c:v>49.054495423308197</c:v>
                </c:pt>
                <c:pt idx="55">
                  <c:v>49.805664990949303</c:v>
                </c:pt>
                <c:pt idx="56" formatCode="0.00_)">
                  <c:v>50.335924614170601</c:v>
                </c:pt>
                <c:pt idx="57">
                  <c:v>50.230851150748599</c:v>
                </c:pt>
                <c:pt idx="58" formatCode="0.00_)">
                  <c:v>49.641056614462101</c:v>
                </c:pt>
                <c:pt idx="59">
                  <c:v>49.687327100098102</c:v>
                </c:pt>
                <c:pt idx="60">
                  <c:v>50.756423525008202</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SERV'!$L$17:$L$88</c:f>
              <c:numCache>
                <c:formatCode>0.0_)</c:formatCode>
                <c:ptCount val="61"/>
                <c:pt idx="0">
                  <c:v>51.033260828061699</c:v>
                </c:pt>
                <c:pt idx="1">
                  <c:v>50.7500360787079</c:v>
                </c:pt>
                <c:pt idx="2">
                  <c:v>50.533001210060903</c:v>
                </c:pt>
                <c:pt idx="3">
                  <c:v>50.393635189262497</c:v>
                </c:pt>
                <c:pt idx="4">
                  <c:v>50.357693314272097</c:v>
                </c:pt>
                <c:pt idx="5">
                  <c:v>50.353461654099902</c:v>
                </c:pt>
                <c:pt idx="6">
                  <c:v>50.3373479894219</c:v>
                </c:pt>
                <c:pt idx="7">
                  <c:v>50.319010428377197</c:v>
                </c:pt>
                <c:pt idx="8">
                  <c:v>50.3903263296666</c:v>
                </c:pt>
                <c:pt idx="9">
                  <c:v>50.597253491708202</c:v>
                </c:pt>
                <c:pt idx="10">
                  <c:v>50.8998022607854</c:v>
                </c:pt>
                <c:pt idx="11">
                  <c:v>51.171873549188803</c:v>
                </c:pt>
                <c:pt idx="12">
                  <c:v>51.313194114327402</c:v>
                </c:pt>
                <c:pt idx="13">
                  <c:v>51.264964348456402</c:v>
                </c:pt>
                <c:pt idx="14">
                  <c:v>51.009300946798703</c:v>
                </c:pt>
                <c:pt idx="15">
                  <c:v>50.667816417200498</c:v>
                </c:pt>
                <c:pt idx="16">
                  <c:v>50.4090574822267</c:v>
                </c:pt>
                <c:pt idx="17">
                  <c:v>50.334454383466898</c:v>
                </c:pt>
                <c:pt idx="18">
                  <c:v>50.394531201820399</c:v>
                </c:pt>
                <c:pt idx="19">
                  <c:v>50.446120678169699</c:v>
                </c:pt>
                <c:pt idx="20">
                  <c:v>50.4104852898977</c:v>
                </c:pt>
                <c:pt idx="21">
                  <c:v>50.250119471336703</c:v>
                </c:pt>
                <c:pt idx="22">
                  <c:v>50.014348727808702</c:v>
                </c:pt>
                <c:pt idx="23">
                  <c:v>49.724911180275598</c:v>
                </c:pt>
                <c:pt idx="24">
                  <c:v>49.357134485341</c:v>
                </c:pt>
                <c:pt idx="25">
                  <c:v>48.9097476012562</c:v>
                </c:pt>
                <c:pt idx="26">
                  <c:v>48.433581170354998</c:v>
                </c:pt>
                <c:pt idx="27">
                  <c:v>47.980242978891397</c:v>
                </c:pt>
                <c:pt idx="28">
                  <c:v>47.634313797527</c:v>
                </c:pt>
                <c:pt idx="29">
                  <c:v>47.517670739743998</c:v>
                </c:pt>
                <c:pt idx="30">
                  <c:v>47.6939268871606</c:v>
                </c:pt>
                <c:pt idx="31">
                  <c:v>48.102456979921897</c:v>
                </c:pt>
                <c:pt idx="32">
                  <c:v>48.537937458113603</c:v>
                </c:pt>
                <c:pt idx="33">
                  <c:v>48.8582614264675</c:v>
                </c:pt>
                <c:pt idx="34">
                  <c:v>49.001365840687797</c:v>
                </c:pt>
                <c:pt idx="35">
                  <c:v>49.044272898406497</c:v>
                </c:pt>
                <c:pt idx="36">
                  <c:v>49.148641689554097</c:v>
                </c:pt>
                <c:pt idx="37">
                  <c:v>49.436511915822798</c:v>
                </c:pt>
                <c:pt idx="38">
                  <c:v>49.868365267687103</c:v>
                </c:pt>
                <c:pt idx="39">
                  <c:v>50.320859712845603</c:v>
                </c:pt>
                <c:pt idx="40">
                  <c:v>50.578011768205499</c:v>
                </c:pt>
                <c:pt idx="41">
                  <c:v>50.493195427284903</c:v>
                </c:pt>
                <c:pt idx="42">
                  <c:v>50.1021577843537</c:v>
                </c:pt>
                <c:pt idx="43">
                  <c:v>49.592550032470399</c:v>
                </c:pt>
                <c:pt idx="44">
                  <c:v>49.170981435346903</c:v>
                </c:pt>
                <c:pt idx="45">
                  <c:v>48.953090760686102</c:v>
                </c:pt>
                <c:pt idx="46">
                  <c:v>48.961175144966603</c:v>
                </c:pt>
                <c:pt idx="47">
                  <c:v>49.139949643306899</c:v>
                </c:pt>
                <c:pt idx="48">
                  <c:v>49.366249496441803</c:v>
                </c:pt>
                <c:pt idx="49">
                  <c:v>49.535705550160699</c:v>
                </c:pt>
                <c:pt idx="50">
                  <c:v>49.602603760395603</c:v>
                </c:pt>
                <c:pt idx="51">
                  <c:v>49.593005742217599</c:v>
                </c:pt>
                <c:pt idx="52">
                  <c:v>49.580658279606197</c:v>
                </c:pt>
                <c:pt idx="53">
                  <c:v>49.618234127910597</c:v>
                </c:pt>
                <c:pt idx="54">
                  <c:v>49.674735503004896</c:v>
                </c:pt>
                <c:pt idx="55">
                  <c:v>49.732539395997399</c:v>
                </c:pt>
                <c:pt idx="56">
                  <c:v>49.7946416562785</c:v>
                </c:pt>
                <c:pt idx="57">
                  <c:v>49.8856151970515</c:v>
                </c:pt>
                <c:pt idx="58">
                  <c:v>50.039860243567098</c:v>
                </c:pt>
                <c:pt idx="59">
                  <c:v>50.280923908043498</c:v>
                </c:pt>
                <c:pt idx="60">
                  <c:v>50.648912583744803</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827406360"/>
        <c:axId val="827403224"/>
      </c:lineChart>
      <c:catAx>
        <c:axId val="827406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7403224"/>
        <c:crossesAt val="50"/>
        <c:auto val="1"/>
        <c:lblAlgn val="ctr"/>
        <c:lblOffset val="50"/>
        <c:tickLblSkip val="1"/>
        <c:tickMarkSkip val="12"/>
        <c:noMultiLvlLbl val="1"/>
      </c:catAx>
      <c:valAx>
        <c:axId val="827403224"/>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740636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IGOET'!$A$17:$B$88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IGOET'!$C$17:$C$88</c:f>
              <c:numCache>
                <c:formatCode>0.0_)</c:formatCode>
                <c:ptCount val="61"/>
                <c:pt idx="0">
                  <c:v>51.91</c:v>
                </c:pt>
                <c:pt idx="1">
                  <c:v>51.359000000000002</c:v>
                </c:pt>
                <c:pt idx="2">
                  <c:v>57.734000000000002</c:v>
                </c:pt>
                <c:pt idx="3">
                  <c:v>52.423000000000002</c:v>
                </c:pt>
                <c:pt idx="4">
                  <c:v>55.822000000000003</c:v>
                </c:pt>
                <c:pt idx="5">
                  <c:v>54.500999999999998</c:v>
                </c:pt>
                <c:pt idx="6">
                  <c:v>54.694000000000003</c:v>
                </c:pt>
                <c:pt idx="7">
                  <c:v>53.844000000000001</c:v>
                </c:pt>
                <c:pt idx="8">
                  <c:v>52.252000000000002</c:v>
                </c:pt>
                <c:pt idx="9">
                  <c:v>55.021000000000001</c:v>
                </c:pt>
                <c:pt idx="10">
                  <c:v>53.768999999999998</c:v>
                </c:pt>
                <c:pt idx="11">
                  <c:v>56.588999999999999</c:v>
                </c:pt>
                <c:pt idx="12">
                  <c:v>51.003</c:v>
                </c:pt>
                <c:pt idx="13">
                  <c:v>50.645000000000003</c:v>
                </c:pt>
                <c:pt idx="14">
                  <c:v>55.213999999999999</c:v>
                </c:pt>
                <c:pt idx="15">
                  <c:v>55.27</c:v>
                </c:pt>
                <c:pt idx="16">
                  <c:v>54.298999999999999</c:v>
                </c:pt>
                <c:pt idx="17">
                  <c:v>51.993000000000002</c:v>
                </c:pt>
                <c:pt idx="18">
                  <c:v>53.731000000000002</c:v>
                </c:pt>
                <c:pt idx="19">
                  <c:v>52.343000000000004</c:v>
                </c:pt>
                <c:pt idx="20">
                  <c:v>50.262999999999998</c:v>
                </c:pt>
                <c:pt idx="21">
                  <c:v>53.607999999999997</c:v>
                </c:pt>
                <c:pt idx="22">
                  <c:v>52.531999999999996</c:v>
                </c:pt>
                <c:pt idx="23">
                  <c:v>52.134</c:v>
                </c:pt>
                <c:pt idx="24">
                  <c:v>48.143999999999998</c:v>
                </c:pt>
                <c:pt idx="25">
                  <c:v>47.622999999999998</c:v>
                </c:pt>
                <c:pt idx="26">
                  <c:v>46.478999999999999</c:v>
                </c:pt>
                <c:pt idx="27">
                  <c:v>37.518999999999998</c:v>
                </c:pt>
                <c:pt idx="28">
                  <c:v>42.094000000000001</c:v>
                </c:pt>
                <c:pt idx="29">
                  <c:v>50.292999999999999</c:v>
                </c:pt>
                <c:pt idx="30">
                  <c:v>51.579000000000001</c:v>
                </c:pt>
                <c:pt idx="31">
                  <c:v>51.551000000000002</c:v>
                </c:pt>
                <c:pt idx="32">
                  <c:v>51.393999999999998</c:v>
                </c:pt>
                <c:pt idx="33">
                  <c:v>54.487000000000002</c:v>
                </c:pt>
                <c:pt idx="34">
                  <c:v>52.564999999999998</c:v>
                </c:pt>
                <c:pt idx="35">
                  <c:v>53.720999999999997</c:v>
                </c:pt>
                <c:pt idx="36">
                  <c:v>44.177</c:v>
                </c:pt>
                <c:pt idx="37">
                  <c:v>49.640999999999998</c:v>
                </c:pt>
                <c:pt idx="38">
                  <c:v>55.435000000000002</c:v>
                </c:pt>
                <c:pt idx="39">
                  <c:v>51.235999999999997</c:v>
                </c:pt>
                <c:pt idx="40">
                  <c:v>54.938000000000002</c:v>
                </c:pt>
                <c:pt idx="41">
                  <c:v>52.893999999999998</c:v>
                </c:pt>
                <c:pt idx="42">
                  <c:v>52.670999999999999</c:v>
                </c:pt>
                <c:pt idx="43">
                  <c:v>51.468000000000004</c:v>
                </c:pt>
                <c:pt idx="44">
                  <c:v>50.542000000000002</c:v>
                </c:pt>
                <c:pt idx="45">
                  <c:v>54.185000000000002</c:v>
                </c:pt>
                <c:pt idx="46">
                  <c:v>52.23</c:v>
                </c:pt>
                <c:pt idx="47">
                  <c:v>53.106000000000002</c:v>
                </c:pt>
                <c:pt idx="48">
                  <c:v>45.896999999999998</c:v>
                </c:pt>
                <c:pt idx="49">
                  <c:v>47.954000000000001</c:v>
                </c:pt>
                <c:pt idx="50">
                  <c:v>55.162999999999997</c:v>
                </c:pt>
                <c:pt idx="51">
                  <c:v>50.329000000000001</c:v>
                </c:pt>
                <c:pt idx="52">
                  <c:v>54.341999999999999</c:v>
                </c:pt>
                <c:pt idx="53">
                  <c:v>51.354999999999997</c:v>
                </c:pt>
                <c:pt idx="54">
                  <c:v>53.107999999999997</c:v>
                </c:pt>
                <c:pt idx="55">
                  <c:v>52.99</c:v>
                </c:pt>
                <c:pt idx="56">
                  <c:v>48.74</c:v>
                </c:pt>
                <c:pt idx="57">
                  <c:v>54.457999999999998</c:v>
                </c:pt>
                <c:pt idx="58">
                  <c:v>53.43</c:v>
                </c:pt>
                <c:pt idx="59">
                  <c:v>54.258000000000003</c:v>
                </c:pt>
                <c:pt idx="60">
                  <c:v>45.948999999999998</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827398912"/>
        <c:axId val="827402832"/>
      </c:lineChart>
      <c:catAx>
        <c:axId val="8273989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827402832"/>
        <c:crossesAt val="50"/>
        <c:auto val="1"/>
        <c:lblAlgn val="ctr"/>
        <c:lblOffset val="50"/>
        <c:tickLblSkip val="1"/>
        <c:tickMarkSkip val="12"/>
        <c:noMultiLvlLbl val="1"/>
      </c:catAx>
      <c:valAx>
        <c:axId val="82740283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827398912"/>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MAN'!$G$173:$G$244</c:f>
              <c:numCache>
                <c:formatCode>0.0_)</c:formatCode>
                <c:ptCount val="61"/>
                <c:pt idx="0">
                  <c:v>50.466352999448802</c:v>
                </c:pt>
                <c:pt idx="1">
                  <c:v>53.427180516181302</c:v>
                </c:pt>
                <c:pt idx="2">
                  <c:v>54.510935908321002</c:v>
                </c:pt>
                <c:pt idx="3">
                  <c:v>50.669539862633002</c:v>
                </c:pt>
                <c:pt idx="4">
                  <c:v>51.702535669503398</c:v>
                </c:pt>
                <c:pt idx="5">
                  <c:v>50.449813812911501</c:v>
                </c:pt>
                <c:pt idx="6">
                  <c:v>51.327129352762398</c:v>
                </c:pt>
                <c:pt idx="7">
                  <c:v>51.156278005852997</c:v>
                </c:pt>
                <c:pt idx="8">
                  <c:v>50.428322996638897</c:v>
                </c:pt>
                <c:pt idx="9">
                  <c:v>50.336465747932799</c:v>
                </c:pt>
                <c:pt idx="10">
                  <c:v>51.772640243340099</c:v>
                </c:pt>
                <c:pt idx="11">
                  <c:v>52.870189098839703</c:v>
                </c:pt>
                <c:pt idx="12">
                  <c:v>51.810800417755303</c:v>
                </c:pt>
                <c:pt idx="13">
                  <c:v>50.980584889308403</c:v>
                </c:pt>
                <c:pt idx="14">
                  <c:v>50.732228847306303</c:v>
                </c:pt>
                <c:pt idx="15">
                  <c:v>51.576077230865998</c:v>
                </c:pt>
                <c:pt idx="16">
                  <c:v>50.810852237812298</c:v>
                </c:pt>
                <c:pt idx="17">
                  <c:v>51.541435189714903</c:v>
                </c:pt>
                <c:pt idx="18">
                  <c:v>50.408326740797598</c:v>
                </c:pt>
                <c:pt idx="19">
                  <c:v>53.485444035095398</c:v>
                </c:pt>
                <c:pt idx="20">
                  <c:v>52.327366754275502</c:v>
                </c:pt>
                <c:pt idx="21">
                  <c:v>49.156094471584503</c:v>
                </c:pt>
                <c:pt idx="22">
                  <c:v>51.172484728465903</c:v>
                </c:pt>
                <c:pt idx="23">
                  <c:v>50.880795911366299</c:v>
                </c:pt>
                <c:pt idx="24">
                  <c:v>50.606436733403299</c:v>
                </c:pt>
                <c:pt idx="25">
                  <c:v>51.147151703974501</c:v>
                </c:pt>
                <c:pt idx="26">
                  <c:v>45.096214674382701</c:v>
                </c:pt>
                <c:pt idx="27">
                  <c:v>36.621645285266098</c:v>
                </c:pt>
                <c:pt idx="28">
                  <c:v>41.250238813790602</c:v>
                </c:pt>
                <c:pt idx="29">
                  <c:v>50.777492751010101</c:v>
                </c:pt>
                <c:pt idx="30">
                  <c:v>50.318510268320701</c:v>
                </c:pt>
                <c:pt idx="31">
                  <c:v>49.696684327398899</c:v>
                </c:pt>
                <c:pt idx="32">
                  <c:v>52.1173034108145</c:v>
                </c:pt>
                <c:pt idx="33">
                  <c:v>52.210450498696702</c:v>
                </c:pt>
                <c:pt idx="34">
                  <c:v>48.679398604109998</c:v>
                </c:pt>
                <c:pt idx="35">
                  <c:v>48.440305482356798</c:v>
                </c:pt>
                <c:pt idx="36">
                  <c:v>49.346555090551497</c:v>
                </c:pt>
                <c:pt idx="37">
                  <c:v>48.364300816829797</c:v>
                </c:pt>
                <c:pt idx="38">
                  <c:v>53.341360924976101</c:v>
                </c:pt>
                <c:pt idx="39">
                  <c:v>48.443754106443102</c:v>
                </c:pt>
                <c:pt idx="40">
                  <c:v>49.845847250402798</c:v>
                </c:pt>
                <c:pt idx="41">
                  <c:v>50.456299339130197</c:v>
                </c:pt>
                <c:pt idx="42">
                  <c:v>51.7343625352581</c:v>
                </c:pt>
                <c:pt idx="43">
                  <c:v>50.418417982922897</c:v>
                </c:pt>
                <c:pt idx="44">
                  <c:v>49.146875077887699</c:v>
                </c:pt>
                <c:pt idx="45">
                  <c:v>50.367399374476598</c:v>
                </c:pt>
                <c:pt idx="46">
                  <c:v>51.325181292069303</c:v>
                </c:pt>
                <c:pt idx="47">
                  <c:v>47.780778427779097</c:v>
                </c:pt>
                <c:pt idx="48">
                  <c:v>52.175851222173101</c:v>
                </c:pt>
                <c:pt idx="49">
                  <c:v>52.740869444691299</c:v>
                </c:pt>
                <c:pt idx="50">
                  <c:v>52.788557540899802</c:v>
                </c:pt>
                <c:pt idx="51">
                  <c:v>53.523623395338603</c:v>
                </c:pt>
                <c:pt idx="52">
                  <c:v>52.782657615402996</c:v>
                </c:pt>
                <c:pt idx="53">
                  <c:v>48.771942301471498</c:v>
                </c:pt>
                <c:pt idx="54">
                  <c:v>51.218640644589598</c:v>
                </c:pt>
                <c:pt idx="55">
                  <c:v>50.712738594568499</c:v>
                </c:pt>
                <c:pt idx="56">
                  <c:v>47.676343983908197</c:v>
                </c:pt>
                <c:pt idx="57">
                  <c:v>50.784898266571702</c:v>
                </c:pt>
                <c:pt idx="58">
                  <c:v>51.203718391071497</c:v>
                </c:pt>
                <c:pt idx="59">
                  <c:v>50.350143423519398</c:v>
                </c:pt>
                <c:pt idx="60">
                  <c:v>51.069516934984499</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MAN'!$H$173:$H$244</c:f>
              <c:numCache>
                <c:formatCode>0.0_)</c:formatCode>
                <c:ptCount val="61"/>
                <c:pt idx="0">
                  <c:v>52.077900280012898</c:v>
                </c:pt>
                <c:pt idx="1">
                  <c:v>52.020796520925003</c:v>
                </c:pt>
                <c:pt idx="2">
                  <c:v>51.890573690640799</c:v>
                </c:pt>
                <c:pt idx="3">
                  <c:v>51.710302756731799</c:v>
                </c:pt>
                <c:pt idx="4">
                  <c:v>51.510961161319003</c:v>
                </c:pt>
                <c:pt idx="5">
                  <c:v>51.330238630031403</c:v>
                </c:pt>
                <c:pt idx="6">
                  <c:v>51.1965450006862</c:v>
                </c:pt>
                <c:pt idx="7">
                  <c:v>51.126283464721297</c:v>
                </c:pt>
                <c:pt idx="8">
                  <c:v>51.108893323735003</c:v>
                </c:pt>
                <c:pt idx="9">
                  <c:v>51.129433980578</c:v>
                </c:pt>
                <c:pt idx="10">
                  <c:v>51.177663094333099</c:v>
                </c:pt>
                <c:pt idx="11">
                  <c:v>51.239535849218697</c:v>
                </c:pt>
                <c:pt idx="12">
                  <c:v>51.299356192575701</c:v>
                </c:pt>
                <c:pt idx="13">
                  <c:v>51.350968790521598</c:v>
                </c:pt>
                <c:pt idx="14">
                  <c:v>51.381724069760502</c:v>
                </c:pt>
                <c:pt idx="15">
                  <c:v>51.398539144635599</c:v>
                </c:pt>
                <c:pt idx="16">
                  <c:v>51.406945334436301</c:v>
                </c:pt>
                <c:pt idx="17">
                  <c:v>51.405221327382797</c:v>
                </c:pt>
                <c:pt idx="18">
                  <c:v>51.390559720023703</c:v>
                </c:pt>
                <c:pt idx="19">
                  <c:v>51.356238812818198</c:v>
                </c:pt>
                <c:pt idx="20">
                  <c:v>51.303746276814003</c:v>
                </c:pt>
                <c:pt idx="21">
                  <c:v>51.224463615750302</c:v>
                </c:pt>
                <c:pt idx="22">
                  <c:v>51.107038638920997</c:v>
                </c:pt>
                <c:pt idx="23">
                  <c:v>50.961309111756201</c:v>
                </c:pt>
                <c:pt idx="24">
                  <c:v>50.812914110562403</c:v>
                </c:pt>
                <c:pt idx="25">
                  <c:v>50.684238551717598</c:v>
                </c:pt>
                <c:pt idx="26">
                  <c:v>50.589302589648298</c:v>
                </c:pt>
                <c:pt idx="27">
                  <c:v>50.522325439108101</c:v>
                </c:pt>
                <c:pt idx="28">
                  <c:v>50.471700030802701</c:v>
                </c:pt>
                <c:pt idx="29">
                  <c:v>50.418042471636497</c:v>
                </c:pt>
                <c:pt idx="30">
                  <c:v>50.335022047110797</c:v>
                </c:pt>
                <c:pt idx="31">
                  <c:v>50.202284476061898</c:v>
                </c:pt>
                <c:pt idx="32">
                  <c:v>50.016396889028499</c:v>
                </c:pt>
                <c:pt idx="33">
                  <c:v>49.809293039918501</c:v>
                </c:pt>
                <c:pt idx="34">
                  <c:v>49.612618318371503</c:v>
                </c:pt>
                <c:pt idx="35">
                  <c:v>49.443972490439798</c:v>
                </c:pt>
                <c:pt idx="36">
                  <c:v>49.3226040070058</c:v>
                </c:pt>
                <c:pt idx="37">
                  <c:v>49.261975657181303</c:v>
                </c:pt>
                <c:pt idx="38">
                  <c:v>49.270198285451002</c:v>
                </c:pt>
                <c:pt idx="39">
                  <c:v>49.3544894454987</c:v>
                </c:pt>
                <c:pt idx="40">
                  <c:v>49.509537191640902</c:v>
                </c:pt>
                <c:pt idx="41">
                  <c:v>49.727802013963299</c:v>
                </c:pt>
                <c:pt idx="42">
                  <c:v>50.002867504932702</c:v>
                </c:pt>
                <c:pt idx="43">
                  <c:v>50.326765508354796</c:v>
                </c:pt>
                <c:pt idx="44">
                  <c:v>50.682832705793601</c:v>
                </c:pt>
                <c:pt idx="45">
                  <c:v>51.047527337063102</c:v>
                </c:pt>
                <c:pt idx="46">
                  <c:v>51.405677785577403</c:v>
                </c:pt>
                <c:pt idx="47">
                  <c:v>51.7385647682665</c:v>
                </c:pt>
                <c:pt idx="48">
                  <c:v>52.017749911641602</c:v>
                </c:pt>
                <c:pt idx="49">
                  <c:v>52.214825542848502</c:v>
                </c:pt>
                <c:pt idx="50">
                  <c:v>52.313797776945201</c:v>
                </c:pt>
                <c:pt idx="51">
                  <c:v>52.3034419853008</c:v>
                </c:pt>
                <c:pt idx="52">
                  <c:v>52.1864485366373</c:v>
                </c:pt>
                <c:pt idx="53">
                  <c:v>51.974812794910598</c:v>
                </c:pt>
                <c:pt idx="54">
                  <c:v>51.701468941923601</c:v>
                </c:pt>
                <c:pt idx="55">
                  <c:v>51.409607929974499</c:v>
                </c:pt>
                <c:pt idx="56">
                  <c:v>51.1449681520306</c:v>
                </c:pt>
                <c:pt idx="57">
                  <c:v>50.9389479676043</c:v>
                </c:pt>
                <c:pt idx="58">
                  <c:v>50.799299455327002</c:v>
                </c:pt>
                <c:pt idx="59">
                  <c:v>50.723122183568101</c:v>
                </c:pt>
                <c:pt idx="60">
                  <c:v>50.699069897766798</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781021440"/>
        <c:axId val="781022616"/>
      </c:lineChart>
      <c:catAx>
        <c:axId val="7810214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1022616"/>
        <c:crossesAt val="50"/>
        <c:auto val="1"/>
        <c:lblAlgn val="ctr"/>
        <c:lblOffset val="50"/>
        <c:tickLblSkip val="1"/>
        <c:tickMarkSkip val="12"/>
        <c:noMultiLvlLbl val="1"/>
      </c:catAx>
      <c:valAx>
        <c:axId val="781022616"/>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21440"/>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MAN'!$I$173:$I$244</c:f>
              <c:numCache>
                <c:formatCode>0.0_)</c:formatCode>
                <c:ptCount val="61"/>
                <c:pt idx="0">
                  <c:v>53.0074004617681</c:v>
                </c:pt>
                <c:pt idx="1">
                  <c:v>53.052041764685796</c:v>
                </c:pt>
                <c:pt idx="2">
                  <c:v>55.391135455191801</c:v>
                </c:pt>
                <c:pt idx="3">
                  <c:v>55.320693464465698</c:v>
                </c:pt>
                <c:pt idx="4">
                  <c:v>53.970988121088098</c:v>
                </c:pt>
                <c:pt idx="5">
                  <c:v>53.269559115774001</c:v>
                </c:pt>
                <c:pt idx="6">
                  <c:v>50.326545982984499</c:v>
                </c:pt>
                <c:pt idx="7">
                  <c:v>55.748720911274198</c:v>
                </c:pt>
                <c:pt idx="8">
                  <c:v>52.551070524930303</c:v>
                </c:pt>
                <c:pt idx="9">
                  <c:v>56.383186961949903</c:v>
                </c:pt>
                <c:pt idx="10">
                  <c:v>52.2911402839296</c:v>
                </c:pt>
                <c:pt idx="11">
                  <c:v>50.808943513894498</c:v>
                </c:pt>
                <c:pt idx="12">
                  <c:v>54.712996885798603</c:v>
                </c:pt>
                <c:pt idx="13">
                  <c:v>51.827653838568096</c:v>
                </c:pt>
                <c:pt idx="14">
                  <c:v>52.6335239231652</c:v>
                </c:pt>
                <c:pt idx="15">
                  <c:v>50.8446796968448</c:v>
                </c:pt>
                <c:pt idx="16">
                  <c:v>51.322851300809198</c:v>
                </c:pt>
                <c:pt idx="17">
                  <c:v>51.767442146496201</c:v>
                </c:pt>
                <c:pt idx="18">
                  <c:v>51.486038992385403</c:v>
                </c:pt>
                <c:pt idx="19">
                  <c:v>50.079882032592799</c:v>
                </c:pt>
                <c:pt idx="20">
                  <c:v>50.742094437219897</c:v>
                </c:pt>
                <c:pt idx="21">
                  <c:v>49.553238234365203</c:v>
                </c:pt>
                <c:pt idx="22">
                  <c:v>49.525559064111398</c:v>
                </c:pt>
                <c:pt idx="23">
                  <c:v>49.858663890466701</c:v>
                </c:pt>
                <c:pt idx="24">
                  <c:v>50.459129995566997</c:v>
                </c:pt>
                <c:pt idx="25">
                  <c:v>50.038109821915597</c:v>
                </c:pt>
                <c:pt idx="26">
                  <c:v>42.567173142719099</c:v>
                </c:pt>
                <c:pt idx="27">
                  <c:v>35.3298023977448</c:v>
                </c:pt>
                <c:pt idx="28">
                  <c:v>45.2535037731611</c:v>
                </c:pt>
                <c:pt idx="29">
                  <c:v>50.290691189513602</c:v>
                </c:pt>
                <c:pt idx="30">
                  <c:v>50.399484244767002</c:v>
                </c:pt>
                <c:pt idx="31">
                  <c:v>51.186559160628597</c:v>
                </c:pt>
                <c:pt idx="32">
                  <c:v>52.134402345083203</c:v>
                </c:pt>
                <c:pt idx="33">
                  <c:v>52.061552726249602</c:v>
                </c:pt>
                <c:pt idx="34">
                  <c:v>52.2431823917413</c:v>
                </c:pt>
                <c:pt idx="35">
                  <c:v>51.655313754258202</c:v>
                </c:pt>
                <c:pt idx="36">
                  <c:v>50.987684070156199</c:v>
                </c:pt>
                <c:pt idx="37">
                  <c:v>50.653037242556501</c:v>
                </c:pt>
                <c:pt idx="38">
                  <c:v>49.495607409492202</c:v>
                </c:pt>
                <c:pt idx="39">
                  <c:v>47.512670852402998</c:v>
                </c:pt>
                <c:pt idx="40">
                  <c:v>50.351453348852097</c:v>
                </c:pt>
                <c:pt idx="41">
                  <c:v>50.9334578213032</c:v>
                </c:pt>
                <c:pt idx="42">
                  <c:v>50.545884565275699</c:v>
                </c:pt>
                <c:pt idx="43">
                  <c:v>49.854025639413699</c:v>
                </c:pt>
                <c:pt idx="44">
                  <c:v>50.605101702329002</c:v>
                </c:pt>
                <c:pt idx="45">
                  <c:v>51.8743505144732</c:v>
                </c:pt>
                <c:pt idx="46">
                  <c:v>49.6303217001254</c:v>
                </c:pt>
                <c:pt idx="47">
                  <c:v>50.4047894668347</c:v>
                </c:pt>
                <c:pt idx="48">
                  <c:v>50.1895205084151</c:v>
                </c:pt>
                <c:pt idx="49">
                  <c:v>53.155124277388602</c:v>
                </c:pt>
                <c:pt idx="50">
                  <c:v>51.367966303920603</c:v>
                </c:pt>
                <c:pt idx="51">
                  <c:v>52.838745796526901</c:v>
                </c:pt>
                <c:pt idx="52">
                  <c:v>50.958905548318299</c:v>
                </c:pt>
                <c:pt idx="53">
                  <c:v>50.420329876196902</c:v>
                </c:pt>
                <c:pt idx="54">
                  <c:v>50.8183753732323</c:v>
                </c:pt>
                <c:pt idx="55">
                  <c:v>51.654491548833697</c:v>
                </c:pt>
                <c:pt idx="56">
                  <c:v>50.471655449934303</c:v>
                </c:pt>
                <c:pt idx="57">
                  <c:v>50.330565894795797</c:v>
                </c:pt>
                <c:pt idx="58">
                  <c:v>52.248084239061797</c:v>
                </c:pt>
                <c:pt idx="59">
                  <c:v>52.117017635708201</c:v>
                </c:pt>
                <c:pt idx="60">
                  <c:v>52.201799702878397</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MAN'!$J$173:$J$244</c:f>
              <c:numCache>
                <c:formatCode>0.0_)</c:formatCode>
                <c:ptCount val="61"/>
                <c:pt idx="0">
                  <c:v>53.759939839010002</c:v>
                </c:pt>
                <c:pt idx="1">
                  <c:v>53.757407513776798</c:v>
                </c:pt>
                <c:pt idx="2">
                  <c:v>53.764003625684097</c:v>
                </c:pt>
                <c:pt idx="3">
                  <c:v>53.759797071948</c:v>
                </c:pt>
                <c:pt idx="4">
                  <c:v>53.7250261521231</c:v>
                </c:pt>
                <c:pt idx="5">
                  <c:v>53.648050214527103</c:v>
                </c:pt>
                <c:pt idx="6">
                  <c:v>53.521481814896497</c:v>
                </c:pt>
                <c:pt idx="7">
                  <c:v>53.344879960295202</c:v>
                </c:pt>
                <c:pt idx="8">
                  <c:v>53.130645477002297</c:v>
                </c:pt>
                <c:pt idx="9">
                  <c:v>52.900688605403197</c:v>
                </c:pt>
                <c:pt idx="10">
                  <c:v>52.675005140516802</c:v>
                </c:pt>
                <c:pt idx="11">
                  <c:v>52.468559966503101</c:v>
                </c:pt>
                <c:pt idx="12">
                  <c:v>52.282188239556</c:v>
                </c:pt>
                <c:pt idx="13">
                  <c:v>52.098335318395698</c:v>
                </c:pt>
                <c:pt idx="14">
                  <c:v>51.897628601866302</c:v>
                </c:pt>
                <c:pt idx="15">
                  <c:v>51.664282943076103</c:v>
                </c:pt>
                <c:pt idx="16">
                  <c:v>51.402839678505202</c:v>
                </c:pt>
                <c:pt idx="17">
                  <c:v>51.127492364199902</c:v>
                </c:pt>
                <c:pt idx="18">
                  <c:v>50.855520288540099</c:v>
                </c:pt>
                <c:pt idx="19">
                  <c:v>50.603923410867203</c:v>
                </c:pt>
                <c:pt idx="20">
                  <c:v>50.387400633874798</c:v>
                </c:pt>
                <c:pt idx="21">
                  <c:v>50.214456456207401</c:v>
                </c:pt>
                <c:pt idx="22">
                  <c:v>50.089793138117201</c:v>
                </c:pt>
                <c:pt idx="23">
                  <c:v>50.020629958354903</c:v>
                </c:pt>
                <c:pt idx="24">
                  <c:v>50.0121198249741</c:v>
                </c:pt>
                <c:pt idx="25">
                  <c:v>50.0707997431956</c:v>
                </c:pt>
                <c:pt idx="26">
                  <c:v>50.199622930077702</c:v>
                </c:pt>
                <c:pt idx="27">
                  <c:v>50.392619839752697</c:v>
                </c:pt>
                <c:pt idx="28">
                  <c:v>50.631962324048096</c:v>
                </c:pt>
                <c:pt idx="29">
                  <c:v>50.882234485163103</c:v>
                </c:pt>
                <c:pt idx="30">
                  <c:v>51.1075423096677</c:v>
                </c:pt>
                <c:pt idx="31">
                  <c:v>51.2833873115502</c:v>
                </c:pt>
                <c:pt idx="32">
                  <c:v>51.397530607909701</c:v>
                </c:pt>
                <c:pt idx="33">
                  <c:v>51.438593138501702</c:v>
                </c:pt>
                <c:pt idx="34">
                  <c:v>51.406171713154201</c:v>
                </c:pt>
                <c:pt idx="35">
                  <c:v>51.308540315751799</c:v>
                </c:pt>
                <c:pt idx="36">
                  <c:v>51.157868890146901</c:v>
                </c:pt>
                <c:pt idx="37">
                  <c:v>50.974033972272203</c:v>
                </c:pt>
                <c:pt idx="38">
                  <c:v>50.7790078912439</c:v>
                </c:pt>
                <c:pt idx="39">
                  <c:v>50.5919683981394</c:v>
                </c:pt>
                <c:pt idx="40">
                  <c:v>50.434657643629997</c:v>
                </c:pt>
                <c:pt idx="41">
                  <c:v>50.325011365125398</c:v>
                </c:pt>
                <c:pt idx="42">
                  <c:v>50.274510324163401</c:v>
                </c:pt>
                <c:pt idx="43">
                  <c:v>50.278320305905801</c:v>
                </c:pt>
                <c:pt idx="44">
                  <c:v>50.317253734747197</c:v>
                </c:pt>
                <c:pt idx="45">
                  <c:v>50.377691932326698</c:v>
                </c:pt>
                <c:pt idx="46">
                  <c:v>50.450894938430899</c:v>
                </c:pt>
                <c:pt idx="47">
                  <c:v>50.524653956248201</c:v>
                </c:pt>
                <c:pt idx="48">
                  <c:v>50.594404826856803</c:v>
                </c:pt>
                <c:pt idx="49">
                  <c:v>50.660425928635398</c:v>
                </c:pt>
                <c:pt idx="50">
                  <c:v>50.724908692006402</c:v>
                </c:pt>
                <c:pt idx="51">
                  <c:v>50.795044072490299</c:v>
                </c:pt>
                <c:pt idx="52">
                  <c:v>50.873977131832198</c:v>
                </c:pt>
                <c:pt idx="53">
                  <c:v>50.965896256781399</c:v>
                </c:pt>
                <c:pt idx="54">
                  <c:v>51.072322274018497</c:v>
                </c:pt>
                <c:pt idx="55">
                  <c:v>51.194471604600103</c:v>
                </c:pt>
                <c:pt idx="56">
                  <c:v>51.327895492127801</c:v>
                </c:pt>
                <c:pt idx="57">
                  <c:v>51.461909155179903</c:v>
                </c:pt>
                <c:pt idx="58">
                  <c:v>51.588216251858697</c:v>
                </c:pt>
                <c:pt idx="59">
                  <c:v>51.698835664188202</c:v>
                </c:pt>
                <c:pt idx="60">
                  <c:v>51.780127449441402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781020264"/>
        <c:axId val="781020656"/>
      </c:lineChart>
      <c:catAx>
        <c:axId val="7810202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1020656"/>
        <c:crossesAt val="50"/>
        <c:auto val="1"/>
        <c:lblAlgn val="ctr"/>
        <c:lblOffset val="50"/>
        <c:tickLblSkip val="1"/>
        <c:tickMarkSkip val="12"/>
        <c:noMultiLvlLbl val="1"/>
      </c:catAx>
      <c:valAx>
        <c:axId val="78102065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20264"/>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MAN'!$K$173:$K$244</c:f>
              <c:numCache>
                <c:formatCode>0.0_)</c:formatCode>
                <c:ptCount val="61"/>
                <c:pt idx="0">
                  <c:v>57.303116602392798</c:v>
                </c:pt>
                <c:pt idx="1">
                  <c:v>51.992154520010203</c:v>
                </c:pt>
                <c:pt idx="2">
                  <c:v>54.543992753380302</c:v>
                </c:pt>
                <c:pt idx="3">
                  <c:v>52.189314102519603</c:v>
                </c:pt>
                <c:pt idx="4">
                  <c:v>51.075398318853701</c:v>
                </c:pt>
                <c:pt idx="5">
                  <c:v>53.460360570102701</c:v>
                </c:pt>
                <c:pt idx="6">
                  <c:v>51.7139782311272</c:v>
                </c:pt>
                <c:pt idx="7">
                  <c:v>55.511118221604796</c:v>
                </c:pt>
                <c:pt idx="8">
                  <c:v>54.089472518073102</c:v>
                </c:pt>
                <c:pt idx="9">
                  <c:v>52.748647087567598</c:v>
                </c:pt>
                <c:pt idx="10">
                  <c:v>50.1546386566948</c:v>
                </c:pt>
                <c:pt idx="11">
                  <c:v>47.164262649052297</c:v>
                </c:pt>
                <c:pt idx="12">
                  <c:v>54.452711678574403</c:v>
                </c:pt>
                <c:pt idx="13">
                  <c:v>54.1326653916379</c:v>
                </c:pt>
                <c:pt idx="14">
                  <c:v>53.075549648528998</c:v>
                </c:pt>
                <c:pt idx="15">
                  <c:v>53.689513669142201</c:v>
                </c:pt>
                <c:pt idx="16">
                  <c:v>53.688863520370298</c:v>
                </c:pt>
                <c:pt idx="17">
                  <c:v>52.880844715187102</c:v>
                </c:pt>
                <c:pt idx="18">
                  <c:v>51.183403580989697</c:v>
                </c:pt>
                <c:pt idx="19">
                  <c:v>52.159131813643597</c:v>
                </c:pt>
                <c:pt idx="20">
                  <c:v>50.746656572151103</c:v>
                </c:pt>
                <c:pt idx="21">
                  <c:v>49.683901929083</c:v>
                </c:pt>
                <c:pt idx="22">
                  <c:v>52.870783989829803</c:v>
                </c:pt>
                <c:pt idx="23">
                  <c:v>50.359442270201498</c:v>
                </c:pt>
                <c:pt idx="24">
                  <c:v>48.379640466124201</c:v>
                </c:pt>
                <c:pt idx="25">
                  <c:v>48.720857066429502</c:v>
                </c:pt>
                <c:pt idx="26">
                  <c:v>44.249327765399798</c:v>
                </c:pt>
                <c:pt idx="27">
                  <c:v>40.278391603235299</c:v>
                </c:pt>
                <c:pt idx="28">
                  <c:v>47.410423258551504</c:v>
                </c:pt>
                <c:pt idx="29">
                  <c:v>48.018347091588701</c:v>
                </c:pt>
                <c:pt idx="30">
                  <c:v>49.381795108595597</c:v>
                </c:pt>
                <c:pt idx="31">
                  <c:v>48.827617311305197</c:v>
                </c:pt>
                <c:pt idx="32">
                  <c:v>49.917951406072</c:v>
                </c:pt>
                <c:pt idx="33">
                  <c:v>51.981709590313699</c:v>
                </c:pt>
                <c:pt idx="34">
                  <c:v>49.281208439440498</c:v>
                </c:pt>
                <c:pt idx="35">
                  <c:v>52.253111059773602</c:v>
                </c:pt>
                <c:pt idx="36">
                  <c:v>49.737272023860498</c:v>
                </c:pt>
                <c:pt idx="37">
                  <c:v>49.196876935953</c:v>
                </c:pt>
                <c:pt idx="38">
                  <c:v>51.110849941337698</c:v>
                </c:pt>
                <c:pt idx="39">
                  <c:v>49.835797643415297</c:v>
                </c:pt>
                <c:pt idx="40">
                  <c:v>51.6332264108893</c:v>
                </c:pt>
                <c:pt idx="41">
                  <c:v>50.755238099469501</c:v>
                </c:pt>
                <c:pt idx="42">
                  <c:v>51.772141304942899</c:v>
                </c:pt>
                <c:pt idx="43">
                  <c:v>49.352130706127198</c:v>
                </c:pt>
                <c:pt idx="44">
                  <c:v>52.120627008571901</c:v>
                </c:pt>
                <c:pt idx="45">
                  <c:v>55.7360950181682</c:v>
                </c:pt>
                <c:pt idx="46">
                  <c:v>53.5267559449888</c:v>
                </c:pt>
                <c:pt idx="47">
                  <c:v>51.063583158576101</c:v>
                </c:pt>
                <c:pt idx="48">
                  <c:v>48.363082648522997</c:v>
                </c:pt>
                <c:pt idx="49">
                  <c:v>54.208273329361901</c:v>
                </c:pt>
                <c:pt idx="50">
                  <c:v>51.533289406282897</c:v>
                </c:pt>
                <c:pt idx="51">
                  <c:v>51.808254289728403</c:v>
                </c:pt>
                <c:pt idx="52">
                  <c:v>51.4031980449926</c:v>
                </c:pt>
                <c:pt idx="53">
                  <c:v>51.987966598512003</c:v>
                </c:pt>
                <c:pt idx="54">
                  <c:v>50.680831892999102</c:v>
                </c:pt>
                <c:pt idx="55">
                  <c:v>54.393250251641703</c:v>
                </c:pt>
                <c:pt idx="56">
                  <c:v>49.835155872235198</c:v>
                </c:pt>
                <c:pt idx="57">
                  <c:v>48.736565508190701</c:v>
                </c:pt>
                <c:pt idx="58">
                  <c:v>50.098805017629502</c:v>
                </c:pt>
                <c:pt idx="59">
                  <c:v>50.8184030785131</c:v>
                </c:pt>
                <c:pt idx="60">
                  <c:v>52.5961537701113</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MAN'!$L$173:$L$244</c:f>
              <c:numCache>
                <c:formatCode>0.0_)</c:formatCode>
                <c:ptCount val="61"/>
                <c:pt idx="0">
                  <c:v>52.673776684731102</c:v>
                </c:pt>
                <c:pt idx="1">
                  <c:v>52.587210869475001</c:v>
                </c:pt>
                <c:pt idx="2">
                  <c:v>52.573732543080702</c:v>
                </c:pt>
                <c:pt idx="3">
                  <c:v>52.605114238866001</c:v>
                </c:pt>
                <c:pt idx="4">
                  <c:v>52.650820733663998</c:v>
                </c:pt>
                <c:pt idx="5">
                  <c:v>52.696178339560802</c:v>
                </c:pt>
                <c:pt idx="6">
                  <c:v>52.747499682272696</c:v>
                </c:pt>
                <c:pt idx="7">
                  <c:v>52.821742443058199</c:v>
                </c:pt>
                <c:pt idx="8">
                  <c:v>52.9274987714698</c:v>
                </c:pt>
                <c:pt idx="9">
                  <c:v>53.064125780840399</c:v>
                </c:pt>
                <c:pt idx="10">
                  <c:v>53.215680457817399</c:v>
                </c:pt>
                <c:pt idx="11">
                  <c:v>53.345802759227197</c:v>
                </c:pt>
                <c:pt idx="12">
                  <c:v>53.425757599572599</c:v>
                </c:pt>
                <c:pt idx="13">
                  <c:v>53.4376292512909</c:v>
                </c:pt>
                <c:pt idx="14">
                  <c:v>53.367372623682101</c:v>
                </c:pt>
                <c:pt idx="15">
                  <c:v>53.2053811161665</c:v>
                </c:pt>
                <c:pt idx="16">
                  <c:v>52.957713757940901</c:v>
                </c:pt>
                <c:pt idx="17">
                  <c:v>52.627167447043902</c:v>
                </c:pt>
                <c:pt idx="18">
                  <c:v>52.213952533813298</c:v>
                </c:pt>
                <c:pt idx="19">
                  <c:v>51.728458781877499</c:v>
                </c:pt>
                <c:pt idx="20">
                  <c:v>51.186833297978403</c:v>
                </c:pt>
                <c:pt idx="21">
                  <c:v>50.624032284695602</c:v>
                </c:pt>
                <c:pt idx="22">
                  <c:v>50.071768030826</c:v>
                </c:pt>
                <c:pt idx="23">
                  <c:v>49.567418682403897</c:v>
                </c:pt>
                <c:pt idx="24">
                  <c:v>49.1257295226957</c:v>
                </c:pt>
                <c:pt idx="25">
                  <c:v>48.778017322487798</c:v>
                </c:pt>
                <c:pt idx="26">
                  <c:v>48.5607918000428</c:v>
                </c:pt>
                <c:pt idx="27">
                  <c:v>48.484822796969397</c:v>
                </c:pt>
                <c:pt idx="28">
                  <c:v>48.545319259227398</c:v>
                </c:pt>
                <c:pt idx="29">
                  <c:v>48.7208137897887</c:v>
                </c:pt>
                <c:pt idx="30">
                  <c:v>48.985386856570997</c:v>
                </c:pt>
                <c:pt idx="31">
                  <c:v>49.300634754472803</c:v>
                </c:pt>
                <c:pt idx="32">
                  <c:v>49.627715317590003</c:v>
                </c:pt>
                <c:pt idx="33">
                  <c:v>49.931963577377601</c:v>
                </c:pt>
                <c:pt idx="34">
                  <c:v>50.181753896014399</c:v>
                </c:pt>
                <c:pt idx="35">
                  <c:v>50.355373693999802</c:v>
                </c:pt>
                <c:pt idx="36">
                  <c:v>50.4742742453532</c:v>
                </c:pt>
                <c:pt idx="37">
                  <c:v>50.565774783973502</c:v>
                </c:pt>
                <c:pt idx="38">
                  <c:v>50.648096137171699</c:v>
                </c:pt>
                <c:pt idx="39">
                  <c:v>50.7511053824363</c:v>
                </c:pt>
                <c:pt idx="40">
                  <c:v>50.897268584237999</c:v>
                </c:pt>
                <c:pt idx="41">
                  <c:v>51.097566045296603</c:v>
                </c:pt>
                <c:pt idx="42">
                  <c:v>51.336818751586797</c:v>
                </c:pt>
                <c:pt idx="43">
                  <c:v>51.593985532051398</c:v>
                </c:pt>
                <c:pt idx="44">
                  <c:v>51.842297940126102</c:v>
                </c:pt>
                <c:pt idx="45">
                  <c:v>52.052367496934501</c:v>
                </c:pt>
                <c:pt idx="46">
                  <c:v>52.205627334172704</c:v>
                </c:pt>
                <c:pt idx="47">
                  <c:v>52.2911030682884</c:v>
                </c:pt>
                <c:pt idx="48">
                  <c:v>52.289083228858203</c:v>
                </c:pt>
                <c:pt idx="49">
                  <c:v>52.195285570136399</c:v>
                </c:pt>
                <c:pt idx="50">
                  <c:v>52.003955798726999</c:v>
                </c:pt>
                <c:pt idx="51">
                  <c:v>51.728269809303796</c:v>
                </c:pt>
                <c:pt idx="52">
                  <c:v>51.411187786467103</c:v>
                </c:pt>
                <c:pt idx="53">
                  <c:v>51.1007457963401</c:v>
                </c:pt>
                <c:pt idx="54">
                  <c:v>50.851987098551703</c:v>
                </c:pt>
                <c:pt idx="55">
                  <c:v>50.703451120899601</c:v>
                </c:pt>
                <c:pt idx="56">
                  <c:v>50.6741928536077</c:v>
                </c:pt>
                <c:pt idx="57">
                  <c:v>50.761585666614003</c:v>
                </c:pt>
                <c:pt idx="58">
                  <c:v>50.949198632126198</c:v>
                </c:pt>
                <c:pt idx="59">
                  <c:v>51.210854265861101</c:v>
                </c:pt>
                <c:pt idx="60">
                  <c:v>51.519866754596997</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781018304"/>
        <c:axId val="781023008"/>
      </c:lineChart>
      <c:catAx>
        <c:axId val="781018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1023008"/>
        <c:crossesAt val="50"/>
        <c:auto val="1"/>
        <c:lblAlgn val="ctr"/>
        <c:lblOffset val="50"/>
        <c:tickLblSkip val="1"/>
        <c:tickMarkSkip val="12"/>
        <c:noMultiLvlLbl val="1"/>
      </c:catAx>
      <c:valAx>
        <c:axId val="781023008"/>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18304"/>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MAN'!$M$173:$M$244</c:f>
              <c:numCache>
                <c:formatCode>0.0_)</c:formatCode>
                <c:ptCount val="61"/>
                <c:pt idx="0">
                  <c:v>51.064226273947</c:v>
                </c:pt>
                <c:pt idx="1">
                  <c:v>51.181437396604302</c:v>
                </c:pt>
                <c:pt idx="2">
                  <c:v>51.643851029350401</c:v>
                </c:pt>
                <c:pt idx="3">
                  <c:v>51.207992038093103</c:v>
                </c:pt>
                <c:pt idx="4">
                  <c:v>51.339649067579501</c:v>
                </c:pt>
                <c:pt idx="5">
                  <c:v>50.8557620473117</c:v>
                </c:pt>
                <c:pt idx="6">
                  <c:v>50.970508443699003</c:v>
                </c:pt>
                <c:pt idx="7">
                  <c:v>50.6205405263618</c:v>
                </c:pt>
                <c:pt idx="8">
                  <c:v>50.999946808946298</c:v>
                </c:pt>
                <c:pt idx="9">
                  <c:v>50.208311890971501</c:v>
                </c:pt>
                <c:pt idx="10">
                  <c:v>50.571421684089103</c:v>
                </c:pt>
                <c:pt idx="11">
                  <c:v>51.546685292312802</c:v>
                </c:pt>
                <c:pt idx="12">
                  <c:v>50.623188369082897</c:v>
                </c:pt>
                <c:pt idx="13">
                  <c:v>50.377980517179601</c:v>
                </c:pt>
                <c:pt idx="14">
                  <c:v>49.668634867658</c:v>
                </c:pt>
                <c:pt idx="15">
                  <c:v>50.246624261724101</c:v>
                </c:pt>
                <c:pt idx="16">
                  <c:v>49.667288001998202</c:v>
                </c:pt>
                <c:pt idx="17">
                  <c:v>49.951620964401002</c:v>
                </c:pt>
                <c:pt idx="18">
                  <c:v>49.964932487222903</c:v>
                </c:pt>
                <c:pt idx="19">
                  <c:v>49.821630043998503</c:v>
                </c:pt>
                <c:pt idx="20">
                  <c:v>49.594035546313101</c:v>
                </c:pt>
                <c:pt idx="21">
                  <c:v>50.025928228664299</c:v>
                </c:pt>
                <c:pt idx="22">
                  <c:v>49.293029527906199</c:v>
                </c:pt>
                <c:pt idx="23">
                  <c:v>49.089990892941998</c:v>
                </c:pt>
                <c:pt idx="24">
                  <c:v>49.276510240832401</c:v>
                </c:pt>
                <c:pt idx="25">
                  <c:v>49.3730385494326</c:v>
                </c:pt>
                <c:pt idx="26">
                  <c:v>48.588561144730598</c:v>
                </c:pt>
                <c:pt idx="27">
                  <c:v>46.196280355699102</c:v>
                </c:pt>
                <c:pt idx="28">
                  <c:v>44.515708783212901</c:v>
                </c:pt>
                <c:pt idx="29">
                  <c:v>46.328753371607199</c:v>
                </c:pt>
                <c:pt idx="30">
                  <c:v>48.637109837135803</c:v>
                </c:pt>
                <c:pt idx="31">
                  <c:v>48.951097333143998</c:v>
                </c:pt>
                <c:pt idx="32">
                  <c:v>49.550794335808298</c:v>
                </c:pt>
                <c:pt idx="33">
                  <c:v>49.910793271876599</c:v>
                </c:pt>
                <c:pt idx="34">
                  <c:v>50.3607872307023</c:v>
                </c:pt>
                <c:pt idx="35">
                  <c:v>50.578374302489998</c:v>
                </c:pt>
                <c:pt idx="36">
                  <c:v>49.945019410765703</c:v>
                </c:pt>
                <c:pt idx="37">
                  <c:v>49.801307646881199</c:v>
                </c:pt>
                <c:pt idx="38">
                  <c:v>50.128753474068603</c:v>
                </c:pt>
                <c:pt idx="39">
                  <c:v>50.090158722173001</c:v>
                </c:pt>
                <c:pt idx="40">
                  <c:v>50.286073732997899</c:v>
                </c:pt>
                <c:pt idx="41">
                  <c:v>51.122132395396001</c:v>
                </c:pt>
                <c:pt idx="42">
                  <c:v>51.472937939628402</c:v>
                </c:pt>
                <c:pt idx="43">
                  <c:v>51.250108828165999</c:v>
                </c:pt>
                <c:pt idx="44">
                  <c:v>51.321770196067902</c:v>
                </c:pt>
                <c:pt idx="45">
                  <c:v>49.345828986791702</c:v>
                </c:pt>
                <c:pt idx="46">
                  <c:v>50.5804636962527</c:v>
                </c:pt>
                <c:pt idx="47">
                  <c:v>50.314974201009498</c:v>
                </c:pt>
                <c:pt idx="48">
                  <c:v>49.793208256082302</c:v>
                </c:pt>
                <c:pt idx="49">
                  <c:v>51.538549525790202</c:v>
                </c:pt>
                <c:pt idx="50">
                  <c:v>51.699600643167003</c:v>
                </c:pt>
                <c:pt idx="51">
                  <c:v>50.707226421061698</c:v>
                </c:pt>
                <c:pt idx="52">
                  <c:v>50.851166552376199</c:v>
                </c:pt>
                <c:pt idx="53">
                  <c:v>50.199142046258203</c:v>
                </c:pt>
                <c:pt idx="54">
                  <c:v>50.300492406514202</c:v>
                </c:pt>
                <c:pt idx="55">
                  <c:v>50.310972945826002</c:v>
                </c:pt>
                <c:pt idx="56">
                  <c:v>49.7419874431246</c:v>
                </c:pt>
                <c:pt idx="57">
                  <c:v>50.112578071208802</c:v>
                </c:pt>
                <c:pt idx="58">
                  <c:v>50.343745892755003</c:v>
                </c:pt>
                <c:pt idx="59">
                  <c:v>50.463009791987702</c:v>
                </c:pt>
                <c:pt idx="60">
                  <c:v>51.0750983559508</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MAN'!$A$173:$B$244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MAN'!$N$173:$N$244</c:f>
              <c:numCache>
                <c:formatCode>0.0_)</c:formatCode>
                <c:ptCount val="61"/>
                <c:pt idx="0">
                  <c:v>51.134050440787902</c:v>
                </c:pt>
                <c:pt idx="1">
                  <c:v>51.252537384178403</c:v>
                </c:pt>
                <c:pt idx="2">
                  <c:v>51.304795388592701</c:v>
                </c:pt>
                <c:pt idx="3">
                  <c:v>51.281048329928097</c:v>
                </c:pt>
                <c:pt idx="4">
                  <c:v>51.196107286766697</c:v>
                </c:pt>
                <c:pt idx="5">
                  <c:v>51.0668139104041</c:v>
                </c:pt>
                <c:pt idx="6">
                  <c:v>50.922174937779999</c:v>
                </c:pt>
                <c:pt idx="7">
                  <c:v>50.804195817758803</c:v>
                </c:pt>
                <c:pt idx="8">
                  <c:v>50.733478560313898</c:v>
                </c:pt>
                <c:pt idx="9">
                  <c:v>50.688692911200697</c:v>
                </c:pt>
                <c:pt idx="10">
                  <c:v>50.645569774711603</c:v>
                </c:pt>
                <c:pt idx="11">
                  <c:v>50.581777547266</c:v>
                </c:pt>
                <c:pt idx="12">
                  <c:v>50.4765608380795</c:v>
                </c:pt>
                <c:pt idx="13">
                  <c:v>50.342460977678002</c:v>
                </c:pt>
                <c:pt idx="14">
                  <c:v>50.199290922309501</c:v>
                </c:pt>
                <c:pt idx="15">
                  <c:v>50.064578142645402</c:v>
                </c:pt>
                <c:pt idx="16">
                  <c:v>49.958676841711501</c:v>
                </c:pt>
                <c:pt idx="17">
                  <c:v>49.900478461652703</c:v>
                </c:pt>
                <c:pt idx="18">
                  <c:v>49.859917579399003</c:v>
                </c:pt>
                <c:pt idx="19">
                  <c:v>49.796429655745897</c:v>
                </c:pt>
                <c:pt idx="20">
                  <c:v>49.707057448818603</c:v>
                </c:pt>
                <c:pt idx="21">
                  <c:v>49.593261771543403</c:v>
                </c:pt>
                <c:pt idx="22">
                  <c:v>49.457987295428403</c:v>
                </c:pt>
                <c:pt idx="23">
                  <c:v>49.3044201427616</c:v>
                </c:pt>
                <c:pt idx="24">
                  <c:v>49.157736383939501</c:v>
                </c:pt>
                <c:pt idx="25">
                  <c:v>49.016060309964402</c:v>
                </c:pt>
                <c:pt idx="26">
                  <c:v>48.8784346057273</c:v>
                </c:pt>
                <c:pt idx="27">
                  <c:v>48.761879710244799</c:v>
                </c:pt>
                <c:pt idx="28">
                  <c:v>48.694746473657503</c:v>
                </c:pt>
                <c:pt idx="29">
                  <c:v>48.714501985553603</c:v>
                </c:pt>
                <c:pt idx="30">
                  <c:v>48.875808044377003</c:v>
                </c:pt>
                <c:pt idx="31">
                  <c:v>49.169894343692498</c:v>
                </c:pt>
                <c:pt idx="32">
                  <c:v>49.517012086853903</c:v>
                </c:pt>
                <c:pt idx="33">
                  <c:v>49.832809626373901</c:v>
                </c:pt>
                <c:pt idx="34">
                  <c:v>50.058906328396098</c:v>
                </c:pt>
                <c:pt idx="35">
                  <c:v>50.143681129400797</c:v>
                </c:pt>
                <c:pt idx="36">
                  <c:v>50.1107418566395</c:v>
                </c:pt>
                <c:pt idx="37">
                  <c:v>50.059393241061898</c:v>
                </c:pt>
                <c:pt idx="38">
                  <c:v>50.096327715857498</c:v>
                </c:pt>
                <c:pt idx="39">
                  <c:v>50.277017289268599</c:v>
                </c:pt>
                <c:pt idx="40">
                  <c:v>50.576656384500303</c:v>
                </c:pt>
                <c:pt idx="41">
                  <c:v>50.905047905240899</c:v>
                </c:pt>
                <c:pt idx="42">
                  <c:v>51.142145774564398</c:v>
                </c:pt>
                <c:pt idx="43">
                  <c:v>51.2162445414301</c:v>
                </c:pt>
                <c:pt idx="44">
                  <c:v>51.135012367731399</c:v>
                </c:pt>
                <c:pt idx="45">
                  <c:v>50.958550411198701</c:v>
                </c:pt>
                <c:pt idx="46">
                  <c:v>50.767036215713702</c:v>
                </c:pt>
                <c:pt idx="47">
                  <c:v>50.653101681752503</c:v>
                </c:pt>
                <c:pt idx="48">
                  <c:v>50.637659425737098</c:v>
                </c:pt>
                <c:pt idx="49">
                  <c:v>50.672054597985301</c:v>
                </c:pt>
                <c:pt idx="50">
                  <c:v>50.707153094811602</c:v>
                </c:pt>
                <c:pt idx="51">
                  <c:v>50.692162727290501</c:v>
                </c:pt>
                <c:pt idx="52">
                  <c:v>50.595459167605803</c:v>
                </c:pt>
                <c:pt idx="53">
                  <c:v>50.439904674736802</c:v>
                </c:pt>
                <c:pt idx="54">
                  <c:v>50.2673521840997</c:v>
                </c:pt>
                <c:pt idx="55">
                  <c:v>50.134355566148301</c:v>
                </c:pt>
                <c:pt idx="56">
                  <c:v>50.089082289061203</c:v>
                </c:pt>
                <c:pt idx="57">
                  <c:v>50.164679464000997</c:v>
                </c:pt>
                <c:pt idx="58">
                  <c:v>50.3576100736814</c:v>
                </c:pt>
                <c:pt idx="59">
                  <c:v>50.626744826958401</c:v>
                </c:pt>
                <c:pt idx="60">
                  <c:v>50.9092568837276</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781016344"/>
        <c:axId val="781016736"/>
      </c:lineChart>
      <c:catAx>
        <c:axId val="7810163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1016736"/>
        <c:crossesAt val="50"/>
        <c:auto val="1"/>
        <c:lblAlgn val="ctr"/>
        <c:lblOffset val="50"/>
        <c:tickLblSkip val="1"/>
        <c:tickMarkSkip val="12"/>
        <c:noMultiLvlLbl val="1"/>
      </c:catAx>
      <c:valAx>
        <c:axId val="781016736"/>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1016344"/>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CONS'!$C$89:$C$160</c:f>
              <c:numCache>
                <c:formatCode>0.0_)</c:formatCode>
                <c:ptCount val="61"/>
                <c:pt idx="0">
                  <c:v>51.680664956528901</c:v>
                </c:pt>
                <c:pt idx="1">
                  <c:v>51.536040962634502</c:v>
                </c:pt>
                <c:pt idx="2">
                  <c:v>52.518960533892702</c:v>
                </c:pt>
                <c:pt idx="3">
                  <c:v>51.093139581219098</c:v>
                </c:pt>
                <c:pt idx="4">
                  <c:v>52.473525169088298</c:v>
                </c:pt>
                <c:pt idx="5">
                  <c:v>49.849004739447103</c:v>
                </c:pt>
                <c:pt idx="6">
                  <c:v>50.534002163855</c:v>
                </c:pt>
                <c:pt idx="7">
                  <c:v>51.608474119671698</c:v>
                </c:pt>
                <c:pt idx="8">
                  <c:v>52.867967421344702</c:v>
                </c:pt>
                <c:pt idx="9">
                  <c:v>51.392518046613098</c:v>
                </c:pt>
                <c:pt idx="10">
                  <c:v>51.157632733680003</c:v>
                </c:pt>
                <c:pt idx="11">
                  <c:v>49.592579081100801</c:v>
                </c:pt>
                <c:pt idx="12">
                  <c:v>51.393226835473897</c:v>
                </c:pt>
                <c:pt idx="13">
                  <c:v>51.568317236453098</c:v>
                </c:pt>
                <c:pt idx="14">
                  <c:v>51.380049708321799</c:v>
                </c:pt>
                <c:pt idx="15">
                  <c:v>51.918481047611898</c:v>
                </c:pt>
                <c:pt idx="16">
                  <c:v>51.102573944903703</c:v>
                </c:pt>
                <c:pt idx="17">
                  <c:v>50.974356153444702</c:v>
                </c:pt>
                <c:pt idx="18">
                  <c:v>50.451003220469502</c:v>
                </c:pt>
                <c:pt idx="19">
                  <c:v>50.034072415838097</c:v>
                </c:pt>
                <c:pt idx="20">
                  <c:v>50.164067767982097</c:v>
                </c:pt>
                <c:pt idx="21">
                  <c:v>49.557878267850597</c:v>
                </c:pt>
                <c:pt idx="22">
                  <c:v>48.954658806445401</c:v>
                </c:pt>
                <c:pt idx="23">
                  <c:v>48.330239523261596</c:v>
                </c:pt>
                <c:pt idx="24">
                  <c:v>48.398524279522398</c:v>
                </c:pt>
                <c:pt idx="25">
                  <c:v>48.032811226876198</c:v>
                </c:pt>
                <c:pt idx="26">
                  <c:v>46.779224350284203</c:v>
                </c:pt>
                <c:pt idx="27">
                  <c:v>40.477014114467103</c:v>
                </c:pt>
                <c:pt idx="28">
                  <c:v>38.402489078597497</c:v>
                </c:pt>
                <c:pt idx="29">
                  <c:v>44.771389846819901</c:v>
                </c:pt>
                <c:pt idx="30">
                  <c:v>48.872930298680203</c:v>
                </c:pt>
                <c:pt idx="31">
                  <c:v>49.086401662308702</c:v>
                </c:pt>
                <c:pt idx="32">
                  <c:v>49.499413673159502</c:v>
                </c:pt>
                <c:pt idx="33">
                  <c:v>50.065015544723202</c:v>
                </c:pt>
                <c:pt idx="34">
                  <c:v>50.895072134557203</c:v>
                </c:pt>
                <c:pt idx="35">
                  <c:v>51.859733150844299</c:v>
                </c:pt>
                <c:pt idx="36">
                  <c:v>52.177007758869799</c:v>
                </c:pt>
                <c:pt idx="37">
                  <c:v>52.363378188564901</c:v>
                </c:pt>
                <c:pt idx="38">
                  <c:v>53.145880155847401</c:v>
                </c:pt>
                <c:pt idx="39">
                  <c:v>52.988190602505</c:v>
                </c:pt>
                <c:pt idx="40">
                  <c:v>53.296679150582698</c:v>
                </c:pt>
                <c:pt idx="41">
                  <c:v>53.439375040640002</c:v>
                </c:pt>
                <c:pt idx="42">
                  <c:v>53.835889199542102</c:v>
                </c:pt>
                <c:pt idx="43">
                  <c:v>53.767406195345103</c:v>
                </c:pt>
                <c:pt idx="44">
                  <c:v>53.841344864961002</c:v>
                </c:pt>
                <c:pt idx="45">
                  <c:v>52.643806272130298</c:v>
                </c:pt>
                <c:pt idx="46">
                  <c:v>53.383893938393598</c:v>
                </c:pt>
                <c:pt idx="47">
                  <c:v>54.172582640606002</c:v>
                </c:pt>
                <c:pt idx="48">
                  <c:v>54.2928740154655</c:v>
                </c:pt>
                <c:pt idx="49">
                  <c:v>54.3080365257374</c:v>
                </c:pt>
                <c:pt idx="50">
                  <c:v>54.136728863256998</c:v>
                </c:pt>
                <c:pt idx="51">
                  <c:v>54.967752701085097</c:v>
                </c:pt>
                <c:pt idx="52">
                  <c:v>54.471820750837402</c:v>
                </c:pt>
                <c:pt idx="53">
                  <c:v>54.661299015212897</c:v>
                </c:pt>
                <c:pt idx="54">
                  <c:v>54.519532894529704</c:v>
                </c:pt>
                <c:pt idx="55">
                  <c:v>54.009370462742403</c:v>
                </c:pt>
                <c:pt idx="56">
                  <c:v>54.271961575410302</c:v>
                </c:pt>
                <c:pt idx="57">
                  <c:v>54.5932610581727</c:v>
                </c:pt>
                <c:pt idx="58">
                  <c:v>55.106232832695497</c:v>
                </c:pt>
                <c:pt idx="59">
                  <c:v>54.019448233242699</c:v>
                </c:pt>
                <c:pt idx="60">
                  <c:v>54.112522894961202</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CONS'!$D$89:$D$160</c:f>
              <c:numCache>
                <c:formatCode>0.0_)</c:formatCode>
                <c:ptCount val="61"/>
                <c:pt idx="0">
                  <c:v>51.874624435683501</c:v>
                </c:pt>
                <c:pt idx="1">
                  <c:v>51.590082894151301</c:v>
                </c:pt>
                <c:pt idx="2">
                  <c:v>51.371121149092602</c:v>
                </c:pt>
                <c:pt idx="3">
                  <c:v>51.226293984293001</c:v>
                </c:pt>
                <c:pt idx="4">
                  <c:v>51.177800935903598</c:v>
                </c:pt>
                <c:pt idx="5">
                  <c:v>51.179781070735402</c:v>
                </c:pt>
                <c:pt idx="6">
                  <c:v>51.203421294299297</c:v>
                </c:pt>
                <c:pt idx="7">
                  <c:v>51.242475914204199</c:v>
                </c:pt>
                <c:pt idx="8">
                  <c:v>51.283032256476602</c:v>
                </c:pt>
                <c:pt idx="9">
                  <c:v>51.305420194993303</c:v>
                </c:pt>
                <c:pt idx="10">
                  <c:v>51.329050936972003</c:v>
                </c:pt>
                <c:pt idx="11">
                  <c:v>51.375036785682802</c:v>
                </c:pt>
                <c:pt idx="12">
                  <c:v>51.441126798072098</c:v>
                </c:pt>
                <c:pt idx="13">
                  <c:v>51.508650825008097</c:v>
                </c:pt>
                <c:pt idx="14">
                  <c:v>51.525179201536503</c:v>
                </c:pt>
                <c:pt idx="15">
                  <c:v>51.432906394387899</c:v>
                </c:pt>
                <c:pt idx="16">
                  <c:v>51.233897705003798</c:v>
                </c:pt>
                <c:pt idx="17">
                  <c:v>50.953540863954203</c:v>
                </c:pt>
                <c:pt idx="18">
                  <c:v>50.614603336796399</c:v>
                </c:pt>
                <c:pt idx="19">
                  <c:v>50.236075993175902</c:v>
                </c:pt>
                <c:pt idx="20">
                  <c:v>49.835913646112701</c:v>
                </c:pt>
                <c:pt idx="21">
                  <c:v>49.426892707952398</c:v>
                </c:pt>
                <c:pt idx="22">
                  <c:v>49.010936522815697</c:v>
                </c:pt>
                <c:pt idx="23">
                  <c:v>48.598844741131202</c:v>
                </c:pt>
                <c:pt idx="24">
                  <c:v>48.237980644603603</c:v>
                </c:pt>
                <c:pt idx="25">
                  <c:v>47.976883260904899</c:v>
                </c:pt>
                <c:pt idx="26">
                  <c:v>47.859277304811997</c:v>
                </c:pt>
                <c:pt idx="27">
                  <c:v>47.891241802128398</c:v>
                </c:pt>
                <c:pt idx="28">
                  <c:v>48.043940500126098</c:v>
                </c:pt>
                <c:pt idx="29">
                  <c:v>48.297455291877597</c:v>
                </c:pt>
                <c:pt idx="30">
                  <c:v>48.652010061366099</c:v>
                </c:pt>
                <c:pt idx="31">
                  <c:v>49.112621058408799</c:v>
                </c:pt>
                <c:pt idx="32">
                  <c:v>49.6522135368268</c:v>
                </c:pt>
                <c:pt idx="33">
                  <c:v>50.260615052679299</c:v>
                </c:pt>
                <c:pt idx="34">
                  <c:v>50.907422989679098</c:v>
                </c:pt>
                <c:pt idx="35">
                  <c:v>51.542626461494798</c:v>
                </c:pt>
                <c:pt idx="36">
                  <c:v>52.100401878568498</c:v>
                </c:pt>
                <c:pt idx="37">
                  <c:v>52.548979861532899</c:v>
                </c:pt>
                <c:pt idx="38">
                  <c:v>52.884431450852297</c:v>
                </c:pt>
                <c:pt idx="39">
                  <c:v>53.142368350570898</c:v>
                </c:pt>
                <c:pt idx="40">
                  <c:v>53.359789473413699</c:v>
                </c:pt>
                <c:pt idx="41">
                  <c:v>53.532894739774903</c:v>
                </c:pt>
                <c:pt idx="42">
                  <c:v>53.647677309622203</c:v>
                </c:pt>
                <c:pt idx="43">
                  <c:v>53.709147462821001</c:v>
                </c:pt>
                <c:pt idx="44">
                  <c:v>53.755157241952098</c:v>
                </c:pt>
                <c:pt idx="45">
                  <c:v>53.8002878970916</c:v>
                </c:pt>
                <c:pt idx="46">
                  <c:v>53.868050296701298</c:v>
                </c:pt>
                <c:pt idx="47">
                  <c:v>53.983119160500998</c:v>
                </c:pt>
                <c:pt idx="48">
                  <c:v>54.139596360303798</c:v>
                </c:pt>
                <c:pt idx="49">
                  <c:v>54.314896525251598</c:v>
                </c:pt>
                <c:pt idx="50">
                  <c:v>54.4638553232422</c:v>
                </c:pt>
                <c:pt idx="51">
                  <c:v>54.5483292915509</c:v>
                </c:pt>
                <c:pt idx="52">
                  <c:v>54.564260292024102</c:v>
                </c:pt>
                <c:pt idx="53">
                  <c:v>54.542218804247398</c:v>
                </c:pt>
                <c:pt idx="54">
                  <c:v>54.502201149543701</c:v>
                </c:pt>
                <c:pt idx="55">
                  <c:v>54.438942623130103</c:v>
                </c:pt>
                <c:pt idx="56">
                  <c:v>54.367292200058898</c:v>
                </c:pt>
                <c:pt idx="57">
                  <c:v>54.303852671337097</c:v>
                </c:pt>
                <c:pt idx="58">
                  <c:v>54.255194085530199</c:v>
                </c:pt>
                <c:pt idx="59">
                  <c:v>54.217569083218798</c:v>
                </c:pt>
                <c:pt idx="60">
                  <c:v>54.210216116649903</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781017520"/>
        <c:axId val="781019088"/>
      </c:lineChart>
      <c:catAx>
        <c:axId val="781017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81019088"/>
        <c:crossesAt val="50"/>
        <c:auto val="1"/>
        <c:lblAlgn val="ctr"/>
        <c:lblOffset val="50"/>
        <c:tickLblSkip val="1"/>
        <c:tickMarkSkip val="12"/>
        <c:noMultiLvlLbl val="1"/>
      </c:catAx>
      <c:valAx>
        <c:axId val="78101908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8101752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CONS'!$E$89:$E$160</c:f>
              <c:numCache>
                <c:formatCode>0.0_)</c:formatCode>
                <c:ptCount val="61"/>
                <c:pt idx="0">
                  <c:v>52.388781296643799</c:v>
                </c:pt>
                <c:pt idx="1">
                  <c:v>51.203273147376997</c:v>
                </c:pt>
                <c:pt idx="2">
                  <c:v>53.921089766923799</c:v>
                </c:pt>
                <c:pt idx="3">
                  <c:v>50.714460737095798</c:v>
                </c:pt>
                <c:pt idx="4">
                  <c:v>53.1103797131425</c:v>
                </c:pt>
                <c:pt idx="5">
                  <c:v>52.703694799316501</c:v>
                </c:pt>
                <c:pt idx="6">
                  <c:v>51.747596064761098</c:v>
                </c:pt>
                <c:pt idx="7">
                  <c:v>52.967586347462699</c:v>
                </c:pt>
                <c:pt idx="8">
                  <c:v>54.116983790928302</c:v>
                </c:pt>
                <c:pt idx="9">
                  <c:v>52.565911351413099</c:v>
                </c:pt>
                <c:pt idx="10">
                  <c:v>53.670197108465899</c:v>
                </c:pt>
                <c:pt idx="11">
                  <c:v>50.446259095273597</c:v>
                </c:pt>
                <c:pt idx="12">
                  <c:v>53.549063080912497</c:v>
                </c:pt>
                <c:pt idx="13">
                  <c:v>53.643521902453998</c:v>
                </c:pt>
                <c:pt idx="14">
                  <c:v>52.949073280177402</c:v>
                </c:pt>
                <c:pt idx="15">
                  <c:v>54.061521925516601</c:v>
                </c:pt>
                <c:pt idx="16">
                  <c:v>52.118629401819902</c:v>
                </c:pt>
                <c:pt idx="17">
                  <c:v>52.749952956694102</c:v>
                </c:pt>
                <c:pt idx="18">
                  <c:v>52.0861883607827</c:v>
                </c:pt>
                <c:pt idx="19">
                  <c:v>50.948885584373699</c:v>
                </c:pt>
                <c:pt idx="20">
                  <c:v>50.763648767616701</c:v>
                </c:pt>
                <c:pt idx="21">
                  <c:v>50.411689586895498</c:v>
                </c:pt>
                <c:pt idx="22">
                  <c:v>49.4634856725677</c:v>
                </c:pt>
                <c:pt idx="23">
                  <c:v>49.788023769240098</c:v>
                </c:pt>
                <c:pt idx="24">
                  <c:v>48.702926689832999</c:v>
                </c:pt>
                <c:pt idx="25">
                  <c:v>48.091361340900598</c:v>
                </c:pt>
                <c:pt idx="26">
                  <c:v>46.340032229908601</c:v>
                </c:pt>
                <c:pt idx="27">
                  <c:v>37.419099781154003</c:v>
                </c:pt>
                <c:pt idx="28">
                  <c:v>35.596262210212601</c:v>
                </c:pt>
                <c:pt idx="29">
                  <c:v>44.246181285228097</c:v>
                </c:pt>
                <c:pt idx="30">
                  <c:v>50.536545215633403</c:v>
                </c:pt>
                <c:pt idx="31">
                  <c:v>50.534865371847197</c:v>
                </c:pt>
                <c:pt idx="32">
                  <c:v>50.803072404090003</c:v>
                </c:pt>
                <c:pt idx="33">
                  <c:v>51.551797721242998</c:v>
                </c:pt>
                <c:pt idx="34">
                  <c:v>51.828131178362298</c:v>
                </c:pt>
                <c:pt idx="35">
                  <c:v>52.690861998204603</c:v>
                </c:pt>
                <c:pt idx="36">
                  <c:v>53.565806842604701</c:v>
                </c:pt>
                <c:pt idx="37">
                  <c:v>54.011240440861897</c:v>
                </c:pt>
                <c:pt idx="38">
                  <c:v>54.3651057483074</c:v>
                </c:pt>
                <c:pt idx="39">
                  <c:v>54.179093723779999</c:v>
                </c:pt>
                <c:pt idx="40">
                  <c:v>54.538023401016098</c:v>
                </c:pt>
                <c:pt idx="41">
                  <c:v>54.393860979041797</c:v>
                </c:pt>
                <c:pt idx="42">
                  <c:v>54.766401602372099</c:v>
                </c:pt>
                <c:pt idx="43">
                  <c:v>55.126238004710103</c:v>
                </c:pt>
                <c:pt idx="44">
                  <c:v>55.087719677092402</c:v>
                </c:pt>
                <c:pt idx="45">
                  <c:v>54.308307117877099</c:v>
                </c:pt>
                <c:pt idx="46">
                  <c:v>54.371619256420999</c:v>
                </c:pt>
                <c:pt idx="47">
                  <c:v>55.134528080305202</c:v>
                </c:pt>
                <c:pt idx="48">
                  <c:v>55.545045723542998</c:v>
                </c:pt>
                <c:pt idx="49">
                  <c:v>55.411325246975402</c:v>
                </c:pt>
                <c:pt idx="50">
                  <c:v>55.145732840268103</c:v>
                </c:pt>
                <c:pt idx="51">
                  <c:v>56.131165686951299</c:v>
                </c:pt>
                <c:pt idx="52">
                  <c:v>55.410602809632401</c:v>
                </c:pt>
                <c:pt idx="53">
                  <c:v>55.411594831888898</c:v>
                </c:pt>
                <c:pt idx="54">
                  <c:v>55.368003613762497</c:v>
                </c:pt>
                <c:pt idx="55">
                  <c:v>55.108640338339598</c:v>
                </c:pt>
                <c:pt idx="56">
                  <c:v>55.447442455929597</c:v>
                </c:pt>
                <c:pt idx="57">
                  <c:v>56.065482153762197</c:v>
                </c:pt>
                <c:pt idx="58">
                  <c:v>56.212394983983998</c:v>
                </c:pt>
                <c:pt idx="59">
                  <c:v>55.105287484854699</c:v>
                </c:pt>
                <c:pt idx="60">
                  <c:v>55.417448209421998</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CONS'!$F$89:$F$160</c:f>
              <c:numCache>
                <c:formatCode>0.0_)</c:formatCode>
                <c:ptCount val="61"/>
                <c:pt idx="0">
                  <c:v>52.449140119838702</c:v>
                </c:pt>
                <c:pt idx="1">
                  <c:v>52.287728960831302</c:v>
                </c:pt>
                <c:pt idx="2">
                  <c:v>52.245589509618299</c:v>
                </c:pt>
                <c:pt idx="3">
                  <c:v>52.3093945414602</c:v>
                </c:pt>
                <c:pt idx="4">
                  <c:v>52.435434326736399</c:v>
                </c:pt>
                <c:pt idx="5">
                  <c:v>52.559486395178403</c:v>
                </c:pt>
                <c:pt idx="6">
                  <c:v>52.6620402506733</c:v>
                </c:pt>
                <c:pt idx="7">
                  <c:v>52.768547754479101</c:v>
                </c:pt>
                <c:pt idx="8">
                  <c:v>52.911440614256101</c:v>
                </c:pt>
                <c:pt idx="9">
                  <c:v>53.078860732601598</c:v>
                </c:pt>
                <c:pt idx="10">
                  <c:v>53.265955174749799</c:v>
                </c:pt>
                <c:pt idx="11">
                  <c:v>53.416276644204501</c:v>
                </c:pt>
                <c:pt idx="12">
                  <c:v>53.478640194159397</c:v>
                </c:pt>
                <c:pt idx="13">
                  <c:v>53.4696390466924</c:v>
                </c:pt>
                <c:pt idx="14">
                  <c:v>53.3822923660369</c:v>
                </c:pt>
                <c:pt idx="15">
                  <c:v>53.165431783284397</c:v>
                </c:pt>
                <c:pt idx="16">
                  <c:v>52.827955434519701</c:v>
                </c:pt>
                <c:pt idx="17">
                  <c:v>52.385944812115703</c:v>
                </c:pt>
                <c:pt idx="18">
                  <c:v>51.865056848776803</c:v>
                </c:pt>
                <c:pt idx="19">
                  <c:v>51.328515073564397</c:v>
                </c:pt>
                <c:pt idx="20">
                  <c:v>50.788402375527198</c:v>
                </c:pt>
                <c:pt idx="21">
                  <c:v>50.254173074569302</c:v>
                </c:pt>
                <c:pt idx="22">
                  <c:v>49.717511394805697</c:v>
                </c:pt>
                <c:pt idx="23">
                  <c:v>49.186954794952399</c:v>
                </c:pt>
                <c:pt idx="24">
                  <c:v>48.745347090262101</c:v>
                </c:pt>
                <c:pt idx="25">
                  <c:v>48.461159802094102</c:v>
                </c:pt>
                <c:pt idx="26">
                  <c:v>48.420810061236899</c:v>
                </c:pt>
                <c:pt idx="27">
                  <c:v>48.644330041998998</c:v>
                </c:pt>
                <c:pt idx="28">
                  <c:v>49.070634580160601</c:v>
                </c:pt>
                <c:pt idx="29">
                  <c:v>49.595912546693697</c:v>
                </c:pt>
                <c:pt idx="30">
                  <c:v>50.119674040564199</c:v>
                </c:pt>
                <c:pt idx="31">
                  <c:v>50.584331274089102</c:v>
                </c:pt>
                <c:pt idx="32">
                  <c:v>51.031853942332603</c:v>
                </c:pt>
                <c:pt idx="33">
                  <c:v>51.531078077037598</c:v>
                </c:pt>
                <c:pt idx="34">
                  <c:v>52.106573120266901</c:v>
                </c:pt>
                <c:pt idx="35">
                  <c:v>52.739570055740899</c:v>
                </c:pt>
                <c:pt idx="36">
                  <c:v>53.3405002563102</c:v>
                </c:pt>
                <c:pt idx="37">
                  <c:v>53.827348464018897</c:v>
                </c:pt>
                <c:pt idx="38">
                  <c:v>54.1614465558281</c:v>
                </c:pt>
                <c:pt idx="39">
                  <c:v>54.389343105198101</c:v>
                </c:pt>
                <c:pt idx="40">
                  <c:v>54.554901441270097</c:v>
                </c:pt>
                <c:pt idx="41">
                  <c:v>54.665898260482599</c:v>
                </c:pt>
                <c:pt idx="42">
                  <c:v>54.728838357133398</c:v>
                </c:pt>
                <c:pt idx="43">
                  <c:v>54.754280596466998</c:v>
                </c:pt>
                <c:pt idx="44">
                  <c:v>54.770572572246003</c:v>
                </c:pt>
                <c:pt idx="45">
                  <c:v>54.7927002852418</c:v>
                </c:pt>
                <c:pt idx="46">
                  <c:v>54.859187174461198</c:v>
                </c:pt>
                <c:pt idx="47">
                  <c:v>54.996036105568002</c:v>
                </c:pt>
                <c:pt idx="48">
                  <c:v>55.183897150823498</c:v>
                </c:pt>
                <c:pt idx="49">
                  <c:v>55.3823832908136</c:v>
                </c:pt>
                <c:pt idx="50">
                  <c:v>55.516481969858098</c:v>
                </c:pt>
                <c:pt idx="51">
                  <c:v>55.5335930698512</c:v>
                </c:pt>
                <c:pt idx="52">
                  <c:v>55.462486255734497</c:v>
                </c:pt>
                <c:pt idx="53">
                  <c:v>55.405800742769202</c:v>
                </c:pt>
                <c:pt idx="54">
                  <c:v>55.418404203045803</c:v>
                </c:pt>
                <c:pt idx="55">
                  <c:v>55.477516446831999</c:v>
                </c:pt>
                <c:pt idx="56">
                  <c:v>55.5567378067405</c:v>
                </c:pt>
                <c:pt idx="57">
                  <c:v>55.643345204667099</c:v>
                </c:pt>
                <c:pt idx="58">
                  <c:v>55.733088472052998</c:v>
                </c:pt>
                <c:pt idx="59">
                  <c:v>55.8178960344746</c:v>
                </c:pt>
                <c:pt idx="60">
                  <c:v>55.9245346106554</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780997920"/>
        <c:axId val="780993608"/>
      </c:lineChart>
      <c:catAx>
        <c:axId val="7809979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0993608"/>
        <c:crossesAt val="50"/>
        <c:auto val="1"/>
        <c:lblAlgn val="ctr"/>
        <c:lblOffset val="50"/>
        <c:tickLblSkip val="1"/>
        <c:tickMarkSkip val="12"/>
        <c:noMultiLvlLbl val="1"/>
      </c:catAx>
      <c:valAx>
        <c:axId val="780993608"/>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0997920"/>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CONS'!$G$89:$G$160</c:f>
              <c:numCache>
                <c:formatCode>0.0_)</c:formatCode>
                <c:ptCount val="61"/>
                <c:pt idx="0">
                  <c:v>51.199362151511203</c:v>
                </c:pt>
                <c:pt idx="1">
                  <c:v>53.618627456374099</c:v>
                </c:pt>
                <c:pt idx="2">
                  <c:v>53.555916378547899</c:v>
                </c:pt>
                <c:pt idx="3">
                  <c:v>53.186849328634203</c:v>
                </c:pt>
                <c:pt idx="4">
                  <c:v>54.0242362820888</c:v>
                </c:pt>
                <c:pt idx="5">
                  <c:v>47.335669690736701</c:v>
                </c:pt>
                <c:pt idx="6">
                  <c:v>48.363794799496802</c:v>
                </c:pt>
                <c:pt idx="7">
                  <c:v>51.215567663812998</c:v>
                </c:pt>
                <c:pt idx="8">
                  <c:v>56.747460104387997</c:v>
                </c:pt>
                <c:pt idx="9">
                  <c:v>51.160912929203</c:v>
                </c:pt>
                <c:pt idx="10">
                  <c:v>51.327509663150302</c:v>
                </c:pt>
                <c:pt idx="11">
                  <c:v>48.595503179359099</c:v>
                </c:pt>
                <c:pt idx="12">
                  <c:v>51.127221709496403</c:v>
                </c:pt>
                <c:pt idx="13">
                  <c:v>51.6521773660251</c:v>
                </c:pt>
                <c:pt idx="14">
                  <c:v>52.233599083892301</c:v>
                </c:pt>
                <c:pt idx="15">
                  <c:v>52.386459140053901</c:v>
                </c:pt>
                <c:pt idx="16">
                  <c:v>52.157246913791901</c:v>
                </c:pt>
                <c:pt idx="17">
                  <c:v>51.326336084340198</c:v>
                </c:pt>
                <c:pt idx="18">
                  <c:v>50.589990411103699</c:v>
                </c:pt>
                <c:pt idx="19">
                  <c:v>50.572920189282897</c:v>
                </c:pt>
                <c:pt idx="20">
                  <c:v>50.9460137997565</c:v>
                </c:pt>
                <c:pt idx="21">
                  <c:v>49.871362168503197</c:v>
                </c:pt>
                <c:pt idx="22">
                  <c:v>48.584144453446299</c:v>
                </c:pt>
                <c:pt idx="23">
                  <c:v>48.054547499396101</c:v>
                </c:pt>
                <c:pt idx="24">
                  <c:v>47.990413747622704</c:v>
                </c:pt>
                <c:pt idx="25">
                  <c:v>46.394120398749102</c:v>
                </c:pt>
                <c:pt idx="26">
                  <c:v>45.0692022710628</c:v>
                </c:pt>
                <c:pt idx="27">
                  <c:v>35.171883368135397</c:v>
                </c:pt>
                <c:pt idx="28">
                  <c:v>32.0007007002366</c:v>
                </c:pt>
                <c:pt idx="29">
                  <c:v>39.446525166711403</c:v>
                </c:pt>
                <c:pt idx="30">
                  <c:v>47.332343962644202</c:v>
                </c:pt>
                <c:pt idx="31">
                  <c:v>47.425373864011199</c:v>
                </c:pt>
                <c:pt idx="32">
                  <c:v>48.056260366026301</c:v>
                </c:pt>
                <c:pt idx="33">
                  <c:v>49.125219472109897</c:v>
                </c:pt>
                <c:pt idx="34">
                  <c:v>50.632339342657403</c:v>
                </c:pt>
                <c:pt idx="35">
                  <c:v>52.080107857767899</c:v>
                </c:pt>
                <c:pt idx="36">
                  <c:v>52.455376805973302</c:v>
                </c:pt>
                <c:pt idx="37">
                  <c:v>52.802733224181601</c:v>
                </c:pt>
                <c:pt idx="38">
                  <c:v>53.892173041324099</c:v>
                </c:pt>
                <c:pt idx="39">
                  <c:v>53.8629826726864</c:v>
                </c:pt>
                <c:pt idx="40">
                  <c:v>54.3029963262669</c:v>
                </c:pt>
                <c:pt idx="41">
                  <c:v>54.826682213914602</c:v>
                </c:pt>
                <c:pt idx="42">
                  <c:v>55.520730924758702</c:v>
                </c:pt>
                <c:pt idx="43">
                  <c:v>55.091215782079303</c:v>
                </c:pt>
                <c:pt idx="44">
                  <c:v>55.056664458310699</c:v>
                </c:pt>
                <c:pt idx="45">
                  <c:v>53.554236902242401</c:v>
                </c:pt>
                <c:pt idx="46">
                  <c:v>54.314445756979502</c:v>
                </c:pt>
                <c:pt idx="47">
                  <c:v>55.083907933775102</c:v>
                </c:pt>
                <c:pt idx="48">
                  <c:v>55.060462423071897</c:v>
                </c:pt>
                <c:pt idx="49">
                  <c:v>55.1842839478104</c:v>
                </c:pt>
                <c:pt idx="50">
                  <c:v>54.885215455823001</c:v>
                </c:pt>
                <c:pt idx="51">
                  <c:v>55.707640266977897</c:v>
                </c:pt>
                <c:pt idx="52">
                  <c:v>55.213315920043101</c:v>
                </c:pt>
                <c:pt idx="53">
                  <c:v>55.699670902993503</c:v>
                </c:pt>
                <c:pt idx="54">
                  <c:v>55.572137908438897</c:v>
                </c:pt>
                <c:pt idx="55">
                  <c:v>54.981925635447297</c:v>
                </c:pt>
                <c:pt idx="56">
                  <c:v>54.99686499549</c:v>
                </c:pt>
                <c:pt idx="57">
                  <c:v>54.901923640270901</c:v>
                </c:pt>
                <c:pt idx="58">
                  <c:v>55.290943347045598</c:v>
                </c:pt>
                <c:pt idx="59">
                  <c:v>53.874273457949201</c:v>
                </c:pt>
                <c:pt idx="60">
                  <c:v>53.963219250730901</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CONS'!$A$89:$B$160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 CONS'!$H$89:$H$160</c:f>
              <c:numCache>
                <c:formatCode>0.0_)</c:formatCode>
                <c:ptCount val="61"/>
                <c:pt idx="0">
                  <c:v>53.778472846456197</c:v>
                </c:pt>
                <c:pt idx="1">
                  <c:v>53.475460313550997</c:v>
                </c:pt>
                <c:pt idx="2">
                  <c:v>53.0900891296628</c:v>
                </c:pt>
                <c:pt idx="3">
                  <c:v>52.578169189629101</c:v>
                </c:pt>
                <c:pt idx="4">
                  <c:v>51.999122756139599</c:v>
                </c:pt>
                <c:pt idx="5">
                  <c:v>51.435475244444099</c:v>
                </c:pt>
                <c:pt idx="6">
                  <c:v>51.031168034432298</c:v>
                </c:pt>
                <c:pt idx="7">
                  <c:v>50.855676481382503</c:v>
                </c:pt>
                <c:pt idx="8">
                  <c:v>50.860542110016702</c:v>
                </c:pt>
                <c:pt idx="9">
                  <c:v>50.9671314097533</c:v>
                </c:pt>
                <c:pt idx="10">
                  <c:v>51.114548657527301</c:v>
                </c:pt>
                <c:pt idx="11">
                  <c:v>51.299246034681502</c:v>
                </c:pt>
                <c:pt idx="12">
                  <c:v>51.542939827427098</c:v>
                </c:pt>
                <c:pt idx="13">
                  <c:v>51.798706569441499</c:v>
                </c:pt>
                <c:pt idx="14">
                  <c:v>51.9687548237697</c:v>
                </c:pt>
                <c:pt idx="15">
                  <c:v>51.982049570092897</c:v>
                </c:pt>
                <c:pt idx="16">
                  <c:v>51.847854527557601</c:v>
                </c:pt>
                <c:pt idx="17">
                  <c:v>51.574398930154601</c:v>
                </c:pt>
                <c:pt idx="18">
                  <c:v>51.179111625832199</c:v>
                </c:pt>
                <c:pt idx="19">
                  <c:v>50.723361411248803</c:v>
                </c:pt>
                <c:pt idx="20">
                  <c:v>50.230458264964199</c:v>
                </c:pt>
                <c:pt idx="21">
                  <c:v>49.653992582007</c:v>
                </c:pt>
                <c:pt idx="22">
                  <c:v>48.947981397178602</c:v>
                </c:pt>
                <c:pt idx="23">
                  <c:v>48.150838848290299</c:v>
                </c:pt>
                <c:pt idx="24">
                  <c:v>47.373354766926496</c:v>
                </c:pt>
                <c:pt idx="25">
                  <c:v>46.766958517332498</c:v>
                </c:pt>
                <c:pt idx="26">
                  <c:v>46.423193188428201</c:v>
                </c:pt>
                <c:pt idx="27">
                  <c:v>46.330392887580103</c:v>
                </c:pt>
                <c:pt idx="28">
                  <c:v>46.423936193136498</c:v>
                </c:pt>
                <c:pt idx="29">
                  <c:v>46.672571198679698</c:v>
                </c:pt>
                <c:pt idx="30">
                  <c:v>47.0873956936355</c:v>
                </c:pt>
                <c:pt idx="31">
                  <c:v>47.681713474082102</c:v>
                </c:pt>
                <c:pt idx="32">
                  <c:v>48.449469978115197</c:v>
                </c:pt>
                <c:pt idx="33">
                  <c:v>49.400914201092597</c:v>
                </c:pt>
                <c:pt idx="34">
                  <c:v>50.461698719981001</c:v>
                </c:pt>
                <c:pt idx="35">
                  <c:v>51.4963604340426</c:v>
                </c:pt>
                <c:pt idx="36">
                  <c:v>52.382428385362097</c:v>
                </c:pt>
                <c:pt idx="37">
                  <c:v>53.086769901881198</c:v>
                </c:pt>
                <c:pt idx="38">
                  <c:v>53.633559731222803</c:v>
                </c:pt>
                <c:pt idx="39">
                  <c:v>54.088845914228997</c:v>
                </c:pt>
                <c:pt idx="40">
                  <c:v>54.496400963638898</c:v>
                </c:pt>
                <c:pt idx="41">
                  <c:v>54.820793789670397</c:v>
                </c:pt>
                <c:pt idx="42">
                  <c:v>55.009820886625498</c:v>
                </c:pt>
                <c:pt idx="43">
                  <c:v>55.050399476205698</c:v>
                </c:pt>
                <c:pt idx="44">
                  <c:v>55.001093416307</c:v>
                </c:pt>
                <c:pt idx="45">
                  <c:v>54.911729397574497</c:v>
                </c:pt>
                <c:pt idx="46">
                  <c:v>54.846018654486002</c:v>
                </c:pt>
                <c:pt idx="47">
                  <c:v>54.8561486650921</c:v>
                </c:pt>
                <c:pt idx="48">
                  <c:v>54.947830376989302</c:v>
                </c:pt>
                <c:pt idx="49">
                  <c:v>55.099371422651103</c:v>
                </c:pt>
                <c:pt idx="50">
                  <c:v>55.259577839574902</c:v>
                </c:pt>
                <c:pt idx="51">
                  <c:v>55.387122244458602</c:v>
                </c:pt>
                <c:pt idx="52">
                  <c:v>55.4408644641167</c:v>
                </c:pt>
                <c:pt idx="53">
                  <c:v>55.442582039761199</c:v>
                </c:pt>
                <c:pt idx="54">
                  <c:v>55.398809838520798</c:v>
                </c:pt>
                <c:pt idx="55">
                  <c:v>55.272338602111098</c:v>
                </c:pt>
                <c:pt idx="56">
                  <c:v>55.070018326236998</c:v>
                </c:pt>
                <c:pt idx="57">
                  <c:v>54.8330333448354</c:v>
                </c:pt>
                <c:pt idx="58">
                  <c:v>54.608090059019702</c:v>
                </c:pt>
                <c:pt idx="59">
                  <c:v>54.427685486184302</c:v>
                </c:pt>
                <c:pt idx="60">
                  <c:v>54.324950837319598</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780997136"/>
        <c:axId val="780998312"/>
      </c:lineChart>
      <c:catAx>
        <c:axId val="7809971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80998312"/>
        <c:crossesAt val="50"/>
        <c:auto val="1"/>
        <c:lblAlgn val="ctr"/>
        <c:lblOffset val="50"/>
        <c:tickLblSkip val="1"/>
        <c:tickMarkSkip val="12"/>
        <c:noMultiLvlLbl val="1"/>
      </c:catAx>
      <c:valAx>
        <c:axId val="780998312"/>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0997136"/>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92EA-59B5-4F8B-A8C5-34377DED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4352</Words>
  <Characters>23939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28235</CharactersWithSpaces>
  <SharedDoc>false</SharedDoc>
  <HLinks>
    <vt:vector size="30" baseType="variant">
      <vt:variant>
        <vt:i4>3342394</vt:i4>
      </vt:variant>
      <vt:variant>
        <vt:i4>12</vt:i4>
      </vt:variant>
      <vt:variant>
        <vt:i4>0</vt:i4>
      </vt:variant>
      <vt:variant>
        <vt:i4>5</vt:i4>
      </vt:variant>
      <vt:variant>
        <vt:lpwstr>https://www.inegi.org.mx/app/indicadores/?tm=0</vt:lpwstr>
      </vt:variant>
      <vt:variant>
        <vt:lpwstr/>
      </vt:variant>
      <vt:variant>
        <vt:i4>1966174</vt:i4>
      </vt:variant>
      <vt:variant>
        <vt:i4>9</vt:i4>
      </vt:variant>
      <vt:variant>
        <vt:i4>0</vt:i4>
      </vt:variant>
      <vt:variant>
        <vt:i4>5</vt:i4>
      </vt:variant>
      <vt:variant>
        <vt:lpwstr>https://www.inegi.org.mx/programas/emoe/2013/</vt:lpwstr>
      </vt:variant>
      <vt:variant>
        <vt:lpwstr/>
      </vt:variant>
      <vt:variant>
        <vt:i4>1114204</vt:i4>
      </vt:variant>
      <vt:variant>
        <vt:i4>6</vt:i4>
      </vt:variant>
      <vt:variant>
        <vt:i4>0</vt:i4>
      </vt:variant>
      <vt:variant>
        <vt:i4>5</vt:i4>
      </vt:variant>
      <vt:variant>
        <vt:lpwstr>https://www.inegi.org.mx/temas/expectativas/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1966174</vt:i4>
      </vt:variant>
      <vt:variant>
        <vt:i4>0</vt:i4>
      </vt:variant>
      <vt:variant>
        <vt:i4>0</vt:i4>
      </vt:variant>
      <vt:variant>
        <vt:i4>5</vt:i4>
      </vt:variant>
      <vt:variant>
        <vt:lpwstr>https://www.inegi.org.mx/programas/emoe/2013/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Opinión del Sector Manufacturero</dc:title>
  <dc:creator>INEGI</dc:creator>
  <cp:keywords>Opinión Empresa Expectativas Indicador Agregado Tendencia Confianza Productor Pedidos</cp:keywords>
  <cp:lastModifiedBy>MORONES RUIZ FABIOLA CRISTINA</cp:lastModifiedBy>
  <cp:revision>2</cp:revision>
  <cp:lastPrinted>2023-01-30T21:14:00Z</cp:lastPrinted>
  <dcterms:created xsi:type="dcterms:W3CDTF">2023-01-31T23:52:00Z</dcterms:created>
  <dcterms:modified xsi:type="dcterms:W3CDTF">2023-01-31T23:52:00Z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58a50170f3aa327db994b0fa8c4706e80d4041baf74f16858eb30ba0708e7739</vt:lpwstr>
  </property>
</Properties>
</file>