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28A41" w14:textId="6DE90FC9" w:rsidR="00992BFC" w:rsidRDefault="00992BFC" w:rsidP="00992BFC">
      <w:bookmarkStart w:id="0" w:name="_Hlk96532470"/>
      <w:bookmarkStart w:id="1" w:name="_Hlk130315924"/>
      <w:bookmarkEnd w:id="0"/>
      <w:r>
        <w:rPr>
          <w:noProof/>
          <w:lang w:eastAsia="es-MX"/>
        </w:rPr>
        <mc:AlternateContent>
          <mc:Choice Requires="wps">
            <w:drawing>
              <wp:anchor distT="45720" distB="45720" distL="114300" distR="114300" simplePos="0" relativeHeight="251660288" behindDoc="0" locked="0" layoutInCell="1" allowOverlap="1" wp14:anchorId="48EEC584" wp14:editId="0B1C33FF">
                <wp:simplePos x="0" y="0"/>
                <wp:positionH relativeFrom="margin">
                  <wp:align>right</wp:align>
                </wp:positionH>
                <wp:positionV relativeFrom="paragraph">
                  <wp:posOffset>6985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08BECCCC" w14:textId="54036559" w:rsidR="00992BFC" w:rsidRPr="00794C57" w:rsidRDefault="00992BFC" w:rsidP="00992BFC">
                            <w:pPr>
                              <w:jc w:val="right"/>
                            </w:pPr>
                            <w:bookmarkStart w:id="2" w:name="_Hlk130313056"/>
                            <w:bookmarkStart w:id="3" w:name="_Hlk130313057"/>
                            <w:bookmarkStart w:id="4" w:name="_Hlk130313845"/>
                            <w:bookmarkStart w:id="5"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19 de </w:t>
                            </w:r>
                            <w:bookmarkEnd w:id="2"/>
                            <w:bookmarkEnd w:id="3"/>
                            <w:bookmarkEnd w:id="4"/>
                            <w:bookmarkEnd w:id="5"/>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EC584" id="_x0000_t202" coordsize="21600,21600" o:spt="202" path="m,l,21600r21600,l21600,xe">
                <v:stroke joinstyle="miter"/>
                <v:path gradientshapeok="t" o:connecttype="rect"/>
              </v:shapetype>
              <v:shape id="Cuadro de texto 217" o:spid="_x0000_s1026" type="#_x0000_t202" style="position:absolute;left:0;text-align:left;margin-left:211.5pt;margin-top:.55pt;width:262.7pt;height:26.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" stroked="f">
                <v:textbox>
                  <w:txbxContent>
                    <w:p w14:paraId="08BECCCC" w14:textId="54036559" w:rsidR="00992BFC" w:rsidRPr="00794C57" w:rsidRDefault="00992BFC" w:rsidP="00992BFC">
                      <w:pPr>
                        <w:jc w:val="right"/>
                      </w:pPr>
                      <w:bookmarkStart w:id="6" w:name="_Hlk130313056"/>
                      <w:bookmarkStart w:id="7" w:name="_Hlk130313057"/>
                      <w:bookmarkStart w:id="8" w:name="_Hlk130313845"/>
                      <w:bookmarkStart w:id="9"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19 de </w:t>
                      </w:r>
                      <w:bookmarkEnd w:id="6"/>
                      <w:bookmarkEnd w:id="7"/>
                      <w:bookmarkEnd w:id="8"/>
                      <w:bookmarkEnd w:id="9"/>
                      <w:proofErr w:type="spellStart"/>
                      <w:r>
                        <w:rPr>
                          <w:b/>
                          <w:color w:val="FFFFFF" w:themeColor="background1"/>
                          <w:shd w:val="clear" w:color="auto" w:fill="365F91" w:themeFill="accent1" w:themeFillShade="BF"/>
                          <w:lang w:val="pt-BR"/>
                        </w:rPr>
                        <w:t>mayo</w:t>
                      </w:r>
                      <w:proofErr w:type="spellEnd"/>
                    </w:p>
                  </w:txbxContent>
                </v:textbox>
                <w10:wrap type="square" anchorx="margin"/>
              </v:shape>
            </w:pict>
          </mc:Fallback>
        </mc:AlternateContent>
      </w:r>
      <w:bookmarkStart w:id="10" w:name="_GoBack"/>
      <w:bookmarkEnd w:id="10"/>
    </w:p>
    <w:bookmarkEnd w:id="1"/>
    <w:p w14:paraId="36CF1ADD" w14:textId="469586F1" w:rsidR="00992BFC" w:rsidRDefault="00992BFC" w:rsidP="00974690">
      <w:pPr>
        <w:pStyle w:val="Profesin"/>
        <w:outlineLvl w:val="0"/>
        <w:rPr>
          <w:caps w:val="0"/>
          <w:smallCaps/>
          <w:spacing w:val="20"/>
        </w:rPr>
      </w:pPr>
    </w:p>
    <w:p w14:paraId="7166B02D" w14:textId="77777777" w:rsidR="00992BFC" w:rsidRDefault="00992BFC" w:rsidP="00974690">
      <w:pPr>
        <w:pStyle w:val="Profesin"/>
        <w:outlineLvl w:val="0"/>
        <w:rPr>
          <w:caps w:val="0"/>
          <w:smallCaps/>
          <w:spacing w:val="20"/>
        </w:rPr>
      </w:pPr>
    </w:p>
    <w:p w14:paraId="4A128E23" w14:textId="44E59698" w:rsidR="00467BD1" w:rsidRPr="009E5887" w:rsidRDefault="000B55A5" w:rsidP="00974690">
      <w:pPr>
        <w:pStyle w:val="Profesin"/>
        <w:outlineLvl w:val="0"/>
        <w:rPr>
          <w:b w:val="0"/>
          <w:sz w:val="24"/>
        </w:rPr>
      </w:pPr>
      <w:r w:rsidRPr="009E5887">
        <w:rPr>
          <w:sz w:val="24"/>
        </w:rPr>
        <w:t>INDICADORES DE EMPRESAS COMERCIALES</w:t>
      </w:r>
    </w:p>
    <w:p w14:paraId="44E3C063" w14:textId="0392116B" w:rsidR="00ED4D0D" w:rsidRPr="009E5887" w:rsidRDefault="007C168D" w:rsidP="00ED4D0D">
      <w:pPr>
        <w:spacing w:before="60"/>
        <w:jc w:val="center"/>
        <w:rPr>
          <w:b/>
          <w:caps/>
          <w:szCs w:val="28"/>
        </w:rPr>
      </w:pPr>
      <w:r w:rsidRPr="009E5887">
        <w:rPr>
          <w:b/>
          <w:caps/>
          <w:szCs w:val="28"/>
        </w:rPr>
        <w:t xml:space="preserve">febrero </w:t>
      </w:r>
      <w:r w:rsidR="00C20356" w:rsidRPr="009E5887">
        <w:rPr>
          <w:b/>
          <w:caps/>
          <w:szCs w:val="28"/>
        </w:rPr>
        <w:t>de 202</w:t>
      </w:r>
      <w:r w:rsidR="00725B90" w:rsidRPr="009E5887">
        <w:rPr>
          <w:b/>
          <w:caps/>
          <w:szCs w:val="28"/>
        </w:rPr>
        <w:t>3</w:t>
      </w:r>
    </w:p>
    <w:p w14:paraId="0BDFE259" w14:textId="1D31ADC2" w:rsidR="00ED4D0D" w:rsidRDefault="00EA694F" w:rsidP="00992BFC">
      <w:pPr>
        <w:pStyle w:val="Prrafodelista"/>
        <w:spacing w:before="320"/>
        <w:ind w:left="0" w:right="51"/>
        <w:rPr>
          <w:snapToGrid w:val="0"/>
          <w:spacing w:val="6"/>
        </w:rPr>
      </w:pPr>
      <w:r w:rsidRPr="00992BFC">
        <w:rPr>
          <w:snapToGrid w:val="0"/>
          <w:spacing w:val="6"/>
        </w:rPr>
        <w:t xml:space="preserve">En </w:t>
      </w:r>
      <w:r w:rsidR="007C168D" w:rsidRPr="00992BFC">
        <w:rPr>
          <w:snapToGrid w:val="0"/>
          <w:spacing w:val="6"/>
        </w:rPr>
        <w:t>febrero</w:t>
      </w:r>
      <w:r w:rsidR="008C58B5" w:rsidRPr="00992BFC">
        <w:rPr>
          <w:snapToGrid w:val="0"/>
          <w:spacing w:val="6"/>
        </w:rPr>
        <w:t xml:space="preserve"> de 202</w:t>
      </w:r>
      <w:r w:rsidR="00725B90" w:rsidRPr="00992BFC">
        <w:rPr>
          <w:snapToGrid w:val="0"/>
          <w:spacing w:val="6"/>
        </w:rPr>
        <w:t>3</w:t>
      </w:r>
      <w:r w:rsidR="00BC18E0" w:rsidRPr="00992BFC">
        <w:rPr>
          <w:snapToGrid w:val="0"/>
          <w:spacing w:val="6"/>
        </w:rPr>
        <w:t>, a tasa mensual</w:t>
      </w:r>
      <w:r w:rsidR="008C58B5" w:rsidRPr="00992BFC">
        <w:rPr>
          <w:snapToGrid w:val="0"/>
          <w:spacing w:val="6"/>
        </w:rPr>
        <w:t xml:space="preserve"> y con cifras desestacionalizadas</w:t>
      </w:r>
      <w:r w:rsidR="00D512E6" w:rsidRPr="00992BFC">
        <w:rPr>
          <w:snapToGrid w:val="0"/>
          <w:spacing w:val="6"/>
        </w:rPr>
        <w:t>,</w:t>
      </w:r>
      <w:r w:rsidR="008C58B5" w:rsidRPr="00992BFC">
        <w:rPr>
          <w:rStyle w:val="Refdenotaalpie"/>
          <w:snapToGrid w:val="0"/>
          <w:spacing w:val="6"/>
        </w:rPr>
        <w:footnoteReference w:id="2"/>
      </w:r>
      <w:r w:rsidR="006D01F3" w:rsidRPr="00992BFC">
        <w:rPr>
          <w:snapToGrid w:val="0"/>
          <w:spacing w:val="6"/>
        </w:rPr>
        <w:t xml:space="preserve"> </w:t>
      </w:r>
      <w:r w:rsidR="008C58B5" w:rsidRPr="00992BFC">
        <w:rPr>
          <w:snapToGrid w:val="0"/>
          <w:spacing w:val="6"/>
        </w:rPr>
        <w:t xml:space="preserve">los resultados de la </w:t>
      </w:r>
      <w:r w:rsidR="0096212C" w:rsidRPr="00992BFC">
        <w:rPr>
          <w:snapToGrid w:val="0"/>
          <w:spacing w:val="6"/>
        </w:rPr>
        <w:t>Encuesta Mensual sobre Empresas Comerciales (</w:t>
      </w:r>
      <w:r w:rsidR="008C58B5" w:rsidRPr="00992BFC">
        <w:rPr>
          <w:snapToGrid w:val="0"/>
          <w:spacing w:val="6"/>
        </w:rPr>
        <w:t>EMEC</w:t>
      </w:r>
      <w:r w:rsidR="0096212C" w:rsidRPr="00992BFC">
        <w:rPr>
          <w:snapToGrid w:val="0"/>
          <w:spacing w:val="6"/>
        </w:rPr>
        <w:t>)</w:t>
      </w:r>
      <w:r w:rsidR="008C58B5" w:rsidRPr="00992BFC">
        <w:rPr>
          <w:snapToGrid w:val="0"/>
          <w:spacing w:val="6"/>
        </w:rPr>
        <w:t xml:space="preserve"> </w:t>
      </w:r>
      <w:r w:rsidR="00AF671C" w:rsidRPr="00992BFC">
        <w:rPr>
          <w:snapToGrid w:val="0"/>
          <w:spacing w:val="6"/>
        </w:rPr>
        <w:t>indican</w:t>
      </w:r>
      <w:r w:rsidR="00C805F6" w:rsidRPr="00992BFC">
        <w:rPr>
          <w:snapToGrid w:val="0"/>
          <w:spacing w:val="6"/>
        </w:rPr>
        <w:t xml:space="preserve"> que</w:t>
      </w:r>
      <w:r w:rsidR="00B42530" w:rsidRPr="00992BFC">
        <w:rPr>
          <w:snapToGrid w:val="0"/>
          <w:spacing w:val="6"/>
        </w:rPr>
        <w:t>,</w:t>
      </w:r>
      <w:r w:rsidR="00C805F6" w:rsidRPr="00992BFC">
        <w:rPr>
          <w:snapToGrid w:val="0"/>
          <w:spacing w:val="6"/>
        </w:rPr>
        <w:t xml:space="preserve"> </w:t>
      </w:r>
      <w:r w:rsidR="006A7C4A" w:rsidRPr="00992BFC">
        <w:rPr>
          <w:snapToGrid w:val="0"/>
          <w:spacing w:val="6"/>
        </w:rPr>
        <w:t xml:space="preserve">en </w:t>
      </w:r>
      <w:r w:rsidR="00C805F6" w:rsidRPr="00992BFC">
        <w:rPr>
          <w:snapToGrid w:val="0"/>
          <w:spacing w:val="6"/>
        </w:rPr>
        <w:t>la</w:t>
      </w:r>
      <w:r w:rsidR="006D01F3" w:rsidRPr="00992BFC">
        <w:rPr>
          <w:snapToGrid w:val="0"/>
          <w:spacing w:val="6"/>
        </w:rPr>
        <w:t xml:space="preserve">s </w:t>
      </w:r>
      <w:r w:rsidR="00F819B9" w:rsidRPr="00992BFC">
        <w:rPr>
          <w:snapToGrid w:val="0"/>
          <w:spacing w:val="6"/>
        </w:rPr>
        <w:t>e</w:t>
      </w:r>
      <w:r w:rsidR="006D01F3" w:rsidRPr="00992BFC">
        <w:rPr>
          <w:snapToGrid w:val="0"/>
          <w:spacing w:val="6"/>
        </w:rPr>
        <w:t xml:space="preserve">mpresas </w:t>
      </w:r>
      <w:r w:rsidR="00F819B9" w:rsidRPr="00992BFC">
        <w:rPr>
          <w:snapToGrid w:val="0"/>
          <w:spacing w:val="6"/>
        </w:rPr>
        <w:t>c</w:t>
      </w:r>
      <w:r w:rsidR="006D01F3" w:rsidRPr="00992BFC">
        <w:rPr>
          <w:snapToGrid w:val="0"/>
          <w:spacing w:val="6"/>
        </w:rPr>
        <w:t xml:space="preserve">omerciales </w:t>
      </w:r>
      <w:r w:rsidR="009E2BC4" w:rsidRPr="00992BFC">
        <w:rPr>
          <w:snapToGrid w:val="0"/>
          <w:spacing w:val="6"/>
        </w:rPr>
        <w:t xml:space="preserve">al por </w:t>
      </w:r>
      <w:r w:rsidR="00F819B9" w:rsidRPr="00992BFC">
        <w:rPr>
          <w:snapToGrid w:val="0"/>
          <w:spacing w:val="6"/>
        </w:rPr>
        <w:t>m</w:t>
      </w:r>
      <w:r w:rsidR="009E2BC4" w:rsidRPr="00992BFC">
        <w:rPr>
          <w:snapToGrid w:val="0"/>
          <w:spacing w:val="6"/>
        </w:rPr>
        <w:t>ayor</w:t>
      </w:r>
      <w:r w:rsidR="00B42530" w:rsidRPr="00992BFC">
        <w:rPr>
          <w:snapToGrid w:val="0"/>
          <w:spacing w:val="6"/>
        </w:rPr>
        <w:t>,</w:t>
      </w:r>
      <w:r w:rsidR="006A7C4A" w:rsidRPr="00992BFC">
        <w:rPr>
          <w:snapToGrid w:val="0"/>
          <w:spacing w:val="6"/>
        </w:rPr>
        <w:t xml:space="preserve"> </w:t>
      </w:r>
      <w:r w:rsidR="009E2BC4" w:rsidRPr="00992BFC">
        <w:rPr>
          <w:snapToGrid w:val="0"/>
          <w:spacing w:val="6"/>
        </w:rPr>
        <w:t xml:space="preserve">los </w:t>
      </w:r>
      <w:r w:rsidR="004C75FC" w:rsidRPr="00992BFC">
        <w:rPr>
          <w:snapToGrid w:val="0"/>
          <w:spacing w:val="6"/>
        </w:rPr>
        <w:t>i</w:t>
      </w:r>
      <w:r w:rsidR="009E2BC4" w:rsidRPr="00992BFC">
        <w:rPr>
          <w:snapToGrid w:val="0"/>
          <w:spacing w:val="6"/>
        </w:rPr>
        <w:t>ngresos reales por suministro de bienes y servicios</w:t>
      </w:r>
      <w:r w:rsidR="004C6954" w:rsidRPr="00992BFC">
        <w:rPr>
          <w:snapToGrid w:val="0"/>
          <w:spacing w:val="6"/>
        </w:rPr>
        <w:t xml:space="preserve"> </w:t>
      </w:r>
      <w:r w:rsidR="00110935" w:rsidRPr="00992BFC">
        <w:rPr>
          <w:snapToGrid w:val="0"/>
          <w:spacing w:val="6"/>
        </w:rPr>
        <w:t>disminuyeron 0.</w:t>
      </w:r>
      <w:r w:rsidR="00901C1C" w:rsidRPr="00992BFC">
        <w:rPr>
          <w:snapToGrid w:val="0"/>
          <w:spacing w:val="6"/>
        </w:rPr>
        <w:t>4</w:t>
      </w:r>
      <w:r w:rsidR="004B1D41" w:rsidRPr="00992BFC">
        <w:rPr>
          <w:snapToGrid w:val="0"/>
          <w:spacing w:val="6"/>
        </w:rPr>
        <w:t xml:space="preserve"> </w:t>
      </w:r>
      <w:r w:rsidR="00DE0011" w:rsidRPr="00992BFC">
        <w:rPr>
          <w:snapToGrid w:val="0"/>
          <w:spacing w:val="6"/>
        </w:rPr>
        <w:t>por ciento.</w:t>
      </w:r>
      <w:r w:rsidR="00110935" w:rsidRPr="00992BFC">
        <w:rPr>
          <w:snapToGrid w:val="0"/>
          <w:spacing w:val="6"/>
          <w:vertAlign w:val="superscript"/>
        </w:rPr>
        <w:footnoteReference w:id="3"/>
      </w:r>
      <w:r w:rsidR="00C555EB" w:rsidRPr="00992BFC">
        <w:rPr>
          <w:snapToGrid w:val="0"/>
          <w:spacing w:val="6"/>
        </w:rPr>
        <w:t xml:space="preserve"> </w:t>
      </w:r>
      <w:r w:rsidR="007C168D" w:rsidRPr="00992BFC">
        <w:rPr>
          <w:snapToGrid w:val="0"/>
          <w:spacing w:val="6"/>
        </w:rPr>
        <w:t xml:space="preserve">El personal ocupado total </w:t>
      </w:r>
      <w:r w:rsidR="00901C1C" w:rsidRPr="00992BFC">
        <w:rPr>
          <w:snapToGrid w:val="0"/>
          <w:spacing w:val="6"/>
        </w:rPr>
        <w:t>aumentó 0.3 %</w:t>
      </w:r>
      <w:r w:rsidR="007C168D" w:rsidRPr="00992BFC">
        <w:rPr>
          <w:snapToGrid w:val="0"/>
          <w:spacing w:val="6"/>
        </w:rPr>
        <w:t xml:space="preserve"> y l</w:t>
      </w:r>
      <w:r w:rsidR="004C6954" w:rsidRPr="00992BFC">
        <w:rPr>
          <w:snapToGrid w:val="0"/>
          <w:spacing w:val="6"/>
        </w:rPr>
        <w:t>as remuneraciones medias reales pagadas</w:t>
      </w:r>
      <w:r w:rsidR="00901C1C" w:rsidRPr="00992BFC">
        <w:rPr>
          <w:snapToGrid w:val="0"/>
          <w:spacing w:val="6"/>
        </w:rPr>
        <w:t>,</w:t>
      </w:r>
      <w:r w:rsidR="004C6954" w:rsidRPr="00992BFC">
        <w:rPr>
          <w:snapToGrid w:val="0"/>
          <w:spacing w:val="6"/>
        </w:rPr>
        <w:t xml:space="preserve"> 0.</w:t>
      </w:r>
      <w:r w:rsidR="00110935" w:rsidRPr="00992BFC">
        <w:rPr>
          <w:snapToGrid w:val="0"/>
          <w:spacing w:val="6"/>
        </w:rPr>
        <w:t>9</w:t>
      </w:r>
      <w:r w:rsidR="004C6954" w:rsidRPr="00992BFC">
        <w:rPr>
          <w:snapToGrid w:val="0"/>
          <w:spacing w:val="6"/>
        </w:rPr>
        <w:t> </w:t>
      </w:r>
      <w:r w:rsidR="007C168D" w:rsidRPr="00992BFC">
        <w:rPr>
          <w:snapToGrid w:val="0"/>
          <w:spacing w:val="6"/>
        </w:rPr>
        <w:t>por ciento</w:t>
      </w:r>
      <w:r w:rsidR="000C7F42" w:rsidRPr="00992BFC">
        <w:rPr>
          <w:snapToGrid w:val="0"/>
          <w:spacing w:val="6"/>
        </w:rPr>
        <w:t>.</w:t>
      </w:r>
    </w:p>
    <w:p w14:paraId="036D6419" w14:textId="77777777" w:rsidR="00992BFC" w:rsidRPr="00F87E34" w:rsidRDefault="00992BFC" w:rsidP="00992BFC">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70E0EE26" w14:textId="158DC35E" w:rsidR="00992BFC" w:rsidRDefault="00992BFC" w:rsidP="00992BFC">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001D24A4" w14:textId="77777777" w:rsidR="00992BFC" w:rsidRPr="00F87E34" w:rsidRDefault="00992BFC" w:rsidP="00992BFC">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9134C5D" w14:textId="77777777" w:rsidR="00992BFC" w:rsidRPr="00F87E34" w:rsidRDefault="00992BFC" w:rsidP="00992BFC">
      <w:pPr>
        <w:pStyle w:val="p0"/>
        <w:keepLines w:val="0"/>
        <w:spacing w:before="0"/>
        <w:jc w:val="center"/>
        <w:rPr>
          <w:rFonts w:ascii="Arial" w:hAnsi="Arial"/>
          <w:color w:val="auto"/>
          <w:sz w:val="18"/>
          <w:szCs w:val="18"/>
        </w:rPr>
      </w:pPr>
      <w:r>
        <w:rPr>
          <w:noProof/>
        </w:rPr>
        <w:drawing>
          <wp:inline distT="0" distB="0" distL="0" distR="0" wp14:anchorId="77C95CAE" wp14:editId="02F57261">
            <wp:extent cx="4320000" cy="2520000"/>
            <wp:effectExtent l="0" t="0" r="23495" b="33020"/>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65931B" w14:textId="68B16087" w:rsidR="00992BFC" w:rsidRPr="00F87E34" w:rsidRDefault="00992BFC" w:rsidP="00992BFC">
      <w:pPr>
        <w:pStyle w:val="Textoindependiente"/>
        <w:spacing w:before="0"/>
        <w:ind w:left="1134" w:firstLine="238"/>
        <w:rPr>
          <w:color w:val="auto"/>
          <w:sz w:val="16"/>
          <w:szCs w:val="16"/>
        </w:rPr>
      </w:pPr>
      <w:r>
        <w:rPr>
          <w:color w:val="auto"/>
          <w:sz w:val="16"/>
          <w:szCs w:val="16"/>
        </w:rPr>
        <w:t xml:space="preserve">  </w:t>
      </w:r>
      <w:r w:rsidRPr="00F87E34">
        <w:rPr>
          <w:color w:val="auto"/>
          <w:sz w:val="16"/>
          <w:szCs w:val="16"/>
        </w:rPr>
        <w:t>Fuente: INEGI</w:t>
      </w:r>
    </w:p>
    <w:p w14:paraId="2C346FE1" w14:textId="77777777" w:rsidR="00992BFC" w:rsidRDefault="00992BFC" w:rsidP="00992BFC">
      <w:pPr>
        <w:pStyle w:val="Prrafodelista"/>
        <w:spacing w:before="280"/>
        <w:ind w:left="0" w:right="51"/>
        <w:rPr>
          <w:snapToGrid w:val="0"/>
          <w:spacing w:val="6"/>
        </w:rPr>
      </w:pPr>
    </w:p>
    <w:p w14:paraId="26FB24B5" w14:textId="3935EF7C" w:rsidR="00ED4D0D" w:rsidRDefault="00273742" w:rsidP="00992BFC">
      <w:pPr>
        <w:pStyle w:val="Prrafodelista"/>
        <w:spacing w:before="280"/>
        <w:ind w:left="0" w:right="51"/>
        <w:rPr>
          <w:snapToGrid w:val="0"/>
          <w:spacing w:val="6"/>
        </w:rPr>
      </w:pPr>
      <w:r w:rsidRPr="00992BFC">
        <w:rPr>
          <w:snapToGrid w:val="0"/>
          <w:spacing w:val="6"/>
        </w:rPr>
        <w:t>A tasa mensual, e</w:t>
      </w:r>
      <w:r w:rsidR="009E2BC4" w:rsidRPr="00992BFC">
        <w:rPr>
          <w:snapToGrid w:val="0"/>
          <w:spacing w:val="6"/>
        </w:rPr>
        <w:t xml:space="preserve">n las </w:t>
      </w:r>
      <w:r w:rsidR="00F819B9" w:rsidRPr="00992BFC">
        <w:rPr>
          <w:snapToGrid w:val="0"/>
          <w:spacing w:val="6"/>
        </w:rPr>
        <w:t>e</w:t>
      </w:r>
      <w:r w:rsidR="009E2BC4" w:rsidRPr="00992BFC">
        <w:rPr>
          <w:snapToGrid w:val="0"/>
          <w:spacing w:val="6"/>
        </w:rPr>
        <w:t xml:space="preserve">mpresas </w:t>
      </w:r>
      <w:r w:rsidR="00F819B9" w:rsidRPr="00992BFC">
        <w:rPr>
          <w:snapToGrid w:val="0"/>
          <w:spacing w:val="6"/>
        </w:rPr>
        <w:t>c</w:t>
      </w:r>
      <w:r w:rsidR="009E2BC4" w:rsidRPr="00992BFC">
        <w:rPr>
          <w:snapToGrid w:val="0"/>
          <w:spacing w:val="6"/>
        </w:rPr>
        <w:t xml:space="preserve">omerciales al por </w:t>
      </w:r>
      <w:r w:rsidR="00F819B9" w:rsidRPr="00992BFC">
        <w:rPr>
          <w:snapToGrid w:val="0"/>
          <w:spacing w:val="6"/>
        </w:rPr>
        <w:t>m</w:t>
      </w:r>
      <w:r w:rsidR="009E2BC4" w:rsidRPr="00992BFC">
        <w:rPr>
          <w:snapToGrid w:val="0"/>
          <w:spacing w:val="6"/>
        </w:rPr>
        <w:t>enor</w:t>
      </w:r>
      <w:r w:rsidR="00B052DE" w:rsidRPr="00992BFC">
        <w:rPr>
          <w:snapToGrid w:val="0"/>
          <w:spacing w:val="6"/>
        </w:rPr>
        <w:t>,</w:t>
      </w:r>
      <w:r w:rsidR="005F72CB" w:rsidRPr="00992BFC">
        <w:rPr>
          <w:snapToGrid w:val="0"/>
          <w:spacing w:val="6"/>
        </w:rPr>
        <w:t xml:space="preserve"> </w:t>
      </w:r>
      <w:r w:rsidR="009E2BC4" w:rsidRPr="00992BFC">
        <w:rPr>
          <w:snapToGrid w:val="0"/>
          <w:spacing w:val="6"/>
        </w:rPr>
        <w:t xml:space="preserve">los </w:t>
      </w:r>
      <w:r w:rsidR="004C75FC" w:rsidRPr="00992BFC">
        <w:rPr>
          <w:snapToGrid w:val="0"/>
          <w:spacing w:val="6"/>
        </w:rPr>
        <w:t>i</w:t>
      </w:r>
      <w:r w:rsidR="009E2BC4" w:rsidRPr="00992BFC">
        <w:rPr>
          <w:snapToGrid w:val="0"/>
          <w:spacing w:val="6"/>
        </w:rPr>
        <w:t>ngresos reales por suministro de bienes y servicios</w:t>
      </w:r>
      <w:r w:rsidR="008E27E9" w:rsidRPr="00992BFC">
        <w:rPr>
          <w:snapToGrid w:val="0"/>
          <w:spacing w:val="6"/>
        </w:rPr>
        <w:t>, así como</w:t>
      </w:r>
      <w:r w:rsidR="00C51816" w:rsidRPr="00992BFC">
        <w:rPr>
          <w:snapToGrid w:val="0"/>
          <w:spacing w:val="6"/>
        </w:rPr>
        <w:t xml:space="preserve"> </w:t>
      </w:r>
      <w:r w:rsidR="00D756A3" w:rsidRPr="00992BFC">
        <w:rPr>
          <w:snapToGrid w:val="0"/>
          <w:spacing w:val="6"/>
        </w:rPr>
        <w:t>e</w:t>
      </w:r>
      <w:r w:rsidR="00C45539" w:rsidRPr="00992BFC">
        <w:rPr>
          <w:snapToGrid w:val="0"/>
          <w:spacing w:val="6"/>
        </w:rPr>
        <w:t>l personal ocupado total</w:t>
      </w:r>
      <w:r w:rsidR="00957A3B" w:rsidRPr="00992BFC">
        <w:rPr>
          <w:snapToGrid w:val="0"/>
          <w:spacing w:val="6"/>
        </w:rPr>
        <w:t>,</w:t>
      </w:r>
      <w:r w:rsidR="006174C4" w:rsidRPr="00992BFC">
        <w:rPr>
          <w:snapToGrid w:val="0"/>
          <w:spacing w:val="6"/>
        </w:rPr>
        <w:t xml:space="preserve"> </w:t>
      </w:r>
      <w:r w:rsidR="00C51816" w:rsidRPr="00992BFC">
        <w:rPr>
          <w:snapToGrid w:val="0"/>
          <w:spacing w:val="6"/>
        </w:rPr>
        <w:t>descendieron</w:t>
      </w:r>
      <w:r w:rsidR="00094C0C">
        <w:rPr>
          <w:snapToGrid w:val="0"/>
          <w:spacing w:val="6"/>
        </w:rPr>
        <w:br/>
      </w:r>
      <w:r w:rsidR="001A4476" w:rsidRPr="00992BFC">
        <w:rPr>
          <w:snapToGrid w:val="0"/>
          <w:spacing w:val="6"/>
        </w:rPr>
        <w:t>0.3 %</w:t>
      </w:r>
      <w:r w:rsidR="00C565FF" w:rsidRPr="00992BFC">
        <w:rPr>
          <w:snapToGrid w:val="0"/>
          <w:spacing w:val="6"/>
        </w:rPr>
        <w:t xml:space="preserve"> y</w:t>
      </w:r>
      <w:r w:rsidR="007C168D" w:rsidRPr="00992BFC">
        <w:rPr>
          <w:snapToGrid w:val="0"/>
          <w:spacing w:val="6"/>
        </w:rPr>
        <w:t xml:space="preserve"> las remuneraciones medias reales</w:t>
      </w:r>
      <w:r w:rsidR="001A4476" w:rsidRPr="00992BFC">
        <w:rPr>
          <w:snapToGrid w:val="0"/>
          <w:spacing w:val="6"/>
        </w:rPr>
        <w:t>,</w:t>
      </w:r>
      <w:r w:rsidR="007C168D" w:rsidRPr="00992BFC">
        <w:rPr>
          <w:snapToGrid w:val="0"/>
          <w:spacing w:val="6"/>
        </w:rPr>
        <w:t xml:space="preserve"> </w:t>
      </w:r>
      <w:r w:rsidR="001A4476" w:rsidRPr="00992BFC">
        <w:rPr>
          <w:snapToGrid w:val="0"/>
          <w:spacing w:val="6"/>
        </w:rPr>
        <w:t>0.5</w:t>
      </w:r>
      <w:r w:rsidR="007C168D" w:rsidRPr="00992BFC">
        <w:rPr>
          <w:snapToGrid w:val="0"/>
          <w:spacing w:val="6"/>
        </w:rPr>
        <w:t xml:space="preserve"> </w:t>
      </w:r>
      <w:r w:rsidR="009B225F" w:rsidRPr="00992BFC">
        <w:rPr>
          <w:snapToGrid w:val="0"/>
          <w:spacing w:val="6"/>
        </w:rPr>
        <w:t>por ciento</w:t>
      </w:r>
      <w:r w:rsidR="00F70DF7" w:rsidRPr="00992BFC">
        <w:rPr>
          <w:snapToGrid w:val="0"/>
          <w:spacing w:val="6"/>
        </w:rPr>
        <w:t>.</w:t>
      </w:r>
    </w:p>
    <w:p w14:paraId="70D06CD8" w14:textId="06EC8180" w:rsidR="00992BFC" w:rsidRDefault="00992BFC" w:rsidP="00992BFC">
      <w:pPr>
        <w:pStyle w:val="Prrafodelista"/>
        <w:spacing w:before="280"/>
        <w:ind w:left="0" w:right="51"/>
        <w:rPr>
          <w:snapToGrid w:val="0"/>
          <w:spacing w:val="6"/>
        </w:rPr>
      </w:pPr>
    </w:p>
    <w:p w14:paraId="3A30B5AF" w14:textId="77777777" w:rsidR="00992BFC" w:rsidRDefault="00992BFC" w:rsidP="00992BFC">
      <w:pPr>
        <w:pStyle w:val="Prrafodelista"/>
        <w:spacing w:before="280"/>
        <w:ind w:left="0" w:right="51"/>
        <w:rPr>
          <w:snapToGrid w:val="0"/>
          <w:spacing w:val="6"/>
        </w:rPr>
      </w:pPr>
    </w:p>
    <w:p w14:paraId="79B6DE86" w14:textId="156B6D6B" w:rsidR="00992BFC" w:rsidRPr="00F87E34" w:rsidRDefault="00992BFC" w:rsidP="00992BFC">
      <w:pPr>
        <w:pStyle w:val="p0"/>
        <w:keepNext/>
        <w:keepLines w:val="0"/>
        <w:widowControl/>
        <w:spacing w:before="200"/>
        <w:jc w:val="center"/>
        <w:rPr>
          <w:rFonts w:ascii="Arial" w:hAnsi="Arial"/>
          <w:b/>
          <w:smallCaps/>
          <w:color w:val="auto"/>
          <w:sz w:val="22"/>
        </w:rPr>
      </w:pPr>
      <w:r w:rsidRPr="00F87E34">
        <w:rPr>
          <w:rFonts w:ascii="Arial" w:hAnsi="Arial"/>
          <w:color w:val="auto"/>
          <w:sz w:val="20"/>
        </w:rPr>
        <w:t xml:space="preserve">Gráfica </w:t>
      </w:r>
      <w:r>
        <w:rPr>
          <w:rFonts w:ascii="Arial" w:hAnsi="Arial"/>
          <w:color w:val="auto"/>
          <w:sz w:val="20"/>
        </w:rPr>
        <w:t>2</w:t>
      </w:r>
    </w:p>
    <w:p w14:paraId="79B7FAA7" w14:textId="77777777" w:rsidR="00992BFC" w:rsidRPr="00F87E34" w:rsidRDefault="00992BFC" w:rsidP="00992BFC">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2217D6C6" w14:textId="77777777" w:rsidR="00992BFC" w:rsidRPr="00F87E34" w:rsidRDefault="00992BFC" w:rsidP="00992BFC">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07973862" w14:textId="77777777" w:rsidR="00992BFC" w:rsidRPr="00F87E34" w:rsidRDefault="00992BFC" w:rsidP="00992BFC">
      <w:pPr>
        <w:pStyle w:val="p0"/>
        <w:keepLines w:val="0"/>
        <w:spacing w:before="0"/>
        <w:jc w:val="center"/>
        <w:rPr>
          <w:rFonts w:ascii="Arial" w:hAnsi="Arial"/>
          <w:color w:val="auto"/>
          <w:sz w:val="18"/>
          <w:szCs w:val="18"/>
        </w:rPr>
      </w:pPr>
      <w:r>
        <w:rPr>
          <w:noProof/>
        </w:rPr>
        <w:drawing>
          <wp:inline distT="0" distB="0" distL="0" distR="0" wp14:anchorId="67CD542B" wp14:editId="4B22D7A0">
            <wp:extent cx="4320000" cy="2520000"/>
            <wp:effectExtent l="0" t="0" r="23495" b="3302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49E80F" w14:textId="4F5AC1E5" w:rsidR="00992BFC" w:rsidRPr="00992BFC" w:rsidRDefault="00992BFC" w:rsidP="00992BFC">
      <w:pPr>
        <w:pStyle w:val="Prrafodelista"/>
        <w:ind w:left="0" w:right="51" w:firstLine="1560"/>
        <w:rPr>
          <w:snapToGrid w:val="0"/>
          <w:spacing w:val="6"/>
        </w:rPr>
      </w:pPr>
      <w:r w:rsidRPr="00F87E34">
        <w:rPr>
          <w:sz w:val="16"/>
          <w:szCs w:val="16"/>
        </w:rPr>
        <w:t>Fuente: INEGI</w:t>
      </w:r>
    </w:p>
    <w:p w14:paraId="0BBC0C53" w14:textId="5A16B157" w:rsidR="00B152B9" w:rsidRDefault="00922B25" w:rsidP="00992BFC">
      <w:pPr>
        <w:pStyle w:val="Prrafodelista"/>
        <w:spacing w:before="280"/>
        <w:ind w:left="0" w:right="51"/>
        <w:rPr>
          <w:snapToGrid w:val="0"/>
          <w:spacing w:val="6"/>
        </w:rPr>
      </w:pPr>
      <w:r w:rsidRPr="00992BFC">
        <w:rPr>
          <w:snapToGrid w:val="0"/>
          <w:spacing w:val="6"/>
        </w:rPr>
        <w:t xml:space="preserve">En </w:t>
      </w:r>
      <w:r w:rsidR="002A777C" w:rsidRPr="00992BFC">
        <w:rPr>
          <w:snapToGrid w:val="0"/>
          <w:spacing w:val="6"/>
        </w:rPr>
        <w:t>febrer</w:t>
      </w:r>
      <w:r w:rsidR="00725B90" w:rsidRPr="00992BFC">
        <w:rPr>
          <w:snapToGrid w:val="0"/>
          <w:spacing w:val="6"/>
        </w:rPr>
        <w:t>o</w:t>
      </w:r>
      <w:r w:rsidRPr="00992BFC">
        <w:rPr>
          <w:snapToGrid w:val="0"/>
          <w:spacing w:val="6"/>
        </w:rPr>
        <w:t xml:space="preserve"> de </w:t>
      </w:r>
      <w:r w:rsidR="00725B90" w:rsidRPr="00992BFC">
        <w:rPr>
          <w:snapToGrid w:val="0"/>
          <w:spacing w:val="6"/>
        </w:rPr>
        <w:t>2023</w:t>
      </w:r>
      <w:r w:rsidRPr="00992BFC">
        <w:rPr>
          <w:snapToGrid w:val="0"/>
          <w:spacing w:val="6"/>
        </w:rPr>
        <w:t xml:space="preserve"> y a</w:t>
      </w:r>
      <w:r w:rsidR="00974690" w:rsidRPr="00992BFC">
        <w:rPr>
          <w:snapToGrid w:val="0"/>
          <w:spacing w:val="6"/>
        </w:rPr>
        <w:t xml:space="preserve"> tasa anual</w:t>
      </w:r>
      <w:r w:rsidR="00AF671C" w:rsidRPr="00992BFC">
        <w:rPr>
          <w:snapToGrid w:val="0"/>
          <w:spacing w:val="6"/>
        </w:rPr>
        <w:t xml:space="preserve">, </w:t>
      </w:r>
      <w:r w:rsidR="00974690" w:rsidRPr="00992BFC">
        <w:rPr>
          <w:snapToGrid w:val="0"/>
          <w:spacing w:val="6"/>
        </w:rPr>
        <w:t xml:space="preserve">los datos desestacionalizados del </w:t>
      </w:r>
      <w:r w:rsidR="00F819B9" w:rsidRPr="00992BFC">
        <w:rPr>
          <w:snapToGrid w:val="0"/>
          <w:spacing w:val="6"/>
        </w:rPr>
        <w:t>c</w:t>
      </w:r>
      <w:r w:rsidR="00974690" w:rsidRPr="00992BFC">
        <w:rPr>
          <w:snapToGrid w:val="0"/>
          <w:spacing w:val="6"/>
        </w:rPr>
        <w:t xml:space="preserve">omercio al por </w:t>
      </w:r>
      <w:r w:rsidR="00F819B9" w:rsidRPr="00992BFC">
        <w:rPr>
          <w:snapToGrid w:val="0"/>
          <w:spacing w:val="6"/>
        </w:rPr>
        <w:t>m</w:t>
      </w:r>
      <w:r w:rsidR="00974690" w:rsidRPr="00992BFC">
        <w:rPr>
          <w:snapToGrid w:val="0"/>
          <w:spacing w:val="6"/>
        </w:rPr>
        <w:t xml:space="preserve">ayor </w:t>
      </w:r>
      <w:r w:rsidR="00285F22" w:rsidRPr="00992BFC">
        <w:rPr>
          <w:snapToGrid w:val="0"/>
          <w:spacing w:val="6"/>
        </w:rPr>
        <w:t>s</w:t>
      </w:r>
      <w:r w:rsidR="003F1AAD" w:rsidRPr="00992BFC">
        <w:rPr>
          <w:snapToGrid w:val="0"/>
          <w:spacing w:val="6"/>
        </w:rPr>
        <w:t>e comportaron de la siguiente manera</w:t>
      </w:r>
      <w:r w:rsidR="002A12E5" w:rsidRPr="00992BFC">
        <w:rPr>
          <w:snapToGrid w:val="0"/>
          <w:spacing w:val="6"/>
        </w:rPr>
        <w:t>:</w:t>
      </w:r>
      <w:r w:rsidR="00F74B18" w:rsidRPr="00992BFC">
        <w:rPr>
          <w:snapToGrid w:val="0"/>
          <w:spacing w:val="6"/>
        </w:rPr>
        <w:t xml:space="preserve"> los </w:t>
      </w:r>
      <w:r w:rsidR="004C75FC" w:rsidRPr="00992BFC">
        <w:rPr>
          <w:snapToGrid w:val="0"/>
          <w:spacing w:val="6"/>
        </w:rPr>
        <w:t>i</w:t>
      </w:r>
      <w:r w:rsidR="00F74B18" w:rsidRPr="00992BFC">
        <w:rPr>
          <w:snapToGrid w:val="0"/>
          <w:spacing w:val="6"/>
        </w:rPr>
        <w:t xml:space="preserve">ngresos reales por suministro de bienes y servicios </w:t>
      </w:r>
      <w:r w:rsidR="001A4476" w:rsidRPr="00992BFC">
        <w:rPr>
          <w:snapToGrid w:val="0"/>
          <w:spacing w:val="6"/>
        </w:rPr>
        <w:t xml:space="preserve">cayeron 1.5 % y </w:t>
      </w:r>
      <w:r w:rsidR="00281413" w:rsidRPr="00992BFC">
        <w:rPr>
          <w:snapToGrid w:val="0"/>
          <w:spacing w:val="6"/>
        </w:rPr>
        <w:t xml:space="preserve">el personal ocupado total </w:t>
      </w:r>
      <w:r w:rsidR="0084175C" w:rsidRPr="00992BFC">
        <w:rPr>
          <w:snapToGrid w:val="0"/>
          <w:spacing w:val="6"/>
        </w:rPr>
        <w:t xml:space="preserve">y </w:t>
      </w:r>
      <w:r w:rsidR="00110935" w:rsidRPr="00992BFC">
        <w:rPr>
          <w:snapToGrid w:val="0"/>
          <w:spacing w:val="6"/>
        </w:rPr>
        <w:t>las remuneraciones medias reales pagadas</w:t>
      </w:r>
      <w:r w:rsidR="001A4476" w:rsidRPr="00992BFC">
        <w:rPr>
          <w:snapToGrid w:val="0"/>
          <w:spacing w:val="6"/>
        </w:rPr>
        <w:t xml:space="preserve"> incrementaron</w:t>
      </w:r>
      <w:r w:rsidR="00110935" w:rsidRPr="00992BFC">
        <w:rPr>
          <w:snapToGrid w:val="0"/>
          <w:spacing w:val="6"/>
        </w:rPr>
        <w:t xml:space="preserve"> </w:t>
      </w:r>
      <w:r w:rsidR="001A4476" w:rsidRPr="00992BFC">
        <w:rPr>
          <w:snapToGrid w:val="0"/>
          <w:spacing w:val="6"/>
        </w:rPr>
        <w:t>1.6</w:t>
      </w:r>
      <w:r w:rsidR="007010F4" w:rsidRPr="00992BFC">
        <w:rPr>
          <w:snapToGrid w:val="0"/>
          <w:spacing w:val="6"/>
        </w:rPr>
        <w:t xml:space="preserve"> </w:t>
      </w:r>
      <w:r w:rsidR="00CC7785" w:rsidRPr="00992BFC">
        <w:rPr>
          <w:snapToGrid w:val="0"/>
          <w:spacing w:val="6"/>
        </w:rPr>
        <w:t>por</w:t>
      </w:r>
      <w:r w:rsidR="007010F4" w:rsidRPr="00992BFC">
        <w:rPr>
          <w:snapToGrid w:val="0"/>
          <w:spacing w:val="6"/>
        </w:rPr>
        <w:t xml:space="preserve"> </w:t>
      </w:r>
      <w:r w:rsidR="00CC7785" w:rsidRPr="00992BFC">
        <w:rPr>
          <w:snapToGrid w:val="0"/>
          <w:spacing w:val="6"/>
        </w:rPr>
        <w:t>ciento</w:t>
      </w:r>
      <w:r w:rsidR="00974690" w:rsidRPr="00992BFC">
        <w:rPr>
          <w:snapToGrid w:val="0"/>
          <w:spacing w:val="6"/>
        </w:rPr>
        <w:t>.</w:t>
      </w:r>
    </w:p>
    <w:p w14:paraId="65849AEF" w14:textId="3B718CFE" w:rsidR="00992BFC" w:rsidRPr="00F87E34" w:rsidRDefault="00992BFC" w:rsidP="00992BFC">
      <w:pPr>
        <w:keepNext/>
        <w:keepLines/>
        <w:widowControl w:val="0"/>
        <w:spacing w:before="280"/>
        <w:jc w:val="center"/>
        <w:rPr>
          <w:sz w:val="20"/>
          <w:szCs w:val="20"/>
        </w:rPr>
      </w:pPr>
    </w:p>
    <w:p w14:paraId="2B38C307" w14:textId="77777777" w:rsidR="00992BFC" w:rsidRDefault="00992BFC" w:rsidP="00992BFC">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sidRPr="007A49F7">
        <w:rPr>
          <w:rFonts w:ascii="Arial" w:hAnsi="Arial" w:cs="Arial"/>
          <w:b/>
          <w:smallCaps/>
          <w:color w:val="auto"/>
          <w:sz w:val="20"/>
        </w:rPr>
        <w:t>cifras desestacionalizadas</w:t>
      </w:r>
    </w:p>
    <w:p w14:paraId="3B9EB537" w14:textId="77777777" w:rsidR="00992BFC" w:rsidRPr="0014145D" w:rsidRDefault="00992BFC" w:rsidP="00992BFC">
      <w:pPr>
        <w:pStyle w:val="p01"/>
        <w:keepNext/>
        <w:widowControl w:val="0"/>
        <w:spacing w:before="0"/>
        <w:jc w:val="center"/>
        <w:outlineLvl w:val="0"/>
        <w:rPr>
          <w:rFonts w:ascii="Arial" w:hAnsi="Arial" w:cs="Arial"/>
          <w:b/>
          <w:smallCaps/>
          <w:color w:val="auto"/>
          <w:sz w:val="20"/>
        </w:rPr>
      </w:pPr>
      <w:r>
        <w:rPr>
          <w:rFonts w:ascii="Arial" w:hAnsi="Arial" w:cs="Arial"/>
          <w:b/>
          <w:smallCaps/>
          <w:color w:val="auto"/>
          <w:sz w:val="20"/>
        </w:rPr>
        <w:t>febrero</w:t>
      </w:r>
      <w:r w:rsidRPr="0014145D">
        <w:rPr>
          <w:rFonts w:ascii="Arial" w:hAnsi="Arial" w:cs="Arial"/>
          <w:b/>
          <w:smallCaps/>
          <w:color w:val="auto"/>
          <w:sz w:val="20"/>
        </w:rPr>
        <w:t xml:space="preserve"> de 2023</w:t>
      </w:r>
    </w:p>
    <w:tbl>
      <w:tblPr>
        <w:tblStyle w:val="Tablaconcuadrcula"/>
        <w:tblW w:w="4387"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96"/>
        <w:gridCol w:w="1122"/>
        <w:gridCol w:w="1122"/>
        <w:gridCol w:w="1122"/>
        <w:gridCol w:w="1122"/>
      </w:tblGrid>
      <w:tr w:rsidR="00992BFC" w:rsidRPr="00F87E34" w14:paraId="65E3A67C" w14:textId="77777777" w:rsidTr="00992BFC">
        <w:trPr>
          <w:trHeight w:val="510"/>
          <w:jc w:val="center"/>
        </w:trPr>
        <w:tc>
          <w:tcPr>
            <w:tcW w:w="3879"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hideMark/>
          </w:tcPr>
          <w:p w14:paraId="529AD85E" w14:textId="77777777" w:rsidR="00992BFC" w:rsidRPr="00F87E34" w:rsidRDefault="00992BFC" w:rsidP="00992BFC">
            <w:pPr>
              <w:pStyle w:val="p0"/>
              <w:keepLines w:val="0"/>
              <w:widowControl/>
              <w:spacing w:before="40" w:after="40"/>
              <w:ind w:left="470"/>
              <w:jc w:val="left"/>
              <w:rPr>
                <w:rFonts w:ascii="Arial" w:hAnsi="Arial"/>
                <w:color w:val="000000" w:themeColor="text1"/>
                <w:sz w:val="18"/>
                <w:szCs w:val="18"/>
              </w:rPr>
            </w:pPr>
            <w:bookmarkStart w:id="11" w:name="OLE_LINK1"/>
            <w:r w:rsidRPr="00F87E34">
              <w:rPr>
                <w:rFonts w:ascii="Arial" w:hAnsi="Arial"/>
                <w:color w:val="000000" w:themeColor="text1"/>
                <w:sz w:val="18"/>
                <w:szCs w:val="18"/>
              </w:rPr>
              <w:t>Indicador</w:t>
            </w:r>
          </w:p>
        </w:tc>
        <w:tc>
          <w:tcPr>
            <w:tcW w:w="2178"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96B82BD" w14:textId="77777777" w:rsidR="00992BFC" w:rsidRPr="00F87E34" w:rsidRDefault="00992BFC" w:rsidP="00992BFC">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2178" w:type="dxa"/>
            <w:gridSpan w:val="2"/>
            <w:tcBorders>
              <w:top w:val="single" w:sz="8" w:space="0" w:color="404040"/>
              <w:left w:val="single" w:sz="6" w:space="0" w:color="404040"/>
              <w:bottom w:val="single" w:sz="6" w:space="0" w:color="404040"/>
              <w:right w:val="single" w:sz="8" w:space="0" w:color="404040"/>
            </w:tcBorders>
            <w:shd w:val="clear" w:color="auto" w:fill="D7E4BD"/>
            <w:vAlign w:val="center"/>
          </w:tcPr>
          <w:p w14:paraId="4C83586A" w14:textId="77777777" w:rsidR="00992BFC" w:rsidRPr="00F87E34" w:rsidRDefault="00992BFC" w:rsidP="00992BFC">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992BFC" w:rsidRPr="00F87E34" w14:paraId="27BA53D4" w14:textId="77777777" w:rsidTr="00992BFC">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6976C3ED" w14:textId="77777777" w:rsidR="00992BFC" w:rsidRPr="00F87E34" w:rsidRDefault="00992BFC" w:rsidP="00992BFC">
            <w:pPr>
              <w:pStyle w:val="p0"/>
              <w:keepLines w:val="0"/>
              <w:widowControl/>
              <w:spacing w:before="40" w:after="40"/>
              <w:jc w:val="center"/>
              <w:rPr>
                <w:rFonts w:ascii="Arial" w:hAnsi="Arial"/>
                <w:color w:val="000000" w:themeColor="text1"/>
                <w:sz w:val="20"/>
              </w:rPr>
            </w:pPr>
          </w:p>
        </w:tc>
        <w:tc>
          <w:tcPr>
            <w:tcW w:w="4356" w:type="dxa"/>
            <w:gridSpan w:val="4"/>
            <w:tcBorders>
              <w:top w:val="single" w:sz="6" w:space="0" w:color="404040"/>
              <w:left w:val="single" w:sz="6" w:space="0" w:color="404040"/>
              <w:bottom w:val="single" w:sz="6" w:space="0" w:color="404040"/>
              <w:right w:val="single" w:sz="8" w:space="0" w:color="404040"/>
            </w:tcBorders>
            <w:shd w:val="clear" w:color="auto" w:fill="D7E4BD"/>
            <w:vAlign w:val="center"/>
          </w:tcPr>
          <w:p w14:paraId="0C4755FC" w14:textId="77777777" w:rsidR="00992BFC" w:rsidRPr="007010F4" w:rsidRDefault="00992BFC" w:rsidP="00992BFC">
            <w:pPr>
              <w:pStyle w:val="p0"/>
              <w:keepLines w:val="0"/>
              <w:widowControl/>
              <w:spacing w:before="0"/>
              <w:jc w:val="center"/>
              <w:rPr>
                <w:rFonts w:ascii="Arial" w:hAnsi="Arial"/>
                <w:color w:val="000000" w:themeColor="text1"/>
                <w:sz w:val="18"/>
                <w:szCs w:val="18"/>
              </w:rPr>
            </w:pPr>
            <w:r w:rsidRPr="007010F4">
              <w:rPr>
                <w:rFonts w:ascii="Arial" w:hAnsi="Arial"/>
                <w:color w:val="000000" w:themeColor="text1"/>
                <w:sz w:val="18"/>
                <w:szCs w:val="18"/>
              </w:rPr>
              <w:t xml:space="preserve">variación </w:t>
            </w:r>
            <w:r>
              <w:rPr>
                <w:rFonts w:ascii="Arial" w:hAnsi="Arial"/>
                <w:color w:val="000000" w:themeColor="text1"/>
                <w:sz w:val="18"/>
                <w:szCs w:val="18"/>
              </w:rPr>
              <w:t>porcentual:</w:t>
            </w:r>
          </w:p>
        </w:tc>
      </w:tr>
      <w:tr w:rsidR="00992BFC" w:rsidRPr="00F87E34" w14:paraId="0B1E782F" w14:textId="77777777" w:rsidTr="00992BFC">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22EB718" w14:textId="77777777" w:rsidR="00992BFC" w:rsidRPr="00F87E34" w:rsidRDefault="00992BFC" w:rsidP="00992BFC">
            <w:pPr>
              <w:pStyle w:val="p0"/>
              <w:keepLines w:val="0"/>
              <w:widowControl/>
              <w:spacing w:before="40" w:after="40"/>
              <w:jc w:val="left"/>
              <w:rPr>
                <w:rFonts w:ascii="Arial" w:hAnsi="Arial"/>
                <w:color w:val="000000" w:themeColor="text1"/>
                <w:sz w:val="18"/>
                <w:szCs w:val="18"/>
              </w:rPr>
            </w:pP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532EDB5" w14:textId="5315E616" w:rsidR="00992BFC" w:rsidRDefault="00BF29D4" w:rsidP="00992BFC">
            <w:pPr>
              <w:jc w:val="center"/>
              <w:rPr>
                <w:sz w:val="18"/>
                <w:szCs w:val="18"/>
              </w:rPr>
            </w:pPr>
            <w:r>
              <w:rPr>
                <w:sz w:val="18"/>
                <w:szCs w:val="18"/>
              </w:rPr>
              <w:t>m</w:t>
            </w:r>
            <w:r w:rsidR="00992BFC">
              <w:rPr>
                <w:sz w:val="18"/>
                <w:szCs w:val="18"/>
              </w:rPr>
              <w:t>ensual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DD6185D" w14:textId="77777777" w:rsidR="00992BFC" w:rsidRDefault="00992BFC" w:rsidP="00992BFC">
            <w:pPr>
              <w:jc w:val="center"/>
              <w:rPr>
                <w:sz w:val="18"/>
                <w:szCs w:val="18"/>
              </w:rPr>
            </w:pPr>
            <w:r>
              <w:rPr>
                <w:sz w:val="18"/>
                <w:szCs w:val="18"/>
              </w:rPr>
              <w:t>anual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97178EF" w14:textId="77777777" w:rsidR="00992BFC" w:rsidRDefault="00992BFC" w:rsidP="00992BFC">
            <w:pPr>
              <w:jc w:val="center"/>
              <w:rPr>
                <w:sz w:val="18"/>
                <w:szCs w:val="18"/>
              </w:rPr>
            </w:pPr>
            <w:r>
              <w:rPr>
                <w:sz w:val="18"/>
                <w:szCs w:val="18"/>
              </w:rPr>
              <w:t>mensual</w:t>
            </w:r>
          </w:p>
        </w:tc>
        <w:tc>
          <w:tcPr>
            <w:tcW w:w="1089" w:type="dxa"/>
            <w:tcBorders>
              <w:top w:val="single" w:sz="6" w:space="0" w:color="404040"/>
              <w:left w:val="single" w:sz="6" w:space="0" w:color="404040"/>
              <w:bottom w:val="single" w:sz="6" w:space="0" w:color="404040"/>
            </w:tcBorders>
            <w:shd w:val="clear" w:color="auto" w:fill="D7E4BD"/>
            <w:vAlign w:val="center"/>
          </w:tcPr>
          <w:p w14:paraId="013937CE" w14:textId="77777777" w:rsidR="00992BFC" w:rsidRDefault="00992BFC" w:rsidP="00992BFC">
            <w:pPr>
              <w:jc w:val="center"/>
              <w:rPr>
                <w:sz w:val="18"/>
                <w:szCs w:val="18"/>
              </w:rPr>
            </w:pPr>
            <w:r>
              <w:rPr>
                <w:sz w:val="18"/>
                <w:szCs w:val="18"/>
              </w:rPr>
              <w:t>anual</w:t>
            </w:r>
          </w:p>
        </w:tc>
      </w:tr>
      <w:tr w:rsidR="00992BFC" w:rsidRPr="00F87E34" w14:paraId="23C54CA5" w14:textId="77777777" w:rsidTr="00992BFC">
        <w:trPr>
          <w:trHeight w:val="340"/>
          <w:jc w:val="center"/>
        </w:trPr>
        <w:tc>
          <w:tcPr>
            <w:tcW w:w="3879" w:type="dxa"/>
            <w:tcBorders>
              <w:top w:val="single" w:sz="6" w:space="0" w:color="404040"/>
              <w:bottom w:val="nil"/>
              <w:right w:val="single" w:sz="6" w:space="0" w:color="404040"/>
            </w:tcBorders>
            <w:shd w:val="clear" w:color="auto" w:fill="auto"/>
            <w:vAlign w:val="center"/>
            <w:hideMark/>
          </w:tcPr>
          <w:p w14:paraId="2AF56C35" w14:textId="77777777" w:rsidR="00992BFC" w:rsidRPr="00F87E34" w:rsidRDefault="00992BFC" w:rsidP="00992BFC">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1089" w:type="dxa"/>
            <w:tcBorders>
              <w:top w:val="single" w:sz="6" w:space="0" w:color="404040"/>
              <w:left w:val="single" w:sz="6" w:space="0" w:color="404040"/>
              <w:bottom w:val="nil"/>
              <w:right w:val="nil"/>
            </w:tcBorders>
            <w:shd w:val="clear" w:color="auto" w:fill="auto"/>
            <w:vAlign w:val="center"/>
          </w:tcPr>
          <w:p w14:paraId="2444F706" w14:textId="77777777" w:rsidR="00992BFC" w:rsidRPr="001F454F" w:rsidRDefault="00992BFC" w:rsidP="00992BFC">
            <w:pPr>
              <w:tabs>
                <w:tab w:val="decimal" w:pos="454"/>
              </w:tabs>
              <w:jc w:val="left"/>
              <w:rPr>
                <w:sz w:val="18"/>
                <w:szCs w:val="18"/>
              </w:rPr>
            </w:pPr>
            <w:r>
              <w:rPr>
                <w:sz w:val="18"/>
                <w:szCs w:val="18"/>
              </w:rPr>
              <w:t>-0.4</w:t>
            </w:r>
          </w:p>
        </w:tc>
        <w:tc>
          <w:tcPr>
            <w:tcW w:w="1089" w:type="dxa"/>
            <w:tcBorders>
              <w:top w:val="single" w:sz="6" w:space="0" w:color="404040"/>
              <w:left w:val="nil"/>
              <w:bottom w:val="nil"/>
              <w:right w:val="single" w:sz="6" w:space="0" w:color="404040"/>
            </w:tcBorders>
            <w:shd w:val="clear" w:color="auto" w:fill="auto"/>
            <w:vAlign w:val="center"/>
          </w:tcPr>
          <w:p w14:paraId="04C56123" w14:textId="77777777" w:rsidR="00992BFC" w:rsidRPr="001F454F" w:rsidRDefault="00992BFC" w:rsidP="00992BFC">
            <w:pPr>
              <w:tabs>
                <w:tab w:val="decimal" w:pos="454"/>
              </w:tabs>
              <w:jc w:val="left"/>
              <w:rPr>
                <w:sz w:val="18"/>
                <w:szCs w:val="18"/>
              </w:rPr>
            </w:pPr>
            <w:r>
              <w:rPr>
                <w:sz w:val="18"/>
                <w:szCs w:val="18"/>
              </w:rPr>
              <w:t>-1.5</w:t>
            </w:r>
          </w:p>
        </w:tc>
        <w:tc>
          <w:tcPr>
            <w:tcW w:w="1089" w:type="dxa"/>
            <w:tcBorders>
              <w:top w:val="single" w:sz="6" w:space="0" w:color="404040"/>
              <w:left w:val="single" w:sz="6" w:space="0" w:color="404040"/>
              <w:bottom w:val="nil"/>
              <w:right w:val="nil"/>
            </w:tcBorders>
            <w:shd w:val="clear" w:color="auto" w:fill="auto"/>
            <w:vAlign w:val="center"/>
          </w:tcPr>
          <w:p w14:paraId="232C1D2C" w14:textId="77777777" w:rsidR="00992BFC" w:rsidRPr="001F454F" w:rsidRDefault="00992BFC" w:rsidP="00992BFC">
            <w:pPr>
              <w:tabs>
                <w:tab w:val="decimal" w:pos="454"/>
              </w:tabs>
              <w:jc w:val="left"/>
              <w:rPr>
                <w:sz w:val="18"/>
                <w:szCs w:val="18"/>
              </w:rPr>
            </w:pPr>
            <w:r>
              <w:rPr>
                <w:sz w:val="18"/>
                <w:szCs w:val="18"/>
              </w:rPr>
              <w:t>-0.3</w:t>
            </w:r>
          </w:p>
        </w:tc>
        <w:tc>
          <w:tcPr>
            <w:tcW w:w="1089" w:type="dxa"/>
            <w:tcBorders>
              <w:top w:val="single" w:sz="6" w:space="0" w:color="404040"/>
              <w:left w:val="nil"/>
              <w:bottom w:val="nil"/>
            </w:tcBorders>
            <w:shd w:val="clear" w:color="auto" w:fill="auto"/>
            <w:vAlign w:val="center"/>
          </w:tcPr>
          <w:p w14:paraId="6E67EB93" w14:textId="77777777" w:rsidR="00992BFC" w:rsidRPr="001F454F" w:rsidRDefault="00992BFC" w:rsidP="00992BFC">
            <w:pPr>
              <w:tabs>
                <w:tab w:val="decimal" w:pos="454"/>
              </w:tabs>
              <w:jc w:val="left"/>
              <w:rPr>
                <w:sz w:val="18"/>
                <w:szCs w:val="18"/>
              </w:rPr>
            </w:pPr>
            <w:r>
              <w:rPr>
                <w:sz w:val="18"/>
                <w:szCs w:val="18"/>
              </w:rPr>
              <w:t>3.2</w:t>
            </w:r>
          </w:p>
        </w:tc>
      </w:tr>
      <w:tr w:rsidR="00992BFC" w:rsidRPr="00F87E34" w14:paraId="2348B61E" w14:textId="77777777" w:rsidTr="00992BFC">
        <w:trPr>
          <w:trHeight w:val="340"/>
          <w:jc w:val="center"/>
        </w:trPr>
        <w:tc>
          <w:tcPr>
            <w:tcW w:w="3879" w:type="dxa"/>
            <w:tcBorders>
              <w:top w:val="nil"/>
              <w:bottom w:val="nil"/>
              <w:right w:val="single" w:sz="6" w:space="0" w:color="404040"/>
            </w:tcBorders>
            <w:shd w:val="clear" w:color="auto" w:fill="auto"/>
            <w:vAlign w:val="center"/>
            <w:hideMark/>
          </w:tcPr>
          <w:p w14:paraId="631A16E7" w14:textId="77777777" w:rsidR="00992BFC" w:rsidRPr="00F87E34" w:rsidRDefault="00992BFC" w:rsidP="00992BFC">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1089" w:type="dxa"/>
            <w:tcBorders>
              <w:top w:val="nil"/>
              <w:left w:val="single" w:sz="6" w:space="0" w:color="404040"/>
              <w:bottom w:val="nil"/>
              <w:right w:val="nil"/>
            </w:tcBorders>
            <w:shd w:val="clear" w:color="auto" w:fill="auto"/>
            <w:vAlign w:val="center"/>
          </w:tcPr>
          <w:p w14:paraId="7AED8843" w14:textId="77777777" w:rsidR="00992BFC" w:rsidRPr="001F454F" w:rsidRDefault="00992BFC" w:rsidP="00992BFC">
            <w:pPr>
              <w:tabs>
                <w:tab w:val="decimal" w:pos="454"/>
              </w:tabs>
              <w:jc w:val="left"/>
              <w:rPr>
                <w:sz w:val="18"/>
                <w:szCs w:val="18"/>
              </w:rPr>
            </w:pPr>
            <w:r>
              <w:rPr>
                <w:sz w:val="18"/>
                <w:szCs w:val="18"/>
              </w:rPr>
              <w:t>0.3</w:t>
            </w:r>
          </w:p>
        </w:tc>
        <w:tc>
          <w:tcPr>
            <w:tcW w:w="1089" w:type="dxa"/>
            <w:tcBorders>
              <w:top w:val="nil"/>
              <w:left w:val="nil"/>
              <w:bottom w:val="nil"/>
              <w:right w:val="single" w:sz="6" w:space="0" w:color="404040"/>
            </w:tcBorders>
            <w:shd w:val="clear" w:color="auto" w:fill="auto"/>
            <w:vAlign w:val="center"/>
          </w:tcPr>
          <w:p w14:paraId="05916535" w14:textId="77777777" w:rsidR="00992BFC" w:rsidRPr="001F454F" w:rsidRDefault="00992BFC" w:rsidP="00992BFC">
            <w:pPr>
              <w:tabs>
                <w:tab w:val="decimal" w:pos="454"/>
              </w:tabs>
              <w:jc w:val="left"/>
              <w:rPr>
                <w:sz w:val="18"/>
                <w:szCs w:val="18"/>
              </w:rPr>
            </w:pPr>
            <w:r>
              <w:rPr>
                <w:sz w:val="18"/>
                <w:szCs w:val="18"/>
              </w:rPr>
              <w:t>1.6</w:t>
            </w:r>
          </w:p>
        </w:tc>
        <w:tc>
          <w:tcPr>
            <w:tcW w:w="1089" w:type="dxa"/>
            <w:tcBorders>
              <w:top w:val="nil"/>
              <w:left w:val="single" w:sz="6" w:space="0" w:color="404040"/>
              <w:bottom w:val="nil"/>
              <w:right w:val="nil"/>
            </w:tcBorders>
            <w:shd w:val="clear" w:color="auto" w:fill="auto"/>
            <w:vAlign w:val="center"/>
          </w:tcPr>
          <w:p w14:paraId="35E46744" w14:textId="77777777" w:rsidR="00992BFC" w:rsidRPr="001F454F" w:rsidRDefault="00992BFC" w:rsidP="00992BFC">
            <w:pPr>
              <w:tabs>
                <w:tab w:val="decimal" w:pos="454"/>
              </w:tabs>
              <w:jc w:val="left"/>
              <w:rPr>
                <w:sz w:val="18"/>
                <w:szCs w:val="18"/>
              </w:rPr>
            </w:pPr>
            <w:r>
              <w:rPr>
                <w:sz w:val="18"/>
                <w:szCs w:val="18"/>
              </w:rPr>
              <w:t>-0.3</w:t>
            </w:r>
          </w:p>
        </w:tc>
        <w:tc>
          <w:tcPr>
            <w:tcW w:w="1089" w:type="dxa"/>
            <w:tcBorders>
              <w:top w:val="nil"/>
              <w:left w:val="nil"/>
              <w:bottom w:val="nil"/>
            </w:tcBorders>
            <w:shd w:val="clear" w:color="auto" w:fill="auto"/>
            <w:vAlign w:val="center"/>
          </w:tcPr>
          <w:p w14:paraId="165A5A59" w14:textId="77777777" w:rsidR="00992BFC" w:rsidRPr="001F454F" w:rsidRDefault="00992BFC" w:rsidP="00992BFC">
            <w:pPr>
              <w:tabs>
                <w:tab w:val="decimal" w:pos="454"/>
              </w:tabs>
              <w:jc w:val="left"/>
              <w:rPr>
                <w:sz w:val="18"/>
                <w:szCs w:val="18"/>
              </w:rPr>
            </w:pPr>
            <w:r>
              <w:rPr>
                <w:sz w:val="18"/>
                <w:szCs w:val="18"/>
              </w:rPr>
              <w:t>-0.5</w:t>
            </w:r>
          </w:p>
        </w:tc>
      </w:tr>
      <w:tr w:rsidR="00992BFC" w:rsidRPr="00F87E34" w14:paraId="32E783B9" w14:textId="77777777" w:rsidTr="00992BFC">
        <w:trPr>
          <w:trHeight w:val="340"/>
          <w:jc w:val="center"/>
        </w:trPr>
        <w:tc>
          <w:tcPr>
            <w:tcW w:w="3879" w:type="dxa"/>
            <w:tcBorders>
              <w:top w:val="nil"/>
              <w:right w:val="single" w:sz="6" w:space="0" w:color="404040"/>
            </w:tcBorders>
            <w:shd w:val="clear" w:color="auto" w:fill="auto"/>
            <w:vAlign w:val="center"/>
            <w:hideMark/>
          </w:tcPr>
          <w:p w14:paraId="377F4FB3" w14:textId="77777777" w:rsidR="00992BFC" w:rsidRPr="00F87E34" w:rsidRDefault="00992BFC" w:rsidP="00992BFC">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1089" w:type="dxa"/>
            <w:tcBorders>
              <w:top w:val="nil"/>
              <w:left w:val="single" w:sz="6" w:space="0" w:color="404040"/>
              <w:right w:val="nil"/>
            </w:tcBorders>
            <w:shd w:val="clear" w:color="auto" w:fill="auto"/>
            <w:vAlign w:val="center"/>
          </w:tcPr>
          <w:p w14:paraId="2A2165B6" w14:textId="77777777" w:rsidR="00992BFC" w:rsidRPr="001F454F" w:rsidRDefault="00992BFC" w:rsidP="00992BFC">
            <w:pPr>
              <w:tabs>
                <w:tab w:val="decimal" w:pos="454"/>
              </w:tabs>
              <w:jc w:val="left"/>
              <w:rPr>
                <w:sz w:val="18"/>
                <w:szCs w:val="18"/>
              </w:rPr>
            </w:pPr>
            <w:r>
              <w:rPr>
                <w:sz w:val="18"/>
                <w:szCs w:val="18"/>
              </w:rPr>
              <w:t>0.9</w:t>
            </w:r>
          </w:p>
        </w:tc>
        <w:tc>
          <w:tcPr>
            <w:tcW w:w="1089" w:type="dxa"/>
            <w:tcBorders>
              <w:top w:val="nil"/>
              <w:left w:val="nil"/>
              <w:right w:val="single" w:sz="6" w:space="0" w:color="404040"/>
            </w:tcBorders>
            <w:shd w:val="clear" w:color="auto" w:fill="auto"/>
            <w:vAlign w:val="center"/>
          </w:tcPr>
          <w:p w14:paraId="5E47CF3B" w14:textId="77777777" w:rsidR="00992BFC" w:rsidRPr="001F454F" w:rsidRDefault="00992BFC" w:rsidP="00992BFC">
            <w:pPr>
              <w:tabs>
                <w:tab w:val="decimal" w:pos="454"/>
              </w:tabs>
              <w:jc w:val="left"/>
              <w:rPr>
                <w:sz w:val="18"/>
                <w:szCs w:val="18"/>
              </w:rPr>
            </w:pPr>
            <w:r>
              <w:rPr>
                <w:sz w:val="18"/>
                <w:szCs w:val="18"/>
              </w:rPr>
              <w:t>1.6</w:t>
            </w:r>
          </w:p>
        </w:tc>
        <w:tc>
          <w:tcPr>
            <w:tcW w:w="1089" w:type="dxa"/>
            <w:tcBorders>
              <w:top w:val="nil"/>
              <w:left w:val="single" w:sz="6" w:space="0" w:color="404040"/>
              <w:right w:val="nil"/>
            </w:tcBorders>
            <w:shd w:val="clear" w:color="auto" w:fill="auto"/>
            <w:vAlign w:val="center"/>
          </w:tcPr>
          <w:p w14:paraId="03E5FBA7" w14:textId="77777777" w:rsidR="00992BFC" w:rsidRPr="001F454F" w:rsidRDefault="00992BFC" w:rsidP="00992BFC">
            <w:pPr>
              <w:tabs>
                <w:tab w:val="decimal" w:pos="454"/>
              </w:tabs>
              <w:jc w:val="left"/>
              <w:rPr>
                <w:sz w:val="18"/>
                <w:szCs w:val="18"/>
              </w:rPr>
            </w:pPr>
            <w:r>
              <w:rPr>
                <w:sz w:val="18"/>
                <w:szCs w:val="18"/>
              </w:rPr>
              <w:t>-0.5</w:t>
            </w:r>
          </w:p>
        </w:tc>
        <w:tc>
          <w:tcPr>
            <w:tcW w:w="1089" w:type="dxa"/>
            <w:tcBorders>
              <w:top w:val="nil"/>
              <w:left w:val="nil"/>
            </w:tcBorders>
            <w:shd w:val="clear" w:color="auto" w:fill="auto"/>
            <w:vAlign w:val="center"/>
          </w:tcPr>
          <w:p w14:paraId="28F3FAC1" w14:textId="77777777" w:rsidR="00992BFC" w:rsidRPr="001F454F" w:rsidRDefault="00992BFC" w:rsidP="00992BFC">
            <w:pPr>
              <w:tabs>
                <w:tab w:val="decimal" w:pos="454"/>
              </w:tabs>
              <w:jc w:val="left"/>
              <w:rPr>
                <w:sz w:val="18"/>
                <w:szCs w:val="18"/>
              </w:rPr>
            </w:pPr>
            <w:r>
              <w:rPr>
                <w:sz w:val="18"/>
                <w:szCs w:val="18"/>
              </w:rPr>
              <w:t>5.6</w:t>
            </w:r>
          </w:p>
        </w:tc>
      </w:tr>
    </w:tbl>
    <w:bookmarkEnd w:id="11"/>
    <w:p w14:paraId="76B5203A" w14:textId="77777777" w:rsidR="00992BFC" w:rsidRPr="00F87E34" w:rsidRDefault="00992BFC" w:rsidP="00992BFC">
      <w:pPr>
        <w:pStyle w:val="Prrafodelista"/>
        <w:tabs>
          <w:tab w:val="left" w:pos="7939"/>
        </w:tabs>
        <w:ind w:left="851" w:hanging="123"/>
        <w:rPr>
          <w:sz w:val="16"/>
          <w:szCs w:val="16"/>
        </w:rPr>
      </w:pPr>
      <w:r w:rsidRPr="00F87E34">
        <w:rPr>
          <w:sz w:val="16"/>
          <w:szCs w:val="16"/>
        </w:rPr>
        <w:t>*</w:t>
      </w:r>
      <w:r w:rsidRPr="00F87E34">
        <w:rPr>
          <w:sz w:val="16"/>
          <w:szCs w:val="16"/>
        </w:rPr>
        <w:tab/>
        <w:t>En términos reales</w:t>
      </w:r>
    </w:p>
    <w:p w14:paraId="1DA250FA" w14:textId="77777777" w:rsidR="00992BFC" w:rsidRDefault="00992BFC" w:rsidP="00992BFC">
      <w:pPr>
        <w:pStyle w:val="Prrafodelista"/>
        <w:tabs>
          <w:tab w:val="left" w:pos="1484"/>
          <w:tab w:val="left" w:pos="7939"/>
        </w:tabs>
        <w:ind w:left="1330" w:hanging="602"/>
        <w:rPr>
          <w:sz w:val="16"/>
          <w:szCs w:val="16"/>
        </w:rPr>
      </w:pPr>
      <w:r w:rsidRPr="00F87E34">
        <w:rPr>
          <w:sz w:val="16"/>
          <w:szCs w:val="16"/>
        </w:rPr>
        <w:t>Fuente:</w:t>
      </w:r>
      <w:r w:rsidRPr="00F87E34">
        <w:rPr>
          <w:sz w:val="16"/>
          <w:szCs w:val="16"/>
        </w:rPr>
        <w:tab/>
        <w:t>INEGI</w:t>
      </w:r>
    </w:p>
    <w:p w14:paraId="2D693BD0" w14:textId="77777777" w:rsidR="00992BFC" w:rsidRDefault="00992BFC" w:rsidP="00992BFC">
      <w:pPr>
        <w:pStyle w:val="Prrafodelista"/>
        <w:spacing w:before="280"/>
        <w:ind w:left="0" w:right="51"/>
        <w:rPr>
          <w:snapToGrid w:val="0"/>
          <w:spacing w:val="6"/>
        </w:rPr>
      </w:pPr>
    </w:p>
    <w:p w14:paraId="48317417" w14:textId="55515CFD" w:rsidR="00901366" w:rsidRDefault="009E2BC4" w:rsidP="00992BFC">
      <w:pPr>
        <w:pStyle w:val="Prrafodelista"/>
        <w:spacing w:before="280"/>
        <w:ind w:left="0" w:right="51"/>
        <w:rPr>
          <w:snapToGrid w:val="0"/>
          <w:spacing w:val="6"/>
        </w:rPr>
      </w:pPr>
      <w:r w:rsidRPr="00992BFC">
        <w:rPr>
          <w:snapToGrid w:val="0"/>
          <w:spacing w:val="6"/>
        </w:rPr>
        <w:lastRenderedPageBreak/>
        <w:t xml:space="preserve">En las </w:t>
      </w:r>
      <w:r w:rsidR="00F819B9" w:rsidRPr="00992BFC">
        <w:rPr>
          <w:snapToGrid w:val="0"/>
          <w:spacing w:val="6"/>
        </w:rPr>
        <w:t>e</w:t>
      </w:r>
      <w:r w:rsidRPr="00992BFC">
        <w:rPr>
          <w:snapToGrid w:val="0"/>
          <w:spacing w:val="6"/>
        </w:rPr>
        <w:t xml:space="preserve">mpresas </w:t>
      </w:r>
      <w:r w:rsidR="00F819B9" w:rsidRPr="00992BFC">
        <w:rPr>
          <w:snapToGrid w:val="0"/>
          <w:spacing w:val="6"/>
        </w:rPr>
        <w:t>c</w:t>
      </w:r>
      <w:r w:rsidRPr="00992BFC">
        <w:rPr>
          <w:snapToGrid w:val="0"/>
          <w:spacing w:val="6"/>
        </w:rPr>
        <w:t xml:space="preserve">omerciales al por </w:t>
      </w:r>
      <w:r w:rsidR="00F819B9" w:rsidRPr="00992BFC">
        <w:rPr>
          <w:snapToGrid w:val="0"/>
          <w:spacing w:val="6"/>
        </w:rPr>
        <w:t>m</w:t>
      </w:r>
      <w:r w:rsidRPr="00992BFC">
        <w:rPr>
          <w:snapToGrid w:val="0"/>
          <w:spacing w:val="6"/>
        </w:rPr>
        <w:t>enor</w:t>
      </w:r>
      <w:r w:rsidR="00F238E5" w:rsidRPr="00992BFC">
        <w:rPr>
          <w:snapToGrid w:val="0"/>
          <w:spacing w:val="6"/>
        </w:rPr>
        <w:t>, a</w:t>
      </w:r>
      <w:r w:rsidR="008910F8" w:rsidRPr="00992BFC">
        <w:rPr>
          <w:snapToGrid w:val="0"/>
          <w:spacing w:val="6"/>
        </w:rPr>
        <w:t xml:space="preserve"> tasa anual y</w:t>
      </w:r>
      <w:r w:rsidR="00F238E5" w:rsidRPr="00992BFC">
        <w:rPr>
          <w:snapToGrid w:val="0"/>
          <w:spacing w:val="6"/>
        </w:rPr>
        <w:t xml:space="preserve"> </w:t>
      </w:r>
      <w:r w:rsidR="003F1AAD" w:rsidRPr="00992BFC">
        <w:rPr>
          <w:snapToGrid w:val="0"/>
          <w:spacing w:val="6"/>
        </w:rPr>
        <w:t xml:space="preserve">sin </w:t>
      </w:r>
      <w:r w:rsidR="00F238E5" w:rsidRPr="00992BFC">
        <w:rPr>
          <w:snapToGrid w:val="0"/>
          <w:spacing w:val="6"/>
        </w:rPr>
        <w:t>el factor estacional,</w:t>
      </w:r>
      <w:r w:rsidRPr="00992BFC">
        <w:rPr>
          <w:snapToGrid w:val="0"/>
          <w:spacing w:val="6"/>
        </w:rPr>
        <w:t xml:space="preserve"> los </w:t>
      </w:r>
      <w:r w:rsidR="004C75FC" w:rsidRPr="00992BFC">
        <w:rPr>
          <w:snapToGrid w:val="0"/>
          <w:spacing w:val="6"/>
        </w:rPr>
        <w:t>i</w:t>
      </w:r>
      <w:r w:rsidRPr="00992BFC">
        <w:rPr>
          <w:snapToGrid w:val="0"/>
          <w:spacing w:val="6"/>
        </w:rPr>
        <w:t xml:space="preserve">ngresos </w:t>
      </w:r>
      <w:r w:rsidR="00664719" w:rsidRPr="00992BFC">
        <w:rPr>
          <w:snapToGrid w:val="0"/>
          <w:spacing w:val="6"/>
        </w:rPr>
        <w:t xml:space="preserve">reales </w:t>
      </w:r>
      <w:r w:rsidR="00AD4A48" w:rsidRPr="00992BFC">
        <w:rPr>
          <w:snapToGrid w:val="0"/>
          <w:spacing w:val="6"/>
        </w:rPr>
        <w:t>avanza</w:t>
      </w:r>
      <w:r w:rsidR="0011111A" w:rsidRPr="00992BFC">
        <w:rPr>
          <w:snapToGrid w:val="0"/>
          <w:spacing w:val="6"/>
        </w:rPr>
        <w:t>ron</w:t>
      </w:r>
      <w:r w:rsidR="00EA694F" w:rsidRPr="00992BFC">
        <w:rPr>
          <w:snapToGrid w:val="0"/>
          <w:spacing w:val="6"/>
        </w:rPr>
        <w:t xml:space="preserve"> </w:t>
      </w:r>
      <w:r w:rsidR="00FE7AE0" w:rsidRPr="00992BFC">
        <w:rPr>
          <w:snapToGrid w:val="0"/>
          <w:spacing w:val="6"/>
        </w:rPr>
        <w:t>3.2</w:t>
      </w:r>
      <w:r w:rsidR="00242D86" w:rsidRPr="00992BFC">
        <w:rPr>
          <w:snapToGrid w:val="0"/>
          <w:spacing w:val="6"/>
        </w:rPr>
        <w:t> </w:t>
      </w:r>
      <w:r w:rsidR="008277F4" w:rsidRPr="00992BFC">
        <w:rPr>
          <w:snapToGrid w:val="0"/>
          <w:spacing w:val="6"/>
        </w:rPr>
        <w:t>%</w:t>
      </w:r>
      <w:r w:rsidR="007C168D" w:rsidRPr="00992BFC">
        <w:rPr>
          <w:snapToGrid w:val="0"/>
          <w:spacing w:val="6"/>
        </w:rPr>
        <w:t>; el personal ocupado total retrocedió 0.</w:t>
      </w:r>
      <w:r w:rsidR="00FE7AE0" w:rsidRPr="00992BFC">
        <w:rPr>
          <w:snapToGrid w:val="0"/>
          <w:spacing w:val="6"/>
        </w:rPr>
        <w:t>5</w:t>
      </w:r>
      <w:r w:rsidR="007C168D" w:rsidRPr="00992BFC">
        <w:rPr>
          <w:snapToGrid w:val="0"/>
          <w:spacing w:val="6"/>
        </w:rPr>
        <w:t xml:space="preserve"> % </w:t>
      </w:r>
      <w:r w:rsidR="00DE0011" w:rsidRPr="00992BFC">
        <w:rPr>
          <w:snapToGrid w:val="0"/>
          <w:spacing w:val="6"/>
        </w:rPr>
        <w:t>y</w:t>
      </w:r>
      <w:r w:rsidR="008277F4" w:rsidRPr="00992BFC">
        <w:rPr>
          <w:snapToGrid w:val="0"/>
          <w:spacing w:val="6"/>
        </w:rPr>
        <w:t xml:space="preserve"> </w:t>
      </w:r>
      <w:r w:rsidR="00E506C9" w:rsidRPr="00992BFC">
        <w:rPr>
          <w:snapToGrid w:val="0"/>
          <w:spacing w:val="6"/>
        </w:rPr>
        <w:t>l</w:t>
      </w:r>
      <w:r w:rsidR="00A2626B" w:rsidRPr="00992BFC">
        <w:rPr>
          <w:snapToGrid w:val="0"/>
          <w:spacing w:val="6"/>
        </w:rPr>
        <w:t xml:space="preserve">as </w:t>
      </w:r>
      <w:r w:rsidR="004C75FC" w:rsidRPr="00992BFC">
        <w:rPr>
          <w:snapToGrid w:val="0"/>
          <w:spacing w:val="6"/>
        </w:rPr>
        <w:t>r</w:t>
      </w:r>
      <w:r w:rsidR="00A2626B" w:rsidRPr="00992BFC">
        <w:rPr>
          <w:snapToGrid w:val="0"/>
          <w:spacing w:val="6"/>
        </w:rPr>
        <w:t>emuneraciones medias reales</w:t>
      </w:r>
      <w:r w:rsidR="007C168D" w:rsidRPr="00992BFC">
        <w:rPr>
          <w:snapToGrid w:val="0"/>
          <w:spacing w:val="6"/>
        </w:rPr>
        <w:t xml:space="preserve"> tuvieron un alza de</w:t>
      </w:r>
      <w:r w:rsidR="008277F4" w:rsidRPr="00992BFC">
        <w:rPr>
          <w:snapToGrid w:val="0"/>
          <w:spacing w:val="6"/>
        </w:rPr>
        <w:t xml:space="preserve"> </w:t>
      </w:r>
      <w:r w:rsidR="00110935" w:rsidRPr="00992BFC">
        <w:rPr>
          <w:snapToGrid w:val="0"/>
          <w:spacing w:val="6"/>
        </w:rPr>
        <w:t>5.</w:t>
      </w:r>
      <w:r w:rsidR="00FE7AE0" w:rsidRPr="00992BFC">
        <w:rPr>
          <w:snapToGrid w:val="0"/>
          <w:spacing w:val="6"/>
        </w:rPr>
        <w:t>6</w:t>
      </w:r>
      <w:r w:rsidR="004B1D41" w:rsidRPr="00992BFC">
        <w:rPr>
          <w:snapToGrid w:val="0"/>
          <w:spacing w:val="6"/>
        </w:rPr>
        <w:t xml:space="preserve"> </w:t>
      </w:r>
      <w:r w:rsidR="00DE0011" w:rsidRPr="00992BFC">
        <w:rPr>
          <w:snapToGrid w:val="0"/>
          <w:spacing w:val="6"/>
        </w:rPr>
        <w:t>por ciento.</w:t>
      </w:r>
    </w:p>
    <w:p w14:paraId="1848F74E" w14:textId="6295F3A7" w:rsidR="00992BFC" w:rsidRPr="00256080" w:rsidRDefault="00992BFC" w:rsidP="00992BFC">
      <w:pPr>
        <w:pStyle w:val="p0"/>
        <w:keepNext/>
        <w:spacing w:before="360"/>
        <w:jc w:val="left"/>
        <w:rPr>
          <w:rFonts w:ascii="Arial" w:hAnsi="Arial"/>
          <w:b/>
          <w:iCs/>
          <w:smallCaps/>
          <w:color w:val="auto"/>
        </w:rPr>
      </w:pPr>
      <w:r w:rsidRPr="00256080">
        <w:rPr>
          <w:rFonts w:ascii="Arial" w:hAnsi="Arial"/>
          <w:b/>
          <w:iCs/>
          <w:smallCaps/>
          <w:color w:val="auto"/>
        </w:rPr>
        <w:t>Nota al usuario</w:t>
      </w:r>
    </w:p>
    <w:p w14:paraId="424423FB" w14:textId="020023FC" w:rsidR="00992BFC" w:rsidRDefault="00992BFC" w:rsidP="00992BFC">
      <w:pPr>
        <w:pStyle w:val="p0"/>
        <w:keepNext/>
        <w:rPr>
          <w:rFonts w:ascii="Arial" w:hAnsi="Arial"/>
          <w:color w:val="auto"/>
          <w:lang w:val="es-MX"/>
        </w:rPr>
      </w:pPr>
      <w:r w:rsidRPr="002D476C">
        <w:rPr>
          <w:rFonts w:ascii="Arial" w:hAnsi="Arial"/>
          <w:color w:val="auto"/>
          <w:lang w:val="es-MX"/>
        </w:rPr>
        <w:t>La tasa de no respuesta de la EMEC, correspondiente a</w:t>
      </w:r>
      <w:r>
        <w:rPr>
          <w:rFonts w:ascii="Arial" w:hAnsi="Arial"/>
          <w:color w:val="auto"/>
          <w:lang w:val="es-MX"/>
        </w:rPr>
        <w:t xml:space="preserve"> febrero</w:t>
      </w:r>
      <w:r w:rsidRPr="002D476C">
        <w:rPr>
          <w:rFonts w:ascii="Arial" w:hAnsi="Arial"/>
          <w:color w:val="auto"/>
          <w:lang w:val="es-MX"/>
        </w:rPr>
        <w:t xml:space="preserve"> de 202</w:t>
      </w:r>
      <w:r>
        <w:rPr>
          <w:rFonts w:ascii="Arial" w:hAnsi="Arial"/>
          <w:color w:val="auto"/>
          <w:lang w:val="es-MX"/>
        </w:rPr>
        <w:t>3</w:t>
      </w:r>
      <w:r w:rsidRPr="002D476C">
        <w:rPr>
          <w:rFonts w:ascii="Arial" w:hAnsi="Arial"/>
          <w:color w:val="auto"/>
          <w:lang w:val="es-MX"/>
        </w:rPr>
        <w:t xml:space="preserve">, registró porcentajes apropiados conforme al diseño estadístico de la encuesta. Esto permitió generar estadísticas con </w:t>
      </w:r>
      <w:r w:rsidRPr="005911F4">
        <w:rPr>
          <w:rFonts w:ascii="Arial" w:hAnsi="Arial"/>
          <w:color w:val="auto"/>
          <w:lang w:val="es-MX"/>
        </w:rPr>
        <w:t>niveles altos de precisión.</w:t>
      </w:r>
    </w:p>
    <w:p w14:paraId="5A713F1B" w14:textId="458ED05E" w:rsidR="00992BFC" w:rsidRDefault="00992BFC" w:rsidP="00992BFC">
      <w:pPr>
        <w:pStyle w:val="p0"/>
        <w:keepNext/>
        <w:rPr>
          <w:rFonts w:ascii="Arial" w:hAnsi="Arial"/>
          <w:color w:val="auto"/>
        </w:rPr>
      </w:pPr>
    </w:p>
    <w:p w14:paraId="12DC83A9" w14:textId="30B3B83F" w:rsidR="00992BFC" w:rsidRDefault="00992BFC" w:rsidP="00992BFC">
      <w:pPr>
        <w:pStyle w:val="p0"/>
        <w:keepNext/>
        <w:rPr>
          <w:rFonts w:ascii="Arial" w:hAnsi="Arial"/>
          <w:color w:val="auto"/>
        </w:rPr>
      </w:pPr>
    </w:p>
    <w:p w14:paraId="7DDBAEC5" w14:textId="77777777" w:rsidR="00992BFC" w:rsidRPr="00AD7286" w:rsidRDefault="00992BFC" w:rsidP="00992BFC">
      <w:pPr>
        <w:pStyle w:val="NormalWeb"/>
        <w:ind w:left="-426" w:right="-518"/>
        <w:contextualSpacing/>
        <w:jc w:val="center"/>
        <w:rPr>
          <w:rFonts w:ascii="Arial" w:hAnsi="Arial" w:cs="Arial"/>
          <w:sz w:val="22"/>
          <w:szCs w:val="22"/>
          <w:lang w:val="es-ES_tradnl"/>
        </w:rPr>
      </w:pPr>
      <w:bookmarkStart w:id="12" w:name="_Hlk128411818"/>
      <w:bookmarkStart w:id="13" w:name="_Hlk127548085"/>
      <w:r w:rsidRPr="00AD7286">
        <w:rPr>
          <w:rFonts w:ascii="Arial" w:hAnsi="Arial" w:cs="Arial"/>
          <w:sz w:val="22"/>
          <w:szCs w:val="22"/>
          <w:lang w:val="es-ES_tradnl"/>
        </w:rPr>
        <w:t xml:space="preserve">Para consultas de medios y periodistas, escribir a: </w:t>
      </w:r>
      <w:hyperlink r:id="rId10"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FCCAC8E" w14:textId="77777777" w:rsidR="00992BFC" w:rsidRDefault="00992BFC" w:rsidP="00992BFC">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1A04C07E" w14:textId="77777777" w:rsidR="00992BFC" w:rsidRPr="00653B38" w:rsidRDefault="00992BFC" w:rsidP="00992BFC">
      <w:pPr>
        <w:pStyle w:val="NormalWeb"/>
        <w:spacing w:before="0" w:beforeAutospacing="0" w:after="0" w:afterAutospacing="0"/>
        <w:ind w:left="-426" w:right="-518"/>
        <w:contextualSpacing/>
        <w:jc w:val="center"/>
        <w:rPr>
          <w:rFonts w:ascii="Arial" w:hAnsi="Arial" w:cs="Arial"/>
        </w:rPr>
      </w:pPr>
    </w:p>
    <w:p w14:paraId="435973D2" w14:textId="77777777" w:rsidR="00992BFC" w:rsidRPr="00E42BFD" w:rsidRDefault="00992BFC" w:rsidP="00992BFC">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9BD1528" w14:textId="77777777" w:rsidR="00992BFC" w:rsidRDefault="00992BFC" w:rsidP="00992BFC">
      <w:pPr>
        <w:pStyle w:val="NormalWeb"/>
        <w:spacing w:before="0" w:beforeAutospacing="0" w:after="0" w:afterAutospacing="0"/>
        <w:ind w:left="-426" w:right="-518"/>
        <w:contextualSpacing/>
        <w:jc w:val="center"/>
        <w:rPr>
          <w:rFonts w:ascii="Arial" w:hAnsi="Arial" w:cs="Arial"/>
        </w:rPr>
      </w:pPr>
    </w:p>
    <w:p w14:paraId="45E17F84" w14:textId="77777777" w:rsidR="00992BFC" w:rsidRDefault="00992BFC" w:rsidP="00992BFC">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76E5B893" wp14:editId="65E6E67F">
            <wp:extent cx="3038475" cy="276225"/>
            <wp:effectExtent l="0" t="0" r="9525" b="9525"/>
            <wp:docPr id="13"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12"/>
    </w:p>
    <w:bookmarkEnd w:id="13"/>
    <w:p w14:paraId="79B01828" w14:textId="739BBD79" w:rsidR="00992BFC" w:rsidRDefault="00992BFC" w:rsidP="00992BFC">
      <w:pPr>
        <w:pStyle w:val="p0"/>
        <w:keepNext/>
        <w:rPr>
          <w:rFonts w:ascii="Arial" w:hAnsi="Arial"/>
          <w:color w:val="auto"/>
        </w:rPr>
      </w:pPr>
    </w:p>
    <w:p w14:paraId="38C0D068" w14:textId="77777777" w:rsidR="00992BFC" w:rsidRPr="00F87E34" w:rsidRDefault="00992BFC" w:rsidP="00992BFC">
      <w:pPr>
        <w:pStyle w:val="p0"/>
        <w:keepNext/>
        <w:rPr>
          <w:rFonts w:ascii="Arial" w:hAnsi="Arial"/>
          <w:color w:val="auto"/>
        </w:rPr>
      </w:pPr>
    </w:p>
    <w:p w14:paraId="146C5DA0" w14:textId="77777777" w:rsidR="00992BFC" w:rsidRPr="00992BFC" w:rsidRDefault="00992BFC" w:rsidP="00992BFC">
      <w:pPr>
        <w:pStyle w:val="Prrafodelista"/>
        <w:spacing w:before="280"/>
        <w:ind w:left="0" w:right="51"/>
        <w:rPr>
          <w:snapToGrid w:val="0"/>
          <w:spacing w:val="6"/>
        </w:rPr>
      </w:pPr>
    </w:p>
    <w:p w14:paraId="34C763BA" w14:textId="6049B893" w:rsidR="00992BFC" w:rsidRDefault="00992BFC" w:rsidP="007010F4">
      <w:pPr>
        <w:pStyle w:val="Prrafodelista"/>
        <w:tabs>
          <w:tab w:val="left" w:pos="1484"/>
          <w:tab w:val="left" w:pos="7939"/>
        </w:tabs>
        <w:ind w:left="1330" w:hanging="602"/>
        <w:rPr>
          <w:sz w:val="16"/>
          <w:szCs w:val="16"/>
        </w:rPr>
      </w:pPr>
    </w:p>
    <w:p w14:paraId="030CBEE3" w14:textId="77777777" w:rsidR="00992BFC" w:rsidRDefault="00992BFC">
      <w:pPr>
        <w:jc w:val="left"/>
        <w:rPr>
          <w:sz w:val="16"/>
          <w:szCs w:val="16"/>
        </w:rPr>
        <w:sectPr w:rsidR="00992BFC" w:rsidSect="00992BFC">
          <w:headerReference w:type="default" r:id="rId12"/>
          <w:footerReference w:type="default" r:id="rId13"/>
          <w:pgSz w:w="12242" w:h="15842" w:code="119"/>
          <w:pgMar w:top="2552" w:right="1418" w:bottom="1134" w:left="1134" w:header="680" w:footer="680" w:gutter="0"/>
          <w:paperSrc w:first="7" w:other="7"/>
          <w:pgNumType w:start="1"/>
          <w:cols w:space="720"/>
          <w:docGrid w:linePitch="360"/>
        </w:sectPr>
      </w:pPr>
      <w:r>
        <w:rPr>
          <w:sz w:val="16"/>
          <w:szCs w:val="16"/>
        </w:rPr>
        <w:br w:type="page"/>
      </w:r>
    </w:p>
    <w:p w14:paraId="073ACFB9" w14:textId="4E9346B7" w:rsidR="00992BFC" w:rsidRDefault="00992BFC">
      <w:pPr>
        <w:jc w:val="left"/>
        <w:rPr>
          <w:sz w:val="16"/>
          <w:szCs w:val="16"/>
        </w:rPr>
      </w:pPr>
    </w:p>
    <w:p w14:paraId="0378DBC2" w14:textId="59C30B46" w:rsidR="00992BFC" w:rsidRPr="00992BFC" w:rsidRDefault="00992BFC" w:rsidP="00992BFC">
      <w:pPr>
        <w:tabs>
          <w:tab w:val="left" w:pos="1484"/>
          <w:tab w:val="left" w:pos="7939"/>
        </w:tabs>
        <w:jc w:val="center"/>
        <w:rPr>
          <w:b/>
        </w:rPr>
      </w:pPr>
      <w:r w:rsidRPr="00992BFC">
        <w:rPr>
          <w:b/>
        </w:rPr>
        <w:t>NOTA TÉCNICA</w:t>
      </w:r>
    </w:p>
    <w:p w14:paraId="7EB706EF" w14:textId="77777777" w:rsidR="00774F5B" w:rsidRPr="003C3740" w:rsidRDefault="00774F5B" w:rsidP="000A4E99">
      <w:pPr>
        <w:pStyle w:val="bulnot"/>
        <w:widowControl w:val="0"/>
        <w:tabs>
          <w:tab w:val="clear" w:pos="851"/>
        </w:tabs>
        <w:spacing w:before="32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46C40601" w:rsidR="00ED4D0D" w:rsidRPr="00F87E34" w:rsidRDefault="00F820E2" w:rsidP="00ED1441">
      <w:pPr>
        <w:pStyle w:val="Textoindependiente"/>
        <w:spacing w:before="120"/>
        <w:rPr>
          <w:color w:val="auto"/>
        </w:rPr>
      </w:pPr>
      <w:r w:rsidRPr="00F87E34">
        <w:rPr>
          <w:color w:val="auto"/>
        </w:rPr>
        <w:t xml:space="preserve">En </w:t>
      </w:r>
      <w:r w:rsidR="002A777C">
        <w:rPr>
          <w:color w:val="auto"/>
        </w:rPr>
        <w:t>febrer</w:t>
      </w:r>
      <w:r w:rsidR="00725B90">
        <w:rPr>
          <w:color w:val="auto"/>
        </w:rPr>
        <w:t>o</w:t>
      </w:r>
      <w:r w:rsidRPr="00F87E34">
        <w:rPr>
          <w:color w:val="auto"/>
        </w:rPr>
        <w:t xml:space="preserve"> de 202</w:t>
      </w:r>
      <w:r w:rsidR="00725B90">
        <w:rPr>
          <w:color w:val="auto"/>
        </w:rPr>
        <w:t>3</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AF2F7E">
        <w:rPr>
          <w:color w:val="auto"/>
        </w:rPr>
        <w:t xml:space="preserve">ayor </w:t>
      </w:r>
      <w:r w:rsidR="00ED1441">
        <w:rPr>
          <w:color w:val="auto"/>
        </w:rPr>
        <w:t>descendieron 0.</w:t>
      </w:r>
      <w:r w:rsidR="00B9545C">
        <w:rPr>
          <w:color w:val="auto"/>
        </w:rPr>
        <w:t>4</w:t>
      </w:r>
      <w:r w:rsidR="00ED1441">
        <w:rPr>
          <w:color w:val="auto"/>
        </w:rPr>
        <w:t> </w:t>
      </w:r>
      <w:r w:rsidR="0070318F">
        <w:rPr>
          <w:color w:val="auto"/>
        </w:rPr>
        <w:t>por ciento.</w:t>
      </w:r>
      <w:r w:rsidR="00F800F4">
        <w:rPr>
          <w:color w:val="auto"/>
        </w:rPr>
        <w:t xml:space="preserve"> </w:t>
      </w:r>
      <w:r w:rsidR="002A777C">
        <w:rPr>
          <w:color w:val="auto"/>
        </w:rPr>
        <w:t xml:space="preserve">El personal ocupado </w:t>
      </w:r>
      <w:r w:rsidR="00B9545C">
        <w:rPr>
          <w:color w:val="auto"/>
        </w:rPr>
        <w:t>total aumentó 0.3 %</w:t>
      </w:r>
      <w:r w:rsidR="002A777C">
        <w:rPr>
          <w:color w:val="auto"/>
        </w:rPr>
        <w:t xml:space="preserve"> y l</w:t>
      </w:r>
      <w:r w:rsidR="00AF2F7E" w:rsidRPr="00F87E34">
        <w:rPr>
          <w:color w:val="auto"/>
        </w:rPr>
        <w:t>as remuneraciones medias reales</w:t>
      </w:r>
      <w:r w:rsidR="00B9545C">
        <w:rPr>
          <w:color w:val="auto"/>
        </w:rPr>
        <w:t>,</w:t>
      </w:r>
      <w:r w:rsidR="00AF2F7E">
        <w:rPr>
          <w:color w:val="auto"/>
        </w:rPr>
        <w:t xml:space="preserve"> </w:t>
      </w:r>
      <w:r w:rsidR="0006734E">
        <w:rPr>
          <w:color w:val="auto"/>
        </w:rPr>
        <w:t>0.</w:t>
      </w:r>
      <w:r w:rsidR="00ED1441">
        <w:rPr>
          <w:color w:val="auto"/>
        </w:rPr>
        <w:t>9</w:t>
      </w:r>
      <w:r w:rsidR="00B93075">
        <w:rPr>
          <w:color w:val="auto"/>
        </w:rPr>
        <w:t> </w:t>
      </w:r>
      <w:r w:rsidR="002A777C">
        <w:rPr>
          <w:color w:val="auto"/>
        </w:rPr>
        <w:t>por</w:t>
      </w:r>
      <w:r w:rsidR="0084175C">
        <w:rPr>
          <w:color w:val="auto"/>
        </w:rPr>
        <w:t> </w:t>
      </w:r>
      <w:r w:rsidR="002A777C">
        <w:rPr>
          <w:color w:val="auto"/>
        </w:rPr>
        <w:t>ciento</w:t>
      </w:r>
      <w:r w:rsidR="005C5EAF" w:rsidRPr="00F87E34">
        <w:rPr>
          <w:color w:val="auto"/>
        </w:rPr>
        <w:t>.</w:t>
      </w:r>
    </w:p>
    <w:p w14:paraId="2E87EE61" w14:textId="613D6107" w:rsidR="00467BD1" w:rsidRPr="00F87E34" w:rsidRDefault="008B4B23" w:rsidP="00ED1441">
      <w:pPr>
        <w:pStyle w:val="Textoindependiente"/>
        <w:spacing w:before="120"/>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ED1441">
        <w:rPr>
          <w:color w:val="auto"/>
        </w:rPr>
        <w:t>caye</w:t>
      </w:r>
      <w:r w:rsidR="00556DEF">
        <w:rPr>
          <w:color w:val="auto"/>
        </w:rPr>
        <w:t xml:space="preserve">ron </w:t>
      </w:r>
      <w:r w:rsidR="00B9545C">
        <w:rPr>
          <w:color w:val="auto"/>
        </w:rPr>
        <w:t>1.5</w:t>
      </w:r>
      <w:r w:rsidR="002319D0">
        <w:rPr>
          <w:color w:val="auto"/>
        </w:rPr>
        <w:t xml:space="preserve"> </w:t>
      </w:r>
      <w:r w:rsidR="0070318F">
        <w:rPr>
          <w:color w:val="auto"/>
        </w:rPr>
        <w:t>por ciento.</w:t>
      </w:r>
      <w:r w:rsidR="00127039">
        <w:rPr>
          <w:color w:val="auto"/>
        </w:rPr>
        <w:t xml:space="preserve"> </w:t>
      </w:r>
      <w:r w:rsidR="0070318F">
        <w:rPr>
          <w:color w:val="auto"/>
        </w:rPr>
        <w:t>E</w:t>
      </w:r>
      <w:r w:rsidR="006E09A9" w:rsidRPr="00F87E34">
        <w:rPr>
          <w:color w:val="auto"/>
        </w:rPr>
        <w:t xml:space="preserve">l </w:t>
      </w:r>
      <w:r w:rsidR="004C75FC" w:rsidRPr="00F87E34">
        <w:rPr>
          <w:color w:val="auto"/>
        </w:rPr>
        <w:t>p</w:t>
      </w:r>
      <w:r w:rsidR="00B00396" w:rsidRPr="00F87E34">
        <w:rPr>
          <w:color w:val="auto"/>
        </w:rPr>
        <w:t>ersonal ocupado total</w:t>
      </w:r>
      <w:r w:rsidR="00ED1441">
        <w:rPr>
          <w:color w:val="auto"/>
        </w:rPr>
        <w:t xml:space="preserve"> </w:t>
      </w:r>
      <w:r w:rsidR="00101F61">
        <w:rPr>
          <w:color w:val="auto"/>
        </w:rPr>
        <w:t>y l</w:t>
      </w:r>
      <w:r w:rsidR="005C5EAF" w:rsidRPr="00F87E34">
        <w:rPr>
          <w:color w:val="auto"/>
        </w:rPr>
        <w:t xml:space="preserve">as </w:t>
      </w:r>
      <w:r w:rsidR="004C75FC" w:rsidRPr="00F87E34">
        <w:rPr>
          <w:color w:val="auto"/>
        </w:rPr>
        <w:t>r</w:t>
      </w:r>
      <w:r w:rsidR="005C5EAF" w:rsidRPr="00F87E34">
        <w:rPr>
          <w:color w:val="auto"/>
        </w:rPr>
        <w:t>emuneraciones medias reales</w:t>
      </w:r>
      <w:r w:rsidR="00B9545C">
        <w:rPr>
          <w:color w:val="auto"/>
        </w:rPr>
        <w:t xml:space="preserve"> crecieron 1.6</w:t>
      </w:r>
      <w:r w:rsidR="00556DEF">
        <w:rPr>
          <w:color w:val="auto"/>
        </w:rPr>
        <w:t xml:space="preserve"> </w:t>
      </w:r>
      <w:r w:rsidR="00CC7785">
        <w:rPr>
          <w:color w:val="auto"/>
        </w:rPr>
        <w:t>por ciento</w:t>
      </w:r>
      <w:r w:rsidR="004E0A24" w:rsidRPr="00F87E34">
        <w:rPr>
          <w:color w:val="auto"/>
        </w:rPr>
        <w:t>.</w:t>
      </w:r>
    </w:p>
    <w:p w14:paraId="76BACD40" w14:textId="20C17734" w:rsidR="00467BD1" w:rsidRPr="00F87E34" w:rsidRDefault="00467BD1" w:rsidP="00D56D76">
      <w:pPr>
        <w:pStyle w:val="p0"/>
        <w:keepNext/>
        <w:keepLines w:val="0"/>
        <w:widowControl/>
        <w:spacing w:before="200"/>
        <w:jc w:val="center"/>
        <w:rPr>
          <w:rFonts w:ascii="Arial" w:hAnsi="Arial"/>
          <w:b/>
          <w:smallCaps/>
          <w:color w:val="auto"/>
          <w:sz w:val="22"/>
        </w:rPr>
      </w:pPr>
      <w:r w:rsidRPr="00F87E34">
        <w:rPr>
          <w:rFonts w:ascii="Arial" w:hAnsi="Arial"/>
          <w:color w:val="auto"/>
          <w:sz w:val="20"/>
        </w:rPr>
        <w:t xml:space="preserve">Gráfica </w:t>
      </w:r>
      <w:r w:rsidR="009E5887">
        <w:rPr>
          <w:rFonts w:ascii="Arial" w:hAnsi="Arial"/>
          <w:color w:val="auto"/>
          <w:sz w:val="20"/>
        </w:rPr>
        <w:t>3</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6C053D6F" w:rsidR="00D805CD" w:rsidRPr="00F87E34" w:rsidRDefault="00F70382" w:rsidP="00774F5B">
      <w:pPr>
        <w:pStyle w:val="p0"/>
        <w:keepLines w:val="0"/>
        <w:spacing w:before="0"/>
        <w:jc w:val="center"/>
        <w:rPr>
          <w:rFonts w:ascii="Arial" w:hAnsi="Arial"/>
          <w:color w:val="auto"/>
          <w:sz w:val="18"/>
          <w:szCs w:val="18"/>
        </w:rPr>
      </w:pPr>
      <w:r>
        <w:rPr>
          <w:noProof/>
        </w:rPr>
        <w:drawing>
          <wp:inline distT="0" distB="0" distL="0" distR="0" wp14:anchorId="2012B739" wp14:editId="2B3CE849">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E9A48B" w14:textId="57D4B0C1" w:rsidR="00D805CD" w:rsidRPr="00F87E34" w:rsidRDefault="00992BFC" w:rsidP="00D805CD">
      <w:pPr>
        <w:pStyle w:val="Textoindependiente"/>
        <w:spacing w:before="0"/>
        <w:ind w:left="1134" w:firstLine="238"/>
        <w:rPr>
          <w:color w:val="auto"/>
          <w:sz w:val="16"/>
          <w:szCs w:val="16"/>
        </w:rPr>
      </w:pPr>
      <w:r>
        <w:rPr>
          <w:color w:val="auto"/>
          <w:sz w:val="16"/>
          <w:szCs w:val="16"/>
        </w:rPr>
        <w:t xml:space="preserve">   </w:t>
      </w:r>
      <w:r w:rsidR="00D805CD" w:rsidRPr="00F87E34">
        <w:rPr>
          <w:color w:val="auto"/>
          <w:sz w:val="16"/>
          <w:szCs w:val="16"/>
        </w:rPr>
        <w:t>Fuente: INEGI</w:t>
      </w:r>
    </w:p>
    <w:p w14:paraId="1A96A18F" w14:textId="77777777" w:rsidR="00B4117D" w:rsidRDefault="00B4117D">
      <w:pPr>
        <w:jc w:val="left"/>
        <w:rPr>
          <w:snapToGrid w:val="0"/>
          <w:sz w:val="20"/>
        </w:rPr>
      </w:pPr>
      <w:r>
        <w:rPr>
          <w:sz w:val="20"/>
        </w:rPr>
        <w:br w:type="page"/>
      </w:r>
    </w:p>
    <w:p w14:paraId="174F6A49" w14:textId="566EA9DD"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 xml:space="preserve">Gráfica </w:t>
      </w:r>
      <w:r w:rsidR="009E5887">
        <w:rPr>
          <w:rFonts w:ascii="Arial" w:hAnsi="Arial"/>
          <w:color w:val="auto"/>
          <w:sz w:val="20"/>
        </w:rPr>
        <w:t>4</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0C769F9F" w:rsidR="00D805CD" w:rsidRPr="00F87E34" w:rsidRDefault="00F70382" w:rsidP="00D805CD">
      <w:pPr>
        <w:jc w:val="center"/>
      </w:pPr>
      <w:r>
        <w:rPr>
          <w:noProof/>
        </w:rPr>
        <w:drawing>
          <wp:inline distT="0" distB="0" distL="0" distR="0" wp14:anchorId="3DD6412C" wp14:editId="0CC1EC1A">
            <wp:extent cx="4320000" cy="2520000"/>
            <wp:effectExtent l="0" t="0" r="23495" b="3302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D2498A" w14:textId="0CD2E026"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80DBA53"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 xml:space="preserve">Gráfica </w:t>
      </w:r>
      <w:r w:rsidR="009E5887">
        <w:rPr>
          <w:rFonts w:ascii="Arial" w:hAnsi="Arial"/>
          <w:color w:val="auto"/>
          <w:sz w:val="20"/>
        </w:rPr>
        <w:t>5</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28AFE250" w:rsidR="00A50405" w:rsidRPr="00F87E34" w:rsidRDefault="00F70382" w:rsidP="00D805CD">
      <w:pPr>
        <w:jc w:val="center"/>
      </w:pPr>
      <w:r>
        <w:rPr>
          <w:noProof/>
        </w:rPr>
        <w:drawing>
          <wp:inline distT="0" distB="0" distL="0" distR="0" wp14:anchorId="7E89F29F" wp14:editId="3A7CBA40">
            <wp:extent cx="4320000" cy="2520000"/>
            <wp:effectExtent l="0" t="0" r="23495" b="330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2B4DD5" w14:textId="10EDB8B2"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266D1F1D" w:rsidR="003012FA" w:rsidRPr="00F87E34" w:rsidRDefault="00FC717F" w:rsidP="00134F49">
      <w:pPr>
        <w:pStyle w:val="Textoindependiente"/>
        <w:keepNext/>
        <w:keepLines/>
        <w:spacing w:before="360"/>
        <w:outlineLvl w:val="0"/>
        <w:rPr>
          <w:color w:val="auto"/>
        </w:rPr>
      </w:pPr>
      <w:r w:rsidRPr="00F87E34">
        <w:rPr>
          <w:color w:val="auto"/>
        </w:rPr>
        <w:t>En</w:t>
      </w:r>
      <w:r w:rsidR="009D2066">
        <w:rPr>
          <w:color w:val="auto"/>
        </w:rPr>
        <w:t xml:space="preserve"> febrer</w:t>
      </w:r>
      <w:r w:rsidR="00725B90">
        <w:rPr>
          <w:color w:val="auto"/>
        </w:rPr>
        <w:t>o</w:t>
      </w:r>
      <w:r w:rsidRPr="00F87E34">
        <w:rPr>
          <w:color w:val="auto"/>
        </w:rPr>
        <w:t xml:space="preserve"> de 202</w:t>
      </w:r>
      <w:r w:rsidR="00725B90">
        <w:rPr>
          <w:color w:val="auto"/>
        </w:rPr>
        <w:t>3</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enor</w:t>
      </w:r>
      <w:r w:rsidR="00DF4958">
        <w:rPr>
          <w:color w:val="auto"/>
        </w:rPr>
        <w:t>, así como</w:t>
      </w:r>
      <w:r w:rsidR="0084175C">
        <w:rPr>
          <w:color w:val="auto"/>
        </w:rPr>
        <w:t xml:space="preserve"> </w:t>
      </w:r>
      <w:r w:rsidR="002009E4">
        <w:rPr>
          <w:color w:val="auto"/>
        </w:rPr>
        <w:t>e</w:t>
      </w:r>
      <w:r w:rsidR="009D2066" w:rsidRPr="00F87E34">
        <w:rPr>
          <w:color w:val="auto"/>
        </w:rPr>
        <w:t>l personal ocupado total</w:t>
      </w:r>
      <w:r w:rsidR="004A2693">
        <w:rPr>
          <w:color w:val="auto"/>
        </w:rPr>
        <w:t>,</w:t>
      </w:r>
      <w:r w:rsidR="009D2066" w:rsidRPr="00F87E34">
        <w:rPr>
          <w:color w:val="auto"/>
        </w:rPr>
        <w:t xml:space="preserve"> </w:t>
      </w:r>
      <w:r w:rsidR="0084175C">
        <w:rPr>
          <w:color w:val="auto"/>
        </w:rPr>
        <w:t>disminuyeron</w:t>
      </w:r>
      <w:r w:rsidR="0084175C" w:rsidRPr="00F87E34">
        <w:rPr>
          <w:color w:val="auto"/>
        </w:rPr>
        <w:t xml:space="preserve"> </w:t>
      </w:r>
      <w:r w:rsidR="009D2066" w:rsidRPr="00F87E34">
        <w:rPr>
          <w:color w:val="auto"/>
        </w:rPr>
        <w:t>0.</w:t>
      </w:r>
      <w:r w:rsidR="002009E4">
        <w:rPr>
          <w:color w:val="auto"/>
        </w:rPr>
        <w:t>3</w:t>
      </w:r>
      <w:r w:rsidR="009D2066">
        <w:rPr>
          <w:color w:val="auto"/>
        </w:rPr>
        <w:t xml:space="preserve"> %</w:t>
      </w:r>
      <w:r w:rsidR="00873538">
        <w:rPr>
          <w:color w:val="auto"/>
        </w:rPr>
        <w:t>;</w:t>
      </w:r>
      <w:r w:rsidR="009D2066">
        <w:rPr>
          <w:color w:val="auto"/>
        </w:rPr>
        <w:t xml:space="preserve"> </w:t>
      </w:r>
      <w:r w:rsidR="00ED1441">
        <w:rPr>
          <w:color w:val="auto"/>
        </w:rPr>
        <w:t>l</w:t>
      </w:r>
      <w:r w:rsidR="00ED1441" w:rsidRPr="00F87E34">
        <w:rPr>
          <w:color w:val="auto"/>
        </w:rPr>
        <w:t>as remuneraciones medias reales</w:t>
      </w:r>
      <w:r w:rsidR="002009E4">
        <w:rPr>
          <w:color w:val="auto"/>
        </w:rPr>
        <w:t>,</w:t>
      </w:r>
      <w:r w:rsidR="00ED1441">
        <w:rPr>
          <w:color w:val="auto"/>
        </w:rPr>
        <w:t xml:space="preserve"> </w:t>
      </w:r>
      <w:r w:rsidR="002009E4">
        <w:rPr>
          <w:color w:val="auto"/>
        </w:rPr>
        <w:t>0.5</w:t>
      </w:r>
      <w:r w:rsidR="002319D0">
        <w:rPr>
          <w:color w:val="auto"/>
        </w:rPr>
        <w:t xml:space="preserve"> </w:t>
      </w:r>
      <w:r w:rsidR="0070318F">
        <w:rPr>
          <w:color w:val="auto"/>
        </w:rPr>
        <w:t>por ciento.</w:t>
      </w:r>
    </w:p>
    <w:p w14:paraId="4963B463" w14:textId="4F117126" w:rsidR="00085572" w:rsidRPr="00F87E34" w:rsidRDefault="000B55A5" w:rsidP="00134F49">
      <w:pPr>
        <w:pStyle w:val="Textoindependiente"/>
        <w:spacing w:before="360"/>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2009E4">
        <w:rPr>
          <w:color w:val="auto"/>
        </w:rPr>
        <w:t>3.2</w:t>
      </w:r>
      <w:r w:rsidR="00ED1441">
        <w:rPr>
          <w:color w:val="auto"/>
        </w:rPr>
        <w:t> </w:t>
      </w:r>
      <w:r w:rsidR="0084175C">
        <w:rPr>
          <w:color w:val="auto"/>
        </w:rPr>
        <w:t>%; e</w:t>
      </w:r>
      <w:r w:rsidR="007A1EF6" w:rsidRPr="00F87E34">
        <w:rPr>
          <w:color w:val="auto"/>
        </w:rPr>
        <w:t>l p</w:t>
      </w:r>
      <w:r w:rsidR="007A1EF6">
        <w:rPr>
          <w:color w:val="auto"/>
        </w:rPr>
        <w:t>ersonal ocupado total descendió 0.</w:t>
      </w:r>
      <w:r w:rsidR="002009E4">
        <w:rPr>
          <w:color w:val="auto"/>
        </w:rPr>
        <w:t>5</w:t>
      </w:r>
      <w:r w:rsidR="007A1EF6">
        <w:rPr>
          <w:color w:val="auto"/>
        </w:rPr>
        <w:t xml:space="preserve"> % </w:t>
      </w:r>
      <w:r w:rsidR="0070318F">
        <w:rPr>
          <w:color w:val="auto"/>
        </w:rPr>
        <w:t>y</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7A1EF6">
        <w:rPr>
          <w:color w:val="auto"/>
        </w:rPr>
        <w:t xml:space="preserve"> avanzaron</w:t>
      </w:r>
      <w:r w:rsidR="00675880" w:rsidRPr="00F87E34">
        <w:rPr>
          <w:color w:val="auto"/>
        </w:rPr>
        <w:t xml:space="preserve"> </w:t>
      </w:r>
      <w:r w:rsidR="00ED1441">
        <w:rPr>
          <w:color w:val="auto"/>
        </w:rPr>
        <w:t>5</w:t>
      </w:r>
      <w:r w:rsidR="007C0B38">
        <w:rPr>
          <w:color w:val="auto"/>
        </w:rPr>
        <w:t>.</w:t>
      </w:r>
      <w:r w:rsidR="002009E4">
        <w:rPr>
          <w:color w:val="auto"/>
        </w:rPr>
        <w:t>6</w:t>
      </w:r>
      <w:r w:rsidR="002319D0">
        <w:rPr>
          <w:color w:val="auto"/>
        </w:rPr>
        <w:t xml:space="preserve"> </w:t>
      </w:r>
      <w:r w:rsidR="0070318F">
        <w:rPr>
          <w:color w:val="auto"/>
        </w:rPr>
        <w:t>por ciento.</w:t>
      </w:r>
    </w:p>
    <w:p w14:paraId="178315F5" w14:textId="620351FB"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9E5887">
        <w:rPr>
          <w:rFonts w:ascii="Arial" w:hAnsi="Arial"/>
          <w:color w:val="auto"/>
          <w:sz w:val="20"/>
        </w:rPr>
        <w:t>6</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1BCE2E9E" w:rsidR="00D805CD" w:rsidRPr="00F87E34" w:rsidRDefault="00F70382" w:rsidP="00D03A5B">
      <w:pPr>
        <w:pStyle w:val="p0"/>
        <w:keepLines w:val="0"/>
        <w:spacing w:before="0"/>
        <w:jc w:val="center"/>
        <w:rPr>
          <w:rFonts w:ascii="Arial" w:hAnsi="Arial"/>
          <w:color w:val="auto"/>
          <w:sz w:val="18"/>
          <w:szCs w:val="18"/>
        </w:rPr>
      </w:pPr>
      <w:r>
        <w:rPr>
          <w:noProof/>
        </w:rPr>
        <w:drawing>
          <wp:inline distT="0" distB="0" distL="0" distR="0" wp14:anchorId="4FDF324C" wp14:editId="0A03A800">
            <wp:extent cx="4320000" cy="2520000"/>
            <wp:effectExtent l="0" t="0" r="23495" b="3302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C5C2A8" w14:textId="0AD3428F"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52B0921D"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lastRenderedPageBreak/>
        <w:t xml:space="preserve">Gráfica </w:t>
      </w:r>
      <w:r w:rsidR="009E5887">
        <w:rPr>
          <w:rFonts w:ascii="Arial" w:hAnsi="Arial"/>
          <w:color w:val="auto"/>
          <w:sz w:val="20"/>
        </w:rPr>
        <w:t>7</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5F143C4E" w:rsidR="00D805CD" w:rsidRPr="00F87E34" w:rsidRDefault="00F70382" w:rsidP="00D03A5B">
      <w:pPr>
        <w:widowControl w:val="0"/>
        <w:jc w:val="center"/>
      </w:pPr>
      <w:r>
        <w:rPr>
          <w:noProof/>
        </w:rPr>
        <w:drawing>
          <wp:inline distT="0" distB="0" distL="0" distR="0" wp14:anchorId="265A6A8F" wp14:editId="12060AE5">
            <wp:extent cx="4320000" cy="2520000"/>
            <wp:effectExtent l="0" t="0" r="23495" b="3302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F2178E" w14:textId="65AD1CC6"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37B6B812"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9E5887">
        <w:rPr>
          <w:rFonts w:ascii="Arial" w:hAnsi="Arial"/>
          <w:color w:val="auto"/>
          <w:sz w:val="20"/>
        </w:rPr>
        <w:t>8</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1021A9A3" w:rsidR="00D805CD" w:rsidRPr="00F87E34" w:rsidRDefault="00F70382" w:rsidP="00D03A5B">
      <w:pPr>
        <w:widowControl w:val="0"/>
        <w:jc w:val="center"/>
      </w:pPr>
      <w:r>
        <w:rPr>
          <w:noProof/>
        </w:rPr>
        <w:drawing>
          <wp:inline distT="0" distB="0" distL="0" distR="0" wp14:anchorId="7675926D" wp14:editId="47CC9376">
            <wp:extent cx="4320000" cy="2520000"/>
            <wp:effectExtent l="0" t="0" r="23495" b="33020"/>
            <wp:docPr id="8" name="Gráfico 8">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1796A0" w14:textId="3D35B3F1" w:rsidR="00467BD1" w:rsidRPr="00F87E34" w:rsidRDefault="00467BD1"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73BD7537" w14:textId="77777777" w:rsidR="00467BD1" w:rsidRPr="003D0BF3" w:rsidRDefault="00467BD1" w:rsidP="00046C2C">
      <w:pPr>
        <w:pStyle w:val="bulnot"/>
        <w:widowControl w:val="0"/>
        <w:tabs>
          <w:tab w:val="clear" w:pos="851"/>
        </w:tabs>
        <w:spacing w:before="840"/>
        <w:ind w:left="0" w:right="0" w:firstLine="0"/>
        <w:jc w:val="left"/>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273178F1" w:rsidR="00B04C48" w:rsidRPr="00F87E34" w:rsidRDefault="00B04C48" w:rsidP="00B04C48">
      <w:pPr>
        <w:widowControl w:val="0"/>
        <w:spacing w:before="360"/>
        <w:jc w:val="center"/>
        <w:rPr>
          <w:sz w:val="20"/>
          <w:szCs w:val="20"/>
        </w:rPr>
      </w:pPr>
      <w:r w:rsidRPr="00F87E34">
        <w:rPr>
          <w:sz w:val="20"/>
          <w:szCs w:val="20"/>
        </w:rPr>
        <w:t xml:space="preserve">Cuadro </w:t>
      </w:r>
      <w:r w:rsidR="009E5887">
        <w:rPr>
          <w:sz w:val="20"/>
          <w:szCs w:val="20"/>
        </w:rPr>
        <w:t>1</w:t>
      </w:r>
    </w:p>
    <w:p w14:paraId="2346EA09" w14:textId="4F2594CF"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proofErr w:type="spellStart"/>
      <w:r w:rsidR="007A1EF6">
        <w:rPr>
          <w:b/>
          <w:smallCaps/>
          <w:sz w:val="20"/>
          <w:szCs w:val="20"/>
        </w:rPr>
        <w:t>febrero</w:t>
      </w:r>
      <w:r w:rsidR="00B04C48" w:rsidRPr="0014145D">
        <w:rPr>
          <w:b/>
          <w:sz w:val="20"/>
          <w:szCs w:val="20"/>
          <w:vertAlign w:val="superscript"/>
        </w:rPr>
        <w:t>p</w:t>
      </w:r>
      <w:proofErr w:type="spellEnd"/>
      <w:r w:rsidR="00B04C48" w:rsidRPr="0014145D">
        <w:rPr>
          <w:b/>
          <w:smallCaps/>
          <w:sz w:val="20"/>
          <w:szCs w:val="20"/>
          <w:vertAlign w:val="superscript"/>
        </w:rPr>
        <w:t>/</w:t>
      </w:r>
      <w:r w:rsidR="00B04C48" w:rsidRPr="0014145D">
        <w:rPr>
          <w:b/>
          <w:smallCaps/>
          <w:sz w:val="20"/>
          <w:szCs w:val="20"/>
        </w:rPr>
        <w:t xml:space="preserve"> de 202</w:t>
      </w:r>
      <w:r w:rsidR="00725B90" w:rsidRPr="0014145D">
        <w:rPr>
          <w:b/>
          <w:smallCaps/>
          <w:sz w:val="20"/>
          <w:szCs w:val="20"/>
        </w:rPr>
        <w:t>3</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28"/>
        <w:gridCol w:w="4335"/>
        <w:gridCol w:w="1066"/>
        <w:gridCol w:w="909"/>
        <w:gridCol w:w="938"/>
        <w:gridCol w:w="981"/>
        <w:gridCol w:w="101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5DD3E12" w:rsidR="00B36B9B" w:rsidRPr="00F87E34" w:rsidRDefault="00D25ACE" w:rsidP="007562DF">
            <w:pPr>
              <w:jc w:val="center"/>
              <w:rPr>
                <w:sz w:val="16"/>
                <w:szCs w:val="16"/>
                <w:lang w:val="es-MX" w:eastAsia="es-MX"/>
              </w:rPr>
            </w:pPr>
            <w:r>
              <w:rPr>
                <w:sz w:val="16"/>
                <w:szCs w:val="16"/>
                <w:lang w:val="es-MX" w:eastAsia="es-MX"/>
              </w:rPr>
              <w:t>t</w:t>
            </w:r>
            <w:r w:rsidR="00D26C62" w:rsidRPr="00F87E34">
              <w:rPr>
                <w:sz w:val="16"/>
                <w:szCs w:val="16"/>
                <w:lang w:val="es-MX" w:eastAsia="es-MX"/>
              </w:rPr>
              <w: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602693AF" w:rsidR="00B36B9B" w:rsidRPr="00F87E34" w:rsidRDefault="00D25ACE" w:rsidP="007562DF">
            <w:pPr>
              <w:ind w:left="-83" w:right="-83"/>
              <w:jc w:val="center"/>
              <w:rPr>
                <w:sz w:val="16"/>
                <w:szCs w:val="16"/>
                <w:lang w:val="es-MX" w:eastAsia="es-MX"/>
              </w:rPr>
            </w:pPr>
            <w:proofErr w:type="spellStart"/>
            <w:r>
              <w:rPr>
                <w:sz w:val="16"/>
                <w:szCs w:val="16"/>
                <w:lang w:val="es-MX" w:eastAsia="es-MX"/>
              </w:rPr>
              <w:t>d</w:t>
            </w:r>
            <w:r w:rsidR="00D26C62" w:rsidRPr="00F87E34">
              <w:rPr>
                <w:sz w:val="16"/>
                <w:szCs w:val="16"/>
                <w:lang w:val="es-MX" w:eastAsia="es-MX"/>
              </w:rPr>
              <w:t>epen</w:t>
            </w:r>
            <w:proofErr w:type="spellEnd"/>
            <w:r w:rsidR="00B36B9B" w:rsidRPr="00F87E34">
              <w:rPr>
                <w:sz w:val="16"/>
                <w:szCs w:val="16"/>
                <w:lang w:val="es-MX" w:eastAsia="es-MX"/>
              </w:rPr>
              <w:t>-</w:t>
            </w:r>
            <w:r w:rsidR="00B36B9B"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1FFB4C92" w:rsidR="00B36B9B" w:rsidRPr="00F87E34" w:rsidRDefault="00D25ACE" w:rsidP="007562DF">
            <w:pPr>
              <w:jc w:val="center"/>
              <w:rPr>
                <w:sz w:val="16"/>
                <w:szCs w:val="16"/>
                <w:lang w:val="es-MX" w:eastAsia="es-MX"/>
              </w:rPr>
            </w:pPr>
            <w:proofErr w:type="spellStart"/>
            <w:r>
              <w:rPr>
                <w:sz w:val="16"/>
                <w:szCs w:val="16"/>
                <w:lang w:val="es-MX" w:eastAsia="es-MX"/>
              </w:rPr>
              <w:t>s</w:t>
            </w:r>
            <w:r w:rsidR="00D26C62" w:rsidRPr="00F87E34">
              <w:rPr>
                <w:sz w:val="16"/>
                <w:szCs w:val="16"/>
                <w:lang w:val="es-MX" w:eastAsia="es-MX"/>
              </w:rPr>
              <w:t>uminis</w:t>
            </w:r>
            <w:r w:rsidR="00B36B9B" w:rsidRPr="00F87E34">
              <w:rPr>
                <w:sz w:val="16"/>
                <w:szCs w:val="16"/>
                <w:lang w:val="es-MX" w:eastAsia="es-MX"/>
              </w:rPr>
              <w:t>-trado</w:t>
            </w:r>
            <w:proofErr w:type="spellEnd"/>
            <w:r w:rsidR="00B36B9B" w:rsidRPr="00F87E34">
              <w:rPr>
                <w:sz w:val="16"/>
                <w:szCs w:val="16"/>
                <w:lang w:val="es-MX" w:eastAsia="es-MX"/>
              </w:rPr>
              <w:t xml:space="preserve"> </w:t>
            </w:r>
            <w:r w:rsidR="00B36B9B"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2C0A8D" w:rsidRPr="00F87E34" w14:paraId="4C8E3D86" w14:textId="77777777" w:rsidTr="00AA0BAD">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2C0A8D" w:rsidRPr="00F87E34" w:rsidRDefault="002C0A8D" w:rsidP="002C0A8D">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2C0A8D" w:rsidRPr="00F87E34" w:rsidRDefault="002C0A8D" w:rsidP="002C0A8D">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5342934C" w:rsidR="002C0A8D" w:rsidRPr="002C0A8D" w:rsidRDefault="002C0A8D" w:rsidP="002C0A8D">
            <w:pPr>
              <w:tabs>
                <w:tab w:val="decimal" w:pos="450"/>
              </w:tabs>
              <w:jc w:val="left"/>
              <w:rPr>
                <w:b/>
                <w:bCs/>
                <w:sz w:val="16"/>
                <w:szCs w:val="16"/>
                <w:lang w:val="es-MX" w:eastAsia="es-MX"/>
              </w:rPr>
            </w:pPr>
            <w:r w:rsidRPr="002C0A8D">
              <w:rPr>
                <w:b/>
                <w:bCs/>
                <w:sz w:val="16"/>
                <w:szCs w:val="16"/>
              </w:rPr>
              <w:t>-1.7</w:t>
            </w:r>
          </w:p>
        </w:tc>
        <w:tc>
          <w:tcPr>
            <w:tcW w:w="882" w:type="dxa"/>
            <w:tcBorders>
              <w:top w:val="single" w:sz="6" w:space="0" w:color="404040"/>
              <w:left w:val="nil"/>
              <w:right w:val="nil"/>
            </w:tcBorders>
            <w:shd w:val="clear" w:color="auto" w:fill="EAF1DD" w:themeFill="accent3" w:themeFillTint="33"/>
            <w:vAlign w:val="center"/>
            <w:hideMark/>
          </w:tcPr>
          <w:p w14:paraId="7EEE1AC4" w14:textId="40BDAAD1" w:rsidR="002C0A8D" w:rsidRPr="002C0A8D" w:rsidRDefault="002C0A8D" w:rsidP="002C0A8D">
            <w:pPr>
              <w:tabs>
                <w:tab w:val="decimal" w:pos="392"/>
              </w:tabs>
              <w:jc w:val="left"/>
              <w:rPr>
                <w:b/>
                <w:bCs/>
                <w:sz w:val="16"/>
                <w:szCs w:val="16"/>
                <w:lang w:val="es-MX" w:eastAsia="es-MX"/>
              </w:rPr>
            </w:pPr>
            <w:r w:rsidRPr="002C0A8D">
              <w:rPr>
                <w:b/>
                <w:bCs/>
                <w:sz w:val="16"/>
                <w:szCs w:val="16"/>
              </w:rPr>
              <w:t>1.6</w:t>
            </w:r>
          </w:p>
        </w:tc>
        <w:tc>
          <w:tcPr>
            <w:tcW w:w="910" w:type="dxa"/>
            <w:tcBorders>
              <w:top w:val="single" w:sz="6" w:space="0" w:color="404040"/>
              <w:left w:val="nil"/>
              <w:right w:val="nil"/>
            </w:tcBorders>
            <w:shd w:val="clear" w:color="auto" w:fill="EAF1DD" w:themeFill="accent3" w:themeFillTint="33"/>
            <w:vAlign w:val="center"/>
            <w:hideMark/>
          </w:tcPr>
          <w:p w14:paraId="0F85C3B2" w14:textId="3B1B1D55" w:rsidR="002C0A8D" w:rsidRPr="002C0A8D" w:rsidRDefault="002C0A8D" w:rsidP="002C0A8D">
            <w:pPr>
              <w:tabs>
                <w:tab w:val="decimal" w:pos="450"/>
              </w:tabs>
              <w:jc w:val="left"/>
              <w:rPr>
                <w:b/>
                <w:bCs/>
                <w:sz w:val="16"/>
                <w:szCs w:val="16"/>
                <w:lang w:val="es-MX" w:eastAsia="es-MX"/>
              </w:rPr>
            </w:pPr>
            <w:r w:rsidRPr="002C0A8D">
              <w:rPr>
                <w:b/>
                <w:bCs/>
                <w:sz w:val="16"/>
                <w:szCs w:val="16"/>
              </w:rPr>
              <w:t>4.4</w:t>
            </w:r>
          </w:p>
        </w:tc>
        <w:tc>
          <w:tcPr>
            <w:tcW w:w="952" w:type="dxa"/>
            <w:tcBorders>
              <w:top w:val="single" w:sz="6" w:space="0" w:color="404040"/>
              <w:left w:val="nil"/>
              <w:right w:val="nil"/>
            </w:tcBorders>
            <w:shd w:val="clear" w:color="auto" w:fill="EAF1DD" w:themeFill="accent3" w:themeFillTint="33"/>
            <w:vAlign w:val="center"/>
            <w:hideMark/>
          </w:tcPr>
          <w:p w14:paraId="19B14C1F" w14:textId="4CEF6419" w:rsidR="002C0A8D" w:rsidRPr="002C0A8D" w:rsidRDefault="002C0A8D" w:rsidP="002C0A8D">
            <w:pPr>
              <w:tabs>
                <w:tab w:val="decimal" w:pos="406"/>
              </w:tabs>
              <w:jc w:val="left"/>
              <w:rPr>
                <w:b/>
                <w:bCs/>
                <w:sz w:val="16"/>
                <w:szCs w:val="16"/>
                <w:lang w:val="es-MX" w:eastAsia="es-MX"/>
              </w:rPr>
            </w:pPr>
            <w:r w:rsidRPr="002C0A8D">
              <w:rPr>
                <w:b/>
                <w:bCs/>
                <w:sz w:val="16"/>
                <w:szCs w:val="16"/>
              </w:rPr>
              <w:t>-11.1</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26015D62" w:rsidR="002C0A8D" w:rsidRPr="002C0A8D" w:rsidRDefault="002C0A8D" w:rsidP="002C0A8D">
            <w:pPr>
              <w:tabs>
                <w:tab w:val="decimal" w:pos="392"/>
              </w:tabs>
              <w:jc w:val="left"/>
              <w:rPr>
                <w:b/>
                <w:bCs/>
                <w:sz w:val="16"/>
                <w:szCs w:val="16"/>
                <w:lang w:val="es-MX" w:eastAsia="es-MX"/>
              </w:rPr>
            </w:pPr>
            <w:r w:rsidRPr="002C0A8D">
              <w:rPr>
                <w:b/>
                <w:bCs/>
                <w:sz w:val="16"/>
                <w:szCs w:val="16"/>
              </w:rPr>
              <w:t>1.8</w:t>
            </w:r>
          </w:p>
        </w:tc>
      </w:tr>
      <w:tr w:rsidR="002C0A8D" w:rsidRPr="00F87E34" w14:paraId="04751D10"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45B9B006" w:rsidR="002C0A8D" w:rsidRPr="002C0A8D" w:rsidRDefault="002C0A8D" w:rsidP="002C0A8D">
            <w:pPr>
              <w:tabs>
                <w:tab w:val="decimal" w:pos="450"/>
              </w:tabs>
              <w:jc w:val="left"/>
              <w:rPr>
                <w:sz w:val="16"/>
                <w:szCs w:val="16"/>
              </w:rPr>
            </w:pPr>
            <w:r w:rsidRPr="002C0A8D">
              <w:rPr>
                <w:sz w:val="16"/>
                <w:szCs w:val="16"/>
              </w:rPr>
              <w:t>-4.9</w:t>
            </w:r>
          </w:p>
        </w:tc>
        <w:tc>
          <w:tcPr>
            <w:tcW w:w="882" w:type="dxa"/>
            <w:tcBorders>
              <w:left w:val="nil"/>
              <w:bottom w:val="dotted" w:sz="6" w:space="0" w:color="C2D69B" w:themeColor="accent3" w:themeTint="99"/>
              <w:right w:val="nil"/>
            </w:tcBorders>
            <w:shd w:val="clear" w:color="auto" w:fill="auto"/>
            <w:vAlign w:val="center"/>
            <w:hideMark/>
          </w:tcPr>
          <w:p w14:paraId="1F54D629" w14:textId="2189477F" w:rsidR="002C0A8D" w:rsidRPr="002C0A8D" w:rsidRDefault="002C0A8D" w:rsidP="002C0A8D">
            <w:pPr>
              <w:tabs>
                <w:tab w:val="decimal" w:pos="392"/>
              </w:tabs>
              <w:jc w:val="left"/>
              <w:rPr>
                <w:sz w:val="16"/>
                <w:szCs w:val="16"/>
                <w:lang w:val="es-MX" w:eastAsia="es-MX"/>
              </w:rPr>
            </w:pPr>
            <w:r w:rsidRPr="002C0A8D">
              <w:rPr>
                <w:sz w:val="16"/>
                <w:szCs w:val="16"/>
              </w:rPr>
              <w:t>1.0</w:t>
            </w:r>
          </w:p>
        </w:tc>
        <w:tc>
          <w:tcPr>
            <w:tcW w:w="910" w:type="dxa"/>
            <w:tcBorders>
              <w:left w:val="nil"/>
              <w:bottom w:val="dotted" w:sz="6" w:space="0" w:color="C2D69B" w:themeColor="accent3" w:themeTint="99"/>
              <w:right w:val="nil"/>
            </w:tcBorders>
            <w:shd w:val="clear" w:color="auto" w:fill="auto"/>
            <w:vAlign w:val="center"/>
            <w:hideMark/>
          </w:tcPr>
          <w:p w14:paraId="14A8B192" w14:textId="54EB6C53" w:rsidR="002C0A8D" w:rsidRPr="002C0A8D" w:rsidRDefault="002C0A8D" w:rsidP="002C0A8D">
            <w:pPr>
              <w:tabs>
                <w:tab w:val="decimal" w:pos="450"/>
              </w:tabs>
              <w:jc w:val="left"/>
              <w:rPr>
                <w:sz w:val="16"/>
                <w:szCs w:val="16"/>
                <w:lang w:val="es-MX" w:eastAsia="es-MX"/>
              </w:rPr>
            </w:pPr>
            <w:r w:rsidRPr="002C0A8D">
              <w:rPr>
                <w:sz w:val="16"/>
                <w:szCs w:val="16"/>
              </w:rPr>
              <w:t>3.2</w:t>
            </w:r>
          </w:p>
        </w:tc>
        <w:tc>
          <w:tcPr>
            <w:tcW w:w="952" w:type="dxa"/>
            <w:tcBorders>
              <w:left w:val="nil"/>
              <w:bottom w:val="dotted" w:sz="6" w:space="0" w:color="C2D69B" w:themeColor="accent3" w:themeTint="99"/>
              <w:right w:val="nil"/>
            </w:tcBorders>
            <w:shd w:val="clear" w:color="auto" w:fill="auto"/>
            <w:vAlign w:val="center"/>
            <w:hideMark/>
          </w:tcPr>
          <w:p w14:paraId="26B0FD3D" w14:textId="44396E08" w:rsidR="002C0A8D" w:rsidRPr="002C0A8D" w:rsidRDefault="002C0A8D" w:rsidP="002C0A8D">
            <w:pPr>
              <w:tabs>
                <w:tab w:val="decimal" w:pos="406"/>
              </w:tabs>
              <w:jc w:val="left"/>
              <w:rPr>
                <w:sz w:val="16"/>
                <w:szCs w:val="16"/>
                <w:lang w:val="es-MX" w:eastAsia="es-MX"/>
              </w:rPr>
            </w:pPr>
            <w:r w:rsidRPr="002C0A8D">
              <w:rPr>
                <w:sz w:val="16"/>
                <w:szCs w:val="16"/>
              </w:rPr>
              <w:t>-5.1</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0DCF3145" w:rsidR="002C0A8D" w:rsidRPr="002C0A8D" w:rsidRDefault="002C0A8D" w:rsidP="002C0A8D">
            <w:pPr>
              <w:tabs>
                <w:tab w:val="decimal" w:pos="392"/>
              </w:tabs>
              <w:jc w:val="left"/>
              <w:rPr>
                <w:sz w:val="16"/>
                <w:szCs w:val="16"/>
                <w:lang w:val="es-MX" w:eastAsia="es-MX"/>
              </w:rPr>
            </w:pPr>
            <w:r w:rsidRPr="002C0A8D">
              <w:rPr>
                <w:sz w:val="16"/>
                <w:szCs w:val="16"/>
              </w:rPr>
              <w:t>-1.5</w:t>
            </w:r>
          </w:p>
        </w:tc>
      </w:tr>
      <w:tr w:rsidR="002C0A8D" w:rsidRPr="00F87E34" w14:paraId="452CD110"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3CAB7799" w:rsidR="002C0A8D" w:rsidRPr="002C0A8D" w:rsidRDefault="002C0A8D" w:rsidP="002C0A8D">
            <w:pPr>
              <w:tabs>
                <w:tab w:val="decimal" w:pos="450"/>
              </w:tabs>
              <w:jc w:val="left"/>
              <w:rPr>
                <w:sz w:val="16"/>
                <w:szCs w:val="16"/>
              </w:rPr>
            </w:pPr>
            <w:r w:rsidRPr="002C0A8D">
              <w:rPr>
                <w:sz w:val="16"/>
                <w:szCs w:val="16"/>
              </w:rPr>
              <w:t>6.9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495B3852" w:rsidR="002C0A8D" w:rsidRPr="002C0A8D" w:rsidRDefault="002C0A8D" w:rsidP="002C0A8D">
            <w:pPr>
              <w:tabs>
                <w:tab w:val="decimal" w:pos="392"/>
              </w:tabs>
              <w:jc w:val="left"/>
              <w:rPr>
                <w:sz w:val="16"/>
                <w:szCs w:val="16"/>
                <w:lang w:val="es-MX" w:eastAsia="es-MX"/>
              </w:rPr>
            </w:pPr>
            <w:r w:rsidRPr="002C0A8D">
              <w:rPr>
                <w:sz w:val="16"/>
                <w:szCs w:val="16"/>
              </w:rPr>
              <w:t>8.1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6683EBC3" w:rsidR="002C0A8D" w:rsidRPr="002C0A8D" w:rsidRDefault="002C0A8D" w:rsidP="002C0A8D">
            <w:pPr>
              <w:tabs>
                <w:tab w:val="decimal" w:pos="450"/>
              </w:tabs>
              <w:jc w:val="left"/>
              <w:rPr>
                <w:sz w:val="16"/>
                <w:szCs w:val="16"/>
                <w:lang w:val="es-MX" w:eastAsia="es-MX"/>
              </w:rPr>
            </w:pPr>
            <w:r w:rsidRPr="002C0A8D">
              <w:rPr>
                <w:sz w:val="16"/>
                <w:szCs w:val="16"/>
              </w:rPr>
              <w:t>9.6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73C2BD1D" w:rsidR="002C0A8D" w:rsidRPr="002C0A8D" w:rsidRDefault="002C0A8D" w:rsidP="002C0A8D">
            <w:pPr>
              <w:tabs>
                <w:tab w:val="decimal" w:pos="406"/>
              </w:tabs>
              <w:jc w:val="left"/>
              <w:rPr>
                <w:sz w:val="16"/>
                <w:szCs w:val="16"/>
                <w:lang w:val="es-MX" w:eastAsia="es-MX"/>
              </w:rPr>
            </w:pPr>
            <w:r w:rsidRPr="002C0A8D">
              <w:rPr>
                <w:sz w:val="16"/>
                <w:szCs w:val="16"/>
              </w:rPr>
              <w:t>-1.1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30E6F68B" w:rsidR="002C0A8D" w:rsidRPr="002C0A8D" w:rsidRDefault="002C0A8D" w:rsidP="002C0A8D">
            <w:pPr>
              <w:tabs>
                <w:tab w:val="decimal" w:pos="392"/>
              </w:tabs>
              <w:jc w:val="left"/>
              <w:rPr>
                <w:sz w:val="16"/>
                <w:szCs w:val="16"/>
                <w:lang w:val="es-MX" w:eastAsia="es-MX"/>
              </w:rPr>
            </w:pPr>
            <w:r w:rsidRPr="002C0A8D">
              <w:rPr>
                <w:sz w:val="16"/>
                <w:szCs w:val="16"/>
              </w:rPr>
              <w:t>-3.1</w:t>
            </w:r>
          </w:p>
        </w:tc>
      </w:tr>
      <w:tr w:rsidR="002C0A8D" w:rsidRPr="00F87E34" w14:paraId="498900B9"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69F6A736" w:rsidR="002C0A8D" w:rsidRPr="002C0A8D" w:rsidRDefault="002C0A8D" w:rsidP="002C0A8D">
            <w:pPr>
              <w:tabs>
                <w:tab w:val="decimal" w:pos="450"/>
              </w:tabs>
              <w:jc w:val="left"/>
              <w:rPr>
                <w:sz w:val="16"/>
                <w:szCs w:val="16"/>
              </w:rPr>
            </w:pPr>
            <w:r w:rsidRPr="002C0A8D">
              <w:rPr>
                <w:sz w:val="16"/>
                <w:szCs w:val="16"/>
              </w:rPr>
              <w:t>6.0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77CF287C" w:rsidR="002C0A8D" w:rsidRPr="002C0A8D" w:rsidRDefault="002C0A8D" w:rsidP="002C0A8D">
            <w:pPr>
              <w:tabs>
                <w:tab w:val="decimal" w:pos="392"/>
              </w:tabs>
              <w:jc w:val="left"/>
              <w:rPr>
                <w:sz w:val="16"/>
                <w:szCs w:val="16"/>
                <w:lang w:val="es-MX" w:eastAsia="es-MX"/>
              </w:rPr>
            </w:pPr>
            <w:r w:rsidRPr="002C0A8D">
              <w:rPr>
                <w:sz w:val="16"/>
                <w:szCs w:val="16"/>
              </w:rPr>
              <w:t>-3.4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7E6922C0" w:rsidR="002C0A8D" w:rsidRPr="002C0A8D" w:rsidRDefault="002C0A8D" w:rsidP="002C0A8D">
            <w:pPr>
              <w:tabs>
                <w:tab w:val="decimal" w:pos="450"/>
              </w:tabs>
              <w:jc w:val="left"/>
              <w:rPr>
                <w:sz w:val="16"/>
                <w:szCs w:val="16"/>
                <w:lang w:val="es-MX" w:eastAsia="es-MX"/>
              </w:rPr>
            </w:pPr>
            <w:r w:rsidRPr="002C0A8D">
              <w:rPr>
                <w:sz w:val="16"/>
                <w:szCs w:val="16"/>
              </w:rPr>
              <w:t>4.4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6A75379F" w:rsidR="002C0A8D" w:rsidRPr="002C0A8D" w:rsidRDefault="002C0A8D" w:rsidP="002C0A8D">
            <w:pPr>
              <w:tabs>
                <w:tab w:val="decimal" w:pos="406"/>
              </w:tabs>
              <w:jc w:val="left"/>
              <w:rPr>
                <w:sz w:val="16"/>
                <w:szCs w:val="16"/>
                <w:lang w:val="es-MX" w:eastAsia="es-MX"/>
              </w:rPr>
            </w:pPr>
            <w:r w:rsidRPr="002C0A8D">
              <w:rPr>
                <w:sz w:val="16"/>
                <w:szCs w:val="16"/>
              </w:rPr>
              <w:t>-52.8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16B5D4D9" w:rsidR="002C0A8D" w:rsidRPr="002C0A8D" w:rsidRDefault="002C0A8D" w:rsidP="002C0A8D">
            <w:pPr>
              <w:tabs>
                <w:tab w:val="decimal" w:pos="392"/>
              </w:tabs>
              <w:jc w:val="left"/>
              <w:rPr>
                <w:sz w:val="16"/>
                <w:szCs w:val="16"/>
                <w:lang w:val="es-MX" w:eastAsia="es-MX"/>
              </w:rPr>
            </w:pPr>
            <w:r w:rsidRPr="002C0A8D">
              <w:rPr>
                <w:sz w:val="16"/>
                <w:szCs w:val="16"/>
              </w:rPr>
              <w:t>5.9</w:t>
            </w:r>
          </w:p>
        </w:tc>
      </w:tr>
      <w:tr w:rsidR="002C0A8D" w:rsidRPr="00F87E34" w14:paraId="4F025BDA"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6E235F9F" w:rsidR="002C0A8D" w:rsidRPr="002C0A8D" w:rsidRDefault="002C0A8D" w:rsidP="002C0A8D">
            <w:pPr>
              <w:tabs>
                <w:tab w:val="decimal" w:pos="450"/>
              </w:tabs>
              <w:jc w:val="left"/>
              <w:rPr>
                <w:sz w:val="16"/>
                <w:szCs w:val="16"/>
              </w:rPr>
            </w:pPr>
            <w:r w:rsidRPr="002C0A8D">
              <w:rPr>
                <w:sz w:val="16"/>
                <w:szCs w:val="16"/>
              </w:rPr>
              <w:t>-5.8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62F8DFA7" w:rsidR="002C0A8D" w:rsidRPr="002C0A8D" w:rsidRDefault="002C0A8D" w:rsidP="002C0A8D">
            <w:pPr>
              <w:tabs>
                <w:tab w:val="decimal" w:pos="392"/>
              </w:tabs>
              <w:jc w:val="left"/>
              <w:rPr>
                <w:sz w:val="16"/>
                <w:szCs w:val="16"/>
                <w:lang w:val="es-MX" w:eastAsia="es-MX"/>
              </w:rPr>
            </w:pPr>
            <w:r w:rsidRPr="002C0A8D">
              <w:rPr>
                <w:sz w:val="16"/>
                <w:szCs w:val="16"/>
              </w:rPr>
              <w:t>2.4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6A12E50F" w:rsidR="002C0A8D" w:rsidRPr="002C0A8D" w:rsidRDefault="002C0A8D" w:rsidP="002C0A8D">
            <w:pPr>
              <w:tabs>
                <w:tab w:val="decimal" w:pos="450"/>
              </w:tabs>
              <w:jc w:val="left"/>
              <w:rPr>
                <w:sz w:val="16"/>
                <w:szCs w:val="16"/>
                <w:lang w:val="es-MX" w:eastAsia="es-MX"/>
              </w:rPr>
            </w:pPr>
            <w:r w:rsidRPr="002C0A8D">
              <w:rPr>
                <w:sz w:val="16"/>
                <w:szCs w:val="16"/>
              </w:rPr>
              <w:t>5.2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49AE76C7" w:rsidR="002C0A8D" w:rsidRPr="002C0A8D" w:rsidRDefault="002C0A8D" w:rsidP="002C0A8D">
            <w:pPr>
              <w:tabs>
                <w:tab w:val="decimal" w:pos="406"/>
              </w:tabs>
              <w:jc w:val="left"/>
              <w:rPr>
                <w:sz w:val="16"/>
                <w:szCs w:val="16"/>
                <w:lang w:val="es-MX" w:eastAsia="es-MX"/>
              </w:rPr>
            </w:pPr>
            <w:r w:rsidRPr="002C0A8D">
              <w:rPr>
                <w:sz w:val="16"/>
                <w:szCs w:val="16"/>
              </w:rPr>
              <w:t>-22.8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01A2FB79" w:rsidR="002C0A8D" w:rsidRPr="002C0A8D" w:rsidRDefault="002C0A8D" w:rsidP="002C0A8D">
            <w:pPr>
              <w:tabs>
                <w:tab w:val="decimal" w:pos="392"/>
              </w:tabs>
              <w:jc w:val="left"/>
              <w:rPr>
                <w:sz w:val="16"/>
                <w:szCs w:val="16"/>
                <w:lang w:val="es-MX" w:eastAsia="es-MX"/>
              </w:rPr>
            </w:pPr>
            <w:r w:rsidRPr="002C0A8D">
              <w:rPr>
                <w:sz w:val="16"/>
                <w:szCs w:val="16"/>
              </w:rPr>
              <w:t>3.7</w:t>
            </w:r>
          </w:p>
        </w:tc>
      </w:tr>
      <w:tr w:rsidR="002C0A8D" w:rsidRPr="00F87E34" w14:paraId="072391FF"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6B939838" w:rsidR="002C0A8D" w:rsidRPr="002C0A8D" w:rsidRDefault="002C0A8D" w:rsidP="002C0A8D">
            <w:pPr>
              <w:tabs>
                <w:tab w:val="decimal" w:pos="450"/>
              </w:tabs>
              <w:jc w:val="left"/>
              <w:rPr>
                <w:sz w:val="16"/>
                <w:szCs w:val="16"/>
              </w:rPr>
            </w:pPr>
            <w:r w:rsidRPr="002C0A8D">
              <w:rPr>
                <w:sz w:val="16"/>
                <w:szCs w:val="16"/>
              </w:rPr>
              <w:t>7.4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70250EB7" w:rsidR="002C0A8D" w:rsidRPr="002C0A8D" w:rsidRDefault="002C0A8D" w:rsidP="002C0A8D">
            <w:pPr>
              <w:tabs>
                <w:tab w:val="decimal" w:pos="392"/>
              </w:tabs>
              <w:jc w:val="left"/>
              <w:rPr>
                <w:sz w:val="16"/>
                <w:szCs w:val="16"/>
                <w:lang w:val="es-MX" w:eastAsia="es-MX"/>
              </w:rPr>
            </w:pPr>
            <w:r w:rsidRPr="002C0A8D">
              <w:rPr>
                <w:sz w:val="16"/>
                <w:szCs w:val="16"/>
              </w:rPr>
              <w:t>2.9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53496586" w:rsidR="002C0A8D" w:rsidRPr="002C0A8D" w:rsidRDefault="002C0A8D" w:rsidP="002C0A8D">
            <w:pPr>
              <w:tabs>
                <w:tab w:val="decimal" w:pos="450"/>
              </w:tabs>
              <w:jc w:val="left"/>
              <w:rPr>
                <w:sz w:val="16"/>
                <w:szCs w:val="16"/>
                <w:lang w:val="es-MX" w:eastAsia="es-MX"/>
              </w:rPr>
            </w:pPr>
            <w:r w:rsidRPr="002C0A8D">
              <w:rPr>
                <w:sz w:val="16"/>
                <w:szCs w:val="16"/>
              </w:rPr>
              <w:t>3.4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4B400499" w:rsidR="002C0A8D" w:rsidRPr="002C0A8D" w:rsidRDefault="002C0A8D" w:rsidP="002C0A8D">
            <w:pPr>
              <w:tabs>
                <w:tab w:val="decimal" w:pos="406"/>
              </w:tabs>
              <w:jc w:val="left"/>
              <w:rPr>
                <w:sz w:val="16"/>
                <w:szCs w:val="16"/>
                <w:lang w:val="es-MX" w:eastAsia="es-MX"/>
              </w:rPr>
            </w:pPr>
            <w:r w:rsidRPr="002C0A8D">
              <w:rPr>
                <w:sz w:val="16"/>
                <w:szCs w:val="16"/>
              </w:rPr>
              <w:t>-1.6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1964E0DA" w:rsidR="002C0A8D" w:rsidRPr="002C0A8D" w:rsidRDefault="002C0A8D" w:rsidP="002C0A8D">
            <w:pPr>
              <w:tabs>
                <w:tab w:val="decimal" w:pos="392"/>
              </w:tabs>
              <w:jc w:val="left"/>
              <w:rPr>
                <w:sz w:val="16"/>
                <w:szCs w:val="16"/>
                <w:lang w:val="es-MX" w:eastAsia="es-MX"/>
              </w:rPr>
            </w:pPr>
            <w:r w:rsidRPr="002C0A8D">
              <w:rPr>
                <w:sz w:val="16"/>
                <w:szCs w:val="16"/>
              </w:rPr>
              <w:t>4.7</w:t>
            </w:r>
          </w:p>
        </w:tc>
      </w:tr>
      <w:tr w:rsidR="002C0A8D" w:rsidRPr="00F87E34" w14:paraId="72DBA81D"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40859A05" w:rsidR="002C0A8D" w:rsidRPr="002C0A8D" w:rsidRDefault="002C0A8D" w:rsidP="002C0A8D">
            <w:pPr>
              <w:tabs>
                <w:tab w:val="decimal" w:pos="450"/>
              </w:tabs>
              <w:jc w:val="left"/>
              <w:rPr>
                <w:sz w:val="16"/>
                <w:szCs w:val="16"/>
              </w:rPr>
            </w:pPr>
            <w:r w:rsidRPr="002C0A8D">
              <w:rPr>
                <w:sz w:val="16"/>
                <w:szCs w:val="16"/>
              </w:rPr>
              <w:t>28.2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22CF5B73" w:rsidR="002C0A8D" w:rsidRPr="002C0A8D" w:rsidRDefault="002C0A8D" w:rsidP="002C0A8D">
            <w:pPr>
              <w:tabs>
                <w:tab w:val="decimal" w:pos="392"/>
              </w:tabs>
              <w:jc w:val="left"/>
              <w:rPr>
                <w:sz w:val="16"/>
                <w:szCs w:val="16"/>
                <w:lang w:val="es-MX" w:eastAsia="es-MX"/>
              </w:rPr>
            </w:pPr>
            <w:r w:rsidRPr="002C0A8D">
              <w:rPr>
                <w:sz w:val="16"/>
                <w:szCs w:val="16"/>
              </w:rPr>
              <w:t>3.8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3A6D273F" w:rsidR="002C0A8D" w:rsidRPr="002C0A8D" w:rsidRDefault="002C0A8D" w:rsidP="002C0A8D">
            <w:pPr>
              <w:tabs>
                <w:tab w:val="decimal" w:pos="450"/>
              </w:tabs>
              <w:jc w:val="left"/>
              <w:rPr>
                <w:sz w:val="16"/>
                <w:szCs w:val="16"/>
                <w:lang w:val="es-MX" w:eastAsia="es-MX"/>
              </w:rPr>
            </w:pPr>
            <w:r w:rsidRPr="002C0A8D">
              <w:rPr>
                <w:sz w:val="16"/>
                <w:szCs w:val="16"/>
              </w:rPr>
              <w:t>7.6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4E46830E" w:rsidR="002C0A8D" w:rsidRPr="002C0A8D" w:rsidRDefault="002C0A8D" w:rsidP="002C0A8D">
            <w:pPr>
              <w:tabs>
                <w:tab w:val="decimal" w:pos="406"/>
              </w:tabs>
              <w:jc w:val="left"/>
              <w:rPr>
                <w:sz w:val="16"/>
                <w:szCs w:val="16"/>
                <w:lang w:val="es-MX" w:eastAsia="es-MX"/>
              </w:rPr>
            </w:pPr>
            <w:r w:rsidRPr="002C0A8D">
              <w:rPr>
                <w:sz w:val="16"/>
                <w:szCs w:val="16"/>
              </w:rPr>
              <w:t>-42.1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68591DDF" w:rsidR="002C0A8D" w:rsidRPr="002C0A8D" w:rsidRDefault="002C0A8D" w:rsidP="002C0A8D">
            <w:pPr>
              <w:tabs>
                <w:tab w:val="decimal" w:pos="392"/>
              </w:tabs>
              <w:jc w:val="left"/>
              <w:rPr>
                <w:sz w:val="16"/>
                <w:szCs w:val="16"/>
                <w:lang w:val="es-MX" w:eastAsia="es-MX"/>
              </w:rPr>
            </w:pPr>
            <w:r w:rsidRPr="002C0A8D">
              <w:rPr>
                <w:sz w:val="16"/>
                <w:szCs w:val="16"/>
              </w:rPr>
              <w:t>6.5</w:t>
            </w:r>
          </w:p>
        </w:tc>
      </w:tr>
      <w:tr w:rsidR="002C0A8D" w:rsidRPr="00F87E34" w14:paraId="2D6F710B" w14:textId="77777777" w:rsidTr="00AA0BAD">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27E96B7B" w:rsidR="002C0A8D" w:rsidRPr="002C0A8D" w:rsidRDefault="002C0A8D" w:rsidP="002C0A8D">
            <w:pPr>
              <w:tabs>
                <w:tab w:val="decimal" w:pos="450"/>
              </w:tabs>
              <w:jc w:val="left"/>
              <w:rPr>
                <w:sz w:val="16"/>
                <w:szCs w:val="16"/>
              </w:rPr>
            </w:pPr>
            <w:r w:rsidRPr="002C0A8D">
              <w:rPr>
                <w:sz w:val="16"/>
                <w:szCs w:val="16"/>
              </w:rPr>
              <w:t>0.</w:t>
            </w:r>
            <w:r>
              <w:rPr>
                <w:sz w:val="16"/>
                <w:szCs w:val="16"/>
              </w:rPr>
              <w:t>1</w:t>
            </w:r>
          </w:p>
        </w:tc>
        <w:tc>
          <w:tcPr>
            <w:tcW w:w="882" w:type="dxa"/>
            <w:tcBorders>
              <w:top w:val="dotted" w:sz="6" w:space="0" w:color="C2D69B" w:themeColor="accent3" w:themeTint="99"/>
              <w:left w:val="nil"/>
              <w:right w:val="nil"/>
            </w:tcBorders>
            <w:shd w:val="clear" w:color="auto" w:fill="auto"/>
            <w:vAlign w:val="center"/>
            <w:hideMark/>
          </w:tcPr>
          <w:p w14:paraId="3394A994" w14:textId="21DC6819" w:rsidR="002C0A8D" w:rsidRPr="002C0A8D" w:rsidRDefault="002C0A8D" w:rsidP="002C0A8D">
            <w:pPr>
              <w:tabs>
                <w:tab w:val="decimal" w:pos="392"/>
              </w:tabs>
              <w:jc w:val="left"/>
              <w:rPr>
                <w:sz w:val="16"/>
                <w:szCs w:val="16"/>
                <w:lang w:val="es-MX" w:eastAsia="es-MX"/>
              </w:rPr>
            </w:pPr>
            <w:r w:rsidRPr="002C0A8D">
              <w:rPr>
                <w:sz w:val="16"/>
                <w:szCs w:val="16"/>
              </w:rPr>
              <w:t>6.5</w:t>
            </w:r>
          </w:p>
        </w:tc>
        <w:tc>
          <w:tcPr>
            <w:tcW w:w="910" w:type="dxa"/>
            <w:tcBorders>
              <w:top w:val="dotted" w:sz="6" w:space="0" w:color="C2D69B" w:themeColor="accent3" w:themeTint="99"/>
              <w:left w:val="nil"/>
              <w:right w:val="nil"/>
            </w:tcBorders>
            <w:shd w:val="clear" w:color="auto" w:fill="auto"/>
            <w:vAlign w:val="center"/>
            <w:hideMark/>
          </w:tcPr>
          <w:p w14:paraId="693A602A" w14:textId="47EE90D8" w:rsidR="002C0A8D" w:rsidRPr="002C0A8D" w:rsidRDefault="002C0A8D" w:rsidP="002C0A8D">
            <w:pPr>
              <w:tabs>
                <w:tab w:val="decimal" w:pos="450"/>
              </w:tabs>
              <w:jc w:val="left"/>
              <w:rPr>
                <w:sz w:val="16"/>
                <w:szCs w:val="16"/>
                <w:lang w:val="es-MX" w:eastAsia="es-MX"/>
              </w:rPr>
            </w:pPr>
            <w:r w:rsidRPr="002C0A8D">
              <w:rPr>
                <w:sz w:val="16"/>
                <w:szCs w:val="16"/>
              </w:rPr>
              <w:t>6.4</w:t>
            </w:r>
          </w:p>
        </w:tc>
        <w:tc>
          <w:tcPr>
            <w:tcW w:w="952" w:type="dxa"/>
            <w:tcBorders>
              <w:top w:val="dotted" w:sz="6" w:space="0" w:color="C2D69B" w:themeColor="accent3" w:themeTint="99"/>
              <w:left w:val="nil"/>
              <w:right w:val="nil"/>
            </w:tcBorders>
            <w:shd w:val="clear" w:color="auto" w:fill="auto"/>
            <w:vAlign w:val="center"/>
            <w:hideMark/>
          </w:tcPr>
          <w:p w14:paraId="7F881D72" w14:textId="3D6EF99C" w:rsidR="002C0A8D" w:rsidRPr="002C0A8D" w:rsidRDefault="002C0A8D" w:rsidP="002C0A8D">
            <w:pPr>
              <w:tabs>
                <w:tab w:val="decimal" w:pos="406"/>
              </w:tabs>
              <w:jc w:val="left"/>
              <w:rPr>
                <w:sz w:val="16"/>
                <w:szCs w:val="16"/>
                <w:lang w:val="es-MX" w:eastAsia="es-MX"/>
              </w:rPr>
            </w:pPr>
            <w:r w:rsidRPr="002C0A8D">
              <w:rPr>
                <w:sz w:val="16"/>
                <w:szCs w:val="16"/>
              </w:rPr>
              <w:t>4.7</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4954C0D4" w:rsidR="002C0A8D" w:rsidRPr="002C0A8D" w:rsidRDefault="002C0A8D" w:rsidP="002C0A8D">
            <w:pPr>
              <w:tabs>
                <w:tab w:val="decimal" w:pos="392"/>
              </w:tabs>
              <w:jc w:val="left"/>
              <w:rPr>
                <w:sz w:val="16"/>
                <w:szCs w:val="16"/>
                <w:lang w:val="es-MX" w:eastAsia="es-MX"/>
              </w:rPr>
            </w:pPr>
            <w:r w:rsidRPr="002C0A8D">
              <w:rPr>
                <w:sz w:val="16"/>
                <w:szCs w:val="16"/>
              </w:rPr>
              <w:t>-1.0</w:t>
            </w:r>
          </w:p>
        </w:tc>
      </w:tr>
      <w:tr w:rsidR="002C0A8D" w:rsidRPr="00F87E34" w14:paraId="6735D5AA" w14:textId="77777777" w:rsidTr="00AA0BAD">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2C0A8D" w:rsidRPr="00F87E34" w:rsidRDefault="002C0A8D" w:rsidP="002C0A8D">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2C0A8D" w:rsidRPr="00F87E34" w:rsidRDefault="002C0A8D" w:rsidP="002C0A8D">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01DF29AE" w:rsidR="002C0A8D" w:rsidRPr="002C0A8D" w:rsidRDefault="002C0A8D" w:rsidP="002C0A8D">
            <w:pPr>
              <w:tabs>
                <w:tab w:val="decimal" w:pos="450"/>
              </w:tabs>
              <w:jc w:val="left"/>
              <w:rPr>
                <w:b/>
                <w:bCs/>
                <w:sz w:val="16"/>
                <w:szCs w:val="16"/>
                <w:lang w:val="es-MX" w:eastAsia="es-MX"/>
              </w:rPr>
            </w:pPr>
            <w:r w:rsidRPr="002C0A8D">
              <w:rPr>
                <w:b/>
                <w:bCs/>
                <w:sz w:val="16"/>
                <w:szCs w:val="16"/>
              </w:rPr>
              <w:t>3.4</w:t>
            </w:r>
          </w:p>
        </w:tc>
        <w:tc>
          <w:tcPr>
            <w:tcW w:w="882" w:type="dxa"/>
            <w:tcBorders>
              <w:left w:val="nil"/>
              <w:right w:val="nil"/>
            </w:tcBorders>
            <w:shd w:val="clear" w:color="auto" w:fill="EAF1DD" w:themeFill="accent3" w:themeFillTint="33"/>
            <w:vAlign w:val="center"/>
            <w:hideMark/>
          </w:tcPr>
          <w:p w14:paraId="7E35A140" w14:textId="08D59F5C" w:rsidR="002C0A8D" w:rsidRPr="002C0A8D" w:rsidRDefault="002C0A8D" w:rsidP="002C0A8D">
            <w:pPr>
              <w:tabs>
                <w:tab w:val="decimal" w:pos="392"/>
              </w:tabs>
              <w:jc w:val="left"/>
              <w:rPr>
                <w:b/>
                <w:bCs/>
                <w:sz w:val="16"/>
                <w:szCs w:val="16"/>
                <w:lang w:val="es-MX" w:eastAsia="es-MX"/>
              </w:rPr>
            </w:pPr>
            <w:r w:rsidRPr="002C0A8D">
              <w:rPr>
                <w:b/>
                <w:bCs/>
                <w:sz w:val="16"/>
                <w:szCs w:val="16"/>
              </w:rPr>
              <w:t>-0.5</w:t>
            </w:r>
          </w:p>
        </w:tc>
        <w:tc>
          <w:tcPr>
            <w:tcW w:w="910" w:type="dxa"/>
            <w:tcBorders>
              <w:left w:val="nil"/>
              <w:right w:val="nil"/>
            </w:tcBorders>
            <w:shd w:val="clear" w:color="auto" w:fill="EAF1DD" w:themeFill="accent3" w:themeFillTint="33"/>
            <w:vAlign w:val="center"/>
            <w:hideMark/>
          </w:tcPr>
          <w:p w14:paraId="6A781A5F" w14:textId="285ED739" w:rsidR="002C0A8D" w:rsidRPr="002C0A8D" w:rsidRDefault="002C0A8D" w:rsidP="002C0A8D">
            <w:pPr>
              <w:tabs>
                <w:tab w:val="decimal" w:pos="450"/>
              </w:tabs>
              <w:jc w:val="left"/>
              <w:rPr>
                <w:b/>
                <w:bCs/>
                <w:sz w:val="16"/>
                <w:szCs w:val="16"/>
                <w:lang w:val="es-MX" w:eastAsia="es-MX"/>
              </w:rPr>
            </w:pPr>
            <w:r w:rsidRPr="002C0A8D">
              <w:rPr>
                <w:b/>
                <w:bCs/>
                <w:sz w:val="16"/>
                <w:szCs w:val="16"/>
              </w:rPr>
              <w:t>1.9</w:t>
            </w:r>
          </w:p>
        </w:tc>
        <w:tc>
          <w:tcPr>
            <w:tcW w:w="952" w:type="dxa"/>
            <w:tcBorders>
              <w:left w:val="nil"/>
              <w:right w:val="nil"/>
            </w:tcBorders>
            <w:shd w:val="clear" w:color="auto" w:fill="EAF1DD" w:themeFill="accent3" w:themeFillTint="33"/>
            <w:vAlign w:val="center"/>
            <w:hideMark/>
          </w:tcPr>
          <w:p w14:paraId="1C988DC0" w14:textId="39E089DC" w:rsidR="002C0A8D" w:rsidRPr="002C0A8D" w:rsidRDefault="002C0A8D" w:rsidP="002C0A8D">
            <w:pPr>
              <w:tabs>
                <w:tab w:val="decimal" w:pos="406"/>
              </w:tabs>
              <w:jc w:val="left"/>
              <w:rPr>
                <w:b/>
                <w:bCs/>
                <w:sz w:val="16"/>
                <w:szCs w:val="16"/>
                <w:lang w:val="es-MX" w:eastAsia="es-MX"/>
              </w:rPr>
            </w:pPr>
            <w:r w:rsidRPr="002C0A8D">
              <w:rPr>
                <w:b/>
                <w:bCs/>
                <w:sz w:val="16"/>
                <w:szCs w:val="16"/>
              </w:rPr>
              <w:t>-28.8</w:t>
            </w:r>
          </w:p>
        </w:tc>
        <w:tc>
          <w:tcPr>
            <w:tcW w:w="987" w:type="dxa"/>
            <w:tcBorders>
              <w:left w:val="nil"/>
              <w:right w:val="single" w:sz="8" w:space="0" w:color="262626"/>
            </w:tcBorders>
            <w:shd w:val="clear" w:color="auto" w:fill="EAF1DD" w:themeFill="accent3" w:themeFillTint="33"/>
            <w:vAlign w:val="center"/>
            <w:hideMark/>
          </w:tcPr>
          <w:p w14:paraId="2382AD0F" w14:textId="3206CDE3" w:rsidR="002C0A8D" w:rsidRPr="002C0A8D" w:rsidRDefault="002C0A8D" w:rsidP="002C0A8D">
            <w:pPr>
              <w:tabs>
                <w:tab w:val="decimal" w:pos="392"/>
              </w:tabs>
              <w:jc w:val="left"/>
              <w:rPr>
                <w:b/>
                <w:bCs/>
                <w:sz w:val="16"/>
                <w:szCs w:val="16"/>
                <w:lang w:val="es-MX" w:eastAsia="es-MX"/>
              </w:rPr>
            </w:pPr>
            <w:r w:rsidRPr="002C0A8D">
              <w:rPr>
                <w:b/>
                <w:bCs/>
                <w:sz w:val="16"/>
                <w:szCs w:val="16"/>
              </w:rPr>
              <w:t>5.6</w:t>
            </w:r>
          </w:p>
        </w:tc>
      </w:tr>
      <w:tr w:rsidR="002C0A8D" w:rsidRPr="00F87E34" w14:paraId="32848E11"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2FF6DAAE" w:rsidR="002C0A8D" w:rsidRPr="002C0A8D" w:rsidRDefault="002C0A8D" w:rsidP="002C0A8D">
            <w:pPr>
              <w:tabs>
                <w:tab w:val="decimal" w:pos="450"/>
              </w:tabs>
              <w:jc w:val="left"/>
              <w:rPr>
                <w:sz w:val="16"/>
                <w:szCs w:val="16"/>
                <w:lang w:val="es-MX" w:eastAsia="es-MX"/>
              </w:rPr>
            </w:pPr>
            <w:r w:rsidRPr="002C0A8D">
              <w:rPr>
                <w:sz w:val="16"/>
                <w:szCs w:val="16"/>
              </w:rPr>
              <w:t>-4.5</w:t>
            </w:r>
          </w:p>
        </w:tc>
        <w:tc>
          <w:tcPr>
            <w:tcW w:w="882" w:type="dxa"/>
            <w:tcBorders>
              <w:left w:val="nil"/>
              <w:bottom w:val="dotted" w:sz="6" w:space="0" w:color="C2D69B" w:themeColor="accent3" w:themeTint="99"/>
              <w:right w:val="nil"/>
            </w:tcBorders>
            <w:shd w:val="clear" w:color="auto" w:fill="auto"/>
            <w:vAlign w:val="center"/>
            <w:hideMark/>
          </w:tcPr>
          <w:p w14:paraId="12198429" w14:textId="4D7483C6" w:rsidR="002C0A8D" w:rsidRPr="002C0A8D" w:rsidRDefault="002C0A8D" w:rsidP="002C0A8D">
            <w:pPr>
              <w:tabs>
                <w:tab w:val="decimal" w:pos="392"/>
              </w:tabs>
              <w:jc w:val="left"/>
              <w:rPr>
                <w:sz w:val="16"/>
                <w:szCs w:val="16"/>
                <w:lang w:val="es-MX" w:eastAsia="es-MX"/>
              </w:rPr>
            </w:pPr>
            <w:r w:rsidRPr="002C0A8D">
              <w:rPr>
                <w:sz w:val="16"/>
                <w:szCs w:val="16"/>
              </w:rPr>
              <w:t>-3.8</w:t>
            </w:r>
          </w:p>
        </w:tc>
        <w:tc>
          <w:tcPr>
            <w:tcW w:w="910" w:type="dxa"/>
            <w:tcBorders>
              <w:left w:val="nil"/>
              <w:bottom w:val="dotted" w:sz="6" w:space="0" w:color="C2D69B" w:themeColor="accent3" w:themeTint="99"/>
              <w:right w:val="nil"/>
            </w:tcBorders>
            <w:shd w:val="clear" w:color="auto" w:fill="auto"/>
            <w:vAlign w:val="center"/>
            <w:hideMark/>
          </w:tcPr>
          <w:p w14:paraId="77EFC540" w14:textId="5B6FC488" w:rsidR="002C0A8D" w:rsidRPr="002C0A8D" w:rsidRDefault="002C0A8D" w:rsidP="002C0A8D">
            <w:pPr>
              <w:tabs>
                <w:tab w:val="decimal" w:pos="450"/>
              </w:tabs>
              <w:jc w:val="left"/>
              <w:rPr>
                <w:sz w:val="16"/>
                <w:szCs w:val="16"/>
                <w:lang w:val="es-MX" w:eastAsia="es-MX"/>
              </w:rPr>
            </w:pPr>
            <w:r w:rsidRPr="002C0A8D">
              <w:rPr>
                <w:sz w:val="16"/>
                <w:szCs w:val="16"/>
              </w:rPr>
              <w:t>-3.8</w:t>
            </w:r>
          </w:p>
        </w:tc>
        <w:tc>
          <w:tcPr>
            <w:tcW w:w="952" w:type="dxa"/>
            <w:tcBorders>
              <w:left w:val="nil"/>
              <w:bottom w:val="dotted" w:sz="6" w:space="0" w:color="C2D69B" w:themeColor="accent3" w:themeTint="99"/>
              <w:right w:val="nil"/>
            </w:tcBorders>
            <w:shd w:val="clear" w:color="auto" w:fill="auto"/>
            <w:vAlign w:val="center"/>
            <w:hideMark/>
          </w:tcPr>
          <w:p w14:paraId="446F1678" w14:textId="6FBB916B" w:rsidR="002C0A8D" w:rsidRPr="002C0A8D" w:rsidRDefault="002C0A8D" w:rsidP="002C0A8D">
            <w:pPr>
              <w:tabs>
                <w:tab w:val="decimal" w:pos="406"/>
              </w:tabs>
              <w:jc w:val="left"/>
              <w:rPr>
                <w:sz w:val="16"/>
                <w:szCs w:val="16"/>
                <w:lang w:val="es-MX" w:eastAsia="es-MX"/>
              </w:rPr>
            </w:pPr>
            <w:r w:rsidRPr="002C0A8D">
              <w:rPr>
                <w:sz w:val="16"/>
                <w:szCs w:val="16"/>
              </w:rPr>
              <w:t>-35.1</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24AEA665" w:rsidR="002C0A8D" w:rsidRPr="002C0A8D" w:rsidRDefault="002C0A8D" w:rsidP="002C0A8D">
            <w:pPr>
              <w:tabs>
                <w:tab w:val="decimal" w:pos="392"/>
              </w:tabs>
              <w:jc w:val="left"/>
              <w:rPr>
                <w:sz w:val="16"/>
                <w:szCs w:val="16"/>
                <w:lang w:val="es-MX" w:eastAsia="es-MX"/>
              </w:rPr>
            </w:pPr>
            <w:r w:rsidRPr="002C0A8D">
              <w:rPr>
                <w:sz w:val="16"/>
                <w:szCs w:val="16"/>
              </w:rPr>
              <w:t>5.0</w:t>
            </w:r>
          </w:p>
        </w:tc>
      </w:tr>
      <w:tr w:rsidR="002C0A8D" w:rsidRPr="00F87E34" w14:paraId="5C58B343"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32ACFD3A" w:rsidR="002C0A8D" w:rsidRPr="002C0A8D" w:rsidRDefault="002C0A8D" w:rsidP="002C0A8D">
            <w:pPr>
              <w:tabs>
                <w:tab w:val="decimal" w:pos="450"/>
              </w:tabs>
              <w:jc w:val="left"/>
              <w:rPr>
                <w:sz w:val="16"/>
                <w:szCs w:val="16"/>
                <w:lang w:val="es-MX" w:eastAsia="es-MX"/>
              </w:rPr>
            </w:pPr>
            <w:r w:rsidRPr="002C0A8D">
              <w:rPr>
                <w:sz w:val="16"/>
                <w:szCs w:val="16"/>
              </w:rPr>
              <w:t>5.6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66B3337B" w:rsidR="002C0A8D" w:rsidRPr="002C0A8D" w:rsidRDefault="002C0A8D" w:rsidP="002C0A8D">
            <w:pPr>
              <w:tabs>
                <w:tab w:val="decimal" w:pos="392"/>
              </w:tabs>
              <w:jc w:val="left"/>
              <w:rPr>
                <w:sz w:val="16"/>
                <w:szCs w:val="16"/>
                <w:lang w:val="es-MX" w:eastAsia="es-MX"/>
              </w:rPr>
            </w:pPr>
            <w:r w:rsidRPr="002C0A8D">
              <w:rPr>
                <w:sz w:val="16"/>
                <w:szCs w:val="16"/>
              </w:rPr>
              <w:t>4.8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18EC5DCF" w:rsidR="002C0A8D" w:rsidRPr="002C0A8D" w:rsidRDefault="002C0A8D" w:rsidP="002C0A8D">
            <w:pPr>
              <w:tabs>
                <w:tab w:val="decimal" w:pos="450"/>
              </w:tabs>
              <w:jc w:val="left"/>
              <w:rPr>
                <w:sz w:val="16"/>
                <w:szCs w:val="16"/>
                <w:lang w:val="es-MX" w:eastAsia="es-MX"/>
              </w:rPr>
            </w:pPr>
            <w:r w:rsidRPr="002C0A8D">
              <w:rPr>
                <w:sz w:val="16"/>
                <w:szCs w:val="16"/>
              </w:rPr>
              <w:t>13.4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6D34B467" w:rsidR="002C0A8D" w:rsidRPr="002C0A8D" w:rsidRDefault="002C0A8D" w:rsidP="002C0A8D">
            <w:pPr>
              <w:tabs>
                <w:tab w:val="decimal" w:pos="406"/>
              </w:tabs>
              <w:jc w:val="left"/>
              <w:rPr>
                <w:sz w:val="16"/>
                <w:szCs w:val="16"/>
                <w:lang w:val="es-MX" w:eastAsia="es-MX"/>
              </w:rPr>
            </w:pPr>
            <w:r w:rsidRPr="002C0A8D">
              <w:rPr>
                <w:sz w:val="16"/>
                <w:szCs w:val="16"/>
              </w:rPr>
              <w:t>-25.0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20AE2722" w:rsidR="002C0A8D" w:rsidRPr="002C0A8D" w:rsidRDefault="002C0A8D" w:rsidP="002C0A8D">
            <w:pPr>
              <w:tabs>
                <w:tab w:val="decimal" w:pos="392"/>
              </w:tabs>
              <w:jc w:val="left"/>
              <w:rPr>
                <w:sz w:val="16"/>
                <w:szCs w:val="16"/>
                <w:lang w:val="es-MX" w:eastAsia="es-MX"/>
              </w:rPr>
            </w:pPr>
            <w:r w:rsidRPr="002C0A8D">
              <w:rPr>
                <w:sz w:val="16"/>
                <w:szCs w:val="16"/>
              </w:rPr>
              <w:t>10.9</w:t>
            </w:r>
          </w:p>
        </w:tc>
      </w:tr>
      <w:tr w:rsidR="002C0A8D" w:rsidRPr="00F87E34" w14:paraId="5A744CB7"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6CA86E04" w:rsidR="002C0A8D" w:rsidRPr="002C0A8D" w:rsidRDefault="002C0A8D" w:rsidP="002C0A8D">
            <w:pPr>
              <w:tabs>
                <w:tab w:val="decimal" w:pos="450"/>
              </w:tabs>
              <w:jc w:val="left"/>
              <w:rPr>
                <w:sz w:val="16"/>
                <w:szCs w:val="16"/>
                <w:lang w:val="es-MX" w:eastAsia="es-MX"/>
              </w:rPr>
            </w:pPr>
            <w:r w:rsidRPr="002C0A8D">
              <w:rPr>
                <w:sz w:val="16"/>
                <w:szCs w:val="16"/>
              </w:rPr>
              <w:t>5.1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2E805A5F" w:rsidR="002C0A8D" w:rsidRPr="002C0A8D" w:rsidRDefault="002C0A8D" w:rsidP="002C0A8D">
            <w:pPr>
              <w:tabs>
                <w:tab w:val="decimal" w:pos="392"/>
              </w:tabs>
              <w:jc w:val="left"/>
              <w:rPr>
                <w:sz w:val="16"/>
                <w:szCs w:val="16"/>
                <w:lang w:val="es-MX" w:eastAsia="es-MX"/>
              </w:rPr>
            </w:pPr>
            <w:r w:rsidRPr="002C0A8D">
              <w:rPr>
                <w:sz w:val="16"/>
                <w:szCs w:val="16"/>
              </w:rPr>
              <w:t>-1.6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5FBF4C4B" w:rsidR="002C0A8D" w:rsidRPr="002C0A8D" w:rsidRDefault="002C0A8D" w:rsidP="002C0A8D">
            <w:pPr>
              <w:tabs>
                <w:tab w:val="decimal" w:pos="450"/>
              </w:tabs>
              <w:jc w:val="left"/>
              <w:rPr>
                <w:sz w:val="16"/>
                <w:szCs w:val="16"/>
                <w:lang w:val="es-MX" w:eastAsia="es-MX"/>
              </w:rPr>
            </w:pPr>
            <w:r w:rsidRPr="002C0A8D">
              <w:rPr>
                <w:sz w:val="16"/>
                <w:szCs w:val="16"/>
              </w:rPr>
              <w:t>-0.9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2709D0CE" w:rsidR="002C0A8D" w:rsidRPr="002C0A8D" w:rsidRDefault="002C0A8D" w:rsidP="002C0A8D">
            <w:pPr>
              <w:tabs>
                <w:tab w:val="decimal" w:pos="406"/>
              </w:tabs>
              <w:jc w:val="left"/>
              <w:rPr>
                <w:sz w:val="16"/>
                <w:szCs w:val="16"/>
                <w:lang w:val="es-MX" w:eastAsia="es-MX"/>
              </w:rPr>
            </w:pPr>
            <w:r w:rsidRPr="002C0A8D">
              <w:rPr>
                <w:sz w:val="16"/>
                <w:szCs w:val="16"/>
              </w:rPr>
              <w:t>-28.4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0C1B8C58" w:rsidR="002C0A8D" w:rsidRPr="002C0A8D" w:rsidRDefault="002C0A8D" w:rsidP="002C0A8D">
            <w:pPr>
              <w:tabs>
                <w:tab w:val="decimal" w:pos="392"/>
              </w:tabs>
              <w:jc w:val="left"/>
              <w:rPr>
                <w:sz w:val="16"/>
                <w:szCs w:val="16"/>
                <w:lang w:val="es-MX" w:eastAsia="es-MX"/>
              </w:rPr>
            </w:pPr>
            <w:r w:rsidRPr="002C0A8D">
              <w:rPr>
                <w:sz w:val="16"/>
                <w:szCs w:val="16"/>
              </w:rPr>
              <w:t>5.0</w:t>
            </w:r>
          </w:p>
        </w:tc>
      </w:tr>
      <w:tr w:rsidR="002C0A8D" w:rsidRPr="00F87E34" w14:paraId="33215329"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162EB5DC" w:rsidR="002C0A8D" w:rsidRPr="002C0A8D" w:rsidRDefault="002C0A8D" w:rsidP="002C0A8D">
            <w:pPr>
              <w:tabs>
                <w:tab w:val="decimal" w:pos="450"/>
              </w:tabs>
              <w:jc w:val="left"/>
              <w:rPr>
                <w:sz w:val="16"/>
                <w:szCs w:val="16"/>
                <w:lang w:val="es-MX" w:eastAsia="es-MX"/>
              </w:rPr>
            </w:pPr>
            <w:r w:rsidRPr="002C0A8D">
              <w:rPr>
                <w:sz w:val="16"/>
                <w:szCs w:val="16"/>
              </w:rPr>
              <w:t>1.1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32068660" w:rsidR="002C0A8D" w:rsidRPr="002C0A8D" w:rsidRDefault="002C0A8D" w:rsidP="002C0A8D">
            <w:pPr>
              <w:tabs>
                <w:tab w:val="decimal" w:pos="392"/>
              </w:tabs>
              <w:jc w:val="left"/>
              <w:rPr>
                <w:sz w:val="16"/>
                <w:szCs w:val="16"/>
                <w:lang w:val="es-MX" w:eastAsia="es-MX"/>
              </w:rPr>
            </w:pPr>
            <w:r w:rsidRPr="002C0A8D">
              <w:rPr>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10EE2110" w:rsidR="002C0A8D" w:rsidRPr="002C0A8D" w:rsidRDefault="002C0A8D" w:rsidP="002C0A8D">
            <w:pPr>
              <w:tabs>
                <w:tab w:val="decimal" w:pos="450"/>
              </w:tabs>
              <w:jc w:val="left"/>
              <w:rPr>
                <w:sz w:val="16"/>
                <w:szCs w:val="16"/>
                <w:lang w:val="es-MX" w:eastAsia="es-MX"/>
              </w:rPr>
            </w:pPr>
            <w:r w:rsidRPr="002C0A8D">
              <w:rPr>
                <w:sz w:val="16"/>
                <w:szCs w:val="16"/>
              </w:rPr>
              <w:t>1.9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642097C1" w:rsidR="002C0A8D" w:rsidRPr="002C0A8D" w:rsidRDefault="002C0A8D" w:rsidP="002C0A8D">
            <w:pPr>
              <w:tabs>
                <w:tab w:val="decimal" w:pos="406"/>
              </w:tabs>
              <w:jc w:val="left"/>
              <w:rPr>
                <w:sz w:val="16"/>
                <w:szCs w:val="16"/>
                <w:lang w:val="es-MX" w:eastAsia="es-MX"/>
              </w:rPr>
            </w:pPr>
            <w:r w:rsidRPr="002C0A8D">
              <w:rPr>
                <w:sz w:val="16"/>
                <w:szCs w:val="16"/>
              </w:rPr>
              <w:t>-57.3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0442D015" w:rsidR="002C0A8D" w:rsidRPr="002C0A8D" w:rsidRDefault="002C0A8D" w:rsidP="002C0A8D">
            <w:pPr>
              <w:tabs>
                <w:tab w:val="decimal" w:pos="392"/>
              </w:tabs>
              <w:jc w:val="left"/>
              <w:rPr>
                <w:sz w:val="16"/>
                <w:szCs w:val="16"/>
                <w:lang w:val="es-MX" w:eastAsia="es-MX"/>
              </w:rPr>
            </w:pPr>
            <w:r w:rsidRPr="002C0A8D">
              <w:rPr>
                <w:sz w:val="16"/>
                <w:szCs w:val="16"/>
              </w:rPr>
              <w:t>-1.7</w:t>
            </w:r>
          </w:p>
        </w:tc>
      </w:tr>
      <w:tr w:rsidR="002C0A8D" w:rsidRPr="00F87E34" w14:paraId="160D693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25252CF5" w:rsidR="002C0A8D" w:rsidRPr="002C0A8D" w:rsidRDefault="002C0A8D" w:rsidP="002C0A8D">
            <w:pPr>
              <w:tabs>
                <w:tab w:val="decimal" w:pos="450"/>
              </w:tabs>
              <w:jc w:val="left"/>
              <w:rPr>
                <w:sz w:val="16"/>
                <w:szCs w:val="16"/>
                <w:lang w:val="es-MX" w:eastAsia="es-MX"/>
              </w:rPr>
            </w:pPr>
            <w:r w:rsidRPr="002C0A8D">
              <w:rPr>
                <w:sz w:val="16"/>
                <w:szCs w:val="16"/>
              </w:rPr>
              <w:t>11.1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457100B4" w:rsidR="002C0A8D" w:rsidRPr="002C0A8D" w:rsidRDefault="002C0A8D" w:rsidP="002C0A8D">
            <w:pPr>
              <w:tabs>
                <w:tab w:val="decimal" w:pos="392"/>
              </w:tabs>
              <w:jc w:val="left"/>
              <w:rPr>
                <w:sz w:val="16"/>
                <w:szCs w:val="16"/>
                <w:lang w:val="es-MX" w:eastAsia="es-MX"/>
              </w:rPr>
            </w:pPr>
            <w:r w:rsidRPr="002C0A8D">
              <w:rPr>
                <w:sz w:val="16"/>
                <w:szCs w:val="16"/>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54FCEB94" w:rsidR="002C0A8D" w:rsidRPr="002C0A8D" w:rsidRDefault="002C0A8D" w:rsidP="002C0A8D">
            <w:pPr>
              <w:tabs>
                <w:tab w:val="decimal" w:pos="450"/>
              </w:tabs>
              <w:jc w:val="left"/>
              <w:rPr>
                <w:sz w:val="16"/>
                <w:szCs w:val="16"/>
                <w:lang w:val="es-MX" w:eastAsia="es-MX"/>
              </w:rPr>
            </w:pPr>
            <w:r w:rsidRPr="002C0A8D">
              <w:rPr>
                <w:sz w:val="16"/>
                <w:szCs w:val="16"/>
              </w:rPr>
              <w:t>3.5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744B6AD9" w:rsidR="002C0A8D" w:rsidRPr="002C0A8D" w:rsidRDefault="002C0A8D" w:rsidP="002C0A8D">
            <w:pPr>
              <w:tabs>
                <w:tab w:val="decimal" w:pos="406"/>
              </w:tabs>
              <w:jc w:val="left"/>
              <w:rPr>
                <w:sz w:val="16"/>
                <w:szCs w:val="16"/>
                <w:lang w:val="es-MX" w:eastAsia="es-MX"/>
              </w:rPr>
            </w:pPr>
            <w:r w:rsidRPr="002C0A8D">
              <w:rPr>
                <w:sz w:val="16"/>
                <w:szCs w:val="16"/>
              </w:rPr>
              <w:t>-69.3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4B77FC80" w:rsidR="002C0A8D" w:rsidRPr="002C0A8D" w:rsidRDefault="002C0A8D" w:rsidP="002C0A8D">
            <w:pPr>
              <w:tabs>
                <w:tab w:val="decimal" w:pos="392"/>
              </w:tabs>
              <w:jc w:val="left"/>
              <w:rPr>
                <w:sz w:val="16"/>
                <w:szCs w:val="16"/>
                <w:lang w:val="es-MX" w:eastAsia="es-MX"/>
              </w:rPr>
            </w:pPr>
            <w:r w:rsidRPr="002C0A8D">
              <w:rPr>
                <w:sz w:val="16"/>
                <w:szCs w:val="16"/>
              </w:rPr>
              <w:t>6.1</w:t>
            </w:r>
          </w:p>
        </w:tc>
      </w:tr>
      <w:tr w:rsidR="002C0A8D" w:rsidRPr="00F87E34" w14:paraId="2AA68ED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12A62E57" w:rsidR="002C0A8D" w:rsidRPr="002C0A8D" w:rsidRDefault="002C0A8D" w:rsidP="002C0A8D">
            <w:pPr>
              <w:tabs>
                <w:tab w:val="decimal" w:pos="450"/>
              </w:tabs>
              <w:jc w:val="left"/>
              <w:rPr>
                <w:sz w:val="16"/>
                <w:szCs w:val="16"/>
                <w:lang w:val="es-MX" w:eastAsia="es-MX"/>
              </w:rPr>
            </w:pPr>
            <w:r w:rsidRPr="002C0A8D">
              <w:rPr>
                <w:sz w:val="16"/>
                <w:szCs w:val="16"/>
              </w:rPr>
              <w:t>-1.0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6B6C23DC" w:rsidR="002C0A8D" w:rsidRPr="002C0A8D" w:rsidRDefault="002C0A8D" w:rsidP="002C0A8D">
            <w:pPr>
              <w:tabs>
                <w:tab w:val="decimal" w:pos="392"/>
              </w:tabs>
              <w:jc w:val="left"/>
              <w:rPr>
                <w:sz w:val="16"/>
                <w:szCs w:val="16"/>
                <w:lang w:val="es-MX" w:eastAsia="es-MX"/>
              </w:rPr>
            </w:pPr>
            <w:r w:rsidRPr="002C0A8D">
              <w:rPr>
                <w:sz w:val="16"/>
                <w:szCs w:val="16"/>
              </w:rPr>
              <w:t>0.1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16116A72" w:rsidR="002C0A8D" w:rsidRPr="002C0A8D" w:rsidRDefault="002C0A8D" w:rsidP="002C0A8D">
            <w:pPr>
              <w:tabs>
                <w:tab w:val="decimal" w:pos="450"/>
              </w:tabs>
              <w:jc w:val="left"/>
              <w:rPr>
                <w:sz w:val="16"/>
                <w:szCs w:val="16"/>
                <w:lang w:val="es-MX" w:eastAsia="es-MX"/>
              </w:rPr>
            </w:pPr>
            <w:r w:rsidRPr="002C0A8D">
              <w:rPr>
                <w:sz w:val="16"/>
                <w:szCs w:val="16"/>
              </w:rPr>
              <w:t>1.1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254B8241" w:rsidR="002C0A8D" w:rsidRPr="002C0A8D" w:rsidRDefault="002C0A8D" w:rsidP="002C0A8D">
            <w:pPr>
              <w:tabs>
                <w:tab w:val="decimal" w:pos="406"/>
              </w:tabs>
              <w:jc w:val="left"/>
              <w:rPr>
                <w:sz w:val="16"/>
                <w:szCs w:val="16"/>
                <w:lang w:val="es-MX" w:eastAsia="es-MX"/>
              </w:rPr>
            </w:pPr>
            <w:r w:rsidRPr="002C0A8D">
              <w:rPr>
                <w:sz w:val="16"/>
                <w:szCs w:val="16"/>
              </w:rPr>
              <w:t>-25.2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4CD8BC2C" w:rsidR="002C0A8D" w:rsidRPr="002C0A8D" w:rsidRDefault="002C0A8D" w:rsidP="002C0A8D">
            <w:pPr>
              <w:tabs>
                <w:tab w:val="decimal" w:pos="392"/>
              </w:tabs>
              <w:jc w:val="left"/>
              <w:rPr>
                <w:sz w:val="16"/>
                <w:szCs w:val="16"/>
                <w:lang w:val="es-MX" w:eastAsia="es-MX"/>
              </w:rPr>
            </w:pPr>
            <w:r w:rsidRPr="002C0A8D">
              <w:rPr>
                <w:sz w:val="16"/>
                <w:szCs w:val="16"/>
              </w:rPr>
              <w:t>0.9</w:t>
            </w:r>
          </w:p>
        </w:tc>
      </w:tr>
      <w:tr w:rsidR="002C0A8D" w:rsidRPr="00F87E34" w14:paraId="2C70ACB2"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72AC25CB" w:rsidR="002C0A8D" w:rsidRPr="002C0A8D" w:rsidRDefault="002C0A8D" w:rsidP="002C0A8D">
            <w:pPr>
              <w:tabs>
                <w:tab w:val="decimal" w:pos="450"/>
              </w:tabs>
              <w:jc w:val="left"/>
              <w:rPr>
                <w:sz w:val="16"/>
                <w:szCs w:val="16"/>
                <w:lang w:val="es-MX" w:eastAsia="es-MX"/>
              </w:rPr>
            </w:pPr>
            <w:r w:rsidRPr="002C0A8D">
              <w:rPr>
                <w:sz w:val="16"/>
                <w:szCs w:val="16"/>
              </w:rPr>
              <w:t>-4.0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25FD1757" w:rsidR="002C0A8D" w:rsidRPr="002C0A8D" w:rsidRDefault="002C0A8D" w:rsidP="002C0A8D">
            <w:pPr>
              <w:tabs>
                <w:tab w:val="decimal" w:pos="392"/>
              </w:tabs>
              <w:jc w:val="left"/>
              <w:rPr>
                <w:sz w:val="16"/>
                <w:szCs w:val="16"/>
                <w:lang w:val="es-MX" w:eastAsia="es-MX"/>
              </w:rPr>
            </w:pPr>
            <w:r w:rsidRPr="002C0A8D">
              <w:rPr>
                <w:sz w:val="16"/>
                <w:szCs w:val="16"/>
              </w:rPr>
              <w:t>0.3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20991C38" w:rsidR="002C0A8D" w:rsidRPr="002C0A8D" w:rsidRDefault="002C0A8D" w:rsidP="002C0A8D">
            <w:pPr>
              <w:tabs>
                <w:tab w:val="decimal" w:pos="450"/>
              </w:tabs>
              <w:jc w:val="left"/>
              <w:rPr>
                <w:sz w:val="16"/>
                <w:szCs w:val="16"/>
                <w:lang w:val="es-MX" w:eastAsia="es-MX"/>
              </w:rPr>
            </w:pPr>
            <w:r w:rsidRPr="002C0A8D">
              <w:rPr>
                <w:sz w:val="16"/>
                <w:szCs w:val="16"/>
              </w:rPr>
              <w:t>1.1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1C58BBFA" w:rsidR="002C0A8D" w:rsidRPr="002C0A8D" w:rsidRDefault="002C0A8D" w:rsidP="002C0A8D">
            <w:pPr>
              <w:tabs>
                <w:tab w:val="decimal" w:pos="406"/>
              </w:tabs>
              <w:jc w:val="left"/>
              <w:rPr>
                <w:sz w:val="16"/>
                <w:szCs w:val="16"/>
                <w:lang w:val="es-MX" w:eastAsia="es-MX"/>
              </w:rPr>
            </w:pPr>
            <w:r w:rsidRPr="002C0A8D">
              <w:rPr>
                <w:sz w:val="16"/>
                <w:szCs w:val="16"/>
              </w:rPr>
              <w:t>-8.2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38CE38B2" w:rsidR="002C0A8D" w:rsidRPr="002C0A8D" w:rsidRDefault="002C0A8D" w:rsidP="002C0A8D">
            <w:pPr>
              <w:tabs>
                <w:tab w:val="decimal" w:pos="392"/>
              </w:tabs>
              <w:jc w:val="left"/>
              <w:rPr>
                <w:sz w:val="16"/>
                <w:szCs w:val="16"/>
                <w:lang w:val="es-MX" w:eastAsia="es-MX"/>
              </w:rPr>
            </w:pPr>
            <w:r w:rsidRPr="002C0A8D">
              <w:rPr>
                <w:sz w:val="16"/>
                <w:szCs w:val="16"/>
              </w:rPr>
              <w:t>4.5</w:t>
            </w:r>
          </w:p>
        </w:tc>
      </w:tr>
      <w:tr w:rsidR="002C0A8D" w:rsidRPr="00F87E34" w14:paraId="31AC8348"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2C0A8D" w:rsidRPr="00F87E34" w:rsidRDefault="002C0A8D" w:rsidP="002C0A8D">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740FB5A8" w:rsidR="002C0A8D" w:rsidRPr="002C0A8D" w:rsidRDefault="002C0A8D" w:rsidP="002C0A8D">
            <w:pPr>
              <w:tabs>
                <w:tab w:val="decimal" w:pos="450"/>
              </w:tabs>
              <w:jc w:val="left"/>
              <w:rPr>
                <w:sz w:val="16"/>
                <w:szCs w:val="16"/>
                <w:lang w:val="es-MX" w:eastAsia="es-MX"/>
              </w:rPr>
            </w:pPr>
            <w:r w:rsidRPr="002C0A8D">
              <w:rPr>
                <w:sz w:val="16"/>
                <w:szCs w:val="16"/>
              </w:rPr>
              <w:t>5.5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6772BBB6" w:rsidR="002C0A8D" w:rsidRPr="002C0A8D" w:rsidRDefault="002C0A8D" w:rsidP="002C0A8D">
            <w:pPr>
              <w:tabs>
                <w:tab w:val="decimal" w:pos="392"/>
              </w:tabs>
              <w:jc w:val="left"/>
              <w:rPr>
                <w:sz w:val="16"/>
                <w:szCs w:val="16"/>
                <w:lang w:val="es-MX" w:eastAsia="es-MX"/>
              </w:rPr>
            </w:pPr>
            <w:r w:rsidRPr="002C0A8D">
              <w:rPr>
                <w:sz w:val="16"/>
                <w:szCs w:val="16"/>
              </w:rPr>
              <w:t>-0.1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654AFC12" w:rsidR="002C0A8D" w:rsidRPr="002C0A8D" w:rsidRDefault="002C0A8D" w:rsidP="002C0A8D">
            <w:pPr>
              <w:tabs>
                <w:tab w:val="decimal" w:pos="450"/>
              </w:tabs>
              <w:jc w:val="left"/>
              <w:rPr>
                <w:sz w:val="16"/>
                <w:szCs w:val="16"/>
                <w:lang w:val="es-MX" w:eastAsia="es-MX"/>
              </w:rPr>
            </w:pPr>
            <w:r w:rsidRPr="002C0A8D">
              <w:rPr>
                <w:sz w:val="16"/>
                <w:szCs w:val="16"/>
              </w:rPr>
              <w:t>3.6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2A4946D0" w:rsidR="002C0A8D" w:rsidRPr="002C0A8D" w:rsidRDefault="002C0A8D" w:rsidP="002C0A8D">
            <w:pPr>
              <w:tabs>
                <w:tab w:val="decimal" w:pos="406"/>
              </w:tabs>
              <w:jc w:val="left"/>
              <w:rPr>
                <w:sz w:val="16"/>
                <w:szCs w:val="16"/>
                <w:lang w:val="es-MX" w:eastAsia="es-MX"/>
              </w:rPr>
            </w:pPr>
            <w:r w:rsidRPr="002C0A8D">
              <w:rPr>
                <w:sz w:val="16"/>
                <w:szCs w:val="16"/>
              </w:rPr>
              <w:t>-27.0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055C52A4" w:rsidR="002C0A8D" w:rsidRPr="002C0A8D" w:rsidRDefault="002C0A8D" w:rsidP="002C0A8D">
            <w:pPr>
              <w:tabs>
                <w:tab w:val="decimal" w:pos="392"/>
              </w:tabs>
              <w:jc w:val="left"/>
              <w:rPr>
                <w:sz w:val="16"/>
                <w:szCs w:val="16"/>
                <w:lang w:val="es-MX" w:eastAsia="es-MX"/>
              </w:rPr>
            </w:pPr>
            <w:r w:rsidRPr="002C0A8D">
              <w:rPr>
                <w:sz w:val="16"/>
                <w:szCs w:val="16"/>
              </w:rPr>
              <w:t>1.8</w:t>
            </w:r>
          </w:p>
        </w:tc>
      </w:tr>
      <w:tr w:rsidR="002C0A8D" w:rsidRPr="00F87E34" w14:paraId="16EF790E" w14:textId="77777777" w:rsidTr="00AA0BAD">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2C0A8D" w:rsidRPr="00F87E34" w:rsidRDefault="002C0A8D" w:rsidP="002C0A8D">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2C0A8D" w:rsidRPr="00F87E34" w:rsidRDefault="002C0A8D" w:rsidP="002C0A8D">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0E0FE1E8" w:rsidR="002C0A8D" w:rsidRPr="002C0A8D" w:rsidRDefault="002C0A8D" w:rsidP="002C0A8D">
            <w:pPr>
              <w:tabs>
                <w:tab w:val="decimal" w:pos="450"/>
              </w:tabs>
              <w:jc w:val="left"/>
              <w:rPr>
                <w:sz w:val="16"/>
                <w:szCs w:val="16"/>
                <w:lang w:val="es-MX" w:eastAsia="es-MX"/>
              </w:rPr>
            </w:pPr>
            <w:r w:rsidRPr="002C0A8D">
              <w:rPr>
                <w:sz w:val="16"/>
                <w:szCs w:val="16"/>
              </w:rPr>
              <w:t>8.7</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28B27325" w:rsidR="002C0A8D" w:rsidRPr="002C0A8D" w:rsidRDefault="002C0A8D" w:rsidP="002C0A8D">
            <w:pPr>
              <w:tabs>
                <w:tab w:val="decimal" w:pos="392"/>
              </w:tabs>
              <w:jc w:val="left"/>
              <w:rPr>
                <w:sz w:val="16"/>
                <w:szCs w:val="16"/>
                <w:lang w:val="es-MX" w:eastAsia="es-MX"/>
              </w:rPr>
            </w:pPr>
            <w:r w:rsidRPr="002C0A8D">
              <w:rPr>
                <w:sz w:val="16"/>
                <w:szCs w:val="16"/>
              </w:rPr>
              <w:t>-10.9</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26B73228" w:rsidR="002C0A8D" w:rsidRPr="002C0A8D" w:rsidRDefault="002C0A8D" w:rsidP="002C0A8D">
            <w:pPr>
              <w:tabs>
                <w:tab w:val="decimal" w:pos="450"/>
              </w:tabs>
              <w:jc w:val="left"/>
              <w:rPr>
                <w:sz w:val="16"/>
                <w:szCs w:val="16"/>
                <w:lang w:val="es-MX" w:eastAsia="es-MX"/>
              </w:rPr>
            </w:pPr>
            <w:r w:rsidRPr="002C0A8D">
              <w:rPr>
                <w:sz w:val="16"/>
                <w:szCs w:val="16"/>
              </w:rPr>
              <w:t>-10.7</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2D850D8F" w:rsidR="002C0A8D" w:rsidRPr="002C0A8D" w:rsidRDefault="002C0A8D" w:rsidP="002C0A8D">
            <w:pPr>
              <w:tabs>
                <w:tab w:val="decimal" w:pos="406"/>
              </w:tabs>
              <w:jc w:val="left"/>
              <w:rPr>
                <w:sz w:val="16"/>
                <w:szCs w:val="16"/>
                <w:lang w:val="es-MX" w:eastAsia="es-MX"/>
              </w:rPr>
            </w:pPr>
            <w:r w:rsidRPr="002C0A8D">
              <w:rPr>
                <w:sz w:val="16"/>
                <w:szCs w:val="16"/>
              </w:rPr>
              <w:t>-5.8</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3869F4DB" w:rsidR="002C0A8D" w:rsidRPr="002C0A8D" w:rsidRDefault="002C0A8D" w:rsidP="002C0A8D">
            <w:pPr>
              <w:tabs>
                <w:tab w:val="decimal" w:pos="392"/>
              </w:tabs>
              <w:jc w:val="left"/>
              <w:rPr>
                <w:sz w:val="16"/>
                <w:szCs w:val="16"/>
                <w:lang w:val="es-MX" w:eastAsia="es-MX"/>
              </w:rPr>
            </w:pPr>
            <w:r w:rsidRPr="002C0A8D">
              <w:rPr>
                <w:sz w:val="16"/>
                <w:szCs w:val="16"/>
              </w:rPr>
              <w:t>11.9</w:t>
            </w:r>
          </w:p>
        </w:tc>
      </w:tr>
    </w:tbl>
    <w:p w14:paraId="5F97FDE6" w14:textId="5045007D"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136F0778"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9E5887">
        <w:rPr>
          <w:sz w:val="20"/>
          <w:szCs w:val="20"/>
        </w:rPr>
        <w:t>2</w:t>
      </w:r>
    </w:p>
    <w:p w14:paraId="23480E1D" w14:textId="4150B26E"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proofErr w:type="spellStart"/>
      <w:r w:rsidR="007A1EF6">
        <w:rPr>
          <w:b/>
          <w:smallCaps/>
          <w:sz w:val="20"/>
          <w:szCs w:val="20"/>
        </w:rPr>
        <w:t>febrer</w:t>
      </w:r>
      <w:r w:rsidR="00725B90" w:rsidRPr="0014145D">
        <w:rPr>
          <w:b/>
          <w:smallCaps/>
          <w:sz w:val="20"/>
          <w:szCs w:val="20"/>
        </w:rPr>
        <w:t>o</w:t>
      </w:r>
      <w:r w:rsidR="00467BD1" w:rsidRPr="0014145D">
        <w:rPr>
          <w:b/>
          <w:sz w:val="20"/>
          <w:szCs w:val="20"/>
          <w:vertAlign w:val="superscript"/>
        </w:rPr>
        <w:t>p</w:t>
      </w:r>
      <w:proofErr w:type="spellEnd"/>
      <w:r w:rsidR="00467BD1" w:rsidRPr="0014145D">
        <w:rPr>
          <w:b/>
          <w:smallCaps/>
          <w:sz w:val="20"/>
          <w:szCs w:val="20"/>
          <w:vertAlign w:val="superscript"/>
        </w:rPr>
        <w:t>/</w:t>
      </w:r>
      <w:r w:rsidR="00467BD1" w:rsidRPr="0014145D">
        <w:rPr>
          <w:b/>
          <w:smallCaps/>
          <w:sz w:val="20"/>
          <w:szCs w:val="20"/>
        </w:rPr>
        <w:t xml:space="preserve"> de </w:t>
      </w:r>
      <w:r w:rsidR="00DF5A6D" w:rsidRPr="0014145D">
        <w:rPr>
          <w:b/>
          <w:smallCaps/>
          <w:sz w:val="20"/>
          <w:szCs w:val="20"/>
        </w:rPr>
        <w:t>202</w:t>
      </w:r>
      <w:r w:rsidR="00725B90" w:rsidRPr="0014145D">
        <w:rPr>
          <w:b/>
          <w:smallCaps/>
          <w:sz w:val="20"/>
          <w:szCs w:val="20"/>
        </w:rPr>
        <w:t>3</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43B77E07" w:rsidR="00B36B9B" w:rsidRPr="00F87E34" w:rsidRDefault="0098208F" w:rsidP="00457A06">
            <w:pPr>
              <w:spacing w:before="40" w:after="40"/>
              <w:ind w:left="-57" w:right="-40"/>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1B237783" w:rsidR="00B36B9B" w:rsidRPr="00F87E34" w:rsidRDefault="0098208F" w:rsidP="00770BFA">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5E3CAF14"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49095DA" w:rsidR="00B36B9B" w:rsidRPr="00F87E34" w:rsidRDefault="0098208F" w:rsidP="00FB4F25">
            <w:pPr>
              <w:spacing w:before="40" w:after="40"/>
              <w:ind w:left="-56" w:right="-39"/>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37B3F8F4" w:rsidR="00B36B9B" w:rsidRPr="00F87E34" w:rsidRDefault="0098208F" w:rsidP="00FB4F25">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02DFB0EE"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r>
      <w:tr w:rsidR="00540D6C" w:rsidRPr="00F87E34" w14:paraId="6191BF9B" w14:textId="77777777" w:rsidTr="00AA0BAD">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540D6C" w:rsidRPr="00F87E34" w:rsidRDefault="00540D6C" w:rsidP="00540D6C">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34E6AEDD" w:rsidR="00540D6C" w:rsidRPr="00540D6C" w:rsidRDefault="00540D6C" w:rsidP="00540D6C">
            <w:pPr>
              <w:tabs>
                <w:tab w:val="decimal" w:pos="508"/>
              </w:tabs>
              <w:jc w:val="left"/>
              <w:rPr>
                <w:b/>
                <w:bCs/>
                <w:sz w:val="16"/>
                <w:szCs w:val="16"/>
              </w:rPr>
            </w:pPr>
            <w:r w:rsidRPr="00540D6C">
              <w:rPr>
                <w:b/>
                <w:bCs/>
                <w:sz w:val="16"/>
                <w:szCs w:val="16"/>
              </w:rPr>
              <w:t>-1.7</w:t>
            </w:r>
          </w:p>
        </w:tc>
        <w:tc>
          <w:tcPr>
            <w:tcW w:w="942" w:type="dxa"/>
            <w:tcBorders>
              <w:top w:val="single" w:sz="6" w:space="0" w:color="404040"/>
              <w:left w:val="nil"/>
              <w:bottom w:val="nil"/>
              <w:right w:val="nil"/>
            </w:tcBorders>
            <w:shd w:val="clear" w:color="auto" w:fill="auto"/>
            <w:noWrap/>
            <w:vAlign w:val="center"/>
          </w:tcPr>
          <w:p w14:paraId="0BF31045" w14:textId="73609EE0" w:rsidR="00540D6C" w:rsidRPr="00540D6C" w:rsidRDefault="00540D6C" w:rsidP="00540D6C">
            <w:pPr>
              <w:tabs>
                <w:tab w:val="decimal" w:pos="480"/>
              </w:tabs>
              <w:jc w:val="left"/>
              <w:rPr>
                <w:b/>
                <w:bCs/>
                <w:sz w:val="16"/>
                <w:szCs w:val="16"/>
              </w:rPr>
            </w:pPr>
            <w:r w:rsidRPr="00540D6C">
              <w:rPr>
                <w:b/>
                <w:bCs/>
                <w:sz w:val="16"/>
                <w:szCs w:val="16"/>
              </w:rPr>
              <w:t>1.6</w:t>
            </w:r>
          </w:p>
        </w:tc>
        <w:tc>
          <w:tcPr>
            <w:tcW w:w="1042" w:type="dxa"/>
            <w:tcBorders>
              <w:top w:val="single" w:sz="6" w:space="0" w:color="404040"/>
              <w:left w:val="nil"/>
              <w:bottom w:val="nil"/>
              <w:right w:val="nil"/>
            </w:tcBorders>
            <w:shd w:val="clear" w:color="auto" w:fill="auto"/>
            <w:noWrap/>
            <w:vAlign w:val="center"/>
          </w:tcPr>
          <w:p w14:paraId="06C3DB72" w14:textId="332C8DE5" w:rsidR="00540D6C" w:rsidRPr="00540D6C" w:rsidRDefault="00540D6C" w:rsidP="00540D6C">
            <w:pPr>
              <w:tabs>
                <w:tab w:val="decimal" w:pos="508"/>
              </w:tabs>
              <w:jc w:val="left"/>
              <w:rPr>
                <w:b/>
                <w:bCs/>
                <w:sz w:val="16"/>
                <w:szCs w:val="16"/>
              </w:rPr>
            </w:pPr>
            <w:r w:rsidRPr="00540D6C">
              <w:rPr>
                <w:b/>
                <w:bCs/>
                <w:sz w:val="16"/>
                <w:szCs w:val="16"/>
              </w:rPr>
              <w:t>1.8</w:t>
            </w:r>
          </w:p>
        </w:tc>
        <w:tc>
          <w:tcPr>
            <w:tcW w:w="991" w:type="dxa"/>
            <w:tcBorders>
              <w:top w:val="single" w:sz="6" w:space="0" w:color="404040"/>
              <w:left w:val="nil"/>
              <w:bottom w:val="nil"/>
              <w:right w:val="nil"/>
            </w:tcBorders>
            <w:shd w:val="clear" w:color="auto" w:fill="auto"/>
            <w:noWrap/>
            <w:vAlign w:val="center"/>
          </w:tcPr>
          <w:p w14:paraId="22C6569E" w14:textId="3E2B1529" w:rsidR="00540D6C" w:rsidRPr="00540D6C" w:rsidRDefault="00540D6C" w:rsidP="00540D6C">
            <w:pPr>
              <w:tabs>
                <w:tab w:val="decimal" w:pos="458"/>
              </w:tabs>
              <w:jc w:val="left"/>
              <w:rPr>
                <w:b/>
                <w:sz w:val="16"/>
                <w:szCs w:val="16"/>
              </w:rPr>
            </w:pPr>
            <w:r w:rsidRPr="00540D6C">
              <w:rPr>
                <w:b/>
                <w:bCs/>
                <w:sz w:val="16"/>
                <w:szCs w:val="16"/>
              </w:rPr>
              <w:t>3.4</w:t>
            </w:r>
          </w:p>
        </w:tc>
        <w:tc>
          <w:tcPr>
            <w:tcW w:w="934" w:type="dxa"/>
            <w:tcBorders>
              <w:top w:val="single" w:sz="6" w:space="0" w:color="404040"/>
              <w:left w:val="nil"/>
              <w:bottom w:val="nil"/>
              <w:right w:val="nil"/>
            </w:tcBorders>
            <w:shd w:val="clear" w:color="auto" w:fill="auto"/>
            <w:noWrap/>
            <w:vAlign w:val="center"/>
          </w:tcPr>
          <w:p w14:paraId="2DF5B9B3" w14:textId="0A8832F3" w:rsidR="00540D6C" w:rsidRPr="00540D6C" w:rsidRDefault="00540D6C" w:rsidP="00540D6C">
            <w:pPr>
              <w:tabs>
                <w:tab w:val="decimal" w:pos="444"/>
              </w:tabs>
              <w:jc w:val="left"/>
              <w:rPr>
                <w:b/>
                <w:bCs/>
                <w:sz w:val="16"/>
                <w:szCs w:val="16"/>
              </w:rPr>
            </w:pPr>
            <w:r w:rsidRPr="00540D6C">
              <w:rPr>
                <w:b/>
                <w:bCs/>
                <w:sz w:val="16"/>
                <w:szCs w:val="16"/>
              </w:rPr>
              <w:t>-0.5</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65B2AE16" w:rsidR="00540D6C" w:rsidRPr="00540D6C" w:rsidRDefault="00540D6C" w:rsidP="00540D6C">
            <w:pPr>
              <w:tabs>
                <w:tab w:val="decimal" w:pos="504"/>
              </w:tabs>
              <w:jc w:val="left"/>
              <w:rPr>
                <w:b/>
                <w:bCs/>
                <w:sz w:val="16"/>
                <w:szCs w:val="16"/>
              </w:rPr>
            </w:pPr>
            <w:r w:rsidRPr="00540D6C">
              <w:rPr>
                <w:b/>
                <w:bCs/>
                <w:sz w:val="16"/>
                <w:szCs w:val="16"/>
              </w:rPr>
              <w:t>5.6</w:t>
            </w:r>
          </w:p>
        </w:tc>
      </w:tr>
      <w:tr w:rsidR="00540D6C" w:rsidRPr="00F87E34" w14:paraId="22FE8CE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540D6C" w:rsidRPr="00F87E34" w:rsidRDefault="00540D6C" w:rsidP="00540D6C">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6D8A920E" w:rsidR="00540D6C" w:rsidRPr="00540D6C" w:rsidRDefault="00540D6C" w:rsidP="00540D6C">
            <w:pPr>
              <w:tabs>
                <w:tab w:val="decimal" w:pos="508"/>
              </w:tabs>
              <w:jc w:val="left"/>
              <w:rPr>
                <w:bCs/>
                <w:sz w:val="16"/>
                <w:szCs w:val="16"/>
              </w:rPr>
            </w:pPr>
            <w:r w:rsidRPr="00540D6C">
              <w:rPr>
                <w:sz w:val="16"/>
                <w:szCs w:val="16"/>
              </w:rPr>
              <w:t>1.5</w:t>
            </w:r>
          </w:p>
        </w:tc>
        <w:tc>
          <w:tcPr>
            <w:tcW w:w="942" w:type="dxa"/>
            <w:tcBorders>
              <w:top w:val="nil"/>
              <w:left w:val="nil"/>
              <w:bottom w:val="nil"/>
              <w:right w:val="nil"/>
            </w:tcBorders>
            <w:shd w:val="clear" w:color="auto" w:fill="auto"/>
            <w:noWrap/>
            <w:vAlign w:val="center"/>
          </w:tcPr>
          <w:p w14:paraId="65AE1AE2" w14:textId="676867AA" w:rsidR="00540D6C" w:rsidRPr="00540D6C" w:rsidRDefault="00540D6C" w:rsidP="00540D6C">
            <w:pPr>
              <w:tabs>
                <w:tab w:val="decimal" w:pos="480"/>
              </w:tabs>
              <w:jc w:val="left"/>
              <w:rPr>
                <w:bCs/>
                <w:sz w:val="16"/>
                <w:szCs w:val="16"/>
              </w:rPr>
            </w:pPr>
            <w:r w:rsidRPr="00540D6C">
              <w:rPr>
                <w:sz w:val="16"/>
                <w:szCs w:val="16"/>
              </w:rPr>
              <w:t>2.8</w:t>
            </w:r>
          </w:p>
        </w:tc>
        <w:tc>
          <w:tcPr>
            <w:tcW w:w="1042" w:type="dxa"/>
            <w:tcBorders>
              <w:top w:val="nil"/>
              <w:left w:val="nil"/>
              <w:bottom w:val="nil"/>
              <w:right w:val="nil"/>
            </w:tcBorders>
            <w:shd w:val="clear" w:color="auto" w:fill="auto"/>
            <w:noWrap/>
            <w:vAlign w:val="center"/>
          </w:tcPr>
          <w:p w14:paraId="634A436A" w14:textId="498AA10B" w:rsidR="00540D6C" w:rsidRPr="00540D6C" w:rsidRDefault="00540D6C" w:rsidP="00540D6C">
            <w:pPr>
              <w:tabs>
                <w:tab w:val="decimal" w:pos="508"/>
              </w:tabs>
              <w:jc w:val="left"/>
              <w:rPr>
                <w:bCs/>
                <w:sz w:val="16"/>
                <w:szCs w:val="16"/>
              </w:rPr>
            </w:pPr>
            <w:r w:rsidRPr="00540D6C">
              <w:rPr>
                <w:sz w:val="16"/>
                <w:szCs w:val="16"/>
              </w:rPr>
              <w:t>-1.5</w:t>
            </w:r>
          </w:p>
        </w:tc>
        <w:tc>
          <w:tcPr>
            <w:tcW w:w="991" w:type="dxa"/>
            <w:tcBorders>
              <w:top w:val="nil"/>
              <w:left w:val="nil"/>
              <w:bottom w:val="nil"/>
              <w:right w:val="nil"/>
            </w:tcBorders>
            <w:shd w:val="clear" w:color="auto" w:fill="auto"/>
            <w:noWrap/>
            <w:vAlign w:val="center"/>
          </w:tcPr>
          <w:p w14:paraId="33092841" w14:textId="4B7C355D" w:rsidR="00540D6C" w:rsidRPr="00540D6C" w:rsidRDefault="00540D6C" w:rsidP="00540D6C">
            <w:pPr>
              <w:tabs>
                <w:tab w:val="decimal" w:pos="458"/>
              </w:tabs>
              <w:jc w:val="left"/>
              <w:rPr>
                <w:sz w:val="16"/>
                <w:szCs w:val="16"/>
              </w:rPr>
            </w:pPr>
            <w:r w:rsidRPr="00540D6C">
              <w:rPr>
                <w:sz w:val="16"/>
                <w:szCs w:val="16"/>
              </w:rPr>
              <w:t>5.9</w:t>
            </w:r>
          </w:p>
        </w:tc>
        <w:tc>
          <w:tcPr>
            <w:tcW w:w="934" w:type="dxa"/>
            <w:tcBorders>
              <w:top w:val="nil"/>
              <w:left w:val="nil"/>
              <w:bottom w:val="nil"/>
              <w:right w:val="nil"/>
            </w:tcBorders>
            <w:shd w:val="clear" w:color="auto" w:fill="auto"/>
            <w:noWrap/>
            <w:vAlign w:val="center"/>
          </w:tcPr>
          <w:p w14:paraId="015A0AED" w14:textId="6FF4F273" w:rsidR="00540D6C" w:rsidRPr="00540D6C" w:rsidRDefault="00540D6C" w:rsidP="00540D6C">
            <w:pPr>
              <w:tabs>
                <w:tab w:val="decimal" w:pos="444"/>
              </w:tabs>
              <w:jc w:val="left"/>
              <w:rPr>
                <w:bCs/>
                <w:sz w:val="16"/>
                <w:szCs w:val="16"/>
              </w:rPr>
            </w:pPr>
            <w:r w:rsidRPr="00540D6C">
              <w:rPr>
                <w:sz w:val="16"/>
                <w:szCs w:val="16"/>
              </w:rPr>
              <w:t>1.6</w:t>
            </w:r>
          </w:p>
        </w:tc>
        <w:tc>
          <w:tcPr>
            <w:tcW w:w="1050" w:type="dxa"/>
            <w:tcBorders>
              <w:top w:val="nil"/>
              <w:left w:val="nil"/>
              <w:bottom w:val="nil"/>
              <w:right w:val="single" w:sz="8" w:space="0" w:color="404040"/>
            </w:tcBorders>
            <w:shd w:val="clear" w:color="auto" w:fill="auto"/>
            <w:noWrap/>
            <w:vAlign w:val="center"/>
          </w:tcPr>
          <w:p w14:paraId="7661DA3F" w14:textId="3D1CE93E" w:rsidR="00540D6C" w:rsidRPr="00540D6C" w:rsidRDefault="00540D6C" w:rsidP="00540D6C">
            <w:pPr>
              <w:tabs>
                <w:tab w:val="decimal" w:pos="504"/>
              </w:tabs>
              <w:jc w:val="left"/>
              <w:rPr>
                <w:bCs/>
                <w:sz w:val="16"/>
                <w:szCs w:val="16"/>
              </w:rPr>
            </w:pPr>
            <w:r w:rsidRPr="00540D6C">
              <w:rPr>
                <w:sz w:val="16"/>
                <w:szCs w:val="16"/>
              </w:rPr>
              <w:t>0.8</w:t>
            </w:r>
          </w:p>
        </w:tc>
      </w:tr>
      <w:tr w:rsidR="00540D6C" w:rsidRPr="00F87E34" w14:paraId="137E942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540D6C" w:rsidRPr="00F87E34" w:rsidRDefault="00540D6C" w:rsidP="00540D6C">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65A8ECCB" w:rsidR="00540D6C" w:rsidRPr="00540D6C" w:rsidRDefault="00540D6C" w:rsidP="00540D6C">
            <w:pPr>
              <w:tabs>
                <w:tab w:val="decimal" w:pos="508"/>
              </w:tabs>
              <w:jc w:val="left"/>
              <w:rPr>
                <w:bCs/>
                <w:sz w:val="16"/>
                <w:szCs w:val="16"/>
              </w:rPr>
            </w:pPr>
            <w:r w:rsidRPr="00540D6C">
              <w:rPr>
                <w:sz w:val="16"/>
                <w:szCs w:val="16"/>
              </w:rPr>
              <w:t>-2.1</w:t>
            </w:r>
          </w:p>
        </w:tc>
        <w:tc>
          <w:tcPr>
            <w:tcW w:w="942" w:type="dxa"/>
            <w:tcBorders>
              <w:top w:val="nil"/>
              <w:left w:val="nil"/>
              <w:bottom w:val="nil"/>
              <w:right w:val="nil"/>
            </w:tcBorders>
            <w:shd w:val="clear" w:color="auto" w:fill="auto"/>
            <w:noWrap/>
            <w:vAlign w:val="center"/>
          </w:tcPr>
          <w:p w14:paraId="68EAC415" w14:textId="0369787C" w:rsidR="00540D6C" w:rsidRPr="00540D6C" w:rsidRDefault="00540D6C" w:rsidP="00540D6C">
            <w:pPr>
              <w:tabs>
                <w:tab w:val="decimal" w:pos="480"/>
              </w:tabs>
              <w:jc w:val="left"/>
              <w:rPr>
                <w:bCs/>
                <w:sz w:val="16"/>
                <w:szCs w:val="16"/>
              </w:rPr>
            </w:pPr>
            <w:r w:rsidRPr="00540D6C">
              <w:rPr>
                <w:sz w:val="16"/>
                <w:szCs w:val="16"/>
              </w:rPr>
              <w:t>1.9</w:t>
            </w:r>
          </w:p>
        </w:tc>
        <w:tc>
          <w:tcPr>
            <w:tcW w:w="1042" w:type="dxa"/>
            <w:tcBorders>
              <w:top w:val="nil"/>
              <w:left w:val="nil"/>
              <w:bottom w:val="nil"/>
              <w:right w:val="nil"/>
            </w:tcBorders>
            <w:shd w:val="clear" w:color="auto" w:fill="auto"/>
            <w:noWrap/>
            <w:vAlign w:val="center"/>
          </w:tcPr>
          <w:p w14:paraId="11713FC2" w14:textId="2E55DDB0" w:rsidR="00540D6C" w:rsidRPr="00540D6C" w:rsidRDefault="00540D6C" w:rsidP="00540D6C">
            <w:pPr>
              <w:tabs>
                <w:tab w:val="decimal" w:pos="508"/>
              </w:tabs>
              <w:jc w:val="left"/>
              <w:rPr>
                <w:bCs/>
                <w:sz w:val="16"/>
                <w:szCs w:val="16"/>
              </w:rPr>
            </w:pPr>
            <w:r w:rsidRPr="00540D6C">
              <w:rPr>
                <w:sz w:val="16"/>
                <w:szCs w:val="16"/>
              </w:rPr>
              <w:t>4.5</w:t>
            </w:r>
          </w:p>
        </w:tc>
        <w:tc>
          <w:tcPr>
            <w:tcW w:w="991" w:type="dxa"/>
            <w:tcBorders>
              <w:top w:val="nil"/>
              <w:left w:val="nil"/>
              <w:bottom w:val="nil"/>
              <w:right w:val="nil"/>
            </w:tcBorders>
            <w:shd w:val="clear" w:color="auto" w:fill="auto"/>
            <w:noWrap/>
            <w:vAlign w:val="center"/>
          </w:tcPr>
          <w:p w14:paraId="40A7BF0E" w14:textId="72405A30" w:rsidR="00540D6C" w:rsidRPr="00540D6C" w:rsidRDefault="00540D6C" w:rsidP="00540D6C">
            <w:pPr>
              <w:tabs>
                <w:tab w:val="decimal" w:pos="458"/>
              </w:tabs>
              <w:jc w:val="left"/>
              <w:rPr>
                <w:sz w:val="16"/>
                <w:szCs w:val="16"/>
              </w:rPr>
            </w:pPr>
            <w:r w:rsidRPr="00540D6C">
              <w:rPr>
                <w:sz w:val="16"/>
                <w:szCs w:val="16"/>
              </w:rPr>
              <w:t>2.7</w:t>
            </w:r>
          </w:p>
        </w:tc>
        <w:tc>
          <w:tcPr>
            <w:tcW w:w="934" w:type="dxa"/>
            <w:tcBorders>
              <w:top w:val="nil"/>
              <w:left w:val="nil"/>
              <w:bottom w:val="nil"/>
              <w:right w:val="nil"/>
            </w:tcBorders>
            <w:shd w:val="clear" w:color="auto" w:fill="auto"/>
            <w:noWrap/>
            <w:vAlign w:val="center"/>
          </w:tcPr>
          <w:p w14:paraId="7E596428" w14:textId="4A0826F3" w:rsidR="00540D6C" w:rsidRPr="00540D6C" w:rsidRDefault="00540D6C" w:rsidP="00540D6C">
            <w:pPr>
              <w:tabs>
                <w:tab w:val="decimal" w:pos="444"/>
              </w:tabs>
              <w:jc w:val="left"/>
              <w:rPr>
                <w:sz w:val="16"/>
                <w:szCs w:val="16"/>
              </w:rPr>
            </w:pPr>
            <w:r w:rsidRPr="00540D6C">
              <w:rPr>
                <w:sz w:val="16"/>
                <w:szCs w:val="16"/>
              </w:rPr>
              <w:t>6.1</w:t>
            </w:r>
          </w:p>
        </w:tc>
        <w:tc>
          <w:tcPr>
            <w:tcW w:w="1050" w:type="dxa"/>
            <w:tcBorders>
              <w:top w:val="nil"/>
              <w:left w:val="nil"/>
              <w:bottom w:val="nil"/>
              <w:right w:val="single" w:sz="8" w:space="0" w:color="404040"/>
            </w:tcBorders>
            <w:shd w:val="clear" w:color="auto" w:fill="auto"/>
            <w:noWrap/>
            <w:vAlign w:val="center"/>
          </w:tcPr>
          <w:p w14:paraId="46645E33" w14:textId="48BF8EE0" w:rsidR="00540D6C" w:rsidRPr="00540D6C" w:rsidRDefault="00540D6C" w:rsidP="00540D6C">
            <w:pPr>
              <w:tabs>
                <w:tab w:val="decimal" w:pos="504"/>
              </w:tabs>
              <w:jc w:val="left"/>
              <w:rPr>
                <w:sz w:val="16"/>
                <w:szCs w:val="16"/>
              </w:rPr>
            </w:pPr>
            <w:r w:rsidRPr="00540D6C">
              <w:rPr>
                <w:sz w:val="16"/>
                <w:szCs w:val="16"/>
              </w:rPr>
              <w:t>6.9</w:t>
            </w:r>
          </w:p>
        </w:tc>
      </w:tr>
      <w:tr w:rsidR="00540D6C" w:rsidRPr="00F87E34" w14:paraId="3A583C2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540D6C" w:rsidRPr="00F87E34" w:rsidRDefault="00540D6C" w:rsidP="00540D6C">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5A38D65A" w:rsidR="00540D6C" w:rsidRPr="00540D6C" w:rsidRDefault="00540D6C" w:rsidP="00540D6C">
            <w:pPr>
              <w:tabs>
                <w:tab w:val="decimal" w:pos="508"/>
              </w:tabs>
              <w:jc w:val="left"/>
              <w:rPr>
                <w:bCs/>
                <w:sz w:val="16"/>
                <w:szCs w:val="16"/>
              </w:rPr>
            </w:pPr>
            <w:r w:rsidRPr="00540D6C">
              <w:rPr>
                <w:sz w:val="16"/>
                <w:szCs w:val="16"/>
              </w:rPr>
              <w:t>-2.5</w:t>
            </w:r>
          </w:p>
        </w:tc>
        <w:tc>
          <w:tcPr>
            <w:tcW w:w="942" w:type="dxa"/>
            <w:tcBorders>
              <w:top w:val="nil"/>
              <w:left w:val="nil"/>
              <w:bottom w:val="nil"/>
              <w:right w:val="nil"/>
            </w:tcBorders>
            <w:shd w:val="clear" w:color="auto" w:fill="auto"/>
            <w:noWrap/>
            <w:vAlign w:val="center"/>
          </w:tcPr>
          <w:p w14:paraId="412635B7" w14:textId="53599A56" w:rsidR="00540D6C" w:rsidRPr="00540D6C" w:rsidRDefault="00540D6C" w:rsidP="00540D6C">
            <w:pPr>
              <w:tabs>
                <w:tab w:val="decimal" w:pos="480"/>
              </w:tabs>
              <w:jc w:val="left"/>
              <w:rPr>
                <w:bCs/>
                <w:sz w:val="16"/>
                <w:szCs w:val="16"/>
              </w:rPr>
            </w:pPr>
            <w:r w:rsidRPr="00540D6C">
              <w:rPr>
                <w:sz w:val="16"/>
                <w:szCs w:val="16"/>
              </w:rPr>
              <w:t>3.6</w:t>
            </w:r>
          </w:p>
        </w:tc>
        <w:tc>
          <w:tcPr>
            <w:tcW w:w="1042" w:type="dxa"/>
            <w:tcBorders>
              <w:top w:val="nil"/>
              <w:left w:val="nil"/>
              <w:bottom w:val="nil"/>
              <w:right w:val="nil"/>
            </w:tcBorders>
            <w:shd w:val="clear" w:color="auto" w:fill="auto"/>
            <w:noWrap/>
            <w:vAlign w:val="center"/>
          </w:tcPr>
          <w:p w14:paraId="71E7799B" w14:textId="45DF2F24" w:rsidR="00540D6C" w:rsidRPr="00540D6C" w:rsidRDefault="00540D6C" w:rsidP="00540D6C">
            <w:pPr>
              <w:tabs>
                <w:tab w:val="decimal" w:pos="508"/>
              </w:tabs>
              <w:jc w:val="left"/>
              <w:rPr>
                <w:bCs/>
                <w:sz w:val="16"/>
                <w:szCs w:val="16"/>
              </w:rPr>
            </w:pPr>
            <w:r w:rsidRPr="00540D6C">
              <w:rPr>
                <w:sz w:val="16"/>
                <w:szCs w:val="16"/>
              </w:rPr>
              <w:t>1.7</w:t>
            </w:r>
          </w:p>
        </w:tc>
        <w:tc>
          <w:tcPr>
            <w:tcW w:w="991" w:type="dxa"/>
            <w:tcBorders>
              <w:top w:val="nil"/>
              <w:left w:val="nil"/>
              <w:bottom w:val="nil"/>
              <w:right w:val="nil"/>
            </w:tcBorders>
            <w:shd w:val="clear" w:color="auto" w:fill="auto"/>
            <w:noWrap/>
            <w:vAlign w:val="center"/>
          </w:tcPr>
          <w:p w14:paraId="58311E20" w14:textId="5B6BD997" w:rsidR="00540D6C" w:rsidRPr="00540D6C" w:rsidRDefault="00540D6C" w:rsidP="00540D6C">
            <w:pPr>
              <w:tabs>
                <w:tab w:val="decimal" w:pos="458"/>
              </w:tabs>
              <w:jc w:val="left"/>
              <w:rPr>
                <w:sz w:val="16"/>
                <w:szCs w:val="16"/>
              </w:rPr>
            </w:pPr>
            <w:r w:rsidRPr="00540D6C">
              <w:rPr>
                <w:sz w:val="16"/>
                <w:szCs w:val="16"/>
              </w:rPr>
              <w:t>5.7</w:t>
            </w:r>
          </w:p>
        </w:tc>
        <w:tc>
          <w:tcPr>
            <w:tcW w:w="934" w:type="dxa"/>
            <w:tcBorders>
              <w:top w:val="nil"/>
              <w:left w:val="nil"/>
              <w:bottom w:val="nil"/>
              <w:right w:val="nil"/>
            </w:tcBorders>
            <w:shd w:val="clear" w:color="auto" w:fill="auto"/>
            <w:noWrap/>
            <w:vAlign w:val="center"/>
          </w:tcPr>
          <w:p w14:paraId="6F5DA456" w14:textId="0B1459CD" w:rsidR="00540D6C" w:rsidRPr="00540D6C" w:rsidRDefault="00540D6C" w:rsidP="00540D6C">
            <w:pPr>
              <w:tabs>
                <w:tab w:val="decimal" w:pos="444"/>
              </w:tabs>
              <w:jc w:val="left"/>
              <w:rPr>
                <w:sz w:val="16"/>
                <w:szCs w:val="16"/>
              </w:rPr>
            </w:pPr>
            <w:r w:rsidRPr="00540D6C">
              <w:rPr>
                <w:sz w:val="16"/>
                <w:szCs w:val="16"/>
              </w:rPr>
              <w:t>2.3</w:t>
            </w:r>
          </w:p>
        </w:tc>
        <w:tc>
          <w:tcPr>
            <w:tcW w:w="1050" w:type="dxa"/>
            <w:tcBorders>
              <w:top w:val="nil"/>
              <w:left w:val="nil"/>
              <w:bottom w:val="nil"/>
              <w:right w:val="single" w:sz="8" w:space="0" w:color="404040"/>
            </w:tcBorders>
            <w:shd w:val="clear" w:color="auto" w:fill="auto"/>
            <w:noWrap/>
            <w:vAlign w:val="center"/>
          </w:tcPr>
          <w:p w14:paraId="76767AF7" w14:textId="0E0BDEFC" w:rsidR="00540D6C" w:rsidRPr="00540D6C" w:rsidRDefault="00540D6C" w:rsidP="00540D6C">
            <w:pPr>
              <w:tabs>
                <w:tab w:val="decimal" w:pos="504"/>
              </w:tabs>
              <w:jc w:val="left"/>
              <w:rPr>
                <w:sz w:val="16"/>
                <w:szCs w:val="16"/>
              </w:rPr>
            </w:pPr>
            <w:r w:rsidRPr="00540D6C">
              <w:rPr>
                <w:sz w:val="16"/>
                <w:szCs w:val="16"/>
              </w:rPr>
              <w:t>4.6</w:t>
            </w:r>
          </w:p>
        </w:tc>
      </w:tr>
      <w:tr w:rsidR="00540D6C" w:rsidRPr="00F87E34" w14:paraId="0E0D319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540D6C" w:rsidRPr="00F87E34" w:rsidRDefault="00540D6C" w:rsidP="00540D6C">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65D705C4" w:rsidR="00540D6C" w:rsidRPr="00540D6C" w:rsidRDefault="00540D6C" w:rsidP="00540D6C">
            <w:pPr>
              <w:tabs>
                <w:tab w:val="decimal" w:pos="508"/>
              </w:tabs>
              <w:jc w:val="left"/>
              <w:rPr>
                <w:bCs/>
                <w:sz w:val="16"/>
                <w:szCs w:val="16"/>
              </w:rPr>
            </w:pPr>
            <w:r w:rsidRPr="00540D6C">
              <w:rPr>
                <w:sz w:val="16"/>
                <w:szCs w:val="16"/>
              </w:rPr>
              <w:t>-6.7</w:t>
            </w:r>
          </w:p>
        </w:tc>
        <w:tc>
          <w:tcPr>
            <w:tcW w:w="942" w:type="dxa"/>
            <w:tcBorders>
              <w:top w:val="nil"/>
              <w:left w:val="nil"/>
              <w:bottom w:val="nil"/>
              <w:right w:val="nil"/>
            </w:tcBorders>
            <w:shd w:val="clear" w:color="auto" w:fill="auto"/>
            <w:noWrap/>
            <w:vAlign w:val="center"/>
          </w:tcPr>
          <w:p w14:paraId="04C14569" w14:textId="2DC69503" w:rsidR="00540D6C" w:rsidRPr="00540D6C" w:rsidRDefault="00540D6C" w:rsidP="00540D6C">
            <w:pPr>
              <w:tabs>
                <w:tab w:val="decimal" w:pos="480"/>
              </w:tabs>
              <w:jc w:val="left"/>
              <w:rPr>
                <w:bCs/>
                <w:sz w:val="16"/>
                <w:szCs w:val="16"/>
              </w:rPr>
            </w:pPr>
            <w:r w:rsidRPr="00540D6C">
              <w:rPr>
                <w:sz w:val="16"/>
                <w:szCs w:val="16"/>
              </w:rPr>
              <w:t>2.5</w:t>
            </w:r>
          </w:p>
        </w:tc>
        <w:tc>
          <w:tcPr>
            <w:tcW w:w="1042" w:type="dxa"/>
            <w:tcBorders>
              <w:top w:val="nil"/>
              <w:left w:val="nil"/>
              <w:bottom w:val="nil"/>
              <w:right w:val="nil"/>
            </w:tcBorders>
            <w:shd w:val="clear" w:color="auto" w:fill="auto"/>
            <w:noWrap/>
            <w:vAlign w:val="center"/>
          </w:tcPr>
          <w:p w14:paraId="0590892A" w14:textId="20EB4D1E" w:rsidR="00540D6C" w:rsidRPr="00540D6C" w:rsidRDefault="00540D6C" w:rsidP="00540D6C">
            <w:pPr>
              <w:tabs>
                <w:tab w:val="decimal" w:pos="508"/>
              </w:tabs>
              <w:jc w:val="left"/>
              <w:rPr>
                <w:bCs/>
                <w:sz w:val="16"/>
                <w:szCs w:val="16"/>
              </w:rPr>
            </w:pPr>
            <w:r w:rsidRPr="00540D6C">
              <w:rPr>
                <w:sz w:val="16"/>
                <w:szCs w:val="16"/>
              </w:rPr>
              <w:t>-3.4</w:t>
            </w:r>
          </w:p>
        </w:tc>
        <w:tc>
          <w:tcPr>
            <w:tcW w:w="991" w:type="dxa"/>
            <w:tcBorders>
              <w:top w:val="nil"/>
              <w:left w:val="nil"/>
              <w:bottom w:val="nil"/>
              <w:right w:val="nil"/>
            </w:tcBorders>
            <w:shd w:val="clear" w:color="auto" w:fill="auto"/>
            <w:noWrap/>
            <w:vAlign w:val="center"/>
          </w:tcPr>
          <w:p w14:paraId="14EAD6B2" w14:textId="0341BDD3" w:rsidR="00540D6C" w:rsidRPr="00540D6C" w:rsidRDefault="00540D6C" w:rsidP="00540D6C">
            <w:pPr>
              <w:tabs>
                <w:tab w:val="decimal" w:pos="458"/>
              </w:tabs>
              <w:jc w:val="left"/>
              <w:rPr>
                <w:sz w:val="16"/>
                <w:szCs w:val="16"/>
              </w:rPr>
            </w:pPr>
            <w:r w:rsidRPr="00540D6C">
              <w:rPr>
                <w:sz w:val="16"/>
                <w:szCs w:val="16"/>
              </w:rPr>
              <w:t>3.6</w:t>
            </w:r>
          </w:p>
        </w:tc>
        <w:tc>
          <w:tcPr>
            <w:tcW w:w="934" w:type="dxa"/>
            <w:tcBorders>
              <w:top w:val="nil"/>
              <w:left w:val="nil"/>
              <w:bottom w:val="nil"/>
              <w:right w:val="nil"/>
            </w:tcBorders>
            <w:shd w:val="clear" w:color="auto" w:fill="auto"/>
            <w:noWrap/>
            <w:vAlign w:val="center"/>
          </w:tcPr>
          <w:p w14:paraId="103B1441" w14:textId="282D7649" w:rsidR="00540D6C" w:rsidRPr="00540D6C" w:rsidRDefault="00540D6C" w:rsidP="00540D6C">
            <w:pPr>
              <w:tabs>
                <w:tab w:val="decimal" w:pos="444"/>
              </w:tabs>
              <w:jc w:val="left"/>
              <w:rPr>
                <w:sz w:val="16"/>
                <w:szCs w:val="16"/>
              </w:rPr>
            </w:pPr>
            <w:r w:rsidRPr="00540D6C">
              <w:rPr>
                <w:sz w:val="16"/>
                <w:szCs w:val="16"/>
              </w:rPr>
              <w:t>1.7</w:t>
            </w:r>
          </w:p>
        </w:tc>
        <w:tc>
          <w:tcPr>
            <w:tcW w:w="1050" w:type="dxa"/>
            <w:tcBorders>
              <w:top w:val="nil"/>
              <w:left w:val="nil"/>
              <w:bottom w:val="nil"/>
              <w:right w:val="single" w:sz="8" w:space="0" w:color="404040"/>
            </w:tcBorders>
            <w:shd w:val="clear" w:color="auto" w:fill="auto"/>
            <w:noWrap/>
            <w:vAlign w:val="center"/>
          </w:tcPr>
          <w:p w14:paraId="4584ADD2" w14:textId="1E3741E4" w:rsidR="00540D6C" w:rsidRPr="00540D6C" w:rsidRDefault="00540D6C" w:rsidP="00540D6C">
            <w:pPr>
              <w:tabs>
                <w:tab w:val="decimal" w:pos="504"/>
              </w:tabs>
              <w:jc w:val="left"/>
              <w:rPr>
                <w:sz w:val="16"/>
                <w:szCs w:val="16"/>
              </w:rPr>
            </w:pPr>
            <w:r w:rsidRPr="00540D6C">
              <w:rPr>
                <w:sz w:val="16"/>
                <w:szCs w:val="16"/>
              </w:rPr>
              <w:t>7.6</w:t>
            </w:r>
          </w:p>
        </w:tc>
      </w:tr>
      <w:tr w:rsidR="00540D6C" w:rsidRPr="00F87E34" w14:paraId="1AA69D8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540D6C" w:rsidRPr="00F87E34" w:rsidRDefault="00540D6C" w:rsidP="00540D6C">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77D33E91" w:rsidR="00540D6C" w:rsidRPr="00540D6C" w:rsidRDefault="00540D6C" w:rsidP="00540D6C">
            <w:pPr>
              <w:tabs>
                <w:tab w:val="decimal" w:pos="508"/>
              </w:tabs>
              <w:jc w:val="left"/>
              <w:rPr>
                <w:bCs/>
                <w:sz w:val="16"/>
                <w:szCs w:val="16"/>
              </w:rPr>
            </w:pPr>
            <w:r w:rsidRPr="00540D6C">
              <w:rPr>
                <w:sz w:val="16"/>
                <w:szCs w:val="16"/>
              </w:rPr>
              <w:t>-1.2</w:t>
            </w:r>
          </w:p>
        </w:tc>
        <w:tc>
          <w:tcPr>
            <w:tcW w:w="942" w:type="dxa"/>
            <w:tcBorders>
              <w:top w:val="nil"/>
              <w:left w:val="nil"/>
              <w:bottom w:val="nil"/>
              <w:right w:val="nil"/>
            </w:tcBorders>
            <w:shd w:val="clear" w:color="auto" w:fill="auto"/>
            <w:noWrap/>
            <w:vAlign w:val="center"/>
          </w:tcPr>
          <w:p w14:paraId="19F6CCAF" w14:textId="6A93C346" w:rsidR="00540D6C" w:rsidRPr="00540D6C" w:rsidRDefault="00540D6C" w:rsidP="00540D6C">
            <w:pPr>
              <w:tabs>
                <w:tab w:val="decimal" w:pos="480"/>
              </w:tabs>
              <w:jc w:val="left"/>
              <w:rPr>
                <w:bCs/>
                <w:sz w:val="16"/>
                <w:szCs w:val="16"/>
              </w:rPr>
            </w:pPr>
            <w:r w:rsidRPr="00540D6C">
              <w:rPr>
                <w:sz w:val="16"/>
                <w:szCs w:val="16"/>
              </w:rPr>
              <w:t>2.1</w:t>
            </w:r>
          </w:p>
        </w:tc>
        <w:tc>
          <w:tcPr>
            <w:tcW w:w="1042" w:type="dxa"/>
            <w:tcBorders>
              <w:top w:val="nil"/>
              <w:left w:val="nil"/>
              <w:bottom w:val="nil"/>
              <w:right w:val="nil"/>
            </w:tcBorders>
            <w:shd w:val="clear" w:color="auto" w:fill="auto"/>
            <w:noWrap/>
            <w:vAlign w:val="center"/>
          </w:tcPr>
          <w:p w14:paraId="2C172586" w14:textId="314D9B7D" w:rsidR="00540D6C" w:rsidRPr="00540D6C" w:rsidRDefault="00540D6C" w:rsidP="00540D6C">
            <w:pPr>
              <w:tabs>
                <w:tab w:val="decimal" w:pos="508"/>
              </w:tabs>
              <w:jc w:val="left"/>
              <w:rPr>
                <w:bCs/>
                <w:sz w:val="16"/>
                <w:szCs w:val="16"/>
              </w:rPr>
            </w:pPr>
            <w:r w:rsidRPr="00540D6C">
              <w:rPr>
                <w:sz w:val="16"/>
                <w:szCs w:val="16"/>
              </w:rPr>
              <w:t>-0.7</w:t>
            </w:r>
          </w:p>
        </w:tc>
        <w:tc>
          <w:tcPr>
            <w:tcW w:w="991" w:type="dxa"/>
            <w:tcBorders>
              <w:top w:val="nil"/>
              <w:left w:val="nil"/>
              <w:bottom w:val="nil"/>
              <w:right w:val="nil"/>
            </w:tcBorders>
            <w:shd w:val="clear" w:color="auto" w:fill="auto"/>
            <w:noWrap/>
            <w:vAlign w:val="center"/>
          </w:tcPr>
          <w:p w14:paraId="0F075841" w14:textId="4CC8F463" w:rsidR="00540D6C" w:rsidRPr="00540D6C" w:rsidRDefault="00540D6C" w:rsidP="00540D6C">
            <w:pPr>
              <w:tabs>
                <w:tab w:val="decimal" w:pos="458"/>
              </w:tabs>
              <w:jc w:val="left"/>
              <w:rPr>
                <w:sz w:val="16"/>
                <w:szCs w:val="16"/>
              </w:rPr>
            </w:pPr>
            <w:r w:rsidRPr="00540D6C">
              <w:rPr>
                <w:sz w:val="16"/>
                <w:szCs w:val="16"/>
              </w:rPr>
              <w:t>6.9</w:t>
            </w:r>
          </w:p>
        </w:tc>
        <w:tc>
          <w:tcPr>
            <w:tcW w:w="934" w:type="dxa"/>
            <w:tcBorders>
              <w:top w:val="nil"/>
              <w:left w:val="nil"/>
              <w:bottom w:val="nil"/>
              <w:right w:val="nil"/>
            </w:tcBorders>
            <w:shd w:val="clear" w:color="auto" w:fill="auto"/>
            <w:noWrap/>
            <w:vAlign w:val="center"/>
          </w:tcPr>
          <w:p w14:paraId="27D16F89" w14:textId="418A5E3C" w:rsidR="00540D6C" w:rsidRPr="00540D6C" w:rsidRDefault="00540D6C" w:rsidP="00540D6C">
            <w:pPr>
              <w:tabs>
                <w:tab w:val="decimal" w:pos="444"/>
              </w:tabs>
              <w:jc w:val="left"/>
              <w:rPr>
                <w:sz w:val="16"/>
                <w:szCs w:val="16"/>
              </w:rPr>
            </w:pPr>
            <w:r w:rsidRPr="00540D6C">
              <w:rPr>
                <w:sz w:val="16"/>
                <w:szCs w:val="16"/>
              </w:rPr>
              <w:t>1.9</w:t>
            </w:r>
          </w:p>
        </w:tc>
        <w:tc>
          <w:tcPr>
            <w:tcW w:w="1050" w:type="dxa"/>
            <w:tcBorders>
              <w:top w:val="nil"/>
              <w:left w:val="nil"/>
              <w:bottom w:val="nil"/>
              <w:right w:val="single" w:sz="8" w:space="0" w:color="404040"/>
            </w:tcBorders>
            <w:shd w:val="clear" w:color="auto" w:fill="auto"/>
            <w:noWrap/>
            <w:vAlign w:val="center"/>
          </w:tcPr>
          <w:p w14:paraId="28B09DE8" w14:textId="6C958414" w:rsidR="00540D6C" w:rsidRPr="00540D6C" w:rsidRDefault="00540D6C" w:rsidP="00540D6C">
            <w:pPr>
              <w:tabs>
                <w:tab w:val="decimal" w:pos="504"/>
              </w:tabs>
              <w:jc w:val="left"/>
              <w:rPr>
                <w:sz w:val="16"/>
                <w:szCs w:val="16"/>
              </w:rPr>
            </w:pPr>
            <w:r w:rsidRPr="00540D6C">
              <w:rPr>
                <w:sz w:val="16"/>
                <w:szCs w:val="16"/>
              </w:rPr>
              <w:t>8.1</w:t>
            </w:r>
          </w:p>
        </w:tc>
      </w:tr>
      <w:tr w:rsidR="00540D6C" w:rsidRPr="00F87E34" w14:paraId="56BCF49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540D6C" w:rsidRPr="00F87E34" w:rsidRDefault="00540D6C" w:rsidP="00540D6C">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6C373BA7" w:rsidR="00540D6C" w:rsidRPr="00540D6C" w:rsidRDefault="00540D6C" w:rsidP="00540D6C">
            <w:pPr>
              <w:tabs>
                <w:tab w:val="decimal" w:pos="508"/>
              </w:tabs>
              <w:jc w:val="left"/>
              <w:rPr>
                <w:bCs/>
                <w:sz w:val="16"/>
                <w:szCs w:val="16"/>
              </w:rPr>
            </w:pPr>
            <w:r w:rsidRPr="00540D6C">
              <w:rPr>
                <w:sz w:val="16"/>
                <w:szCs w:val="16"/>
              </w:rPr>
              <w:t>-16.3</w:t>
            </w:r>
          </w:p>
        </w:tc>
        <w:tc>
          <w:tcPr>
            <w:tcW w:w="942" w:type="dxa"/>
            <w:tcBorders>
              <w:top w:val="nil"/>
              <w:left w:val="nil"/>
              <w:bottom w:val="nil"/>
              <w:right w:val="nil"/>
            </w:tcBorders>
            <w:shd w:val="clear" w:color="auto" w:fill="auto"/>
            <w:noWrap/>
            <w:vAlign w:val="center"/>
          </w:tcPr>
          <w:p w14:paraId="1A639D41" w14:textId="5ECEE958" w:rsidR="00540D6C" w:rsidRPr="00540D6C" w:rsidRDefault="00540D6C" w:rsidP="00540D6C">
            <w:pPr>
              <w:tabs>
                <w:tab w:val="decimal" w:pos="480"/>
              </w:tabs>
              <w:jc w:val="left"/>
              <w:rPr>
                <w:bCs/>
                <w:sz w:val="16"/>
                <w:szCs w:val="16"/>
              </w:rPr>
            </w:pPr>
            <w:r w:rsidRPr="00540D6C">
              <w:rPr>
                <w:sz w:val="16"/>
                <w:szCs w:val="16"/>
              </w:rPr>
              <w:t>0.5</w:t>
            </w:r>
          </w:p>
        </w:tc>
        <w:tc>
          <w:tcPr>
            <w:tcW w:w="1042" w:type="dxa"/>
            <w:tcBorders>
              <w:top w:val="nil"/>
              <w:left w:val="nil"/>
              <w:bottom w:val="nil"/>
              <w:right w:val="nil"/>
            </w:tcBorders>
            <w:shd w:val="clear" w:color="auto" w:fill="auto"/>
            <w:noWrap/>
            <w:vAlign w:val="center"/>
          </w:tcPr>
          <w:p w14:paraId="7A9488C6" w14:textId="59EFB2B1" w:rsidR="00540D6C" w:rsidRPr="00540D6C" w:rsidRDefault="00540D6C" w:rsidP="00540D6C">
            <w:pPr>
              <w:tabs>
                <w:tab w:val="decimal" w:pos="508"/>
              </w:tabs>
              <w:jc w:val="left"/>
              <w:rPr>
                <w:bCs/>
                <w:sz w:val="16"/>
                <w:szCs w:val="16"/>
              </w:rPr>
            </w:pPr>
            <w:r w:rsidRPr="00540D6C">
              <w:rPr>
                <w:sz w:val="16"/>
                <w:szCs w:val="16"/>
              </w:rPr>
              <w:t>2.2</w:t>
            </w:r>
          </w:p>
        </w:tc>
        <w:tc>
          <w:tcPr>
            <w:tcW w:w="991" w:type="dxa"/>
            <w:tcBorders>
              <w:top w:val="nil"/>
              <w:left w:val="nil"/>
              <w:bottom w:val="nil"/>
              <w:right w:val="nil"/>
            </w:tcBorders>
            <w:shd w:val="clear" w:color="auto" w:fill="auto"/>
            <w:noWrap/>
            <w:vAlign w:val="center"/>
          </w:tcPr>
          <w:p w14:paraId="2F4FFCAE" w14:textId="31374485" w:rsidR="00540D6C" w:rsidRPr="00540D6C" w:rsidRDefault="00540D6C" w:rsidP="00540D6C">
            <w:pPr>
              <w:tabs>
                <w:tab w:val="decimal" w:pos="458"/>
              </w:tabs>
              <w:jc w:val="left"/>
              <w:rPr>
                <w:sz w:val="16"/>
                <w:szCs w:val="16"/>
              </w:rPr>
            </w:pPr>
            <w:r w:rsidRPr="00540D6C">
              <w:rPr>
                <w:sz w:val="16"/>
                <w:szCs w:val="16"/>
              </w:rPr>
              <w:t>5.7</w:t>
            </w:r>
          </w:p>
        </w:tc>
        <w:tc>
          <w:tcPr>
            <w:tcW w:w="934" w:type="dxa"/>
            <w:tcBorders>
              <w:top w:val="nil"/>
              <w:left w:val="nil"/>
              <w:bottom w:val="nil"/>
              <w:right w:val="nil"/>
            </w:tcBorders>
            <w:shd w:val="clear" w:color="auto" w:fill="auto"/>
            <w:noWrap/>
            <w:vAlign w:val="center"/>
          </w:tcPr>
          <w:p w14:paraId="2A9D76A7" w14:textId="7FE80BD9" w:rsidR="00540D6C" w:rsidRPr="00540D6C" w:rsidRDefault="00540D6C" w:rsidP="00540D6C">
            <w:pPr>
              <w:tabs>
                <w:tab w:val="decimal" w:pos="444"/>
              </w:tabs>
              <w:jc w:val="left"/>
              <w:rPr>
                <w:sz w:val="16"/>
                <w:szCs w:val="16"/>
              </w:rPr>
            </w:pPr>
            <w:r w:rsidRPr="00540D6C">
              <w:rPr>
                <w:sz w:val="16"/>
                <w:szCs w:val="16"/>
              </w:rPr>
              <w:t>-0.3</w:t>
            </w:r>
          </w:p>
        </w:tc>
        <w:tc>
          <w:tcPr>
            <w:tcW w:w="1050" w:type="dxa"/>
            <w:tcBorders>
              <w:top w:val="nil"/>
              <w:left w:val="nil"/>
              <w:bottom w:val="nil"/>
              <w:right w:val="single" w:sz="8" w:space="0" w:color="404040"/>
            </w:tcBorders>
            <w:shd w:val="clear" w:color="auto" w:fill="auto"/>
            <w:noWrap/>
            <w:vAlign w:val="center"/>
          </w:tcPr>
          <w:p w14:paraId="75DDBD88" w14:textId="2E90FFD9" w:rsidR="00540D6C" w:rsidRPr="00540D6C" w:rsidRDefault="00540D6C" w:rsidP="00540D6C">
            <w:pPr>
              <w:tabs>
                <w:tab w:val="decimal" w:pos="504"/>
              </w:tabs>
              <w:jc w:val="left"/>
              <w:rPr>
                <w:sz w:val="16"/>
                <w:szCs w:val="16"/>
              </w:rPr>
            </w:pPr>
            <w:r w:rsidRPr="00540D6C">
              <w:rPr>
                <w:sz w:val="16"/>
                <w:szCs w:val="16"/>
              </w:rPr>
              <w:t>4.1</w:t>
            </w:r>
          </w:p>
        </w:tc>
      </w:tr>
      <w:tr w:rsidR="00540D6C" w:rsidRPr="00F87E34" w14:paraId="67167560" w14:textId="77777777" w:rsidTr="00AA0BAD">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540D6C" w:rsidRPr="00F87E34" w:rsidRDefault="00540D6C" w:rsidP="00540D6C">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1232A65C" w:rsidR="00540D6C" w:rsidRPr="00540D6C" w:rsidRDefault="00540D6C" w:rsidP="00540D6C">
            <w:pPr>
              <w:tabs>
                <w:tab w:val="decimal" w:pos="508"/>
              </w:tabs>
              <w:jc w:val="left"/>
              <w:rPr>
                <w:bCs/>
                <w:sz w:val="16"/>
                <w:szCs w:val="16"/>
              </w:rPr>
            </w:pPr>
            <w:r w:rsidRPr="00540D6C">
              <w:rPr>
                <w:sz w:val="16"/>
                <w:szCs w:val="16"/>
              </w:rPr>
              <w:t>-2.1</w:t>
            </w:r>
          </w:p>
        </w:tc>
        <w:tc>
          <w:tcPr>
            <w:tcW w:w="942" w:type="dxa"/>
            <w:tcBorders>
              <w:top w:val="nil"/>
              <w:left w:val="nil"/>
              <w:bottom w:val="nil"/>
              <w:right w:val="nil"/>
            </w:tcBorders>
            <w:shd w:val="clear" w:color="auto" w:fill="auto"/>
            <w:noWrap/>
            <w:vAlign w:val="center"/>
          </w:tcPr>
          <w:p w14:paraId="6B5E9EEC" w14:textId="6C1DF8FD" w:rsidR="00540D6C" w:rsidRPr="00540D6C" w:rsidRDefault="00540D6C" w:rsidP="00540D6C">
            <w:pPr>
              <w:tabs>
                <w:tab w:val="decimal" w:pos="480"/>
              </w:tabs>
              <w:jc w:val="left"/>
              <w:rPr>
                <w:bCs/>
                <w:sz w:val="16"/>
                <w:szCs w:val="16"/>
              </w:rPr>
            </w:pPr>
            <w:r w:rsidRPr="00540D6C">
              <w:rPr>
                <w:sz w:val="16"/>
                <w:szCs w:val="16"/>
              </w:rPr>
              <w:t>-1.8</w:t>
            </w:r>
          </w:p>
        </w:tc>
        <w:tc>
          <w:tcPr>
            <w:tcW w:w="1042" w:type="dxa"/>
            <w:tcBorders>
              <w:top w:val="nil"/>
              <w:left w:val="nil"/>
              <w:bottom w:val="nil"/>
              <w:right w:val="nil"/>
            </w:tcBorders>
            <w:shd w:val="clear" w:color="auto" w:fill="auto"/>
            <w:noWrap/>
            <w:vAlign w:val="center"/>
          </w:tcPr>
          <w:p w14:paraId="2803B5C7" w14:textId="16030ED6" w:rsidR="00540D6C" w:rsidRPr="00540D6C" w:rsidRDefault="00540D6C" w:rsidP="00540D6C">
            <w:pPr>
              <w:tabs>
                <w:tab w:val="decimal" w:pos="508"/>
              </w:tabs>
              <w:jc w:val="left"/>
              <w:rPr>
                <w:bCs/>
                <w:sz w:val="16"/>
                <w:szCs w:val="16"/>
              </w:rPr>
            </w:pPr>
            <w:r w:rsidRPr="00540D6C">
              <w:rPr>
                <w:sz w:val="16"/>
                <w:szCs w:val="16"/>
              </w:rPr>
              <w:t>1.0</w:t>
            </w:r>
          </w:p>
        </w:tc>
        <w:tc>
          <w:tcPr>
            <w:tcW w:w="991" w:type="dxa"/>
            <w:tcBorders>
              <w:top w:val="nil"/>
              <w:left w:val="nil"/>
              <w:bottom w:val="nil"/>
              <w:right w:val="nil"/>
            </w:tcBorders>
            <w:shd w:val="clear" w:color="auto" w:fill="auto"/>
            <w:noWrap/>
            <w:vAlign w:val="center"/>
          </w:tcPr>
          <w:p w14:paraId="31615874" w14:textId="1BA06187" w:rsidR="00540D6C" w:rsidRPr="00540D6C" w:rsidRDefault="00540D6C" w:rsidP="00540D6C">
            <w:pPr>
              <w:tabs>
                <w:tab w:val="decimal" w:pos="458"/>
              </w:tabs>
              <w:jc w:val="left"/>
              <w:rPr>
                <w:sz w:val="16"/>
                <w:szCs w:val="16"/>
              </w:rPr>
            </w:pPr>
            <w:r w:rsidRPr="00540D6C">
              <w:rPr>
                <w:sz w:val="16"/>
                <w:szCs w:val="16"/>
              </w:rPr>
              <w:t>-1.6</w:t>
            </w:r>
          </w:p>
        </w:tc>
        <w:tc>
          <w:tcPr>
            <w:tcW w:w="934" w:type="dxa"/>
            <w:tcBorders>
              <w:top w:val="nil"/>
              <w:left w:val="nil"/>
              <w:bottom w:val="nil"/>
              <w:right w:val="nil"/>
            </w:tcBorders>
            <w:shd w:val="clear" w:color="auto" w:fill="auto"/>
            <w:noWrap/>
            <w:vAlign w:val="center"/>
          </w:tcPr>
          <w:p w14:paraId="7E8B26B7" w14:textId="5175B92B" w:rsidR="00540D6C" w:rsidRPr="00540D6C" w:rsidRDefault="00540D6C" w:rsidP="00540D6C">
            <w:pPr>
              <w:tabs>
                <w:tab w:val="decimal" w:pos="444"/>
              </w:tabs>
              <w:jc w:val="left"/>
              <w:rPr>
                <w:sz w:val="16"/>
                <w:szCs w:val="16"/>
              </w:rPr>
            </w:pPr>
            <w:r w:rsidRPr="00540D6C">
              <w:rPr>
                <w:sz w:val="16"/>
                <w:szCs w:val="16"/>
              </w:rPr>
              <w:t>3.3</w:t>
            </w:r>
          </w:p>
        </w:tc>
        <w:tc>
          <w:tcPr>
            <w:tcW w:w="1050" w:type="dxa"/>
            <w:tcBorders>
              <w:top w:val="nil"/>
              <w:left w:val="nil"/>
              <w:bottom w:val="nil"/>
              <w:right w:val="single" w:sz="8" w:space="0" w:color="404040"/>
            </w:tcBorders>
            <w:shd w:val="clear" w:color="auto" w:fill="auto"/>
            <w:noWrap/>
            <w:vAlign w:val="center"/>
          </w:tcPr>
          <w:p w14:paraId="3B592CBF" w14:textId="352BF632" w:rsidR="00540D6C" w:rsidRPr="00540D6C" w:rsidRDefault="00540D6C" w:rsidP="00540D6C">
            <w:pPr>
              <w:tabs>
                <w:tab w:val="decimal" w:pos="504"/>
              </w:tabs>
              <w:jc w:val="left"/>
              <w:rPr>
                <w:bCs/>
                <w:sz w:val="16"/>
                <w:szCs w:val="16"/>
              </w:rPr>
            </w:pPr>
            <w:r w:rsidRPr="00540D6C">
              <w:rPr>
                <w:sz w:val="16"/>
                <w:szCs w:val="16"/>
              </w:rPr>
              <w:t>4.2</w:t>
            </w:r>
          </w:p>
        </w:tc>
      </w:tr>
      <w:tr w:rsidR="00540D6C" w:rsidRPr="00F87E34" w14:paraId="2DF7397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540D6C" w:rsidRPr="00F87E34" w:rsidRDefault="00540D6C" w:rsidP="00540D6C">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3127FE21" w:rsidR="00540D6C" w:rsidRPr="00540D6C" w:rsidRDefault="00540D6C" w:rsidP="00540D6C">
            <w:pPr>
              <w:tabs>
                <w:tab w:val="decimal" w:pos="508"/>
              </w:tabs>
              <w:jc w:val="left"/>
              <w:rPr>
                <w:bCs/>
                <w:sz w:val="16"/>
                <w:szCs w:val="16"/>
              </w:rPr>
            </w:pPr>
            <w:r w:rsidRPr="00540D6C">
              <w:rPr>
                <w:sz w:val="16"/>
                <w:szCs w:val="16"/>
              </w:rPr>
              <w:t>-2.4</w:t>
            </w:r>
          </w:p>
        </w:tc>
        <w:tc>
          <w:tcPr>
            <w:tcW w:w="942" w:type="dxa"/>
            <w:tcBorders>
              <w:top w:val="nil"/>
              <w:left w:val="nil"/>
              <w:bottom w:val="nil"/>
              <w:right w:val="nil"/>
            </w:tcBorders>
            <w:shd w:val="clear" w:color="auto" w:fill="auto"/>
            <w:noWrap/>
            <w:vAlign w:val="center"/>
          </w:tcPr>
          <w:p w14:paraId="42997623" w14:textId="319B72C3" w:rsidR="00540D6C" w:rsidRPr="00540D6C" w:rsidRDefault="00540D6C" w:rsidP="00540D6C">
            <w:pPr>
              <w:tabs>
                <w:tab w:val="decimal" w:pos="480"/>
              </w:tabs>
              <w:jc w:val="left"/>
              <w:rPr>
                <w:bCs/>
                <w:sz w:val="16"/>
                <w:szCs w:val="16"/>
              </w:rPr>
            </w:pPr>
            <w:r w:rsidRPr="00540D6C">
              <w:rPr>
                <w:sz w:val="16"/>
                <w:szCs w:val="16"/>
              </w:rPr>
              <w:t>0.9</w:t>
            </w:r>
          </w:p>
        </w:tc>
        <w:tc>
          <w:tcPr>
            <w:tcW w:w="1042" w:type="dxa"/>
            <w:tcBorders>
              <w:top w:val="nil"/>
              <w:left w:val="nil"/>
              <w:bottom w:val="nil"/>
              <w:right w:val="nil"/>
            </w:tcBorders>
            <w:shd w:val="clear" w:color="auto" w:fill="auto"/>
            <w:noWrap/>
            <w:vAlign w:val="center"/>
          </w:tcPr>
          <w:p w14:paraId="145607CA" w14:textId="7CD62AEE" w:rsidR="00540D6C" w:rsidRPr="00540D6C" w:rsidRDefault="00540D6C" w:rsidP="00540D6C">
            <w:pPr>
              <w:tabs>
                <w:tab w:val="decimal" w:pos="508"/>
              </w:tabs>
              <w:jc w:val="left"/>
              <w:rPr>
                <w:bCs/>
                <w:sz w:val="16"/>
                <w:szCs w:val="16"/>
              </w:rPr>
            </w:pPr>
            <w:r w:rsidRPr="00540D6C">
              <w:rPr>
                <w:sz w:val="16"/>
                <w:szCs w:val="16"/>
              </w:rPr>
              <w:t>2.7</w:t>
            </w:r>
          </w:p>
        </w:tc>
        <w:tc>
          <w:tcPr>
            <w:tcW w:w="991" w:type="dxa"/>
            <w:tcBorders>
              <w:top w:val="nil"/>
              <w:left w:val="nil"/>
              <w:bottom w:val="nil"/>
              <w:right w:val="nil"/>
            </w:tcBorders>
            <w:shd w:val="clear" w:color="auto" w:fill="auto"/>
            <w:noWrap/>
            <w:vAlign w:val="center"/>
          </w:tcPr>
          <w:p w14:paraId="43759983" w14:textId="2C7E0467" w:rsidR="00540D6C" w:rsidRPr="00540D6C" w:rsidRDefault="00540D6C" w:rsidP="00540D6C">
            <w:pPr>
              <w:tabs>
                <w:tab w:val="decimal" w:pos="458"/>
              </w:tabs>
              <w:jc w:val="left"/>
              <w:rPr>
                <w:sz w:val="16"/>
                <w:szCs w:val="16"/>
              </w:rPr>
            </w:pPr>
            <w:r w:rsidRPr="00540D6C">
              <w:rPr>
                <w:sz w:val="16"/>
                <w:szCs w:val="16"/>
              </w:rPr>
              <w:t>4.0</w:t>
            </w:r>
          </w:p>
        </w:tc>
        <w:tc>
          <w:tcPr>
            <w:tcW w:w="934" w:type="dxa"/>
            <w:tcBorders>
              <w:top w:val="nil"/>
              <w:left w:val="nil"/>
              <w:bottom w:val="nil"/>
              <w:right w:val="nil"/>
            </w:tcBorders>
            <w:shd w:val="clear" w:color="auto" w:fill="auto"/>
            <w:noWrap/>
            <w:vAlign w:val="center"/>
          </w:tcPr>
          <w:p w14:paraId="118F1B39" w14:textId="18BF99AE" w:rsidR="00540D6C" w:rsidRPr="00540D6C" w:rsidRDefault="00540D6C" w:rsidP="00540D6C">
            <w:pPr>
              <w:tabs>
                <w:tab w:val="decimal" w:pos="444"/>
              </w:tabs>
              <w:jc w:val="left"/>
              <w:rPr>
                <w:sz w:val="16"/>
                <w:szCs w:val="16"/>
              </w:rPr>
            </w:pPr>
            <w:r w:rsidRPr="00540D6C">
              <w:rPr>
                <w:sz w:val="16"/>
                <w:szCs w:val="16"/>
              </w:rPr>
              <w:t>1.8</w:t>
            </w:r>
          </w:p>
        </w:tc>
        <w:tc>
          <w:tcPr>
            <w:tcW w:w="1050" w:type="dxa"/>
            <w:tcBorders>
              <w:top w:val="nil"/>
              <w:left w:val="nil"/>
              <w:bottom w:val="nil"/>
              <w:right w:val="single" w:sz="8" w:space="0" w:color="404040"/>
            </w:tcBorders>
            <w:shd w:val="clear" w:color="auto" w:fill="auto"/>
            <w:noWrap/>
            <w:vAlign w:val="center"/>
          </w:tcPr>
          <w:p w14:paraId="3A140B03" w14:textId="458EE362" w:rsidR="00540D6C" w:rsidRPr="00540D6C" w:rsidRDefault="00540D6C" w:rsidP="00540D6C">
            <w:pPr>
              <w:tabs>
                <w:tab w:val="decimal" w:pos="504"/>
              </w:tabs>
              <w:jc w:val="left"/>
              <w:rPr>
                <w:sz w:val="16"/>
                <w:szCs w:val="16"/>
              </w:rPr>
            </w:pPr>
            <w:r w:rsidRPr="00540D6C">
              <w:rPr>
                <w:sz w:val="16"/>
                <w:szCs w:val="16"/>
              </w:rPr>
              <w:t>5.0</w:t>
            </w:r>
          </w:p>
        </w:tc>
      </w:tr>
      <w:tr w:rsidR="00540D6C" w:rsidRPr="00F87E34" w14:paraId="64F5936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540D6C" w:rsidRPr="00F87E34" w:rsidRDefault="00540D6C" w:rsidP="00540D6C">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009253DE" w:rsidR="00540D6C" w:rsidRPr="00540D6C" w:rsidRDefault="00540D6C" w:rsidP="00540D6C">
            <w:pPr>
              <w:tabs>
                <w:tab w:val="decimal" w:pos="508"/>
              </w:tabs>
              <w:jc w:val="left"/>
              <w:rPr>
                <w:bCs/>
                <w:sz w:val="16"/>
                <w:szCs w:val="16"/>
              </w:rPr>
            </w:pPr>
            <w:r w:rsidRPr="00540D6C">
              <w:rPr>
                <w:sz w:val="16"/>
                <w:szCs w:val="16"/>
              </w:rPr>
              <w:t>-1.8</w:t>
            </w:r>
          </w:p>
        </w:tc>
        <w:tc>
          <w:tcPr>
            <w:tcW w:w="942" w:type="dxa"/>
            <w:tcBorders>
              <w:top w:val="nil"/>
              <w:left w:val="nil"/>
              <w:bottom w:val="nil"/>
              <w:right w:val="nil"/>
            </w:tcBorders>
            <w:shd w:val="clear" w:color="auto" w:fill="auto"/>
            <w:noWrap/>
            <w:vAlign w:val="center"/>
          </w:tcPr>
          <w:p w14:paraId="01289560" w14:textId="341827CD" w:rsidR="00540D6C" w:rsidRPr="00540D6C" w:rsidRDefault="00540D6C" w:rsidP="00540D6C">
            <w:pPr>
              <w:tabs>
                <w:tab w:val="decimal" w:pos="480"/>
              </w:tabs>
              <w:jc w:val="left"/>
              <w:rPr>
                <w:bCs/>
                <w:sz w:val="16"/>
                <w:szCs w:val="16"/>
              </w:rPr>
            </w:pPr>
            <w:r w:rsidRPr="00540D6C">
              <w:rPr>
                <w:sz w:val="16"/>
                <w:szCs w:val="16"/>
              </w:rPr>
              <w:t>-1.1</w:t>
            </w:r>
          </w:p>
        </w:tc>
        <w:tc>
          <w:tcPr>
            <w:tcW w:w="1042" w:type="dxa"/>
            <w:tcBorders>
              <w:top w:val="nil"/>
              <w:left w:val="nil"/>
              <w:bottom w:val="nil"/>
              <w:right w:val="nil"/>
            </w:tcBorders>
            <w:shd w:val="clear" w:color="auto" w:fill="auto"/>
            <w:noWrap/>
            <w:vAlign w:val="center"/>
          </w:tcPr>
          <w:p w14:paraId="0CF7279F" w14:textId="4395E79D" w:rsidR="00540D6C" w:rsidRPr="00540D6C" w:rsidRDefault="00540D6C" w:rsidP="00540D6C">
            <w:pPr>
              <w:tabs>
                <w:tab w:val="decimal" w:pos="508"/>
              </w:tabs>
              <w:jc w:val="left"/>
              <w:rPr>
                <w:bCs/>
                <w:sz w:val="16"/>
                <w:szCs w:val="16"/>
              </w:rPr>
            </w:pPr>
            <w:r w:rsidRPr="00540D6C">
              <w:rPr>
                <w:sz w:val="16"/>
                <w:szCs w:val="16"/>
              </w:rPr>
              <w:t>5.2</w:t>
            </w:r>
          </w:p>
        </w:tc>
        <w:tc>
          <w:tcPr>
            <w:tcW w:w="991" w:type="dxa"/>
            <w:tcBorders>
              <w:top w:val="nil"/>
              <w:left w:val="nil"/>
              <w:bottom w:val="nil"/>
              <w:right w:val="nil"/>
            </w:tcBorders>
            <w:shd w:val="clear" w:color="auto" w:fill="auto"/>
            <w:noWrap/>
            <w:vAlign w:val="center"/>
          </w:tcPr>
          <w:p w14:paraId="00B7A488" w14:textId="72B33437" w:rsidR="00540D6C" w:rsidRPr="00540D6C" w:rsidRDefault="00540D6C" w:rsidP="00540D6C">
            <w:pPr>
              <w:tabs>
                <w:tab w:val="decimal" w:pos="458"/>
              </w:tabs>
              <w:jc w:val="left"/>
              <w:rPr>
                <w:sz w:val="16"/>
                <w:szCs w:val="16"/>
              </w:rPr>
            </w:pPr>
            <w:r w:rsidRPr="00540D6C">
              <w:rPr>
                <w:sz w:val="16"/>
                <w:szCs w:val="16"/>
              </w:rPr>
              <w:t>8.1</w:t>
            </w:r>
          </w:p>
        </w:tc>
        <w:tc>
          <w:tcPr>
            <w:tcW w:w="934" w:type="dxa"/>
            <w:tcBorders>
              <w:top w:val="nil"/>
              <w:left w:val="nil"/>
              <w:bottom w:val="nil"/>
              <w:right w:val="nil"/>
            </w:tcBorders>
            <w:shd w:val="clear" w:color="auto" w:fill="auto"/>
            <w:noWrap/>
            <w:vAlign w:val="center"/>
          </w:tcPr>
          <w:p w14:paraId="202FA301" w14:textId="403CC0A6" w:rsidR="00540D6C" w:rsidRPr="00540D6C" w:rsidRDefault="00540D6C" w:rsidP="00540D6C">
            <w:pPr>
              <w:tabs>
                <w:tab w:val="decimal" w:pos="444"/>
              </w:tabs>
              <w:jc w:val="left"/>
              <w:rPr>
                <w:sz w:val="16"/>
                <w:szCs w:val="16"/>
              </w:rPr>
            </w:pPr>
            <w:r w:rsidRPr="00540D6C">
              <w:rPr>
                <w:sz w:val="16"/>
                <w:szCs w:val="16"/>
              </w:rPr>
              <w:t>2.0</w:t>
            </w:r>
          </w:p>
        </w:tc>
        <w:tc>
          <w:tcPr>
            <w:tcW w:w="1050" w:type="dxa"/>
            <w:tcBorders>
              <w:top w:val="nil"/>
              <w:left w:val="nil"/>
              <w:bottom w:val="nil"/>
              <w:right w:val="single" w:sz="8" w:space="0" w:color="404040"/>
            </w:tcBorders>
            <w:shd w:val="clear" w:color="auto" w:fill="auto"/>
            <w:noWrap/>
            <w:vAlign w:val="center"/>
          </w:tcPr>
          <w:p w14:paraId="5E8D11ED" w14:textId="1CC13900" w:rsidR="00540D6C" w:rsidRPr="00540D6C" w:rsidRDefault="00540D6C" w:rsidP="00540D6C">
            <w:pPr>
              <w:tabs>
                <w:tab w:val="decimal" w:pos="504"/>
              </w:tabs>
              <w:jc w:val="left"/>
              <w:rPr>
                <w:sz w:val="16"/>
                <w:szCs w:val="16"/>
              </w:rPr>
            </w:pPr>
            <w:r w:rsidRPr="00540D6C">
              <w:rPr>
                <w:sz w:val="16"/>
                <w:szCs w:val="16"/>
              </w:rPr>
              <w:t>3.9</w:t>
            </w:r>
          </w:p>
        </w:tc>
      </w:tr>
      <w:tr w:rsidR="00540D6C" w:rsidRPr="00F87E34" w14:paraId="3828D442"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540D6C" w:rsidRPr="00F87E34" w:rsidRDefault="00540D6C" w:rsidP="00540D6C">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16AAF8DF" w:rsidR="00540D6C" w:rsidRPr="00540D6C" w:rsidRDefault="00540D6C" w:rsidP="00540D6C">
            <w:pPr>
              <w:tabs>
                <w:tab w:val="decimal" w:pos="508"/>
              </w:tabs>
              <w:jc w:val="left"/>
              <w:rPr>
                <w:bCs/>
                <w:sz w:val="16"/>
                <w:szCs w:val="16"/>
              </w:rPr>
            </w:pPr>
            <w:r w:rsidRPr="00540D6C">
              <w:rPr>
                <w:sz w:val="16"/>
                <w:szCs w:val="16"/>
              </w:rPr>
              <w:t>6.3</w:t>
            </w:r>
          </w:p>
        </w:tc>
        <w:tc>
          <w:tcPr>
            <w:tcW w:w="942" w:type="dxa"/>
            <w:tcBorders>
              <w:top w:val="nil"/>
              <w:left w:val="nil"/>
              <w:bottom w:val="nil"/>
              <w:right w:val="nil"/>
            </w:tcBorders>
            <w:shd w:val="clear" w:color="auto" w:fill="auto"/>
            <w:noWrap/>
            <w:vAlign w:val="center"/>
          </w:tcPr>
          <w:p w14:paraId="5C03D933" w14:textId="5FAC3676" w:rsidR="00540D6C" w:rsidRPr="00540D6C" w:rsidRDefault="00540D6C" w:rsidP="00540D6C">
            <w:pPr>
              <w:tabs>
                <w:tab w:val="decimal" w:pos="480"/>
              </w:tabs>
              <w:jc w:val="left"/>
              <w:rPr>
                <w:bCs/>
                <w:sz w:val="16"/>
                <w:szCs w:val="16"/>
              </w:rPr>
            </w:pPr>
            <w:r w:rsidRPr="00540D6C">
              <w:rPr>
                <w:sz w:val="16"/>
                <w:szCs w:val="16"/>
              </w:rPr>
              <w:t>2.9</w:t>
            </w:r>
          </w:p>
        </w:tc>
        <w:tc>
          <w:tcPr>
            <w:tcW w:w="1042" w:type="dxa"/>
            <w:tcBorders>
              <w:top w:val="nil"/>
              <w:left w:val="nil"/>
              <w:bottom w:val="nil"/>
              <w:right w:val="nil"/>
            </w:tcBorders>
            <w:shd w:val="clear" w:color="auto" w:fill="auto"/>
            <w:noWrap/>
            <w:vAlign w:val="center"/>
          </w:tcPr>
          <w:p w14:paraId="1AB05D56" w14:textId="0C0D6234" w:rsidR="00540D6C" w:rsidRPr="00540D6C" w:rsidRDefault="00540D6C" w:rsidP="00540D6C">
            <w:pPr>
              <w:tabs>
                <w:tab w:val="decimal" w:pos="508"/>
              </w:tabs>
              <w:jc w:val="left"/>
              <w:rPr>
                <w:bCs/>
                <w:sz w:val="16"/>
                <w:szCs w:val="16"/>
              </w:rPr>
            </w:pPr>
            <w:r w:rsidRPr="00540D6C">
              <w:rPr>
                <w:sz w:val="16"/>
                <w:szCs w:val="16"/>
              </w:rPr>
              <w:t>-3.1</w:t>
            </w:r>
          </w:p>
        </w:tc>
        <w:tc>
          <w:tcPr>
            <w:tcW w:w="991" w:type="dxa"/>
            <w:tcBorders>
              <w:top w:val="nil"/>
              <w:left w:val="nil"/>
              <w:bottom w:val="nil"/>
              <w:right w:val="nil"/>
            </w:tcBorders>
            <w:shd w:val="clear" w:color="auto" w:fill="auto"/>
            <w:noWrap/>
            <w:vAlign w:val="center"/>
          </w:tcPr>
          <w:p w14:paraId="7AF95D9E" w14:textId="707332F5" w:rsidR="00540D6C" w:rsidRPr="00540D6C" w:rsidRDefault="00540D6C" w:rsidP="00540D6C">
            <w:pPr>
              <w:tabs>
                <w:tab w:val="decimal" w:pos="458"/>
              </w:tabs>
              <w:jc w:val="left"/>
              <w:rPr>
                <w:sz w:val="16"/>
                <w:szCs w:val="16"/>
              </w:rPr>
            </w:pPr>
            <w:r w:rsidRPr="00540D6C">
              <w:rPr>
                <w:sz w:val="16"/>
                <w:szCs w:val="16"/>
              </w:rPr>
              <w:t>5.9</w:t>
            </w:r>
          </w:p>
        </w:tc>
        <w:tc>
          <w:tcPr>
            <w:tcW w:w="934" w:type="dxa"/>
            <w:tcBorders>
              <w:top w:val="nil"/>
              <w:left w:val="nil"/>
              <w:bottom w:val="nil"/>
              <w:right w:val="nil"/>
            </w:tcBorders>
            <w:shd w:val="clear" w:color="auto" w:fill="auto"/>
            <w:noWrap/>
            <w:vAlign w:val="center"/>
          </w:tcPr>
          <w:p w14:paraId="4B896B23" w14:textId="0109873F" w:rsidR="00540D6C" w:rsidRPr="00540D6C" w:rsidRDefault="00540D6C" w:rsidP="00540D6C">
            <w:pPr>
              <w:tabs>
                <w:tab w:val="decimal" w:pos="444"/>
              </w:tabs>
              <w:jc w:val="left"/>
              <w:rPr>
                <w:sz w:val="16"/>
                <w:szCs w:val="16"/>
              </w:rPr>
            </w:pPr>
            <w:r w:rsidRPr="00540D6C">
              <w:rPr>
                <w:sz w:val="16"/>
                <w:szCs w:val="16"/>
              </w:rPr>
              <w:t>2.0</w:t>
            </w:r>
          </w:p>
        </w:tc>
        <w:tc>
          <w:tcPr>
            <w:tcW w:w="1050" w:type="dxa"/>
            <w:tcBorders>
              <w:top w:val="nil"/>
              <w:left w:val="nil"/>
              <w:bottom w:val="nil"/>
              <w:right w:val="single" w:sz="8" w:space="0" w:color="404040"/>
            </w:tcBorders>
            <w:shd w:val="clear" w:color="auto" w:fill="auto"/>
            <w:noWrap/>
            <w:vAlign w:val="center"/>
          </w:tcPr>
          <w:p w14:paraId="71DFF78D" w14:textId="4EB4E82C" w:rsidR="00540D6C" w:rsidRPr="00540D6C" w:rsidRDefault="00540D6C" w:rsidP="00540D6C">
            <w:pPr>
              <w:tabs>
                <w:tab w:val="decimal" w:pos="504"/>
              </w:tabs>
              <w:jc w:val="left"/>
              <w:rPr>
                <w:sz w:val="16"/>
                <w:szCs w:val="16"/>
              </w:rPr>
            </w:pPr>
            <w:r w:rsidRPr="00540D6C">
              <w:rPr>
                <w:sz w:val="16"/>
                <w:szCs w:val="16"/>
              </w:rPr>
              <w:t>8.2</w:t>
            </w:r>
          </w:p>
        </w:tc>
      </w:tr>
      <w:tr w:rsidR="00540D6C" w:rsidRPr="00F87E34" w14:paraId="452FDE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540D6C" w:rsidRPr="00F87E34" w:rsidRDefault="00540D6C" w:rsidP="00540D6C">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47CD5FE4" w:rsidR="00540D6C" w:rsidRPr="00540D6C" w:rsidRDefault="00540D6C" w:rsidP="00540D6C">
            <w:pPr>
              <w:tabs>
                <w:tab w:val="decimal" w:pos="508"/>
              </w:tabs>
              <w:jc w:val="left"/>
              <w:rPr>
                <w:bCs/>
                <w:sz w:val="16"/>
                <w:szCs w:val="16"/>
              </w:rPr>
            </w:pPr>
            <w:r w:rsidRPr="00540D6C">
              <w:rPr>
                <w:sz w:val="16"/>
                <w:szCs w:val="16"/>
              </w:rPr>
              <w:t>0.5</w:t>
            </w:r>
          </w:p>
        </w:tc>
        <w:tc>
          <w:tcPr>
            <w:tcW w:w="942" w:type="dxa"/>
            <w:tcBorders>
              <w:top w:val="nil"/>
              <w:left w:val="nil"/>
              <w:bottom w:val="nil"/>
              <w:right w:val="nil"/>
            </w:tcBorders>
            <w:shd w:val="clear" w:color="auto" w:fill="auto"/>
            <w:noWrap/>
            <w:vAlign w:val="center"/>
          </w:tcPr>
          <w:p w14:paraId="1A145F69" w14:textId="58F2DD3C" w:rsidR="00540D6C" w:rsidRPr="00540D6C" w:rsidRDefault="00540D6C" w:rsidP="00540D6C">
            <w:pPr>
              <w:tabs>
                <w:tab w:val="decimal" w:pos="480"/>
              </w:tabs>
              <w:jc w:val="left"/>
              <w:rPr>
                <w:bCs/>
                <w:sz w:val="16"/>
                <w:szCs w:val="16"/>
              </w:rPr>
            </w:pPr>
            <w:r w:rsidRPr="00540D6C">
              <w:rPr>
                <w:sz w:val="16"/>
                <w:szCs w:val="16"/>
              </w:rPr>
              <w:t>4.3</w:t>
            </w:r>
          </w:p>
        </w:tc>
        <w:tc>
          <w:tcPr>
            <w:tcW w:w="1042" w:type="dxa"/>
            <w:tcBorders>
              <w:top w:val="nil"/>
              <w:left w:val="nil"/>
              <w:bottom w:val="nil"/>
              <w:right w:val="nil"/>
            </w:tcBorders>
            <w:shd w:val="clear" w:color="auto" w:fill="auto"/>
            <w:noWrap/>
            <w:vAlign w:val="center"/>
          </w:tcPr>
          <w:p w14:paraId="1A9D0BE0" w14:textId="3B4EEB6A" w:rsidR="00540D6C" w:rsidRPr="00540D6C" w:rsidRDefault="00540D6C" w:rsidP="00540D6C">
            <w:pPr>
              <w:tabs>
                <w:tab w:val="decimal" w:pos="508"/>
              </w:tabs>
              <w:jc w:val="left"/>
              <w:rPr>
                <w:bCs/>
                <w:sz w:val="16"/>
                <w:szCs w:val="16"/>
              </w:rPr>
            </w:pPr>
            <w:r w:rsidRPr="00540D6C">
              <w:rPr>
                <w:sz w:val="16"/>
                <w:szCs w:val="16"/>
              </w:rPr>
              <w:t>-3.4</w:t>
            </w:r>
          </w:p>
        </w:tc>
        <w:tc>
          <w:tcPr>
            <w:tcW w:w="991" w:type="dxa"/>
            <w:tcBorders>
              <w:top w:val="nil"/>
              <w:left w:val="nil"/>
              <w:bottom w:val="nil"/>
              <w:right w:val="nil"/>
            </w:tcBorders>
            <w:shd w:val="clear" w:color="auto" w:fill="auto"/>
            <w:noWrap/>
            <w:vAlign w:val="center"/>
          </w:tcPr>
          <w:p w14:paraId="15DD43DB" w14:textId="6340E77C" w:rsidR="00540D6C" w:rsidRPr="00540D6C" w:rsidRDefault="00540D6C" w:rsidP="00540D6C">
            <w:pPr>
              <w:tabs>
                <w:tab w:val="decimal" w:pos="458"/>
              </w:tabs>
              <w:jc w:val="left"/>
              <w:rPr>
                <w:sz w:val="16"/>
                <w:szCs w:val="16"/>
              </w:rPr>
            </w:pPr>
            <w:r w:rsidRPr="00540D6C">
              <w:rPr>
                <w:sz w:val="16"/>
                <w:szCs w:val="16"/>
              </w:rPr>
              <w:t>3.4</w:t>
            </w:r>
          </w:p>
        </w:tc>
        <w:tc>
          <w:tcPr>
            <w:tcW w:w="934" w:type="dxa"/>
            <w:tcBorders>
              <w:top w:val="nil"/>
              <w:left w:val="nil"/>
              <w:bottom w:val="nil"/>
              <w:right w:val="nil"/>
            </w:tcBorders>
            <w:shd w:val="clear" w:color="auto" w:fill="auto"/>
            <w:noWrap/>
            <w:vAlign w:val="center"/>
          </w:tcPr>
          <w:p w14:paraId="6480D3DE" w14:textId="51FDE4AB" w:rsidR="00540D6C" w:rsidRPr="00540D6C" w:rsidRDefault="00540D6C" w:rsidP="00540D6C">
            <w:pPr>
              <w:tabs>
                <w:tab w:val="decimal" w:pos="444"/>
              </w:tabs>
              <w:jc w:val="left"/>
              <w:rPr>
                <w:sz w:val="16"/>
                <w:szCs w:val="16"/>
              </w:rPr>
            </w:pPr>
            <w:r w:rsidRPr="00540D6C">
              <w:rPr>
                <w:sz w:val="16"/>
                <w:szCs w:val="16"/>
              </w:rPr>
              <w:t>0.7</w:t>
            </w:r>
          </w:p>
        </w:tc>
        <w:tc>
          <w:tcPr>
            <w:tcW w:w="1050" w:type="dxa"/>
            <w:tcBorders>
              <w:top w:val="nil"/>
              <w:left w:val="nil"/>
              <w:bottom w:val="nil"/>
              <w:right w:val="single" w:sz="8" w:space="0" w:color="404040"/>
            </w:tcBorders>
            <w:shd w:val="clear" w:color="auto" w:fill="auto"/>
            <w:noWrap/>
            <w:vAlign w:val="center"/>
          </w:tcPr>
          <w:p w14:paraId="3D4CC50A" w14:textId="1F59FF2D" w:rsidR="00540D6C" w:rsidRPr="00540D6C" w:rsidRDefault="00540D6C" w:rsidP="00540D6C">
            <w:pPr>
              <w:tabs>
                <w:tab w:val="decimal" w:pos="504"/>
              </w:tabs>
              <w:jc w:val="left"/>
              <w:rPr>
                <w:sz w:val="16"/>
                <w:szCs w:val="16"/>
              </w:rPr>
            </w:pPr>
            <w:r w:rsidRPr="00540D6C">
              <w:rPr>
                <w:sz w:val="16"/>
                <w:szCs w:val="16"/>
              </w:rPr>
              <w:t>3.4</w:t>
            </w:r>
          </w:p>
        </w:tc>
      </w:tr>
      <w:tr w:rsidR="00540D6C" w:rsidRPr="00F87E34" w14:paraId="49D52F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540D6C" w:rsidRPr="00F87E34" w:rsidRDefault="00540D6C" w:rsidP="00540D6C">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242DF17B" w:rsidR="00540D6C" w:rsidRPr="00540D6C" w:rsidRDefault="00540D6C" w:rsidP="00540D6C">
            <w:pPr>
              <w:tabs>
                <w:tab w:val="decimal" w:pos="508"/>
              </w:tabs>
              <w:jc w:val="left"/>
              <w:rPr>
                <w:bCs/>
                <w:sz w:val="16"/>
                <w:szCs w:val="16"/>
              </w:rPr>
            </w:pPr>
            <w:r w:rsidRPr="00540D6C">
              <w:rPr>
                <w:sz w:val="16"/>
                <w:szCs w:val="16"/>
              </w:rPr>
              <w:t>-3.9</w:t>
            </w:r>
          </w:p>
        </w:tc>
        <w:tc>
          <w:tcPr>
            <w:tcW w:w="942" w:type="dxa"/>
            <w:tcBorders>
              <w:top w:val="nil"/>
              <w:left w:val="nil"/>
              <w:bottom w:val="nil"/>
              <w:right w:val="nil"/>
            </w:tcBorders>
            <w:shd w:val="clear" w:color="auto" w:fill="auto"/>
            <w:noWrap/>
            <w:vAlign w:val="center"/>
          </w:tcPr>
          <w:p w14:paraId="0DD1C88A" w14:textId="3A05602F" w:rsidR="00540D6C" w:rsidRPr="00540D6C" w:rsidRDefault="00540D6C" w:rsidP="00540D6C">
            <w:pPr>
              <w:tabs>
                <w:tab w:val="decimal" w:pos="480"/>
              </w:tabs>
              <w:jc w:val="left"/>
              <w:rPr>
                <w:bCs/>
                <w:sz w:val="16"/>
                <w:szCs w:val="16"/>
              </w:rPr>
            </w:pPr>
            <w:r w:rsidRPr="00540D6C">
              <w:rPr>
                <w:sz w:val="16"/>
                <w:szCs w:val="16"/>
              </w:rPr>
              <w:t>2.1</w:t>
            </w:r>
          </w:p>
        </w:tc>
        <w:tc>
          <w:tcPr>
            <w:tcW w:w="1042" w:type="dxa"/>
            <w:tcBorders>
              <w:top w:val="nil"/>
              <w:left w:val="nil"/>
              <w:bottom w:val="nil"/>
              <w:right w:val="nil"/>
            </w:tcBorders>
            <w:shd w:val="clear" w:color="auto" w:fill="auto"/>
            <w:noWrap/>
            <w:vAlign w:val="center"/>
          </w:tcPr>
          <w:p w14:paraId="4407044A" w14:textId="0920F04A" w:rsidR="00540D6C" w:rsidRPr="00540D6C" w:rsidRDefault="00540D6C" w:rsidP="00540D6C">
            <w:pPr>
              <w:tabs>
                <w:tab w:val="decimal" w:pos="508"/>
              </w:tabs>
              <w:jc w:val="left"/>
              <w:rPr>
                <w:bCs/>
                <w:sz w:val="16"/>
                <w:szCs w:val="16"/>
              </w:rPr>
            </w:pPr>
            <w:r w:rsidRPr="00540D6C">
              <w:rPr>
                <w:sz w:val="16"/>
                <w:szCs w:val="16"/>
              </w:rPr>
              <w:t>-1.4</w:t>
            </w:r>
          </w:p>
        </w:tc>
        <w:tc>
          <w:tcPr>
            <w:tcW w:w="991" w:type="dxa"/>
            <w:tcBorders>
              <w:top w:val="nil"/>
              <w:left w:val="nil"/>
              <w:bottom w:val="nil"/>
              <w:right w:val="nil"/>
            </w:tcBorders>
            <w:shd w:val="clear" w:color="auto" w:fill="auto"/>
            <w:noWrap/>
            <w:vAlign w:val="center"/>
          </w:tcPr>
          <w:p w14:paraId="5C3C6086" w14:textId="0842DC07" w:rsidR="00540D6C" w:rsidRPr="00540D6C" w:rsidRDefault="00540D6C" w:rsidP="00540D6C">
            <w:pPr>
              <w:tabs>
                <w:tab w:val="decimal" w:pos="458"/>
              </w:tabs>
              <w:jc w:val="left"/>
              <w:rPr>
                <w:sz w:val="16"/>
                <w:szCs w:val="16"/>
              </w:rPr>
            </w:pPr>
            <w:r w:rsidRPr="00540D6C">
              <w:rPr>
                <w:sz w:val="16"/>
                <w:szCs w:val="16"/>
              </w:rPr>
              <w:t>0.3</w:t>
            </w:r>
          </w:p>
        </w:tc>
        <w:tc>
          <w:tcPr>
            <w:tcW w:w="934" w:type="dxa"/>
            <w:tcBorders>
              <w:top w:val="nil"/>
              <w:left w:val="nil"/>
              <w:bottom w:val="nil"/>
              <w:right w:val="nil"/>
            </w:tcBorders>
            <w:shd w:val="clear" w:color="auto" w:fill="auto"/>
            <w:noWrap/>
            <w:vAlign w:val="center"/>
          </w:tcPr>
          <w:p w14:paraId="134FE620" w14:textId="755D5A29" w:rsidR="00540D6C" w:rsidRPr="00540D6C" w:rsidRDefault="00540D6C" w:rsidP="00540D6C">
            <w:pPr>
              <w:tabs>
                <w:tab w:val="decimal" w:pos="444"/>
              </w:tabs>
              <w:jc w:val="left"/>
              <w:rPr>
                <w:sz w:val="16"/>
                <w:szCs w:val="16"/>
              </w:rPr>
            </w:pPr>
            <w:r w:rsidRPr="00540D6C">
              <w:rPr>
                <w:sz w:val="16"/>
                <w:szCs w:val="16"/>
              </w:rPr>
              <w:t>1.8</w:t>
            </w:r>
          </w:p>
        </w:tc>
        <w:tc>
          <w:tcPr>
            <w:tcW w:w="1050" w:type="dxa"/>
            <w:tcBorders>
              <w:top w:val="nil"/>
              <w:left w:val="nil"/>
              <w:bottom w:val="nil"/>
              <w:right w:val="single" w:sz="8" w:space="0" w:color="404040"/>
            </w:tcBorders>
            <w:shd w:val="clear" w:color="auto" w:fill="auto"/>
            <w:noWrap/>
            <w:vAlign w:val="center"/>
          </w:tcPr>
          <w:p w14:paraId="7B3C0D3F" w14:textId="7D77CBE6" w:rsidR="00540D6C" w:rsidRPr="00540D6C" w:rsidRDefault="00540D6C" w:rsidP="00540D6C">
            <w:pPr>
              <w:tabs>
                <w:tab w:val="decimal" w:pos="504"/>
              </w:tabs>
              <w:jc w:val="left"/>
              <w:rPr>
                <w:sz w:val="16"/>
                <w:szCs w:val="16"/>
              </w:rPr>
            </w:pPr>
            <w:r w:rsidRPr="00540D6C">
              <w:rPr>
                <w:sz w:val="16"/>
                <w:szCs w:val="16"/>
              </w:rPr>
              <w:t>4.4</w:t>
            </w:r>
          </w:p>
        </w:tc>
      </w:tr>
      <w:tr w:rsidR="00540D6C" w:rsidRPr="00F87E34" w14:paraId="7793830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540D6C" w:rsidRPr="00F87E34" w:rsidRDefault="00540D6C" w:rsidP="00540D6C">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6EE8AED7" w:rsidR="00540D6C" w:rsidRPr="00540D6C" w:rsidRDefault="00540D6C" w:rsidP="00540D6C">
            <w:pPr>
              <w:tabs>
                <w:tab w:val="decimal" w:pos="508"/>
              </w:tabs>
              <w:jc w:val="left"/>
              <w:rPr>
                <w:bCs/>
                <w:sz w:val="16"/>
                <w:szCs w:val="16"/>
              </w:rPr>
            </w:pPr>
            <w:r w:rsidRPr="00540D6C">
              <w:rPr>
                <w:sz w:val="16"/>
                <w:szCs w:val="16"/>
              </w:rPr>
              <w:t>-5.6</w:t>
            </w:r>
          </w:p>
        </w:tc>
        <w:tc>
          <w:tcPr>
            <w:tcW w:w="942" w:type="dxa"/>
            <w:tcBorders>
              <w:top w:val="nil"/>
              <w:left w:val="nil"/>
              <w:bottom w:val="nil"/>
              <w:right w:val="nil"/>
            </w:tcBorders>
            <w:shd w:val="clear" w:color="auto" w:fill="auto"/>
            <w:noWrap/>
            <w:vAlign w:val="center"/>
          </w:tcPr>
          <w:p w14:paraId="132225AA" w14:textId="5EAF2D72" w:rsidR="00540D6C" w:rsidRPr="00540D6C" w:rsidRDefault="00540D6C" w:rsidP="00540D6C">
            <w:pPr>
              <w:tabs>
                <w:tab w:val="decimal" w:pos="480"/>
              </w:tabs>
              <w:jc w:val="left"/>
              <w:rPr>
                <w:bCs/>
                <w:sz w:val="16"/>
                <w:szCs w:val="16"/>
              </w:rPr>
            </w:pPr>
            <w:r w:rsidRPr="00540D6C">
              <w:rPr>
                <w:sz w:val="16"/>
                <w:szCs w:val="16"/>
              </w:rPr>
              <w:t>5.2</w:t>
            </w:r>
          </w:p>
        </w:tc>
        <w:tc>
          <w:tcPr>
            <w:tcW w:w="1042" w:type="dxa"/>
            <w:tcBorders>
              <w:top w:val="nil"/>
              <w:left w:val="nil"/>
              <w:bottom w:val="nil"/>
              <w:right w:val="nil"/>
            </w:tcBorders>
            <w:shd w:val="clear" w:color="auto" w:fill="auto"/>
            <w:noWrap/>
            <w:vAlign w:val="center"/>
          </w:tcPr>
          <w:p w14:paraId="200BB3E4" w14:textId="28D70D63" w:rsidR="00540D6C" w:rsidRPr="00540D6C" w:rsidRDefault="00540D6C" w:rsidP="00540D6C">
            <w:pPr>
              <w:tabs>
                <w:tab w:val="decimal" w:pos="508"/>
              </w:tabs>
              <w:jc w:val="left"/>
              <w:rPr>
                <w:bCs/>
                <w:sz w:val="16"/>
                <w:szCs w:val="16"/>
              </w:rPr>
            </w:pPr>
            <w:r w:rsidRPr="00540D6C">
              <w:rPr>
                <w:sz w:val="16"/>
                <w:szCs w:val="16"/>
              </w:rPr>
              <w:t>2.9</w:t>
            </w:r>
          </w:p>
        </w:tc>
        <w:tc>
          <w:tcPr>
            <w:tcW w:w="991" w:type="dxa"/>
            <w:tcBorders>
              <w:top w:val="nil"/>
              <w:left w:val="nil"/>
              <w:bottom w:val="nil"/>
              <w:right w:val="nil"/>
            </w:tcBorders>
            <w:shd w:val="clear" w:color="auto" w:fill="auto"/>
            <w:noWrap/>
            <w:vAlign w:val="center"/>
          </w:tcPr>
          <w:p w14:paraId="7C00F017" w14:textId="13F4FA12" w:rsidR="00540D6C" w:rsidRPr="00540D6C" w:rsidRDefault="00540D6C" w:rsidP="00540D6C">
            <w:pPr>
              <w:tabs>
                <w:tab w:val="decimal" w:pos="458"/>
              </w:tabs>
              <w:jc w:val="left"/>
              <w:rPr>
                <w:sz w:val="16"/>
                <w:szCs w:val="16"/>
              </w:rPr>
            </w:pPr>
            <w:r w:rsidRPr="00540D6C">
              <w:rPr>
                <w:sz w:val="16"/>
                <w:szCs w:val="16"/>
              </w:rPr>
              <w:t>-2.0</w:t>
            </w:r>
          </w:p>
        </w:tc>
        <w:tc>
          <w:tcPr>
            <w:tcW w:w="934" w:type="dxa"/>
            <w:tcBorders>
              <w:top w:val="nil"/>
              <w:left w:val="nil"/>
              <w:bottom w:val="nil"/>
              <w:right w:val="nil"/>
            </w:tcBorders>
            <w:shd w:val="clear" w:color="auto" w:fill="auto"/>
            <w:noWrap/>
            <w:vAlign w:val="center"/>
          </w:tcPr>
          <w:p w14:paraId="4B07A062" w14:textId="48435126" w:rsidR="00540D6C" w:rsidRPr="00540D6C" w:rsidRDefault="00540D6C" w:rsidP="00540D6C">
            <w:pPr>
              <w:tabs>
                <w:tab w:val="decimal" w:pos="444"/>
              </w:tabs>
              <w:jc w:val="left"/>
              <w:rPr>
                <w:sz w:val="16"/>
                <w:szCs w:val="16"/>
              </w:rPr>
            </w:pPr>
            <w:r w:rsidRPr="00540D6C">
              <w:rPr>
                <w:sz w:val="16"/>
                <w:szCs w:val="16"/>
              </w:rPr>
              <w:t>1.3</w:t>
            </w:r>
          </w:p>
        </w:tc>
        <w:tc>
          <w:tcPr>
            <w:tcW w:w="1050" w:type="dxa"/>
            <w:tcBorders>
              <w:top w:val="nil"/>
              <w:left w:val="nil"/>
              <w:bottom w:val="nil"/>
              <w:right w:val="single" w:sz="8" w:space="0" w:color="404040"/>
            </w:tcBorders>
            <w:shd w:val="clear" w:color="auto" w:fill="auto"/>
            <w:noWrap/>
            <w:vAlign w:val="center"/>
          </w:tcPr>
          <w:p w14:paraId="7EA0BD85" w14:textId="107EFFDE" w:rsidR="00540D6C" w:rsidRPr="00540D6C" w:rsidRDefault="00540D6C" w:rsidP="00540D6C">
            <w:pPr>
              <w:tabs>
                <w:tab w:val="decimal" w:pos="504"/>
              </w:tabs>
              <w:jc w:val="left"/>
              <w:rPr>
                <w:sz w:val="16"/>
                <w:szCs w:val="16"/>
              </w:rPr>
            </w:pPr>
            <w:r w:rsidRPr="00540D6C">
              <w:rPr>
                <w:sz w:val="16"/>
                <w:szCs w:val="16"/>
              </w:rPr>
              <w:t>6.3</w:t>
            </w:r>
          </w:p>
        </w:tc>
      </w:tr>
      <w:tr w:rsidR="00540D6C" w:rsidRPr="00F87E34" w14:paraId="5719F55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540D6C" w:rsidRPr="00F87E34" w:rsidRDefault="00540D6C" w:rsidP="00540D6C">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43D314B4" w:rsidR="00540D6C" w:rsidRPr="00540D6C" w:rsidRDefault="00540D6C" w:rsidP="00540D6C">
            <w:pPr>
              <w:tabs>
                <w:tab w:val="decimal" w:pos="508"/>
              </w:tabs>
              <w:jc w:val="left"/>
              <w:rPr>
                <w:bCs/>
                <w:sz w:val="16"/>
                <w:szCs w:val="16"/>
              </w:rPr>
            </w:pPr>
            <w:r w:rsidRPr="00540D6C">
              <w:rPr>
                <w:sz w:val="16"/>
                <w:szCs w:val="16"/>
              </w:rPr>
              <w:t>-1.0</w:t>
            </w:r>
          </w:p>
        </w:tc>
        <w:tc>
          <w:tcPr>
            <w:tcW w:w="942" w:type="dxa"/>
            <w:tcBorders>
              <w:top w:val="nil"/>
              <w:left w:val="nil"/>
              <w:bottom w:val="nil"/>
              <w:right w:val="nil"/>
            </w:tcBorders>
            <w:shd w:val="clear" w:color="auto" w:fill="auto"/>
            <w:noWrap/>
            <w:vAlign w:val="center"/>
          </w:tcPr>
          <w:p w14:paraId="713C4591" w14:textId="6435C5EA" w:rsidR="00540D6C" w:rsidRPr="00540D6C" w:rsidRDefault="00540D6C" w:rsidP="00540D6C">
            <w:pPr>
              <w:tabs>
                <w:tab w:val="decimal" w:pos="480"/>
              </w:tabs>
              <w:jc w:val="left"/>
              <w:rPr>
                <w:bCs/>
                <w:sz w:val="16"/>
                <w:szCs w:val="16"/>
              </w:rPr>
            </w:pPr>
            <w:r w:rsidRPr="00540D6C">
              <w:rPr>
                <w:sz w:val="16"/>
                <w:szCs w:val="16"/>
              </w:rPr>
              <w:t>6.6</w:t>
            </w:r>
          </w:p>
        </w:tc>
        <w:tc>
          <w:tcPr>
            <w:tcW w:w="1042" w:type="dxa"/>
            <w:tcBorders>
              <w:top w:val="nil"/>
              <w:left w:val="nil"/>
              <w:bottom w:val="nil"/>
              <w:right w:val="nil"/>
            </w:tcBorders>
            <w:shd w:val="clear" w:color="auto" w:fill="auto"/>
            <w:noWrap/>
            <w:vAlign w:val="center"/>
          </w:tcPr>
          <w:p w14:paraId="3045C3B6" w14:textId="76CE64E9" w:rsidR="00540D6C" w:rsidRPr="00540D6C" w:rsidRDefault="00540D6C" w:rsidP="00540D6C">
            <w:pPr>
              <w:tabs>
                <w:tab w:val="decimal" w:pos="508"/>
              </w:tabs>
              <w:jc w:val="left"/>
              <w:rPr>
                <w:bCs/>
                <w:sz w:val="16"/>
                <w:szCs w:val="16"/>
              </w:rPr>
            </w:pPr>
            <w:r w:rsidRPr="00540D6C">
              <w:rPr>
                <w:sz w:val="16"/>
                <w:szCs w:val="16"/>
              </w:rPr>
              <w:t>-2.5</w:t>
            </w:r>
          </w:p>
        </w:tc>
        <w:tc>
          <w:tcPr>
            <w:tcW w:w="991" w:type="dxa"/>
            <w:tcBorders>
              <w:top w:val="nil"/>
              <w:left w:val="nil"/>
              <w:bottom w:val="nil"/>
              <w:right w:val="nil"/>
            </w:tcBorders>
            <w:shd w:val="clear" w:color="auto" w:fill="auto"/>
            <w:noWrap/>
            <w:vAlign w:val="center"/>
          </w:tcPr>
          <w:p w14:paraId="7F71F6A7" w14:textId="5BBEE1C0" w:rsidR="00540D6C" w:rsidRPr="00540D6C" w:rsidRDefault="00540D6C" w:rsidP="00540D6C">
            <w:pPr>
              <w:tabs>
                <w:tab w:val="decimal" w:pos="458"/>
              </w:tabs>
              <w:jc w:val="left"/>
              <w:rPr>
                <w:sz w:val="16"/>
                <w:szCs w:val="16"/>
              </w:rPr>
            </w:pPr>
            <w:r w:rsidRPr="00540D6C">
              <w:rPr>
                <w:sz w:val="16"/>
                <w:szCs w:val="16"/>
              </w:rPr>
              <w:t>2.7</w:t>
            </w:r>
          </w:p>
        </w:tc>
        <w:tc>
          <w:tcPr>
            <w:tcW w:w="934" w:type="dxa"/>
            <w:tcBorders>
              <w:top w:val="nil"/>
              <w:left w:val="nil"/>
              <w:bottom w:val="nil"/>
              <w:right w:val="nil"/>
            </w:tcBorders>
            <w:shd w:val="clear" w:color="auto" w:fill="auto"/>
            <w:noWrap/>
            <w:vAlign w:val="center"/>
          </w:tcPr>
          <w:p w14:paraId="52106731" w14:textId="7D86DF9D" w:rsidR="00540D6C" w:rsidRPr="00540D6C" w:rsidRDefault="00540D6C" w:rsidP="00540D6C">
            <w:pPr>
              <w:tabs>
                <w:tab w:val="decimal" w:pos="444"/>
              </w:tabs>
              <w:jc w:val="left"/>
              <w:rPr>
                <w:sz w:val="16"/>
                <w:szCs w:val="16"/>
              </w:rPr>
            </w:pPr>
            <w:r w:rsidRPr="00540D6C">
              <w:rPr>
                <w:sz w:val="16"/>
                <w:szCs w:val="16"/>
              </w:rPr>
              <w:t>2.5</w:t>
            </w:r>
          </w:p>
        </w:tc>
        <w:tc>
          <w:tcPr>
            <w:tcW w:w="1050" w:type="dxa"/>
            <w:tcBorders>
              <w:top w:val="nil"/>
              <w:left w:val="nil"/>
              <w:bottom w:val="nil"/>
              <w:right w:val="single" w:sz="8" w:space="0" w:color="404040"/>
            </w:tcBorders>
            <w:shd w:val="clear" w:color="auto" w:fill="auto"/>
            <w:noWrap/>
            <w:vAlign w:val="center"/>
          </w:tcPr>
          <w:p w14:paraId="5A53ACD3" w14:textId="67BBE302" w:rsidR="00540D6C" w:rsidRPr="00540D6C" w:rsidRDefault="00540D6C" w:rsidP="00540D6C">
            <w:pPr>
              <w:tabs>
                <w:tab w:val="decimal" w:pos="504"/>
              </w:tabs>
              <w:jc w:val="left"/>
              <w:rPr>
                <w:sz w:val="16"/>
                <w:szCs w:val="16"/>
              </w:rPr>
            </w:pPr>
            <w:r w:rsidRPr="00540D6C">
              <w:rPr>
                <w:sz w:val="16"/>
                <w:szCs w:val="16"/>
              </w:rPr>
              <w:t>3.1</w:t>
            </w:r>
          </w:p>
        </w:tc>
      </w:tr>
      <w:tr w:rsidR="00540D6C" w:rsidRPr="00F87E34" w14:paraId="70148EC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540D6C" w:rsidRPr="00F87E34" w:rsidRDefault="00540D6C" w:rsidP="00540D6C">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6CA6076F" w:rsidR="00540D6C" w:rsidRPr="00540D6C" w:rsidRDefault="00540D6C" w:rsidP="00540D6C">
            <w:pPr>
              <w:tabs>
                <w:tab w:val="decimal" w:pos="508"/>
              </w:tabs>
              <w:jc w:val="left"/>
              <w:rPr>
                <w:bCs/>
                <w:sz w:val="16"/>
                <w:szCs w:val="16"/>
              </w:rPr>
            </w:pPr>
            <w:r w:rsidRPr="00540D6C">
              <w:rPr>
                <w:sz w:val="16"/>
                <w:szCs w:val="16"/>
              </w:rPr>
              <w:t>1.9</w:t>
            </w:r>
          </w:p>
        </w:tc>
        <w:tc>
          <w:tcPr>
            <w:tcW w:w="942" w:type="dxa"/>
            <w:tcBorders>
              <w:top w:val="nil"/>
              <w:left w:val="nil"/>
              <w:bottom w:val="nil"/>
              <w:right w:val="nil"/>
            </w:tcBorders>
            <w:shd w:val="clear" w:color="auto" w:fill="auto"/>
            <w:noWrap/>
            <w:vAlign w:val="center"/>
          </w:tcPr>
          <w:p w14:paraId="60D2E44A" w14:textId="749FCF69" w:rsidR="00540D6C" w:rsidRPr="00540D6C" w:rsidRDefault="00540D6C" w:rsidP="00540D6C">
            <w:pPr>
              <w:tabs>
                <w:tab w:val="decimal" w:pos="480"/>
              </w:tabs>
              <w:jc w:val="left"/>
              <w:rPr>
                <w:bCs/>
                <w:sz w:val="16"/>
                <w:szCs w:val="16"/>
              </w:rPr>
            </w:pPr>
            <w:r w:rsidRPr="00540D6C">
              <w:rPr>
                <w:sz w:val="16"/>
                <w:szCs w:val="16"/>
              </w:rPr>
              <w:t>0.7</w:t>
            </w:r>
          </w:p>
        </w:tc>
        <w:tc>
          <w:tcPr>
            <w:tcW w:w="1042" w:type="dxa"/>
            <w:tcBorders>
              <w:top w:val="nil"/>
              <w:left w:val="nil"/>
              <w:bottom w:val="nil"/>
              <w:right w:val="nil"/>
            </w:tcBorders>
            <w:shd w:val="clear" w:color="auto" w:fill="auto"/>
            <w:noWrap/>
            <w:vAlign w:val="center"/>
          </w:tcPr>
          <w:p w14:paraId="158CDCB4" w14:textId="3701182E" w:rsidR="00540D6C" w:rsidRPr="00540D6C" w:rsidRDefault="00540D6C" w:rsidP="00540D6C">
            <w:pPr>
              <w:tabs>
                <w:tab w:val="decimal" w:pos="508"/>
              </w:tabs>
              <w:jc w:val="left"/>
              <w:rPr>
                <w:bCs/>
                <w:sz w:val="16"/>
                <w:szCs w:val="16"/>
              </w:rPr>
            </w:pPr>
            <w:r w:rsidRPr="00540D6C">
              <w:rPr>
                <w:sz w:val="16"/>
                <w:szCs w:val="16"/>
              </w:rPr>
              <w:t>4.4</w:t>
            </w:r>
          </w:p>
        </w:tc>
        <w:tc>
          <w:tcPr>
            <w:tcW w:w="991" w:type="dxa"/>
            <w:tcBorders>
              <w:top w:val="nil"/>
              <w:left w:val="nil"/>
              <w:bottom w:val="nil"/>
              <w:right w:val="nil"/>
            </w:tcBorders>
            <w:shd w:val="clear" w:color="auto" w:fill="auto"/>
            <w:noWrap/>
            <w:vAlign w:val="center"/>
          </w:tcPr>
          <w:p w14:paraId="57FB957E" w14:textId="456678C9" w:rsidR="00540D6C" w:rsidRPr="00540D6C" w:rsidRDefault="00540D6C" w:rsidP="00540D6C">
            <w:pPr>
              <w:tabs>
                <w:tab w:val="decimal" w:pos="458"/>
              </w:tabs>
              <w:jc w:val="left"/>
              <w:rPr>
                <w:sz w:val="16"/>
                <w:szCs w:val="16"/>
              </w:rPr>
            </w:pPr>
            <w:r w:rsidRPr="00540D6C">
              <w:rPr>
                <w:sz w:val="16"/>
                <w:szCs w:val="16"/>
              </w:rPr>
              <w:t>1.1</w:t>
            </w:r>
          </w:p>
        </w:tc>
        <w:tc>
          <w:tcPr>
            <w:tcW w:w="934" w:type="dxa"/>
            <w:tcBorders>
              <w:top w:val="nil"/>
              <w:left w:val="nil"/>
              <w:bottom w:val="nil"/>
              <w:right w:val="nil"/>
            </w:tcBorders>
            <w:shd w:val="clear" w:color="auto" w:fill="auto"/>
            <w:noWrap/>
            <w:vAlign w:val="center"/>
          </w:tcPr>
          <w:p w14:paraId="69A2F423" w14:textId="040297FD" w:rsidR="00540D6C" w:rsidRPr="00540D6C" w:rsidRDefault="00540D6C" w:rsidP="00540D6C">
            <w:pPr>
              <w:tabs>
                <w:tab w:val="decimal" w:pos="444"/>
              </w:tabs>
              <w:jc w:val="left"/>
              <w:rPr>
                <w:sz w:val="16"/>
                <w:szCs w:val="16"/>
              </w:rPr>
            </w:pPr>
            <w:r w:rsidRPr="00540D6C">
              <w:rPr>
                <w:sz w:val="16"/>
                <w:szCs w:val="16"/>
              </w:rPr>
              <w:t>3.3</w:t>
            </w:r>
          </w:p>
        </w:tc>
        <w:tc>
          <w:tcPr>
            <w:tcW w:w="1050" w:type="dxa"/>
            <w:tcBorders>
              <w:top w:val="nil"/>
              <w:left w:val="nil"/>
              <w:bottom w:val="nil"/>
              <w:right w:val="single" w:sz="8" w:space="0" w:color="404040"/>
            </w:tcBorders>
            <w:shd w:val="clear" w:color="auto" w:fill="auto"/>
            <w:noWrap/>
            <w:vAlign w:val="center"/>
          </w:tcPr>
          <w:p w14:paraId="2B7CDC1A" w14:textId="39A6503F" w:rsidR="00540D6C" w:rsidRPr="00540D6C" w:rsidRDefault="00540D6C" w:rsidP="00540D6C">
            <w:pPr>
              <w:tabs>
                <w:tab w:val="decimal" w:pos="504"/>
              </w:tabs>
              <w:jc w:val="left"/>
              <w:rPr>
                <w:sz w:val="16"/>
                <w:szCs w:val="16"/>
              </w:rPr>
            </w:pPr>
            <w:r w:rsidRPr="00540D6C">
              <w:rPr>
                <w:sz w:val="16"/>
                <w:szCs w:val="16"/>
              </w:rPr>
              <w:t>2.4</w:t>
            </w:r>
          </w:p>
        </w:tc>
      </w:tr>
      <w:tr w:rsidR="00540D6C" w:rsidRPr="00F87E34" w14:paraId="0B357A9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540D6C" w:rsidRPr="00F87E34" w:rsidRDefault="00540D6C" w:rsidP="00540D6C">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7F131588" w:rsidR="00540D6C" w:rsidRPr="00540D6C" w:rsidRDefault="00540D6C" w:rsidP="00540D6C">
            <w:pPr>
              <w:tabs>
                <w:tab w:val="decimal" w:pos="508"/>
              </w:tabs>
              <w:jc w:val="left"/>
              <w:rPr>
                <w:bCs/>
                <w:sz w:val="16"/>
                <w:szCs w:val="16"/>
              </w:rPr>
            </w:pPr>
            <w:r w:rsidRPr="00540D6C">
              <w:rPr>
                <w:sz w:val="16"/>
                <w:szCs w:val="16"/>
              </w:rPr>
              <w:t>-7.6</w:t>
            </w:r>
          </w:p>
        </w:tc>
        <w:tc>
          <w:tcPr>
            <w:tcW w:w="942" w:type="dxa"/>
            <w:tcBorders>
              <w:top w:val="nil"/>
              <w:left w:val="nil"/>
              <w:bottom w:val="nil"/>
              <w:right w:val="nil"/>
            </w:tcBorders>
            <w:shd w:val="clear" w:color="auto" w:fill="auto"/>
            <w:noWrap/>
            <w:vAlign w:val="center"/>
          </w:tcPr>
          <w:p w14:paraId="604F4EB7" w14:textId="6FDC86CC" w:rsidR="00540D6C" w:rsidRPr="00540D6C" w:rsidRDefault="00540D6C" w:rsidP="00540D6C">
            <w:pPr>
              <w:tabs>
                <w:tab w:val="decimal" w:pos="480"/>
              </w:tabs>
              <w:jc w:val="left"/>
              <w:rPr>
                <w:bCs/>
                <w:sz w:val="16"/>
                <w:szCs w:val="16"/>
              </w:rPr>
            </w:pPr>
            <w:r w:rsidRPr="00540D6C">
              <w:rPr>
                <w:sz w:val="16"/>
                <w:szCs w:val="16"/>
              </w:rPr>
              <w:t>-1.0</w:t>
            </w:r>
          </w:p>
        </w:tc>
        <w:tc>
          <w:tcPr>
            <w:tcW w:w="1042" w:type="dxa"/>
            <w:tcBorders>
              <w:top w:val="nil"/>
              <w:left w:val="nil"/>
              <w:bottom w:val="nil"/>
              <w:right w:val="nil"/>
            </w:tcBorders>
            <w:shd w:val="clear" w:color="auto" w:fill="auto"/>
            <w:noWrap/>
            <w:vAlign w:val="center"/>
          </w:tcPr>
          <w:p w14:paraId="5D8BA7DB" w14:textId="0F27A954" w:rsidR="00540D6C" w:rsidRPr="00540D6C" w:rsidRDefault="00540D6C" w:rsidP="00540D6C">
            <w:pPr>
              <w:tabs>
                <w:tab w:val="decimal" w:pos="508"/>
              </w:tabs>
              <w:jc w:val="left"/>
              <w:rPr>
                <w:bCs/>
                <w:sz w:val="16"/>
                <w:szCs w:val="16"/>
              </w:rPr>
            </w:pPr>
            <w:r w:rsidRPr="00540D6C">
              <w:rPr>
                <w:sz w:val="16"/>
                <w:szCs w:val="16"/>
              </w:rPr>
              <w:t>5.9</w:t>
            </w:r>
          </w:p>
        </w:tc>
        <w:tc>
          <w:tcPr>
            <w:tcW w:w="991" w:type="dxa"/>
            <w:tcBorders>
              <w:top w:val="nil"/>
              <w:left w:val="nil"/>
              <w:bottom w:val="nil"/>
              <w:right w:val="nil"/>
            </w:tcBorders>
            <w:shd w:val="clear" w:color="auto" w:fill="auto"/>
            <w:noWrap/>
            <w:vAlign w:val="center"/>
          </w:tcPr>
          <w:p w14:paraId="51B3738B" w14:textId="779A2988" w:rsidR="00540D6C" w:rsidRPr="00540D6C" w:rsidRDefault="00540D6C" w:rsidP="00540D6C">
            <w:pPr>
              <w:tabs>
                <w:tab w:val="decimal" w:pos="458"/>
              </w:tabs>
              <w:jc w:val="left"/>
              <w:rPr>
                <w:sz w:val="16"/>
                <w:szCs w:val="16"/>
              </w:rPr>
            </w:pPr>
            <w:r w:rsidRPr="00540D6C">
              <w:rPr>
                <w:sz w:val="16"/>
                <w:szCs w:val="16"/>
              </w:rPr>
              <w:t>-4.2</w:t>
            </w:r>
          </w:p>
        </w:tc>
        <w:tc>
          <w:tcPr>
            <w:tcW w:w="934" w:type="dxa"/>
            <w:tcBorders>
              <w:top w:val="nil"/>
              <w:left w:val="nil"/>
              <w:bottom w:val="nil"/>
              <w:right w:val="nil"/>
            </w:tcBorders>
            <w:shd w:val="clear" w:color="auto" w:fill="auto"/>
            <w:noWrap/>
            <w:vAlign w:val="center"/>
          </w:tcPr>
          <w:p w14:paraId="6C64866B" w14:textId="37AF3ACD" w:rsidR="00540D6C" w:rsidRPr="00540D6C" w:rsidRDefault="00540D6C" w:rsidP="00540D6C">
            <w:pPr>
              <w:tabs>
                <w:tab w:val="decimal" w:pos="444"/>
              </w:tabs>
              <w:jc w:val="left"/>
              <w:rPr>
                <w:sz w:val="16"/>
                <w:szCs w:val="16"/>
              </w:rPr>
            </w:pPr>
            <w:r w:rsidRPr="00540D6C">
              <w:rPr>
                <w:sz w:val="16"/>
                <w:szCs w:val="16"/>
              </w:rPr>
              <w:t>1.5</w:t>
            </w:r>
          </w:p>
        </w:tc>
        <w:tc>
          <w:tcPr>
            <w:tcW w:w="1050" w:type="dxa"/>
            <w:tcBorders>
              <w:top w:val="nil"/>
              <w:left w:val="nil"/>
              <w:bottom w:val="nil"/>
              <w:right w:val="single" w:sz="8" w:space="0" w:color="404040"/>
            </w:tcBorders>
            <w:shd w:val="clear" w:color="auto" w:fill="auto"/>
            <w:noWrap/>
            <w:vAlign w:val="center"/>
          </w:tcPr>
          <w:p w14:paraId="6785986D" w14:textId="4E7DDD0B" w:rsidR="00540D6C" w:rsidRPr="00540D6C" w:rsidRDefault="00540D6C" w:rsidP="00540D6C">
            <w:pPr>
              <w:tabs>
                <w:tab w:val="decimal" w:pos="504"/>
              </w:tabs>
              <w:jc w:val="left"/>
              <w:rPr>
                <w:sz w:val="16"/>
                <w:szCs w:val="16"/>
              </w:rPr>
            </w:pPr>
            <w:r w:rsidRPr="00540D6C">
              <w:rPr>
                <w:sz w:val="16"/>
                <w:szCs w:val="16"/>
              </w:rPr>
              <w:t>1.0</w:t>
            </w:r>
          </w:p>
        </w:tc>
      </w:tr>
      <w:tr w:rsidR="00540D6C" w:rsidRPr="00F87E34" w14:paraId="6CBD1E1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540D6C" w:rsidRPr="00F87E34" w:rsidRDefault="00540D6C" w:rsidP="00540D6C">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07C7BA17" w:rsidR="00540D6C" w:rsidRPr="00540D6C" w:rsidRDefault="00540D6C" w:rsidP="00540D6C">
            <w:pPr>
              <w:tabs>
                <w:tab w:val="decimal" w:pos="508"/>
              </w:tabs>
              <w:jc w:val="left"/>
              <w:rPr>
                <w:bCs/>
                <w:sz w:val="16"/>
                <w:szCs w:val="16"/>
              </w:rPr>
            </w:pPr>
            <w:r w:rsidRPr="00540D6C">
              <w:rPr>
                <w:sz w:val="16"/>
                <w:szCs w:val="16"/>
              </w:rPr>
              <w:t>-4.8</w:t>
            </w:r>
          </w:p>
        </w:tc>
        <w:tc>
          <w:tcPr>
            <w:tcW w:w="942" w:type="dxa"/>
            <w:tcBorders>
              <w:top w:val="nil"/>
              <w:left w:val="nil"/>
              <w:bottom w:val="nil"/>
              <w:right w:val="nil"/>
            </w:tcBorders>
            <w:shd w:val="clear" w:color="auto" w:fill="auto"/>
            <w:noWrap/>
            <w:vAlign w:val="center"/>
          </w:tcPr>
          <w:p w14:paraId="14A7F4B3" w14:textId="295552F4" w:rsidR="00540D6C" w:rsidRPr="00540D6C" w:rsidRDefault="00540D6C" w:rsidP="00540D6C">
            <w:pPr>
              <w:tabs>
                <w:tab w:val="decimal" w:pos="480"/>
              </w:tabs>
              <w:jc w:val="left"/>
              <w:rPr>
                <w:bCs/>
                <w:sz w:val="16"/>
                <w:szCs w:val="16"/>
              </w:rPr>
            </w:pPr>
            <w:r w:rsidRPr="00540D6C">
              <w:rPr>
                <w:sz w:val="16"/>
                <w:szCs w:val="16"/>
              </w:rPr>
              <w:t>3.2</w:t>
            </w:r>
          </w:p>
        </w:tc>
        <w:tc>
          <w:tcPr>
            <w:tcW w:w="1042" w:type="dxa"/>
            <w:tcBorders>
              <w:top w:val="nil"/>
              <w:left w:val="nil"/>
              <w:bottom w:val="nil"/>
              <w:right w:val="nil"/>
            </w:tcBorders>
            <w:shd w:val="clear" w:color="auto" w:fill="auto"/>
            <w:noWrap/>
            <w:vAlign w:val="center"/>
          </w:tcPr>
          <w:p w14:paraId="0A632F9A" w14:textId="6D7F1095" w:rsidR="00540D6C" w:rsidRPr="00540D6C" w:rsidRDefault="00540D6C" w:rsidP="00540D6C">
            <w:pPr>
              <w:tabs>
                <w:tab w:val="decimal" w:pos="508"/>
              </w:tabs>
              <w:jc w:val="left"/>
              <w:rPr>
                <w:bCs/>
                <w:sz w:val="16"/>
                <w:szCs w:val="16"/>
              </w:rPr>
            </w:pPr>
            <w:r w:rsidRPr="00540D6C">
              <w:rPr>
                <w:sz w:val="16"/>
                <w:szCs w:val="16"/>
              </w:rPr>
              <w:t>-4.9</w:t>
            </w:r>
          </w:p>
        </w:tc>
        <w:tc>
          <w:tcPr>
            <w:tcW w:w="991" w:type="dxa"/>
            <w:tcBorders>
              <w:top w:val="nil"/>
              <w:left w:val="nil"/>
              <w:bottom w:val="nil"/>
              <w:right w:val="nil"/>
            </w:tcBorders>
            <w:shd w:val="clear" w:color="auto" w:fill="auto"/>
            <w:noWrap/>
            <w:vAlign w:val="center"/>
          </w:tcPr>
          <w:p w14:paraId="1A25DFBE" w14:textId="6B6834BB" w:rsidR="00540D6C" w:rsidRPr="00540D6C" w:rsidRDefault="00540D6C" w:rsidP="00540D6C">
            <w:pPr>
              <w:tabs>
                <w:tab w:val="decimal" w:pos="458"/>
              </w:tabs>
              <w:jc w:val="left"/>
              <w:rPr>
                <w:sz w:val="16"/>
                <w:szCs w:val="16"/>
              </w:rPr>
            </w:pPr>
            <w:r w:rsidRPr="00540D6C">
              <w:rPr>
                <w:sz w:val="16"/>
                <w:szCs w:val="16"/>
              </w:rPr>
              <w:t>5.4</w:t>
            </w:r>
          </w:p>
        </w:tc>
        <w:tc>
          <w:tcPr>
            <w:tcW w:w="934" w:type="dxa"/>
            <w:tcBorders>
              <w:top w:val="nil"/>
              <w:left w:val="nil"/>
              <w:bottom w:val="nil"/>
              <w:right w:val="nil"/>
            </w:tcBorders>
            <w:shd w:val="clear" w:color="auto" w:fill="auto"/>
            <w:noWrap/>
            <w:vAlign w:val="center"/>
          </w:tcPr>
          <w:p w14:paraId="3A0549BA" w14:textId="1A85E6EB" w:rsidR="00540D6C" w:rsidRPr="00540D6C" w:rsidRDefault="00540D6C" w:rsidP="00540D6C">
            <w:pPr>
              <w:tabs>
                <w:tab w:val="decimal" w:pos="444"/>
              </w:tabs>
              <w:jc w:val="left"/>
              <w:rPr>
                <w:sz w:val="16"/>
                <w:szCs w:val="16"/>
              </w:rPr>
            </w:pPr>
            <w:r w:rsidRPr="00540D6C">
              <w:rPr>
                <w:sz w:val="16"/>
                <w:szCs w:val="16"/>
              </w:rPr>
              <w:t>-2.0</w:t>
            </w:r>
          </w:p>
        </w:tc>
        <w:tc>
          <w:tcPr>
            <w:tcW w:w="1050" w:type="dxa"/>
            <w:tcBorders>
              <w:top w:val="nil"/>
              <w:left w:val="nil"/>
              <w:bottom w:val="nil"/>
              <w:right w:val="single" w:sz="8" w:space="0" w:color="404040"/>
            </w:tcBorders>
            <w:shd w:val="clear" w:color="auto" w:fill="auto"/>
            <w:noWrap/>
            <w:vAlign w:val="center"/>
          </w:tcPr>
          <w:p w14:paraId="77EA25E8" w14:textId="5F6F17F1" w:rsidR="00540D6C" w:rsidRPr="00540D6C" w:rsidRDefault="00540D6C" w:rsidP="00540D6C">
            <w:pPr>
              <w:tabs>
                <w:tab w:val="decimal" w:pos="504"/>
              </w:tabs>
              <w:jc w:val="left"/>
              <w:rPr>
                <w:sz w:val="16"/>
                <w:szCs w:val="16"/>
              </w:rPr>
            </w:pPr>
            <w:r w:rsidRPr="00540D6C">
              <w:rPr>
                <w:sz w:val="16"/>
                <w:szCs w:val="16"/>
              </w:rPr>
              <w:t>11.3</w:t>
            </w:r>
          </w:p>
        </w:tc>
      </w:tr>
      <w:tr w:rsidR="00540D6C" w:rsidRPr="00F87E34" w14:paraId="273263B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540D6C" w:rsidRPr="00F87E34" w:rsidRDefault="00540D6C" w:rsidP="00540D6C">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60894109" w:rsidR="00540D6C" w:rsidRPr="00540D6C" w:rsidRDefault="00540D6C" w:rsidP="00540D6C">
            <w:pPr>
              <w:tabs>
                <w:tab w:val="decimal" w:pos="508"/>
              </w:tabs>
              <w:jc w:val="left"/>
              <w:rPr>
                <w:bCs/>
                <w:sz w:val="16"/>
                <w:szCs w:val="16"/>
              </w:rPr>
            </w:pPr>
            <w:r w:rsidRPr="00540D6C">
              <w:rPr>
                <w:sz w:val="16"/>
                <w:szCs w:val="16"/>
              </w:rPr>
              <w:t>1.5</w:t>
            </w:r>
          </w:p>
        </w:tc>
        <w:tc>
          <w:tcPr>
            <w:tcW w:w="942" w:type="dxa"/>
            <w:tcBorders>
              <w:top w:val="nil"/>
              <w:left w:val="nil"/>
              <w:bottom w:val="nil"/>
              <w:right w:val="nil"/>
            </w:tcBorders>
            <w:shd w:val="clear" w:color="auto" w:fill="auto"/>
            <w:noWrap/>
            <w:vAlign w:val="center"/>
          </w:tcPr>
          <w:p w14:paraId="1623B186" w14:textId="2C781DBB" w:rsidR="00540D6C" w:rsidRPr="00540D6C" w:rsidRDefault="00540D6C" w:rsidP="00540D6C">
            <w:pPr>
              <w:tabs>
                <w:tab w:val="decimal" w:pos="480"/>
              </w:tabs>
              <w:jc w:val="left"/>
              <w:rPr>
                <w:bCs/>
                <w:sz w:val="16"/>
                <w:szCs w:val="16"/>
              </w:rPr>
            </w:pPr>
            <w:r w:rsidRPr="00540D6C">
              <w:rPr>
                <w:sz w:val="16"/>
                <w:szCs w:val="16"/>
              </w:rPr>
              <w:t>1.6</w:t>
            </w:r>
          </w:p>
        </w:tc>
        <w:tc>
          <w:tcPr>
            <w:tcW w:w="1042" w:type="dxa"/>
            <w:tcBorders>
              <w:top w:val="nil"/>
              <w:left w:val="nil"/>
              <w:bottom w:val="nil"/>
              <w:right w:val="nil"/>
            </w:tcBorders>
            <w:shd w:val="clear" w:color="auto" w:fill="auto"/>
            <w:noWrap/>
            <w:vAlign w:val="center"/>
          </w:tcPr>
          <w:p w14:paraId="725E1BE5" w14:textId="42A4BED2" w:rsidR="00540D6C" w:rsidRPr="00540D6C" w:rsidRDefault="00540D6C" w:rsidP="00540D6C">
            <w:pPr>
              <w:tabs>
                <w:tab w:val="decimal" w:pos="508"/>
              </w:tabs>
              <w:jc w:val="left"/>
              <w:rPr>
                <w:bCs/>
                <w:sz w:val="16"/>
                <w:szCs w:val="16"/>
              </w:rPr>
            </w:pPr>
            <w:r w:rsidRPr="00540D6C">
              <w:rPr>
                <w:sz w:val="16"/>
                <w:szCs w:val="16"/>
              </w:rPr>
              <w:t>1.0</w:t>
            </w:r>
          </w:p>
        </w:tc>
        <w:tc>
          <w:tcPr>
            <w:tcW w:w="991" w:type="dxa"/>
            <w:tcBorders>
              <w:top w:val="nil"/>
              <w:left w:val="nil"/>
              <w:bottom w:val="nil"/>
              <w:right w:val="nil"/>
            </w:tcBorders>
            <w:shd w:val="clear" w:color="auto" w:fill="auto"/>
            <w:noWrap/>
            <w:vAlign w:val="center"/>
          </w:tcPr>
          <w:p w14:paraId="1F612591" w14:textId="4397DFEE" w:rsidR="00540D6C" w:rsidRPr="00540D6C" w:rsidRDefault="00540D6C" w:rsidP="00540D6C">
            <w:pPr>
              <w:tabs>
                <w:tab w:val="decimal" w:pos="458"/>
              </w:tabs>
              <w:jc w:val="left"/>
              <w:rPr>
                <w:sz w:val="16"/>
                <w:szCs w:val="16"/>
              </w:rPr>
            </w:pPr>
            <w:r w:rsidRPr="00540D6C">
              <w:rPr>
                <w:sz w:val="16"/>
                <w:szCs w:val="16"/>
              </w:rPr>
              <w:t>6.4</w:t>
            </w:r>
          </w:p>
        </w:tc>
        <w:tc>
          <w:tcPr>
            <w:tcW w:w="934" w:type="dxa"/>
            <w:tcBorders>
              <w:top w:val="nil"/>
              <w:left w:val="nil"/>
              <w:bottom w:val="nil"/>
              <w:right w:val="nil"/>
            </w:tcBorders>
            <w:shd w:val="clear" w:color="auto" w:fill="auto"/>
            <w:noWrap/>
            <w:vAlign w:val="center"/>
          </w:tcPr>
          <w:p w14:paraId="6CEAEB70" w14:textId="3F82658E" w:rsidR="00540D6C" w:rsidRPr="00540D6C" w:rsidRDefault="00540D6C" w:rsidP="00540D6C">
            <w:pPr>
              <w:tabs>
                <w:tab w:val="decimal" w:pos="444"/>
              </w:tabs>
              <w:jc w:val="left"/>
              <w:rPr>
                <w:sz w:val="16"/>
                <w:szCs w:val="16"/>
              </w:rPr>
            </w:pPr>
            <w:r w:rsidRPr="00540D6C">
              <w:rPr>
                <w:sz w:val="16"/>
                <w:szCs w:val="16"/>
              </w:rPr>
              <w:t>1.1</w:t>
            </w:r>
          </w:p>
        </w:tc>
        <w:tc>
          <w:tcPr>
            <w:tcW w:w="1050" w:type="dxa"/>
            <w:tcBorders>
              <w:top w:val="nil"/>
              <w:left w:val="nil"/>
              <w:bottom w:val="nil"/>
              <w:right w:val="single" w:sz="8" w:space="0" w:color="404040"/>
            </w:tcBorders>
            <w:shd w:val="clear" w:color="auto" w:fill="auto"/>
            <w:noWrap/>
            <w:vAlign w:val="center"/>
          </w:tcPr>
          <w:p w14:paraId="0B5717A2" w14:textId="026A27A6" w:rsidR="00540D6C" w:rsidRPr="00540D6C" w:rsidRDefault="00540D6C" w:rsidP="00540D6C">
            <w:pPr>
              <w:tabs>
                <w:tab w:val="decimal" w:pos="504"/>
              </w:tabs>
              <w:jc w:val="left"/>
              <w:rPr>
                <w:sz w:val="16"/>
                <w:szCs w:val="16"/>
              </w:rPr>
            </w:pPr>
            <w:r w:rsidRPr="00540D6C">
              <w:rPr>
                <w:sz w:val="16"/>
                <w:szCs w:val="16"/>
              </w:rPr>
              <w:t>9.2</w:t>
            </w:r>
          </w:p>
        </w:tc>
      </w:tr>
      <w:tr w:rsidR="00540D6C" w:rsidRPr="00F87E34" w14:paraId="2891A770"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540D6C" w:rsidRPr="00F87E34" w:rsidRDefault="00540D6C" w:rsidP="00540D6C">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66514CA7" w:rsidR="00540D6C" w:rsidRPr="00540D6C" w:rsidRDefault="00540D6C" w:rsidP="00540D6C">
            <w:pPr>
              <w:tabs>
                <w:tab w:val="decimal" w:pos="508"/>
              </w:tabs>
              <w:jc w:val="left"/>
              <w:rPr>
                <w:bCs/>
                <w:sz w:val="16"/>
                <w:szCs w:val="16"/>
              </w:rPr>
            </w:pPr>
            <w:r w:rsidRPr="00540D6C">
              <w:rPr>
                <w:sz w:val="16"/>
                <w:szCs w:val="16"/>
              </w:rPr>
              <w:t>-1.5</w:t>
            </w:r>
          </w:p>
        </w:tc>
        <w:tc>
          <w:tcPr>
            <w:tcW w:w="942" w:type="dxa"/>
            <w:tcBorders>
              <w:top w:val="nil"/>
              <w:left w:val="nil"/>
              <w:bottom w:val="nil"/>
              <w:right w:val="nil"/>
            </w:tcBorders>
            <w:shd w:val="clear" w:color="auto" w:fill="auto"/>
            <w:noWrap/>
            <w:vAlign w:val="center"/>
          </w:tcPr>
          <w:p w14:paraId="2A4AAD2C" w14:textId="26BA1166" w:rsidR="00540D6C" w:rsidRPr="00540D6C" w:rsidRDefault="00540D6C" w:rsidP="00540D6C">
            <w:pPr>
              <w:tabs>
                <w:tab w:val="decimal" w:pos="480"/>
              </w:tabs>
              <w:jc w:val="left"/>
              <w:rPr>
                <w:bCs/>
                <w:sz w:val="16"/>
                <w:szCs w:val="16"/>
              </w:rPr>
            </w:pPr>
            <w:r w:rsidRPr="00540D6C">
              <w:rPr>
                <w:sz w:val="16"/>
                <w:szCs w:val="16"/>
              </w:rPr>
              <w:t>3.8</w:t>
            </w:r>
          </w:p>
        </w:tc>
        <w:tc>
          <w:tcPr>
            <w:tcW w:w="1042" w:type="dxa"/>
            <w:tcBorders>
              <w:top w:val="nil"/>
              <w:left w:val="nil"/>
              <w:bottom w:val="nil"/>
              <w:right w:val="nil"/>
            </w:tcBorders>
            <w:shd w:val="clear" w:color="auto" w:fill="auto"/>
            <w:noWrap/>
            <w:vAlign w:val="center"/>
          </w:tcPr>
          <w:p w14:paraId="0DE24B20" w14:textId="15B365E7" w:rsidR="00540D6C" w:rsidRPr="00540D6C" w:rsidRDefault="00540D6C" w:rsidP="00540D6C">
            <w:pPr>
              <w:tabs>
                <w:tab w:val="decimal" w:pos="508"/>
              </w:tabs>
              <w:jc w:val="left"/>
              <w:rPr>
                <w:bCs/>
                <w:sz w:val="16"/>
                <w:szCs w:val="16"/>
              </w:rPr>
            </w:pPr>
            <w:r w:rsidRPr="00540D6C">
              <w:rPr>
                <w:sz w:val="16"/>
                <w:szCs w:val="16"/>
              </w:rPr>
              <w:t>2.8</w:t>
            </w:r>
          </w:p>
        </w:tc>
        <w:tc>
          <w:tcPr>
            <w:tcW w:w="991" w:type="dxa"/>
            <w:tcBorders>
              <w:top w:val="nil"/>
              <w:left w:val="nil"/>
              <w:bottom w:val="nil"/>
              <w:right w:val="nil"/>
            </w:tcBorders>
            <w:shd w:val="clear" w:color="auto" w:fill="auto"/>
            <w:noWrap/>
            <w:vAlign w:val="center"/>
          </w:tcPr>
          <w:p w14:paraId="3D68D1CF" w14:textId="5983D9EE" w:rsidR="00540D6C" w:rsidRPr="00540D6C" w:rsidRDefault="00540D6C" w:rsidP="00540D6C">
            <w:pPr>
              <w:tabs>
                <w:tab w:val="decimal" w:pos="458"/>
              </w:tabs>
              <w:jc w:val="left"/>
              <w:rPr>
                <w:sz w:val="16"/>
                <w:szCs w:val="16"/>
              </w:rPr>
            </w:pPr>
            <w:r w:rsidRPr="00540D6C">
              <w:rPr>
                <w:sz w:val="16"/>
                <w:szCs w:val="16"/>
              </w:rPr>
              <w:t>5.3</w:t>
            </w:r>
          </w:p>
        </w:tc>
        <w:tc>
          <w:tcPr>
            <w:tcW w:w="934" w:type="dxa"/>
            <w:tcBorders>
              <w:top w:val="nil"/>
              <w:left w:val="nil"/>
              <w:bottom w:val="nil"/>
              <w:right w:val="nil"/>
            </w:tcBorders>
            <w:shd w:val="clear" w:color="auto" w:fill="auto"/>
            <w:noWrap/>
            <w:vAlign w:val="center"/>
          </w:tcPr>
          <w:p w14:paraId="7945BB1A" w14:textId="3621AF9C" w:rsidR="00540D6C" w:rsidRPr="00540D6C" w:rsidRDefault="00540D6C" w:rsidP="00540D6C">
            <w:pPr>
              <w:tabs>
                <w:tab w:val="decimal" w:pos="444"/>
              </w:tabs>
              <w:jc w:val="left"/>
              <w:rPr>
                <w:sz w:val="16"/>
                <w:szCs w:val="16"/>
              </w:rPr>
            </w:pPr>
            <w:r w:rsidRPr="00540D6C">
              <w:rPr>
                <w:sz w:val="16"/>
                <w:szCs w:val="16"/>
              </w:rPr>
              <w:t>3.9</w:t>
            </w:r>
          </w:p>
        </w:tc>
        <w:tc>
          <w:tcPr>
            <w:tcW w:w="1050" w:type="dxa"/>
            <w:tcBorders>
              <w:top w:val="nil"/>
              <w:left w:val="nil"/>
              <w:bottom w:val="nil"/>
              <w:right w:val="single" w:sz="8" w:space="0" w:color="404040"/>
            </w:tcBorders>
            <w:shd w:val="clear" w:color="auto" w:fill="auto"/>
            <w:noWrap/>
            <w:vAlign w:val="center"/>
          </w:tcPr>
          <w:p w14:paraId="0327CA89" w14:textId="4848A3BA" w:rsidR="00540D6C" w:rsidRPr="00540D6C" w:rsidRDefault="00540D6C" w:rsidP="00540D6C">
            <w:pPr>
              <w:tabs>
                <w:tab w:val="decimal" w:pos="504"/>
              </w:tabs>
              <w:jc w:val="left"/>
              <w:rPr>
                <w:sz w:val="16"/>
                <w:szCs w:val="16"/>
              </w:rPr>
            </w:pPr>
            <w:r w:rsidRPr="00540D6C">
              <w:rPr>
                <w:sz w:val="16"/>
                <w:szCs w:val="16"/>
              </w:rPr>
              <w:t>4.1</w:t>
            </w:r>
          </w:p>
        </w:tc>
      </w:tr>
      <w:tr w:rsidR="00540D6C" w:rsidRPr="00F87E34" w14:paraId="256F54F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540D6C" w:rsidRPr="00F87E34" w:rsidRDefault="00540D6C" w:rsidP="00540D6C">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0227448C" w:rsidR="00540D6C" w:rsidRPr="00540D6C" w:rsidRDefault="00540D6C" w:rsidP="00540D6C">
            <w:pPr>
              <w:tabs>
                <w:tab w:val="decimal" w:pos="508"/>
              </w:tabs>
              <w:jc w:val="left"/>
              <w:rPr>
                <w:bCs/>
                <w:sz w:val="16"/>
                <w:szCs w:val="16"/>
              </w:rPr>
            </w:pPr>
            <w:r w:rsidRPr="00540D6C">
              <w:rPr>
                <w:sz w:val="16"/>
                <w:szCs w:val="16"/>
              </w:rPr>
              <w:t>-4.3</w:t>
            </w:r>
          </w:p>
        </w:tc>
        <w:tc>
          <w:tcPr>
            <w:tcW w:w="942" w:type="dxa"/>
            <w:tcBorders>
              <w:top w:val="nil"/>
              <w:left w:val="nil"/>
              <w:bottom w:val="nil"/>
              <w:right w:val="nil"/>
            </w:tcBorders>
            <w:shd w:val="clear" w:color="auto" w:fill="auto"/>
            <w:noWrap/>
            <w:vAlign w:val="center"/>
          </w:tcPr>
          <w:p w14:paraId="36C899B4" w14:textId="5DBFAB1C" w:rsidR="00540D6C" w:rsidRPr="00540D6C" w:rsidRDefault="00540D6C" w:rsidP="00540D6C">
            <w:pPr>
              <w:tabs>
                <w:tab w:val="decimal" w:pos="480"/>
              </w:tabs>
              <w:jc w:val="left"/>
              <w:rPr>
                <w:bCs/>
                <w:sz w:val="16"/>
                <w:szCs w:val="16"/>
              </w:rPr>
            </w:pPr>
            <w:r w:rsidRPr="00540D6C">
              <w:rPr>
                <w:sz w:val="16"/>
                <w:szCs w:val="16"/>
              </w:rPr>
              <w:t>1.1</w:t>
            </w:r>
          </w:p>
        </w:tc>
        <w:tc>
          <w:tcPr>
            <w:tcW w:w="1042" w:type="dxa"/>
            <w:tcBorders>
              <w:top w:val="nil"/>
              <w:left w:val="nil"/>
              <w:bottom w:val="nil"/>
              <w:right w:val="nil"/>
            </w:tcBorders>
            <w:shd w:val="clear" w:color="auto" w:fill="auto"/>
            <w:noWrap/>
            <w:vAlign w:val="center"/>
          </w:tcPr>
          <w:p w14:paraId="48BD6EC0" w14:textId="29CB8360" w:rsidR="00540D6C" w:rsidRPr="00540D6C" w:rsidRDefault="00540D6C" w:rsidP="00540D6C">
            <w:pPr>
              <w:tabs>
                <w:tab w:val="decimal" w:pos="508"/>
              </w:tabs>
              <w:jc w:val="left"/>
              <w:rPr>
                <w:bCs/>
                <w:sz w:val="16"/>
                <w:szCs w:val="16"/>
              </w:rPr>
            </w:pPr>
            <w:r w:rsidRPr="00540D6C">
              <w:rPr>
                <w:sz w:val="16"/>
                <w:szCs w:val="16"/>
              </w:rPr>
              <w:t>-0.3</w:t>
            </w:r>
          </w:p>
        </w:tc>
        <w:tc>
          <w:tcPr>
            <w:tcW w:w="991" w:type="dxa"/>
            <w:tcBorders>
              <w:top w:val="nil"/>
              <w:left w:val="nil"/>
              <w:bottom w:val="nil"/>
              <w:right w:val="nil"/>
            </w:tcBorders>
            <w:shd w:val="clear" w:color="auto" w:fill="auto"/>
            <w:noWrap/>
            <w:vAlign w:val="center"/>
          </w:tcPr>
          <w:p w14:paraId="264E85DB" w14:textId="4A8A5B44" w:rsidR="00540D6C" w:rsidRPr="00540D6C" w:rsidRDefault="00540D6C" w:rsidP="00540D6C">
            <w:pPr>
              <w:tabs>
                <w:tab w:val="decimal" w:pos="458"/>
              </w:tabs>
              <w:jc w:val="left"/>
              <w:rPr>
                <w:sz w:val="16"/>
                <w:szCs w:val="16"/>
              </w:rPr>
            </w:pPr>
            <w:r w:rsidRPr="00540D6C">
              <w:rPr>
                <w:sz w:val="16"/>
                <w:szCs w:val="16"/>
              </w:rPr>
              <w:t>0.3</w:t>
            </w:r>
          </w:p>
        </w:tc>
        <w:tc>
          <w:tcPr>
            <w:tcW w:w="934" w:type="dxa"/>
            <w:tcBorders>
              <w:top w:val="nil"/>
              <w:left w:val="nil"/>
              <w:bottom w:val="nil"/>
              <w:right w:val="nil"/>
            </w:tcBorders>
            <w:shd w:val="clear" w:color="auto" w:fill="auto"/>
            <w:noWrap/>
            <w:vAlign w:val="center"/>
          </w:tcPr>
          <w:p w14:paraId="2D71EEB0" w14:textId="70DDA35F" w:rsidR="00540D6C" w:rsidRPr="00540D6C" w:rsidRDefault="00540D6C" w:rsidP="00540D6C">
            <w:pPr>
              <w:tabs>
                <w:tab w:val="decimal" w:pos="444"/>
              </w:tabs>
              <w:jc w:val="left"/>
              <w:rPr>
                <w:sz w:val="16"/>
                <w:szCs w:val="16"/>
              </w:rPr>
            </w:pPr>
            <w:r w:rsidRPr="00540D6C">
              <w:rPr>
                <w:sz w:val="16"/>
                <w:szCs w:val="16"/>
              </w:rPr>
              <w:t>0.8</w:t>
            </w:r>
          </w:p>
        </w:tc>
        <w:tc>
          <w:tcPr>
            <w:tcW w:w="1050" w:type="dxa"/>
            <w:tcBorders>
              <w:top w:val="nil"/>
              <w:left w:val="nil"/>
              <w:bottom w:val="nil"/>
              <w:right w:val="single" w:sz="8" w:space="0" w:color="404040"/>
            </w:tcBorders>
            <w:shd w:val="clear" w:color="auto" w:fill="auto"/>
            <w:noWrap/>
            <w:vAlign w:val="center"/>
          </w:tcPr>
          <w:p w14:paraId="06DE9E66" w14:textId="56D8F8B3" w:rsidR="00540D6C" w:rsidRPr="00540D6C" w:rsidRDefault="00540D6C" w:rsidP="00540D6C">
            <w:pPr>
              <w:tabs>
                <w:tab w:val="decimal" w:pos="504"/>
              </w:tabs>
              <w:jc w:val="left"/>
              <w:rPr>
                <w:sz w:val="16"/>
                <w:szCs w:val="16"/>
              </w:rPr>
            </w:pPr>
            <w:r w:rsidRPr="00540D6C">
              <w:rPr>
                <w:sz w:val="16"/>
                <w:szCs w:val="16"/>
              </w:rPr>
              <w:t>4.7</w:t>
            </w:r>
          </w:p>
        </w:tc>
      </w:tr>
      <w:tr w:rsidR="00540D6C" w:rsidRPr="00F87E34" w14:paraId="73D4028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540D6C" w:rsidRPr="00F87E34" w:rsidRDefault="00540D6C" w:rsidP="00540D6C">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322465E" w:rsidR="00540D6C" w:rsidRPr="00540D6C" w:rsidRDefault="00540D6C" w:rsidP="00540D6C">
            <w:pPr>
              <w:tabs>
                <w:tab w:val="decimal" w:pos="508"/>
              </w:tabs>
              <w:jc w:val="left"/>
              <w:rPr>
                <w:bCs/>
                <w:sz w:val="16"/>
                <w:szCs w:val="16"/>
              </w:rPr>
            </w:pPr>
            <w:r w:rsidRPr="00540D6C">
              <w:rPr>
                <w:sz w:val="16"/>
                <w:szCs w:val="16"/>
              </w:rPr>
              <w:t>0.3</w:t>
            </w:r>
          </w:p>
        </w:tc>
        <w:tc>
          <w:tcPr>
            <w:tcW w:w="942" w:type="dxa"/>
            <w:tcBorders>
              <w:top w:val="nil"/>
              <w:left w:val="nil"/>
              <w:bottom w:val="nil"/>
              <w:right w:val="nil"/>
            </w:tcBorders>
            <w:shd w:val="clear" w:color="auto" w:fill="auto"/>
            <w:noWrap/>
            <w:vAlign w:val="center"/>
          </w:tcPr>
          <w:p w14:paraId="5777B38E" w14:textId="30B64877" w:rsidR="00540D6C" w:rsidRPr="00540D6C" w:rsidRDefault="00540D6C" w:rsidP="00540D6C">
            <w:pPr>
              <w:tabs>
                <w:tab w:val="decimal" w:pos="480"/>
              </w:tabs>
              <w:jc w:val="left"/>
              <w:rPr>
                <w:bCs/>
                <w:sz w:val="16"/>
                <w:szCs w:val="16"/>
              </w:rPr>
            </w:pPr>
            <w:r w:rsidRPr="00540D6C">
              <w:rPr>
                <w:sz w:val="16"/>
                <w:szCs w:val="16"/>
              </w:rPr>
              <w:t>-1.6</w:t>
            </w:r>
          </w:p>
        </w:tc>
        <w:tc>
          <w:tcPr>
            <w:tcW w:w="1042" w:type="dxa"/>
            <w:tcBorders>
              <w:top w:val="nil"/>
              <w:left w:val="nil"/>
              <w:bottom w:val="nil"/>
              <w:right w:val="nil"/>
            </w:tcBorders>
            <w:shd w:val="clear" w:color="auto" w:fill="auto"/>
            <w:noWrap/>
            <w:vAlign w:val="center"/>
          </w:tcPr>
          <w:p w14:paraId="263031F1" w14:textId="08EC5376" w:rsidR="00540D6C" w:rsidRPr="00540D6C" w:rsidRDefault="00540D6C" w:rsidP="00540D6C">
            <w:pPr>
              <w:tabs>
                <w:tab w:val="decimal" w:pos="508"/>
              </w:tabs>
              <w:jc w:val="left"/>
              <w:rPr>
                <w:bCs/>
                <w:sz w:val="16"/>
                <w:szCs w:val="16"/>
              </w:rPr>
            </w:pPr>
            <w:r w:rsidRPr="00540D6C">
              <w:rPr>
                <w:sz w:val="16"/>
                <w:szCs w:val="16"/>
              </w:rPr>
              <w:t>2.4</w:t>
            </w:r>
          </w:p>
        </w:tc>
        <w:tc>
          <w:tcPr>
            <w:tcW w:w="991" w:type="dxa"/>
            <w:tcBorders>
              <w:top w:val="nil"/>
              <w:left w:val="nil"/>
              <w:bottom w:val="nil"/>
              <w:right w:val="nil"/>
            </w:tcBorders>
            <w:shd w:val="clear" w:color="auto" w:fill="auto"/>
            <w:noWrap/>
            <w:vAlign w:val="center"/>
          </w:tcPr>
          <w:p w14:paraId="21F8BED9" w14:textId="61BCED08" w:rsidR="00540D6C" w:rsidRPr="00540D6C" w:rsidRDefault="00540D6C" w:rsidP="00540D6C">
            <w:pPr>
              <w:tabs>
                <w:tab w:val="decimal" w:pos="458"/>
              </w:tabs>
              <w:jc w:val="left"/>
              <w:rPr>
                <w:sz w:val="16"/>
                <w:szCs w:val="16"/>
              </w:rPr>
            </w:pPr>
            <w:r w:rsidRPr="00540D6C">
              <w:rPr>
                <w:sz w:val="16"/>
                <w:szCs w:val="16"/>
              </w:rPr>
              <w:t>0.7</w:t>
            </w:r>
          </w:p>
        </w:tc>
        <w:tc>
          <w:tcPr>
            <w:tcW w:w="934" w:type="dxa"/>
            <w:tcBorders>
              <w:top w:val="nil"/>
              <w:left w:val="nil"/>
              <w:bottom w:val="nil"/>
              <w:right w:val="nil"/>
            </w:tcBorders>
            <w:shd w:val="clear" w:color="auto" w:fill="auto"/>
            <w:noWrap/>
            <w:vAlign w:val="center"/>
          </w:tcPr>
          <w:p w14:paraId="5EBE4B92" w14:textId="147CB278" w:rsidR="00540D6C" w:rsidRPr="00540D6C" w:rsidRDefault="00540D6C" w:rsidP="00540D6C">
            <w:pPr>
              <w:tabs>
                <w:tab w:val="decimal" w:pos="444"/>
              </w:tabs>
              <w:jc w:val="left"/>
              <w:rPr>
                <w:sz w:val="16"/>
                <w:szCs w:val="16"/>
              </w:rPr>
            </w:pPr>
            <w:r w:rsidRPr="00540D6C">
              <w:rPr>
                <w:sz w:val="16"/>
                <w:szCs w:val="16"/>
              </w:rPr>
              <w:t>3.0</w:t>
            </w:r>
          </w:p>
        </w:tc>
        <w:tc>
          <w:tcPr>
            <w:tcW w:w="1050" w:type="dxa"/>
            <w:tcBorders>
              <w:top w:val="nil"/>
              <w:left w:val="nil"/>
              <w:bottom w:val="nil"/>
              <w:right w:val="single" w:sz="8" w:space="0" w:color="404040"/>
            </w:tcBorders>
            <w:shd w:val="clear" w:color="auto" w:fill="auto"/>
            <w:noWrap/>
            <w:vAlign w:val="center"/>
          </w:tcPr>
          <w:p w14:paraId="4565F77B" w14:textId="79217AF2" w:rsidR="00540D6C" w:rsidRPr="00540D6C" w:rsidRDefault="00540D6C" w:rsidP="00540D6C">
            <w:pPr>
              <w:tabs>
                <w:tab w:val="decimal" w:pos="504"/>
              </w:tabs>
              <w:jc w:val="left"/>
              <w:rPr>
                <w:sz w:val="16"/>
                <w:szCs w:val="16"/>
              </w:rPr>
            </w:pPr>
            <w:r w:rsidRPr="00540D6C">
              <w:rPr>
                <w:sz w:val="16"/>
                <w:szCs w:val="16"/>
              </w:rPr>
              <w:t>3.0</w:t>
            </w:r>
          </w:p>
        </w:tc>
      </w:tr>
      <w:tr w:rsidR="00540D6C" w:rsidRPr="00F87E34" w14:paraId="5B4D207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540D6C" w:rsidRPr="00F87E34" w:rsidRDefault="00540D6C" w:rsidP="00540D6C">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238F587A" w:rsidR="00540D6C" w:rsidRPr="00540D6C" w:rsidRDefault="00540D6C" w:rsidP="00540D6C">
            <w:pPr>
              <w:tabs>
                <w:tab w:val="decimal" w:pos="508"/>
              </w:tabs>
              <w:jc w:val="left"/>
              <w:rPr>
                <w:bCs/>
                <w:sz w:val="16"/>
                <w:szCs w:val="16"/>
              </w:rPr>
            </w:pPr>
            <w:r w:rsidRPr="00540D6C">
              <w:rPr>
                <w:sz w:val="16"/>
                <w:szCs w:val="16"/>
              </w:rPr>
              <w:t>-1.3</w:t>
            </w:r>
          </w:p>
        </w:tc>
        <w:tc>
          <w:tcPr>
            <w:tcW w:w="942" w:type="dxa"/>
            <w:tcBorders>
              <w:top w:val="nil"/>
              <w:left w:val="nil"/>
              <w:bottom w:val="nil"/>
              <w:right w:val="nil"/>
            </w:tcBorders>
            <w:shd w:val="clear" w:color="auto" w:fill="auto"/>
            <w:noWrap/>
            <w:vAlign w:val="center"/>
          </w:tcPr>
          <w:p w14:paraId="40A6CA74" w14:textId="781E34AA" w:rsidR="00540D6C" w:rsidRPr="00540D6C" w:rsidRDefault="00540D6C" w:rsidP="00540D6C">
            <w:pPr>
              <w:tabs>
                <w:tab w:val="decimal" w:pos="480"/>
              </w:tabs>
              <w:jc w:val="left"/>
              <w:rPr>
                <w:bCs/>
                <w:sz w:val="16"/>
                <w:szCs w:val="16"/>
              </w:rPr>
            </w:pPr>
            <w:r w:rsidRPr="00540D6C">
              <w:rPr>
                <w:sz w:val="16"/>
                <w:szCs w:val="16"/>
              </w:rPr>
              <w:t>3.0</w:t>
            </w:r>
          </w:p>
        </w:tc>
        <w:tc>
          <w:tcPr>
            <w:tcW w:w="1042" w:type="dxa"/>
            <w:tcBorders>
              <w:top w:val="nil"/>
              <w:left w:val="nil"/>
              <w:bottom w:val="nil"/>
              <w:right w:val="nil"/>
            </w:tcBorders>
            <w:shd w:val="clear" w:color="auto" w:fill="auto"/>
            <w:noWrap/>
            <w:vAlign w:val="center"/>
          </w:tcPr>
          <w:p w14:paraId="59B19330" w14:textId="140BF143" w:rsidR="00540D6C" w:rsidRPr="00540D6C" w:rsidRDefault="00540D6C" w:rsidP="00540D6C">
            <w:pPr>
              <w:tabs>
                <w:tab w:val="decimal" w:pos="508"/>
              </w:tabs>
              <w:jc w:val="left"/>
              <w:rPr>
                <w:bCs/>
                <w:sz w:val="16"/>
                <w:szCs w:val="16"/>
              </w:rPr>
            </w:pPr>
            <w:r w:rsidRPr="00540D6C">
              <w:rPr>
                <w:sz w:val="16"/>
                <w:szCs w:val="16"/>
              </w:rPr>
              <w:t>0.1</w:t>
            </w:r>
          </w:p>
        </w:tc>
        <w:tc>
          <w:tcPr>
            <w:tcW w:w="991" w:type="dxa"/>
            <w:tcBorders>
              <w:top w:val="nil"/>
              <w:left w:val="nil"/>
              <w:bottom w:val="nil"/>
              <w:right w:val="nil"/>
            </w:tcBorders>
            <w:shd w:val="clear" w:color="auto" w:fill="auto"/>
            <w:noWrap/>
            <w:vAlign w:val="center"/>
          </w:tcPr>
          <w:p w14:paraId="0C688A7B" w14:textId="2F6B29DE" w:rsidR="00540D6C" w:rsidRPr="00540D6C" w:rsidRDefault="00540D6C" w:rsidP="00540D6C">
            <w:pPr>
              <w:tabs>
                <w:tab w:val="decimal" w:pos="458"/>
              </w:tabs>
              <w:jc w:val="left"/>
              <w:rPr>
                <w:sz w:val="16"/>
                <w:szCs w:val="16"/>
              </w:rPr>
            </w:pPr>
            <w:r w:rsidRPr="00540D6C">
              <w:rPr>
                <w:sz w:val="16"/>
                <w:szCs w:val="16"/>
              </w:rPr>
              <w:t>-1.9</w:t>
            </w:r>
          </w:p>
        </w:tc>
        <w:tc>
          <w:tcPr>
            <w:tcW w:w="934" w:type="dxa"/>
            <w:tcBorders>
              <w:top w:val="nil"/>
              <w:left w:val="nil"/>
              <w:bottom w:val="nil"/>
              <w:right w:val="nil"/>
            </w:tcBorders>
            <w:shd w:val="clear" w:color="auto" w:fill="auto"/>
            <w:noWrap/>
            <w:vAlign w:val="center"/>
          </w:tcPr>
          <w:p w14:paraId="219555B2" w14:textId="400DA2FE" w:rsidR="00540D6C" w:rsidRPr="00540D6C" w:rsidRDefault="00540D6C" w:rsidP="00540D6C">
            <w:pPr>
              <w:tabs>
                <w:tab w:val="decimal" w:pos="444"/>
              </w:tabs>
              <w:jc w:val="left"/>
              <w:rPr>
                <w:sz w:val="16"/>
                <w:szCs w:val="16"/>
              </w:rPr>
            </w:pPr>
            <w:r w:rsidRPr="00540D6C">
              <w:rPr>
                <w:sz w:val="16"/>
                <w:szCs w:val="16"/>
              </w:rPr>
              <w:t>6.6</w:t>
            </w:r>
          </w:p>
        </w:tc>
        <w:tc>
          <w:tcPr>
            <w:tcW w:w="1050" w:type="dxa"/>
            <w:tcBorders>
              <w:top w:val="nil"/>
              <w:left w:val="nil"/>
              <w:bottom w:val="nil"/>
              <w:right w:val="single" w:sz="8" w:space="0" w:color="404040"/>
            </w:tcBorders>
            <w:shd w:val="clear" w:color="auto" w:fill="auto"/>
            <w:noWrap/>
            <w:vAlign w:val="center"/>
          </w:tcPr>
          <w:p w14:paraId="79054C4D" w14:textId="42A91495" w:rsidR="00540D6C" w:rsidRPr="00540D6C" w:rsidRDefault="00540D6C" w:rsidP="00540D6C">
            <w:pPr>
              <w:tabs>
                <w:tab w:val="decimal" w:pos="504"/>
              </w:tabs>
              <w:jc w:val="left"/>
              <w:rPr>
                <w:sz w:val="16"/>
                <w:szCs w:val="16"/>
              </w:rPr>
            </w:pPr>
            <w:r w:rsidRPr="00540D6C">
              <w:rPr>
                <w:sz w:val="16"/>
                <w:szCs w:val="16"/>
              </w:rPr>
              <w:t>-2.2</w:t>
            </w:r>
          </w:p>
        </w:tc>
      </w:tr>
      <w:tr w:rsidR="00540D6C" w:rsidRPr="00F87E34" w14:paraId="39EBF2C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540D6C" w:rsidRPr="00F87E34" w:rsidRDefault="00540D6C" w:rsidP="00540D6C">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43B68517" w:rsidR="00540D6C" w:rsidRPr="00540D6C" w:rsidRDefault="00540D6C" w:rsidP="00540D6C">
            <w:pPr>
              <w:tabs>
                <w:tab w:val="decimal" w:pos="508"/>
              </w:tabs>
              <w:jc w:val="left"/>
              <w:rPr>
                <w:bCs/>
                <w:sz w:val="16"/>
                <w:szCs w:val="16"/>
              </w:rPr>
            </w:pPr>
            <w:r w:rsidRPr="00540D6C">
              <w:rPr>
                <w:sz w:val="16"/>
                <w:szCs w:val="16"/>
              </w:rPr>
              <w:t>1.7</w:t>
            </w:r>
          </w:p>
        </w:tc>
        <w:tc>
          <w:tcPr>
            <w:tcW w:w="942" w:type="dxa"/>
            <w:tcBorders>
              <w:top w:val="nil"/>
              <w:left w:val="nil"/>
              <w:bottom w:val="nil"/>
              <w:right w:val="nil"/>
            </w:tcBorders>
            <w:shd w:val="clear" w:color="auto" w:fill="auto"/>
            <w:noWrap/>
            <w:vAlign w:val="center"/>
          </w:tcPr>
          <w:p w14:paraId="6B37BCF5" w14:textId="7DFE78E8" w:rsidR="00540D6C" w:rsidRPr="00540D6C" w:rsidRDefault="00540D6C" w:rsidP="00540D6C">
            <w:pPr>
              <w:tabs>
                <w:tab w:val="decimal" w:pos="480"/>
              </w:tabs>
              <w:jc w:val="left"/>
              <w:rPr>
                <w:bCs/>
                <w:sz w:val="16"/>
                <w:szCs w:val="16"/>
              </w:rPr>
            </w:pPr>
            <w:r w:rsidRPr="00540D6C">
              <w:rPr>
                <w:sz w:val="16"/>
                <w:szCs w:val="16"/>
              </w:rPr>
              <w:t>4.8</w:t>
            </w:r>
          </w:p>
        </w:tc>
        <w:tc>
          <w:tcPr>
            <w:tcW w:w="1042" w:type="dxa"/>
            <w:tcBorders>
              <w:top w:val="nil"/>
              <w:left w:val="nil"/>
              <w:bottom w:val="nil"/>
              <w:right w:val="nil"/>
            </w:tcBorders>
            <w:shd w:val="clear" w:color="auto" w:fill="auto"/>
            <w:noWrap/>
            <w:vAlign w:val="center"/>
          </w:tcPr>
          <w:p w14:paraId="5458F498" w14:textId="63D3AB5D" w:rsidR="00540D6C" w:rsidRPr="00540D6C" w:rsidRDefault="00540D6C" w:rsidP="00540D6C">
            <w:pPr>
              <w:tabs>
                <w:tab w:val="decimal" w:pos="508"/>
              </w:tabs>
              <w:jc w:val="left"/>
              <w:rPr>
                <w:bCs/>
                <w:sz w:val="16"/>
                <w:szCs w:val="16"/>
              </w:rPr>
            </w:pPr>
            <w:r w:rsidRPr="00540D6C">
              <w:rPr>
                <w:sz w:val="16"/>
                <w:szCs w:val="16"/>
              </w:rPr>
              <w:t>-0.3</w:t>
            </w:r>
          </w:p>
        </w:tc>
        <w:tc>
          <w:tcPr>
            <w:tcW w:w="991" w:type="dxa"/>
            <w:tcBorders>
              <w:top w:val="nil"/>
              <w:left w:val="nil"/>
              <w:bottom w:val="nil"/>
              <w:right w:val="nil"/>
            </w:tcBorders>
            <w:shd w:val="clear" w:color="auto" w:fill="auto"/>
            <w:noWrap/>
            <w:vAlign w:val="center"/>
          </w:tcPr>
          <w:p w14:paraId="73AC5324" w14:textId="2C7BCD63" w:rsidR="00540D6C" w:rsidRPr="00540D6C" w:rsidRDefault="00540D6C" w:rsidP="00540D6C">
            <w:pPr>
              <w:tabs>
                <w:tab w:val="decimal" w:pos="458"/>
              </w:tabs>
              <w:jc w:val="left"/>
              <w:rPr>
                <w:sz w:val="16"/>
                <w:szCs w:val="16"/>
              </w:rPr>
            </w:pPr>
            <w:r w:rsidRPr="00540D6C">
              <w:rPr>
                <w:sz w:val="16"/>
                <w:szCs w:val="16"/>
              </w:rPr>
              <w:t>7.0</w:t>
            </w:r>
          </w:p>
        </w:tc>
        <w:tc>
          <w:tcPr>
            <w:tcW w:w="934" w:type="dxa"/>
            <w:tcBorders>
              <w:top w:val="nil"/>
              <w:left w:val="nil"/>
              <w:bottom w:val="nil"/>
              <w:right w:val="nil"/>
            </w:tcBorders>
            <w:shd w:val="clear" w:color="auto" w:fill="auto"/>
            <w:noWrap/>
            <w:vAlign w:val="center"/>
          </w:tcPr>
          <w:p w14:paraId="34FE89CF" w14:textId="573CD2F2" w:rsidR="00540D6C" w:rsidRPr="00540D6C" w:rsidRDefault="00540D6C" w:rsidP="00540D6C">
            <w:pPr>
              <w:tabs>
                <w:tab w:val="decimal" w:pos="444"/>
              </w:tabs>
              <w:jc w:val="left"/>
              <w:rPr>
                <w:sz w:val="16"/>
                <w:szCs w:val="16"/>
              </w:rPr>
            </w:pPr>
            <w:r w:rsidRPr="00540D6C">
              <w:rPr>
                <w:sz w:val="16"/>
                <w:szCs w:val="16"/>
              </w:rPr>
              <w:t>5.4</w:t>
            </w:r>
          </w:p>
        </w:tc>
        <w:tc>
          <w:tcPr>
            <w:tcW w:w="1050" w:type="dxa"/>
            <w:tcBorders>
              <w:top w:val="nil"/>
              <w:left w:val="nil"/>
              <w:bottom w:val="nil"/>
              <w:right w:val="single" w:sz="8" w:space="0" w:color="404040"/>
            </w:tcBorders>
            <w:shd w:val="clear" w:color="auto" w:fill="auto"/>
            <w:noWrap/>
            <w:vAlign w:val="center"/>
          </w:tcPr>
          <w:p w14:paraId="23F99C3F" w14:textId="5C397057" w:rsidR="00540D6C" w:rsidRPr="00540D6C" w:rsidRDefault="00540D6C" w:rsidP="00540D6C">
            <w:pPr>
              <w:tabs>
                <w:tab w:val="decimal" w:pos="504"/>
              </w:tabs>
              <w:jc w:val="left"/>
              <w:rPr>
                <w:sz w:val="16"/>
                <w:szCs w:val="16"/>
              </w:rPr>
            </w:pPr>
            <w:r w:rsidRPr="00540D6C">
              <w:rPr>
                <w:sz w:val="16"/>
                <w:szCs w:val="16"/>
              </w:rPr>
              <w:t>6.3</w:t>
            </w:r>
          </w:p>
        </w:tc>
      </w:tr>
      <w:tr w:rsidR="00540D6C" w:rsidRPr="00F87E34" w14:paraId="350C4C3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540D6C" w:rsidRPr="00F87E34" w:rsidRDefault="00540D6C" w:rsidP="00540D6C">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2FF140B2" w:rsidR="00540D6C" w:rsidRPr="00540D6C" w:rsidRDefault="00540D6C" w:rsidP="00540D6C">
            <w:pPr>
              <w:tabs>
                <w:tab w:val="decimal" w:pos="508"/>
              </w:tabs>
              <w:jc w:val="left"/>
              <w:rPr>
                <w:bCs/>
                <w:sz w:val="16"/>
                <w:szCs w:val="16"/>
              </w:rPr>
            </w:pPr>
            <w:r w:rsidRPr="00540D6C">
              <w:rPr>
                <w:sz w:val="16"/>
                <w:szCs w:val="16"/>
              </w:rPr>
              <w:t>-0.3</w:t>
            </w:r>
          </w:p>
        </w:tc>
        <w:tc>
          <w:tcPr>
            <w:tcW w:w="942" w:type="dxa"/>
            <w:tcBorders>
              <w:top w:val="nil"/>
              <w:left w:val="nil"/>
              <w:bottom w:val="nil"/>
              <w:right w:val="nil"/>
            </w:tcBorders>
            <w:shd w:val="clear" w:color="auto" w:fill="auto"/>
            <w:noWrap/>
            <w:vAlign w:val="center"/>
          </w:tcPr>
          <w:p w14:paraId="350BC27D" w14:textId="52EC23FF" w:rsidR="00540D6C" w:rsidRPr="00540D6C" w:rsidRDefault="00540D6C" w:rsidP="00540D6C">
            <w:pPr>
              <w:tabs>
                <w:tab w:val="decimal" w:pos="480"/>
              </w:tabs>
              <w:jc w:val="left"/>
              <w:rPr>
                <w:bCs/>
                <w:sz w:val="16"/>
                <w:szCs w:val="16"/>
              </w:rPr>
            </w:pPr>
            <w:r w:rsidRPr="00540D6C">
              <w:rPr>
                <w:sz w:val="16"/>
                <w:szCs w:val="16"/>
              </w:rPr>
              <w:t>1.9</w:t>
            </w:r>
          </w:p>
        </w:tc>
        <w:tc>
          <w:tcPr>
            <w:tcW w:w="1042" w:type="dxa"/>
            <w:tcBorders>
              <w:top w:val="nil"/>
              <w:left w:val="nil"/>
              <w:bottom w:val="nil"/>
              <w:right w:val="nil"/>
            </w:tcBorders>
            <w:shd w:val="clear" w:color="auto" w:fill="auto"/>
            <w:noWrap/>
            <w:vAlign w:val="center"/>
          </w:tcPr>
          <w:p w14:paraId="1F30FBFF" w14:textId="21A8E9B5" w:rsidR="00540D6C" w:rsidRPr="00540D6C" w:rsidRDefault="00540D6C" w:rsidP="00540D6C">
            <w:pPr>
              <w:tabs>
                <w:tab w:val="decimal" w:pos="508"/>
              </w:tabs>
              <w:jc w:val="left"/>
              <w:rPr>
                <w:bCs/>
                <w:sz w:val="16"/>
                <w:szCs w:val="16"/>
              </w:rPr>
            </w:pPr>
            <w:r w:rsidRPr="00540D6C">
              <w:rPr>
                <w:sz w:val="16"/>
                <w:szCs w:val="16"/>
              </w:rPr>
              <w:t>3.3</w:t>
            </w:r>
          </w:p>
        </w:tc>
        <w:tc>
          <w:tcPr>
            <w:tcW w:w="991" w:type="dxa"/>
            <w:tcBorders>
              <w:top w:val="nil"/>
              <w:left w:val="nil"/>
              <w:bottom w:val="nil"/>
              <w:right w:val="nil"/>
            </w:tcBorders>
            <w:shd w:val="clear" w:color="auto" w:fill="auto"/>
            <w:noWrap/>
            <w:vAlign w:val="center"/>
          </w:tcPr>
          <w:p w14:paraId="35401D29" w14:textId="5C5D8BC4" w:rsidR="00540D6C" w:rsidRPr="00540D6C" w:rsidRDefault="00540D6C" w:rsidP="00540D6C">
            <w:pPr>
              <w:tabs>
                <w:tab w:val="decimal" w:pos="458"/>
              </w:tabs>
              <w:jc w:val="left"/>
              <w:rPr>
                <w:sz w:val="16"/>
                <w:szCs w:val="16"/>
              </w:rPr>
            </w:pPr>
            <w:r w:rsidRPr="00540D6C">
              <w:rPr>
                <w:sz w:val="16"/>
                <w:szCs w:val="16"/>
              </w:rPr>
              <w:t>3.1</w:t>
            </w:r>
          </w:p>
        </w:tc>
        <w:tc>
          <w:tcPr>
            <w:tcW w:w="934" w:type="dxa"/>
            <w:tcBorders>
              <w:top w:val="nil"/>
              <w:left w:val="nil"/>
              <w:bottom w:val="nil"/>
              <w:right w:val="nil"/>
            </w:tcBorders>
            <w:shd w:val="clear" w:color="auto" w:fill="auto"/>
            <w:noWrap/>
            <w:vAlign w:val="center"/>
          </w:tcPr>
          <w:p w14:paraId="77AB7838" w14:textId="09705E36" w:rsidR="00540D6C" w:rsidRPr="00540D6C" w:rsidRDefault="00540D6C" w:rsidP="00540D6C">
            <w:pPr>
              <w:tabs>
                <w:tab w:val="decimal" w:pos="444"/>
              </w:tabs>
              <w:jc w:val="left"/>
              <w:rPr>
                <w:sz w:val="16"/>
                <w:szCs w:val="16"/>
              </w:rPr>
            </w:pPr>
            <w:r w:rsidRPr="00540D6C">
              <w:rPr>
                <w:sz w:val="16"/>
                <w:szCs w:val="16"/>
              </w:rPr>
              <w:t>2.5</w:t>
            </w:r>
          </w:p>
        </w:tc>
        <w:tc>
          <w:tcPr>
            <w:tcW w:w="1050" w:type="dxa"/>
            <w:tcBorders>
              <w:top w:val="nil"/>
              <w:left w:val="nil"/>
              <w:bottom w:val="nil"/>
              <w:right w:val="single" w:sz="8" w:space="0" w:color="404040"/>
            </w:tcBorders>
            <w:shd w:val="clear" w:color="auto" w:fill="auto"/>
            <w:noWrap/>
            <w:vAlign w:val="center"/>
          </w:tcPr>
          <w:p w14:paraId="083003BE" w14:textId="0B2BB731" w:rsidR="00540D6C" w:rsidRPr="00540D6C" w:rsidRDefault="00540D6C" w:rsidP="00540D6C">
            <w:pPr>
              <w:tabs>
                <w:tab w:val="decimal" w:pos="504"/>
              </w:tabs>
              <w:jc w:val="left"/>
              <w:rPr>
                <w:sz w:val="16"/>
                <w:szCs w:val="16"/>
              </w:rPr>
            </w:pPr>
            <w:r w:rsidRPr="00540D6C">
              <w:rPr>
                <w:sz w:val="16"/>
                <w:szCs w:val="16"/>
              </w:rPr>
              <w:t>8.5</w:t>
            </w:r>
          </w:p>
        </w:tc>
      </w:tr>
      <w:tr w:rsidR="00540D6C" w:rsidRPr="00F87E34" w14:paraId="254D5879"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540D6C" w:rsidRPr="00F87E34" w:rsidRDefault="00540D6C" w:rsidP="00540D6C">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00D0B390" w:rsidR="00540D6C" w:rsidRPr="00540D6C" w:rsidRDefault="00540D6C" w:rsidP="00540D6C">
            <w:pPr>
              <w:tabs>
                <w:tab w:val="decimal" w:pos="508"/>
              </w:tabs>
              <w:jc w:val="left"/>
              <w:rPr>
                <w:bCs/>
                <w:sz w:val="16"/>
                <w:szCs w:val="16"/>
              </w:rPr>
            </w:pPr>
            <w:r w:rsidRPr="00540D6C">
              <w:rPr>
                <w:sz w:val="16"/>
                <w:szCs w:val="16"/>
              </w:rPr>
              <w:t>-6.2</w:t>
            </w:r>
          </w:p>
        </w:tc>
        <w:tc>
          <w:tcPr>
            <w:tcW w:w="942" w:type="dxa"/>
            <w:tcBorders>
              <w:top w:val="nil"/>
              <w:left w:val="nil"/>
              <w:bottom w:val="nil"/>
              <w:right w:val="nil"/>
            </w:tcBorders>
            <w:shd w:val="clear" w:color="auto" w:fill="auto"/>
            <w:noWrap/>
            <w:vAlign w:val="center"/>
          </w:tcPr>
          <w:p w14:paraId="153AE4A0" w14:textId="50E1DBED" w:rsidR="00540D6C" w:rsidRPr="00540D6C" w:rsidRDefault="00540D6C" w:rsidP="00540D6C">
            <w:pPr>
              <w:tabs>
                <w:tab w:val="decimal" w:pos="480"/>
              </w:tabs>
              <w:jc w:val="left"/>
              <w:rPr>
                <w:bCs/>
                <w:sz w:val="16"/>
                <w:szCs w:val="16"/>
              </w:rPr>
            </w:pPr>
            <w:r w:rsidRPr="00540D6C">
              <w:rPr>
                <w:sz w:val="16"/>
                <w:szCs w:val="16"/>
              </w:rPr>
              <w:t>1.6</w:t>
            </w:r>
          </w:p>
        </w:tc>
        <w:tc>
          <w:tcPr>
            <w:tcW w:w="1042" w:type="dxa"/>
            <w:tcBorders>
              <w:top w:val="nil"/>
              <w:left w:val="nil"/>
              <w:bottom w:val="nil"/>
              <w:right w:val="nil"/>
            </w:tcBorders>
            <w:shd w:val="clear" w:color="auto" w:fill="auto"/>
            <w:noWrap/>
            <w:vAlign w:val="center"/>
          </w:tcPr>
          <w:p w14:paraId="0F618101" w14:textId="52435A71" w:rsidR="00540D6C" w:rsidRPr="00540D6C" w:rsidRDefault="00540D6C" w:rsidP="00540D6C">
            <w:pPr>
              <w:tabs>
                <w:tab w:val="decimal" w:pos="508"/>
              </w:tabs>
              <w:jc w:val="left"/>
              <w:rPr>
                <w:bCs/>
                <w:sz w:val="16"/>
                <w:szCs w:val="16"/>
              </w:rPr>
            </w:pPr>
            <w:r w:rsidRPr="00540D6C">
              <w:rPr>
                <w:sz w:val="16"/>
                <w:szCs w:val="16"/>
              </w:rPr>
              <w:t>1.8</w:t>
            </w:r>
          </w:p>
        </w:tc>
        <w:tc>
          <w:tcPr>
            <w:tcW w:w="991" w:type="dxa"/>
            <w:tcBorders>
              <w:top w:val="nil"/>
              <w:left w:val="nil"/>
              <w:bottom w:val="nil"/>
              <w:right w:val="nil"/>
            </w:tcBorders>
            <w:shd w:val="clear" w:color="auto" w:fill="auto"/>
            <w:noWrap/>
            <w:vAlign w:val="center"/>
          </w:tcPr>
          <w:p w14:paraId="2A9EC3A7" w14:textId="559A1ECB" w:rsidR="00540D6C" w:rsidRPr="00540D6C" w:rsidRDefault="00540D6C" w:rsidP="00540D6C">
            <w:pPr>
              <w:tabs>
                <w:tab w:val="decimal" w:pos="458"/>
              </w:tabs>
              <w:jc w:val="left"/>
              <w:rPr>
                <w:sz w:val="16"/>
                <w:szCs w:val="16"/>
              </w:rPr>
            </w:pPr>
            <w:r w:rsidRPr="00540D6C">
              <w:rPr>
                <w:sz w:val="16"/>
                <w:szCs w:val="16"/>
              </w:rPr>
              <w:t>1.4</w:t>
            </w:r>
          </w:p>
        </w:tc>
        <w:tc>
          <w:tcPr>
            <w:tcW w:w="934" w:type="dxa"/>
            <w:tcBorders>
              <w:top w:val="nil"/>
              <w:left w:val="nil"/>
              <w:bottom w:val="nil"/>
              <w:right w:val="nil"/>
            </w:tcBorders>
            <w:shd w:val="clear" w:color="auto" w:fill="auto"/>
            <w:noWrap/>
            <w:vAlign w:val="center"/>
          </w:tcPr>
          <w:p w14:paraId="27C4B1AA" w14:textId="49434881" w:rsidR="00540D6C" w:rsidRPr="00540D6C" w:rsidRDefault="00540D6C" w:rsidP="00540D6C">
            <w:pPr>
              <w:tabs>
                <w:tab w:val="decimal" w:pos="444"/>
              </w:tabs>
              <w:jc w:val="left"/>
              <w:rPr>
                <w:sz w:val="16"/>
                <w:szCs w:val="16"/>
              </w:rPr>
            </w:pPr>
            <w:r w:rsidRPr="00540D6C">
              <w:rPr>
                <w:sz w:val="16"/>
                <w:szCs w:val="16"/>
              </w:rPr>
              <w:t>3.5</w:t>
            </w:r>
          </w:p>
        </w:tc>
        <w:tc>
          <w:tcPr>
            <w:tcW w:w="1050" w:type="dxa"/>
            <w:tcBorders>
              <w:top w:val="nil"/>
              <w:left w:val="nil"/>
              <w:bottom w:val="nil"/>
              <w:right w:val="single" w:sz="8" w:space="0" w:color="404040"/>
            </w:tcBorders>
            <w:shd w:val="clear" w:color="auto" w:fill="auto"/>
            <w:noWrap/>
            <w:vAlign w:val="center"/>
          </w:tcPr>
          <w:p w14:paraId="3FE091FC" w14:textId="27CD3BDF" w:rsidR="00540D6C" w:rsidRPr="00540D6C" w:rsidRDefault="00540D6C" w:rsidP="00540D6C">
            <w:pPr>
              <w:tabs>
                <w:tab w:val="decimal" w:pos="504"/>
              </w:tabs>
              <w:jc w:val="left"/>
              <w:rPr>
                <w:sz w:val="16"/>
                <w:szCs w:val="16"/>
              </w:rPr>
            </w:pPr>
            <w:r w:rsidRPr="00540D6C">
              <w:rPr>
                <w:sz w:val="16"/>
                <w:szCs w:val="16"/>
              </w:rPr>
              <w:t>9.2</w:t>
            </w:r>
          </w:p>
        </w:tc>
      </w:tr>
      <w:tr w:rsidR="00540D6C" w:rsidRPr="00F87E34" w14:paraId="580DD6AD"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540D6C" w:rsidRPr="00F87E34" w:rsidRDefault="00540D6C" w:rsidP="00540D6C">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22F481CD" w:rsidR="00540D6C" w:rsidRPr="00540D6C" w:rsidRDefault="00540D6C" w:rsidP="00540D6C">
            <w:pPr>
              <w:tabs>
                <w:tab w:val="decimal" w:pos="508"/>
              </w:tabs>
              <w:jc w:val="left"/>
              <w:rPr>
                <w:bCs/>
                <w:sz w:val="16"/>
                <w:szCs w:val="16"/>
              </w:rPr>
            </w:pPr>
            <w:r w:rsidRPr="00540D6C">
              <w:rPr>
                <w:sz w:val="16"/>
                <w:szCs w:val="16"/>
              </w:rPr>
              <w:t>-7.3</w:t>
            </w:r>
          </w:p>
        </w:tc>
        <w:tc>
          <w:tcPr>
            <w:tcW w:w="942" w:type="dxa"/>
            <w:tcBorders>
              <w:top w:val="nil"/>
              <w:left w:val="nil"/>
              <w:bottom w:val="nil"/>
              <w:right w:val="nil"/>
            </w:tcBorders>
            <w:shd w:val="clear" w:color="auto" w:fill="auto"/>
            <w:noWrap/>
            <w:vAlign w:val="center"/>
          </w:tcPr>
          <w:p w14:paraId="5270EDA7" w14:textId="219C121B" w:rsidR="00540D6C" w:rsidRPr="00540D6C" w:rsidRDefault="00540D6C" w:rsidP="00540D6C">
            <w:pPr>
              <w:tabs>
                <w:tab w:val="decimal" w:pos="480"/>
              </w:tabs>
              <w:jc w:val="left"/>
              <w:rPr>
                <w:bCs/>
                <w:sz w:val="16"/>
                <w:szCs w:val="16"/>
              </w:rPr>
            </w:pPr>
            <w:r w:rsidRPr="00540D6C">
              <w:rPr>
                <w:sz w:val="16"/>
                <w:szCs w:val="16"/>
              </w:rPr>
              <w:t>1.2</w:t>
            </w:r>
          </w:p>
        </w:tc>
        <w:tc>
          <w:tcPr>
            <w:tcW w:w="1042" w:type="dxa"/>
            <w:tcBorders>
              <w:top w:val="nil"/>
              <w:left w:val="nil"/>
              <w:bottom w:val="nil"/>
              <w:right w:val="nil"/>
            </w:tcBorders>
            <w:shd w:val="clear" w:color="auto" w:fill="auto"/>
            <w:noWrap/>
            <w:vAlign w:val="center"/>
          </w:tcPr>
          <w:p w14:paraId="515A07E4" w14:textId="784CBC53" w:rsidR="00540D6C" w:rsidRPr="00540D6C" w:rsidRDefault="00540D6C" w:rsidP="00540D6C">
            <w:pPr>
              <w:tabs>
                <w:tab w:val="decimal" w:pos="508"/>
              </w:tabs>
              <w:jc w:val="left"/>
              <w:rPr>
                <w:bCs/>
                <w:sz w:val="16"/>
                <w:szCs w:val="16"/>
              </w:rPr>
            </w:pPr>
            <w:r w:rsidRPr="00540D6C">
              <w:rPr>
                <w:sz w:val="16"/>
                <w:szCs w:val="16"/>
              </w:rPr>
              <w:t>1.2</w:t>
            </w:r>
          </w:p>
        </w:tc>
        <w:tc>
          <w:tcPr>
            <w:tcW w:w="991" w:type="dxa"/>
            <w:tcBorders>
              <w:top w:val="nil"/>
              <w:left w:val="nil"/>
              <w:bottom w:val="nil"/>
              <w:right w:val="nil"/>
            </w:tcBorders>
            <w:shd w:val="clear" w:color="auto" w:fill="auto"/>
            <w:noWrap/>
            <w:vAlign w:val="center"/>
          </w:tcPr>
          <w:p w14:paraId="05EDA912" w14:textId="18D5C2E1" w:rsidR="00540D6C" w:rsidRPr="00540D6C" w:rsidRDefault="00540D6C" w:rsidP="00540D6C">
            <w:pPr>
              <w:tabs>
                <w:tab w:val="decimal" w:pos="458"/>
              </w:tabs>
              <w:jc w:val="left"/>
              <w:rPr>
                <w:sz w:val="16"/>
                <w:szCs w:val="16"/>
              </w:rPr>
            </w:pPr>
            <w:r w:rsidRPr="00540D6C">
              <w:rPr>
                <w:sz w:val="16"/>
                <w:szCs w:val="16"/>
              </w:rPr>
              <w:t>3.1</w:t>
            </w:r>
          </w:p>
        </w:tc>
        <w:tc>
          <w:tcPr>
            <w:tcW w:w="934" w:type="dxa"/>
            <w:tcBorders>
              <w:top w:val="nil"/>
              <w:left w:val="nil"/>
              <w:bottom w:val="nil"/>
              <w:right w:val="nil"/>
            </w:tcBorders>
            <w:shd w:val="clear" w:color="auto" w:fill="auto"/>
            <w:noWrap/>
            <w:vAlign w:val="center"/>
          </w:tcPr>
          <w:p w14:paraId="097BD8F5" w14:textId="6C3F6806" w:rsidR="00540D6C" w:rsidRPr="00540D6C" w:rsidRDefault="00540D6C" w:rsidP="00540D6C">
            <w:pPr>
              <w:tabs>
                <w:tab w:val="decimal" w:pos="444"/>
              </w:tabs>
              <w:jc w:val="left"/>
              <w:rPr>
                <w:sz w:val="16"/>
                <w:szCs w:val="16"/>
              </w:rPr>
            </w:pPr>
            <w:r w:rsidRPr="00540D6C">
              <w:rPr>
                <w:sz w:val="16"/>
                <w:szCs w:val="16"/>
              </w:rPr>
              <w:t>2.2</w:t>
            </w:r>
          </w:p>
        </w:tc>
        <w:tc>
          <w:tcPr>
            <w:tcW w:w="1050" w:type="dxa"/>
            <w:tcBorders>
              <w:top w:val="nil"/>
              <w:left w:val="nil"/>
              <w:bottom w:val="nil"/>
              <w:right w:val="single" w:sz="8" w:space="0" w:color="404040"/>
            </w:tcBorders>
            <w:shd w:val="clear" w:color="auto" w:fill="auto"/>
            <w:noWrap/>
            <w:vAlign w:val="center"/>
          </w:tcPr>
          <w:p w14:paraId="6F3ED211" w14:textId="5FC0D21D" w:rsidR="00540D6C" w:rsidRPr="00540D6C" w:rsidRDefault="00540D6C" w:rsidP="00540D6C">
            <w:pPr>
              <w:tabs>
                <w:tab w:val="decimal" w:pos="504"/>
              </w:tabs>
              <w:jc w:val="left"/>
              <w:rPr>
                <w:sz w:val="16"/>
                <w:szCs w:val="16"/>
              </w:rPr>
            </w:pPr>
            <w:r w:rsidRPr="00540D6C">
              <w:rPr>
                <w:sz w:val="16"/>
                <w:szCs w:val="16"/>
              </w:rPr>
              <w:t>6.2</w:t>
            </w:r>
          </w:p>
        </w:tc>
      </w:tr>
      <w:tr w:rsidR="00540D6C" w:rsidRPr="00F87E34" w14:paraId="6EDCB38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540D6C" w:rsidRPr="00F87E34" w:rsidRDefault="00540D6C" w:rsidP="00540D6C">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3A2EA742" w:rsidR="00540D6C" w:rsidRPr="00540D6C" w:rsidRDefault="00540D6C" w:rsidP="00540D6C">
            <w:pPr>
              <w:tabs>
                <w:tab w:val="decimal" w:pos="508"/>
              </w:tabs>
              <w:jc w:val="left"/>
              <w:rPr>
                <w:bCs/>
                <w:sz w:val="16"/>
                <w:szCs w:val="16"/>
              </w:rPr>
            </w:pPr>
            <w:r w:rsidRPr="00540D6C">
              <w:rPr>
                <w:sz w:val="16"/>
                <w:szCs w:val="16"/>
              </w:rPr>
              <w:t>-1.7</w:t>
            </w:r>
          </w:p>
        </w:tc>
        <w:tc>
          <w:tcPr>
            <w:tcW w:w="942" w:type="dxa"/>
            <w:tcBorders>
              <w:top w:val="nil"/>
              <w:left w:val="nil"/>
              <w:bottom w:val="nil"/>
              <w:right w:val="nil"/>
            </w:tcBorders>
            <w:shd w:val="clear" w:color="auto" w:fill="auto"/>
            <w:noWrap/>
            <w:vAlign w:val="center"/>
          </w:tcPr>
          <w:p w14:paraId="1758DE33" w14:textId="07F68A4F" w:rsidR="00540D6C" w:rsidRPr="00540D6C" w:rsidRDefault="00540D6C" w:rsidP="00540D6C">
            <w:pPr>
              <w:tabs>
                <w:tab w:val="decimal" w:pos="480"/>
              </w:tabs>
              <w:jc w:val="left"/>
              <w:rPr>
                <w:bCs/>
                <w:sz w:val="16"/>
                <w:szCs w:val="16"/>
              </w:rPr>
            </w:pPr>
            <w:r w:rsidRPr="00540D6C">
              <w:rPr>
                <w:sz w:val="16"/>
                <w:szCs w:val="16"/>
              </w:rPr>
              <w:t>0.1</w:t>
            </w:r>
          </w:p>
        </w:tc>
        <w:tc>
          <w:tcPr>
            <w:tcW w:w="1042" w:type="dxa"/>
            <w:tcBorders>
              <w:top w:val="nil"/>
              <w:left w:val="nil"/>
              <w:bottom w:val="nil"/>
              <w:right w:val="nil"/>
            </w:tcBorders>
            <w:shd w:val="clear" w:color="auto" w:fill="auto"/>
            <w:noWrap/>
            <w:vAlign w:val="center"/>
          </w:tcPr>
          <w:p w14:paraId="47510891" w14:textId="50615DDE" w:rsidR="00540D6C" w:rsidRPr="00540D6C" w:rsidRDefault="00540D6C" w:rsidP="00540D6C">
            <w:pPr>
              <w:tabs>
                <w:tab w:val="decimal" w:pos="508"/>
              </w:tabs>
              <w:jc w:val="left"/>
              <w:rPr>
                <w:bCs/>
                <w:sz w:val="16"/>
                <w:szCs w:val="16"/>
              </w:rPr>
            </w:pPr>
            <w:r w:rsidRPr="00540D6C">
              <w:rPr>
                <w:sz w:val="16"/>
                <w:szCs w:val="16"/>
              </w:rPr>
              <w:t>1.6</w:t>
            </w:r>
          </w:p>
        </w:tc>
        <w:tc>
          <w:tcPr>
            <w:tcW w:w="991" w:type="dxa"/>
            <w:tcBorders>
              <w:top w:val="nil"/>
              <w:left w:val="nil"/>
              <w:bottom w:val="nil"/>
              <w:right w:val="nil"/>
            </w:tcBorders>
            <w:shd w:val="clear" w:color="auto" w:fill="auto"/>
            <w:noWrap/>
            <w:vAlign w:val="center"/>
          </w:tcPr>
          <w:p w14:paraId="0AC28BCE" w14:textId="335B8480" w:rsidR="00540D6C" w:rsidRPr="00540D6C" w:rsidRDefault="00540D6C" w:rsidP="00540D6C">
            <w:pPr>
              <w:tabs>
                <w:tab w:val="decimal" w:pos="458"/>
              </w:tabs>
              <w:jc w:val="left"/>
              <w:rPr>
                <w:sz w:val="16"/>
                <w:szCs w:val="16"/>
              </w:rPr>
            </w:pPr>
            <w:r w:rsidRPr="00540D6C">
              <w:rPr>
                <w:sz w:val="16"/>
                <w:szCs w:val="16"/>
              </w:rPr>
              <w:t>3.3</w:t>
            </w:r>
          </w:p>
        </w:tc>
        <w:tc>
          <w:tcPr>
            <w:tcW w:w="934" w:type="dxa"/>
            <w:tcBorders>
              <w:top w:val="nil"/>
              <w:left w:val="nil"/>
              <w:bottom w:val="nil"/>
              <w:right w:val="nil"/>
            </w:tcBorders>
            <w:shd w:val="clear" w:color="auto" w:fill="auto"/>
            <w:noWrap/>
            <w:vAlign w:val="center"/>
          </w:tcPr>
          <w:p w14:paraId="647A0B3E" w14:textId="12365594" w:rsidR="00540D6C" w:rsidRPr="00540D6C" w:rsidRDefault="00540D6C" w:rsidP="00540D6C">
            <w:pPr>
              <w:tabs>
                <w:tab w:val="decimal" w:pos="444"/>
              </w:tabs>
              <w:jc w:val="left"/>
              <w:rPr>
                <w:sz w:val="16"/>
                <w:szCs w:val="16"/>
              </w:rPr>
            </w:pPr>
            <w:r w:rsidRPr="00540D6C">
              <w:rPr>
                <w:sz w:val="16"/>
                <w:szCs w:val="16"/>
              </w:rPr>
              <w:t>1.3</w:t>
            </w:r>
          </w:p>
        </w:tc>
        <w:tc>
          <w:tcPr>
            <w:tcW w:w="1050" w:type="dxa"/>
            <w:tcBorders>
              <w:top w:val="nil"/>
              <w:left w:val="nil"/>
              <w:bottom w:val="nil"/>
              <w:right w:val="single" w:sz="8" w:space="0" w:color="404040"/>
            </w:tcBorders>
            <w:shd w:val="clear" w:color="auto" w:fill="auto"/>
            <w:noWrap/>
            <w:vAlign w:val="center"/>
          </w:tcPr>
          <w:p w14:paraId="390E2636" w14:textId="7B20F8B5" w:rsidR="00540D6C" w:rsidRPr="00540D6C" w:rsidRDefault="00540D6C" w:rsidP="00540D6C">
            <w:pPr>
              <w:tabs>
                <w:tab w:val="decimal" w:pos="504"/>
              </w:tabs>
              <w:jc w:val="left"/>
              <w:rPr>
                <w:sz w:val="16"/>
                <w:szCs w:val="16"/>
              </w:rPr>
            </w:pPr>
            <w:r w:rsidRPr="00540D6C">
              <w:rPr>
                <w:sz w:val="16"/>
                <w:szCs w:val="16"/>
              </w:rPr>
              <w:t>7.0</w:t>
            </w:r>
          </w:p>
        </w:tc>
      </w:tr>
      <w:tr w:rsidR="00540D6C" w:rsidRPr="00F87E34" w14:paraId="09BD79E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540D6C" w:rsidRPr="00F87E34" w:rsidRDefault="00540D6C" w:rsidP="00540D6C">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7673E51D" w:rsidR="00540D6C" w:rsidRPr="00540D6C" w:rsidRDefault="00540D6C" w:rsidP="00540D6C">
            <w:pPr>
              <w:tabs>
                <w:tab w:val="decimal" w:pos="508"/>
              </w:tabs>
              <w:jc w:val="left"/>
              <w:rPr>
                <w:bCs/>
                <w:sz w:val="16"/>
                <w:szCs w:val="16"/>
              </w:rPr>
            </w:pPr>
            <w:r w:rsidRPr="00540D6C">
              <w:rPr>
                <w:sz w:val="16"/>
                <w:szCs w:val="16"/>
              </w:rPr>
              <w:t>2.9</w:t>
            </w:r>
          </w:p>
        </w:tc>
        <w:tc>
          <w:tcPr>
            <w:tcW w:w="942" w:type="dxa"/>
            <w:tcBorders>
              <w:top w:val="nil"/>
              <w:left w:val="nil"/>
              <w:bottom w:val="nil"/>
              <w:right w:val="nil"/>
            </w:tcBorders>
            <w:shd w:val="clear" w:color="auto" w:fill="auto"/>
            <w:noWrap/>
            <w:vAlign w:val="center"/>
          </w:tcPr>
          <w:p w14:paraId="331C7084" w14:textId="6EEC50F6" w:rsidR="00540D6C" w:rsidRPr="00540D6C" w:rsidRDefault="00540D6C" w:rsidP="00540D6C">
            <w:pPr>
              <w:tabs>
                <w:tab w:val="decimal" w:pos="480"/>
              </w:tabs>
              <w:jc w:val="left"/>
              <w:rPr>
                <w:bCs/>
                <w:sz w:val="16"/>
                <w:szCs w:val="16"/>
              </w:rPr>
            </w:pPr>
            <w:r w:rsidRPr="00540D6C">
              <w:rPr>
                <w:sz w:val="16"/>
                <w:szCs w:val="16"/>
              </w:rPr>
              <w:t>3.1</w:t>
            </w:r>
          </w:p>
        </w:tc>
        <w:tc>
          <w:tcPr>
            <w:tcW w:w="1042" w:type="dxa"/>
            <w:tcBorders>
              <w:top w:val="nil"/>
              <w:left w:val="nil"/>
              <w:bottom w:val="nil"/>
              <w:right w:val="nil"/>
            </w:tcBorders>
            <w:shd w:val="clear" w:color="auto" w:fill="auto"/>
            <w:noWrap/>
            <w:vAlign w:val="center"/>
          </w:tcPr>
          <w:p w14:paraId="65155696" w14:textId="1DC9187B" w:rsidR="00540D6C" w:rsidRPr="00540D6C" w:rsidRDefault="00540D6C" w:rsidP="00540D6C">
            <w:pPr>
              <w:tabs>
                <w:tab w:val="decimal" w:pos="508"/>
              </w:tabs>
              <w:jc w:val="left"/>
              <w:rPr>
                <w:bCs/>
                <w:sz w:val="16"/>
                <w:szCs w:val="16"/>
              </w:rPr>
            </w:pPr>
            <w:r w:rsidRPr="00540D6C">
              <w:rPr>
                <w:sz w:val="16"/>
                <w:szCs w:val="16"/>
              </w:rPr>
              <w:t>0.7</w:t>
            </w:r>
          </w:p>
        </w:tc>
        <w:tc>
          <w:tcPr>
            <w:tcW w:w="991" w:type="dxa"/>
            <w:tcBorders>
              <w:top w:val="nil"/>
              <w:left w:val="nil"/>
              <w:bottom w:val="nil"/>
              <w:right w:val="nil"/>
            </w:tcBorders>
            <w:shd w:val="clear" w:color="auto" w:fill="auto"/>
            <w:noWrap/>
            <w:vAlign w:val="center"/>
          </w:tcPr>
          <w:p w14:paraId="7EA7A223" w14:textId="586B8D26" w:rsidR="00540D6C" w:rsidRPr="00540D6C" w:rsidRDefault="00540D6C" w:rsidP="00540D6C">
            <w:pPr>
              <w:tabs>
                <w:tab w:val="decimal" w:pos="458"/>
              </w:tabs>
              <w:jc w:val="left"/>
              <w:rPr>
                <w:sz w:val="16"/>
                <w:szCs w:val="16"/>
              </w:rPr>
            </w:pPr>
            <w:r w:rsidRPr="00540D6C">
              <w:rPr>
                <w:sz w:val="16"/>
                <w:szCs w:val="16"/>
              </w:rPr>
              <w:t>4.2</w:t>
            </w:r>
          </w:p>
        </w:tc>
        <w:tc>
          <w:tcPr>
            <w:tcW w:w="934" w:type="dxa"/>
            <w:tcBorders>
              <w:top w:val="nil"/>
              <w:left w:val="nil"/>
              <w:bottom w:val="nil"/>
              <w:right w:val="nil"/>
            </w:tcBorders>
            <w:shd w:val="clear" w:color="auto" w:fill="auto"/>
            <w:noWrap/>
            <w:vAlign w:val="center"/>
          </w:tcPr>
          <w:p w14:paraId="00041D44" w14:textId="394AF163" w:rsidR="00540D6C" w:rsidRPr="00540D6C" w:rsidRDefault="00540D6C" w:rsidP="00540D6C">
            <w:pPr>
              <w:tabs>
                <w:tab w:val="decimal" w:pos="444"/>
              </w:tabs>
              <w:jc w:val="left"/>
              <w:rPr>
                <w:sz w:val="16"/>
                <w:szCs w:val="16"/>
              </w:rPr>
            </w:pPr>
            <w:r w:rsidRPr="00540D6C">
              <w:rPr>
                <w:sz w:val="16"/>
                <w:szCs w:val="16"/>
              </w:rPr>
              <w:t>4.8</w:t>
            </w:r>
          </w:p>
        </w:tc>
        <w:tc>
          <w:tcPr>
            <w:tcW w:w="1050" w:type="dxa"/>
            <w:tcBorders>
              <w:top w:val="nil"/>
              <w:left w:val="nil"/>
              <w:bottom w:val="nil"/>
              <w:right w:val="single" w:sz="8" w:space="0" w:color="404040"/>
            </w:tcBorders>
            <w:shd w:val="clear" w:color="auto" w:fill="auto"/>
            <w:noWrap/>
            <w:vAlign w:val="center"/>
          </w:tcPr>
          <w:p w14:paraId="38E3799E" w14:textId="2FF57121" w:rsidR="00540D6C" w:rsidRPr="00540D6C" w:rsidRDefault="00540D6C" w:rsidP="00540D6C">
            <w:pPr>
              <w:tabs>
                <w:tab w:val="decimal" w:pos="504"/>
              </w:tabs>
              <w:jc w:val="left"/>
              <w:rPr>
                <w:sz w:val="16"/>
                <w:szCs w:val="16"/>
              </w:rPr>
            </w:pPr>
            <w:r w:rsidRPr="00540D6C">
              <w:rPr>
                <w:sz w:val="16"/>
                <w:szCs w:val="16"/>
              </w:rPr>
              <w:t>2.2</w:t>
            </w:r>
          </w:p>
        </w:tc>
      </w:tr>
      <w:tr w:rsidR="00540D6C" w:rsidRPr="00F87E34" w14:paraId="4E5561B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540D6C" w:rsidRPr="00F87E34" w:rsidRDefault="00540D6C" w:rsidP="00540D6C">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D3BED78" w:rsidR="00540D6C" w:rsidRPr="00540D6C" w:rsidRDefault="00540D6C" w:rsidP="00540D6C">
            <w:pPr>
              <w:tabs>
                <w:tab w:val="decimal" w:pos="508"/>
              </w:tabs>
              <w:jc w:val="left"/>
              <w:rPr>
                <w:bCs/>
                <w:sz w:val="16"/>
                <w:szCs w:val="16"/>
              </w:rPr>
            </w:pPr>
            <w:r w:rsidRPr="00540D6C">
              <w:rPr>
                <w:sz w:val="16"/>
                <w:szCs w:val="16"/>
              </w:rPr>
              <w:t>-3.5</w:t>
            </w:r>
          </w:p>
        </w:tc>
        <w:tc>
          <w:tcPr>
            <w:tcW w:w="942" w:type="dxa"/>
            <w:tcBorders>
              <w:top w:val="nil"/>
              <w:left w:val="nil"/>
              <w:bottom w:val="nil"/>
              <w:right w:val="nil"/>
            </w:tcBorders>
            <w:shd w:val="clear" w:color="auto" w:fill="auto"/>
            <w:noWrap/>
            <w:vAlign w:val="center"/>
          </w:tcPr>
          <w:p w14:paraId="1CDC2048" w14:textId="2B65877C" w:rsidR="00540D6C" w:rsidRPr="00540D6C" w:rsidRDefault="00540D6C" w:rsidP="00540D6C">
            <w:pPr>
              <w:tabs>
                <w:tab w:val="decimal" w:pos="480"/>
              </w:tabs>
              <w:jc w:val="left"/>
              <w:rPr>
                <w:bCs/>
                <w:sz w:val="16"/>
                <w:szCs w:val="16"/>
              </w:rPr>
            </w:pPr>
            <w:r w:rsidRPr="00540D6C">
              <w:rPr>
                <w:sz w:val="16"/>
                <w:szCs w:val="16"/>
              </w:rPr>
              <w:t>2.1</w:t>
            </w:r>
          </w:p>
        </w:tc>
        <w:tc>
          <w:tcPr>
            <w:tcW w:w="1042" w:type="dxa"/>
            <w:tcBorders>
              <w:top w:val="nil"/>
              <w:left w:val="nil"/>
              <w:bottom w:val="nil"/>
              <w:right w:val="nil"/>
            </w:tcBorders>
            <w:shd w:val="clear" w:color="auto" w:fill="auto"/>
            <w:noWrap/>
            <w:vAlign w:val="center"/>
          </w:tcPr>
          <w:p w14:paraId="43CF2892" w14:textId="5D532D89" w:rsidR="00540D6C" w:rsidRPr="00540D6C" w:rsidRDefault="00540D6C" w:rsidP="00540D6C">
            <w:pPr>
              <w:tabs>
                <w:tab w:val="decimal" w:pos="508"/>
              </w:tabs>
              <w:jc w:val="left"/>
              <w:rPr>
                <w:bCs/>
                <w:sz w:val="16"/>
                <w:szCs w:val="16"/>
              </w:rPr>
            </w:pPr>
            <w:r w:rsidRPr="00540D6C">
              <w:rPr>
                <w:sz w:val="16"/>
                <w:szCs w:val="16"/>
              </w:rPr>
              <w:t>-1.1</w:t>
            </w:r>
          </w:p>
        </w:tc>
        <w:tc>
          <w:tcPr>
            <w:tcW w:w="991" w:type="dxa"/>
            <w:tcBorders>
              <w:top w:val="nil"/>
              <w:left w:val="nil"/>
              <w:bottom w:val="nil"/>
              <w:right w:val="nil"/>
            </w:tcBorders>
            <w:shd w:val="clear" w:color="auto" w:fill="auto"/>
            <w:noWrap/>
            <w:vAlign w:val="center"/>
          </w:tcPr>
          <w:p w14:paraId="7D544EA3" w14:textId="2F6D9F19" w:rsidR="00540D6C" w:rsidRPr="00540D6C" w:rsidRDefault="00540D6C" w:rsidP="00540D6C">
            <w:pPr>
              <w:tabs>
                <w:tab w:val="decimal" w:pos="458"/>
              </w:tabs>
              <w:jc w:val="left"/>
              <w:rPr>
                <w:sz w:val="16"/>
                <w:szCs w:val="16"/>
              </w:rPr>
            </w:pPr>
            <w:r w:rsidRPr="00540D6C">
              <w:rPr>
                <w:sz w:val="16"/>
                <w:szCs w:val="16"/>
              </w:rPr>
              <w:t>-1.0</w:t>
            </w:r>
          </w:p>
        </w:tc>
        <w:tc>
          <w:tcPr>
            <w:tcW w:w="934" w:type="dxa"/>
            <w:tcBorders>
              <w:top w:val="nil"/>
              <w:left w:val="nil"/>
              <w:bottom w:val="nil"/>
              <w:right w:val="nil"/>
            </w:tcBorders>
            <w:shd w:val="clear" w:color="auto" w:fill="auto"/>
            <w:noWrap/>
            <w:vAlign w:val="center"/>
          </w:tcPr>
          <w:p w14:paraId="2659CF1C" w14:textId="3386FB0B" w:rsidR="00540D6C" w:rsidRPr="00540D6C" w:rsidRDefault="00540D6C" w:rsidP="00540D6C">
            <w:pPr>
              <w:tabs>
                <w:tab w:val="decimal" w:pos="444"/>
              </w:tabs>
              <w:jc w:val="left"/>
              <w:rPr>
                <w:sz w:val="16"/>
                <w:szCs w:val="16"/>
              </w:rPr>
            </w:pPr>
            <w:r w:rsidRPr="00540D6C">
              <w:rPr>
                <w:sz w:val="16"/>
                <w:szCs w:val="16"/>
              </w:rPr>
              <w:t>0.1</w:t>
            </w:r>
          </w:p>
        </w:tc>
        <w:tc>
          <w:tcPr>
            <w:tcW w:w="1050" w:type="dxa"/>
            <w:tcBorders>
              <w:top w:val="nil"/>
              <w:left w:val="nil"/>
              <w:bottom w:val="nil"/>
              <w:right w:val="single" w:sz="8" w:space="0" w:color="404040"/>
            </w:tcBorders>
            <w:shd w:val="clear" w:color="auto" w:fill="auto"/>
            <w:noWrap/>
            <w:vAlign w:val="center"/>
          </w:tcPr>
          <w:p w14:paraId="5E6B1D71" w14:textId="78B48C7A" w:rsidR="00540D6C" w:rsidRPr="00540D6C" w:rsidRDefault="00540D6C" w:rsidP="00540D6C">
            <w:pPr>
              <w:tabs>
                <w:tab w:val="decimal" w:pos="504"/>
              </w:tabs>
              <w:jc w:val="left"/>
              <w:rPr>
                <w:sz w:val="16"/>
                <w:szCs w:val="16"/>
              </w:rPr>
            </w:pPr>
            <w:r w:rsidRPr="00540D6C">
              <w:rPr>
                <w:sz w:val="16"/>
                <w:szCs w:val="16"/>
              </w:rPr>
              <w:t>5.3</w:t>
            </w:r>
          </w:p>
        </w:tc>
      </w:tr>
      <w:tr w:rsidR="00540D6C" w:rsidRPr="00F87E34" w14:paraId="4C80167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540D6C" w:rsidRPr="00F87E34" w:rsidRDefault="00540D6C" w:rsidP="00540D6C">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0B62A22" w:rsidR="00540D6C" w:rsidRPr="00540D6C" w:rsidRDefault="00540D6C" w:rsidP="00540D6C">
            <w:pPr>
              <w:tabs>
                <w:tab w:val="decimal" w:pos="508"/>
              </w:tabs>
              <w:jc w:val="left"/>
              <w:rPr>
                <w:bCs/>
                <w:sz w:val="16"/>
                <w:szCs w:val="16"/>
              </w:rPr>
            </w:pPr>
            <w:r w:rsidRPr="00540D6C">
              <w:rPr>
                <w:sz w:val="16"/>
                <w:szCs w:val="16"/>
              </w:rPr>
              <w:t>3.8</w:t>
            </w:r>
          </w:p>
        </w:tc>
        <w:tc>
          <w:tcPr>
            <w:tcW w:w="942" w:type="dxa"/>
            <w:tcBorders>
              <w:top w:val="nil"/>
              <w:left w:val="nil"/>
              <w:bottom w:val="nil"/>
              <w:right w:val="nil"/>
            </w:tcBorders>
            <w:shd w:val="clear" w:color="auto" w:fill="auto"/>
            <w:noWrap/>
            <w:vAlign w:val="center"/>
          </w:tcPr>
          <w:p w14:paraId="6CA40FD6" w14:textId="1A7485A9" w:rsidR="00540D6C" w:rsidRPr="00540D6C" w:rsidRDefault="00540D6C" w:rsidP="00540D6C">
            <w:pPr>
              <w:tabs>
                <w:tab w:val="decimal" w:pos="480"/>
              </w:tabs>
              <w:jc w:val="left"/>
              <w:rPr>
                <w:bCs/>
                <w:sz w:val="16"/>
                <w:szCs w:val="16"/>
              </w:rPr>
            </w:pPr>
            <w:r w:rsidRPr="00540D6C">
              <w:rPr>
                <w:sz w:val="16"/>
                <w:szCs w:val="16"/>
              </w:rPr>
              <w:t>0.9</w:t>
            </w:r>
          </w:p>
        </w:tc>
        <w:tc>
          <w:tcPr>
            <w:tcW w:w="1042" w:type="dxa"/>
            <w:tcBorders>
              <w:top w:val="nil"/>
              <w:left w:val="nil"/>
              <w:bottom w:val="nil"/>
              <w:right w:val="nil"/>
            </w:tcBorders>
            <w:shd w:val="clear" w:color="auto" w:fill="auto"/>
            <w:noWrap/>
            <w:vAlign w:val="center"/>
          </w:tcPr>
          <w:p w14:paraId="6D0068B2" w14:textId="23FFF2A4" w:rsidR="00540D6C" w:rsidRPr="00540D6C" w:rsidRDefault="00540D6C" w:rsidP="00540D6C">
            <w:pPr>
              <w:tabs>
                <w:tab w:val="decimal" w:pos="508"/>
              </w:tabs>
              <w:jc w:val="left"/>
              <w:rPr>
                <w:bCs/>
                <w:sz w:val="16"/>
                <w:szCs w:val="16"/>
              </w:rPr>
            </w:pPr>
            <w:r w:rsidRPr="00540D6C">
              <w:rPr>
                <w:sz w:val="16"/>
                <w:szCs w:val="16"/>
              </w:rPr>
              <w:t>1.3</w:t>
            </w:r>
          </w:p>
        </w:tc>
        <w:tc>
          <w:tcPr>
            <w:tcW w:w="991" w:type="dxa"/>
            <w:tcBorders>
              <w:top w:val="nil"/>
              <w:left w:val="nil"/>
              <w:bottom w:val="nil"/>
              <w:right w:val="nil"/>
            </w:tcBorders>
            <w:shd w:val="clear" w:color="auto" w:fill="auto"/>
            <w:noWrap/>
            <w:vAlign w:val="center"/>
          </w:tcPr>
          <w:p w14:paraId="43BD5A7E" w14:textId="4C5A79DE" w:rsidR="00540D6C" w:rsidRPr="00540D6C" w:rsidRDefault="00540D6C" w:rsidP="00540D6C">
            <w:pPr>
              <w:tabs>
                <w:tab w:val="decimal" w:pos="458"/>
              </w:tabs>
              <w:jc w:val="left"/>
              <w:rPr>
                <w:sz w:val="16"/>
                <w:szCs w:val="16"/>
              </w:rPr>
            </w:pPr>
            <w:r w:rsidRPr="00540D6C">
              <w:rPr>
                <w:sz w:val="16"/>
                <w:szCs w:val="16"/>
              </w:rPr>
              <w:t>1.2</w:t>
            </w:r>
          </w:p>
        </w:tc>
        <w:tc>
          <w:tcPr>
            <w:tcW w:w="934" w:type="dxa"/>
            <w:tcBorders>
              <w:top w:val="nil"/>
              <w:left w:val="nil"/>
              <w:bottom w:val="nil"/>
              <w:right w:val="nil"/>
            </w:tcBorders>
            <w:shd w:val="clear" w:color="auto" w:fill="auto"/>
            <w:noWrap/>
            <w:vAlign w:val="center"/>
          </w:tcPr>
          <w:p w14:paraId="524567EB" w14:textId="57A4403D" w:rsidR="00540D6C" w:rsidRPr="00540D6C" w:rsidRDefault="00540D6C" w:rsidP="00540D6C">
            <w:pPr>
              <w:tabs>
                <w:tab w:val="decimal" w:pos="444"/>
              </w:tabs>
              <w:jc w:val="left"/>
              <w:rPr>
                <w:sz w:val="16"/>
                <w:szCs w:val="16"/>
              </w:rPr>
            </w:pPr>
            <w:r w:rsidRPr="00540D6C">
              <w:rPr>
                <w:sz w:val="16"/>
                <w:szCs w:val="16"/>
              </w:rPr>
              <w:t>0.9</w:t>
            </w:r>
          </w:p>
        </w:tc>
        <w:tc>
          <w:tcPr>
            <w:tcW w:w="1050" w:type="dxa"/>
            <w:tcBorders>
              <w:top w:val="nil"/>
              <w:left w:val="nil"/>
              <w:bottom w:val="nil"/>
              <w:right w:val="single" w:sz="8" w:space="0" w:color="404040"/>
            </w:tcBorders>
            <w:shd w:val="clear" w:color="auto" w:fill="auto"/>
            <w:noWrap/>
            <w:vAlign w:val="center"/>
          </w:tcPr>
          <w:p w14:paraId="4BB07B89" w14:textId="0972D1FC" w:rsidR="00540D6C" w:rsidRPr="00540D6C" w:rsidRDefault="00540D6C" w:rsidP="00540D6C">
            <w:pPr>
              <w:tabs>
                <w:tab w:val="decimal" w:pos="504"/>
              </w:tabs>
              <w:jc w:val="left"/>
              <w:rPr>
                <w:sz w:val="16"/>
                <w:szCs w:val="16"/>
              </w:rPr>
            </w:pPr>
            <w:r w:rsidRPr="00540D6C">
              <w:rPr>
                <w:sz w:val="16"/>
                <w:szCs w:val="16"/>
              </w:rPr>
              <w:t>6.6</w:t>
            </w:r>
          </w:p>
        </w:tc>
      </w:tr>
      <w:tr w:rsidR="00540D6C" w:rsidRPr="00F87E34" w14:paraId="3C64898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540D6C" w:rsidRPr="00F87E34" w:rsidRDefault="00540D6C" w:rsidP="00540D6C">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1A013A86" w:rsidR="00540D6C" w:rsidRPr="00540D6C" w:rsidRDefault="00540D6C" w:rsidP="00540D6C">
            <w:pPr>
              <w:tabs>
                <w:tab w:val="decimal" w:pos="508"/>
              </w:tabs>
              <w:jc w:val="left"/>
              <w:rPr>
                <w:bCs/>
                <w:sz w:val="16"/>
                <w:szCs w:val="16"/>
              </w:rPr>
            </w:pPr>
            <w:r w:rsidRPr="00540D6C">
              <w:rPr>
                <w:sz w:val="16"/>
                <w:szCs w:val="16"/>
              </w:rPr>
              <w:t>1.4</w:t>
            </w:r>
          </w:p>
        </w:tc>
        <w:tc>
          <w:tcPr>
            <w:tcW w:w="942" w:type="dxa"/>
            <w:tcBorders>
              <w:top w:val="nil"/>
              <w:left w:val="nil"/>
              <w:bottom w:val="nil"/>
              <w:right w:val="nil"/>
            </w:tcBorders>
            <w:shd w:val="clear" w:color="auto" w:fill="auto"/>
            <w:noWrap/>
            <w:vAlign w:val="center"/>
          </w:tcPr>
          <w:p w14:paraId="637BDE76" w14:textId="6FDDDAE3" w:rsidR="00540D6C" w:rsidRPr="00540D6C" w:rsidRDefault="00540D6C" w:rsidP="00540D6C">
            <w:pPr>
              <w:tabs>
                <w:tab w:val="decimal" w:pos="480"/>
              </w:tabs>
              <w:jc w:val="left"/>
              <w:rPr>
                <w:bCs/>
                <w:sz w:val="16"/>
                <w:szCs w:val="16"/>
              </w:rPr>
            </w:pPr>
            <w:r w:rsidRPr="00540D6C">
              <w:rPr>
                <w:sz w:val="16"/>
                <w:szCs w:val="16"/>
              </w:rPr>
              <w:t>0.8</w:t>
            </w:r>
          </w:p>
        </w:tc>
        <w:tc>
          <w:tcPr>
            <w:tcW w:w="1042" w:type="dxa"/>
            <w:tcBorders>
              <w:top w:val="nil"/>
              <w:left w:val="nil"/>
              <w:bottom w:val="nil"/>
              <w:right w:val="nil"/>
            </w:tcBorders>
            <w:shd w:val="clear" w:color="auto" w:fill="auto"/>
            <w:noWrap/>
            <w:vAlign w:val="center"/>
          </w:tcPr>
          <w:p w14:paraId="221240FE" w14:textId="371DFC19" w:rsidR="00540D6C" w:rsidRPr="00540D6C" w:rsidRDefault="00540D6C" w:rsidP="00540D6C">
            <w:pPr>
              <w:tabs>
                <w:tab w:val="decimal" w:pos="508"/>
              </w:tabs>
              <w:jc w:val="left"/>
              <w:rPr>
                <w:bCs/>
                <w:sz w:val="16"/>
                <w:szCs w:val="16"/>
              </w:rPr>
            </w:pPr>
            <w:r w:rsidRPr="00540D6C">
              <w:rPr>
                <w:sz w:val="16"/>
                <w:szCs w:val="16"/>
              </w:rPr>
              <w:t>-1.9</w:t>
            </w:r>
          </w:p>
        </w:tc>
        <w:tc>
          <w:tcPr>
            <w:tcW w:w="991" w:type="dxa"/>
            <w:tcBorders>
              <w:top w:val="nil"/>
              <w:left w:val="nil"/>
              <w:bottom w:val="nil"/>
              <w:right w:val="nil"/>
            </w:tcBorders>
            <w:shd w:val="clear" w:color="auto" w:fill="auto"/>
            <w:noWrap/>
            <w:vAlign w:val="center"/>
          </w:tcPr>
          <w:p w14:paraId="315407DF" w14:textId="53D7297C" w:rsidR="00540D6C" w:rsidRPr="00540D6C" w:rsidRDefault="00540D6C" w:rsidP="00540D6C">
            <w:pPr>
              <w:tabs>
                <w:tab w:val="decimal" w:pos="458"/>
              </w:tabs>
              <w:jc w:val="left"/>
              <w:rPr>
                <w:sz w:val="16"/>
                <w:szCs w:val="16"/>
              </w:rPr>
            </w:pPr>
            <w:r w:rsidRPr="00540D6C">
              <w:rPr>
                <w:sz w:val="16"/>
                <w:szCs w:val="16"/>
              </w:rPr>
              <w:t>7.6</w:t>
            </w:r>
          </w:p>
        </w:tc>
        <w:tc>
          <w:tcPr>
            <w:tcW w:w="934" w:type="dxa"/>
            <w:tcBorders>
              <w:top w:val="nil"/>
              <w:left w:val="nil"/>
              <w:bottom w:val="nil"/>
              <w:right w:val="nil"/>
            </w:tcBorders>
            <w:shd w:val="clear" w:color="auto" w:fill="auto"/>
            <w:noWrap/>
            <w:vAlign w:val="center"/>
          </w:tcPr>
          <w:p w14:paraId="7FBEC74E" w14:textId="64589AAD" w:rsidR="00540D6C" w:rsidRPr="00540D6C" w:rsidRDefault="00540D6C" w:rsidP="00540D6C">
            <w:pPr>
              <w:tabs>
                <w:tab w:val="decimal" w:pos="444"/>
              </w:tabs>
              <w:jc w:val="left"/>
              <w:rPr>
                <w:sz w:val="16"/>
                <w:szCs w:val="16"/>
              </w:rPr>
            </w:pPr>
            <w:r w:rsidRPr="00540D6C">
              <w:rPr>
                <w:sz w:val="16"/>
                <w:szCs w:val="16"/>
              </w:rPr>
              <w:t>5.2</w:t>
            </w:r>
          </w:p>
        </w:tc>
        <w:tc>
          <w:tcPr>
            <w:tcW w:w="1050" w:type="dxa"/>
            <w:tcBorders>
              <w:top w:val="nil"/>
              <w:left w:val="nil"/>
              <w:bottom w:val="nil"/>
              <w:right w:val="single" w:sz="8" w:space="0" w:color="404040"/>
            </w:tcBorders>
            <w:shd w:val="clear" w:color="auto" w:fill="auto"/>
            <w:noWrap/>
            <w:vAlign w:val="center"/>
          </w:tcPr>
          <w:p w14:paraId="54F0FE9C" w14:textId="58563945" w:rsidR="00540D6C" w:rsidRPr="00540D6C" w:rsidRDefault="00540D6C" w:rsidP="00540D6C">
            <w:pPr>
              <w:tabs>
                <w:tab w:val="decimal" w:pos="504"/>
              </w:tabs>
              <w:jc w:val="left"/>
              <w:rPr>
                <w:sz w:val="16"/>
                <w:szCs w:val="16"/>
              </w:rPr>
            </w:pPr>
            <w:r w:rsidRPr="00540D6C">
              <w:rPr>
                <w:sz w:val="16"/>
                <w:szCs w:val="16"/>
              </w:rPr>
              <w:t>2.3</w:t>
            </w:r>
          </w:p>
        </w:tc>
      </w:tr>
      <w:tr w:rsidR="00540D6C" w:rsidRPr="00F87E34" w14:paraId="742B1974" w14:textId="77777777" w:rsidTr="00AA0BAD">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540D6C" w:rsidRPr="00F87E34" w:rsidRDefault="00540D6C" w:rsidP="00540D6C">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72E7B462" w:rsidR="00540D6C" w:rsidRPr="00540D6C" w:rsidRDefault="00540D6C" w:rsidP="00540D6C">
            <w:pPr>
              <w:tabs>
                <w:tab w:val="decimal" w:pos="508"/>
              </w:tabs>
              <w:jc w:val="left"/>
              <w:rPr>
                <w:bCs/>
                <w:sz w:val="16"/>
                <w:szCs w:val="16"/>
              </w:rPr>
            </w:pPr>
            <w:r w:rsidRPr="00540D6C">
              <w:rPr>
                <w:sz w:val="16"/>
                <w:szCs w:val="16"/>
              </w:rPr>
              <w:t>1.8</w:t>
            </w:r>
          </w:p>
        </w:tc>
        <w:tc>
          <w:tcPr>
            <w:tcW w:w="942" w:type="dxa"/>
            <w:tcBorders>
              <w:top w:val="nil"/>
              <w:left w:val="nil"/>
              <w:bottom w:val="single" w:sz="8" w:space="0" w:color="404040"/>
              <w:right w:val="nil"/>
            </w:tcBorders>
            <w:shd w:val="clear" w:color="auto" w:fill="auto"/>
            <w:noWrap/>
            <w:vAlign w:val="center"/>
          </w:tcPr>
          <w:p w14:paraId="2448AE91" w14:textId="23F3585C" w:rsidR="00540D6C" w:rsidRPr="00540D6C" w:rsidRDefault="00540D6C" w:rsidP="00540D6C">
            <w:pPr>
              <w:tabs>
                <w:tab w:val="decimal" w:pos="480"/>
              </w:tabs>
              <w:jc w:val="left"/>
              <w:rPr>
                <w:bCs/>
                <w:sz w:val="16"/>
                <w:szCs w:val="16"/>
              </w:rPr>
            </w:pPr>
            <w:r w:rsidRPr="00540D6C">
              <w:rPr>
                <w:sz w:val="16"/>
                <w:szCs w:val="16"/>
              </w:rPr>
              <w:t>2.7</w:t>
            </w:r>
          </w:p>
        </w:tc>
        <w:tc>
          <w:tcPr>
            <w:tcW w:w="1042" w:type="dxa"/>
            <w:tcBorders>
              <w:top w:val="nil"/>
              <w:left w:val="nil"/>
              <w:bottom w:val="single" w:sz="8" w:space="0" w:color="404040"/>
              <w:right w:val="nil"/>
            </w:tcBorders>
            <w:shd w:val="clear" w:color="auto" w:fill="auto"/>
            <w:noWrap/>
            <w:vAlign w:val="center"/>
          </w:tcPr>
          <w:p w14:paraId="135DC2CD" w14:textId="70ED174C" w:rsidR="00540D6C" w:rsidRPr="00540D6C" w:rsidRDefault="00540D6C" w:rsidP="00540D6C">
            <w:pPr>
              <w:tabs>
                <w:tab w:val="decimal" w:pos="508"/>
              </w:tabs>
              <w:jc w:val="left"/>
              <w:rPr>
                <w:bCs/>
                <w:sz w:val="16"/>
                <w:szCs w:val="16"/>
              </w:rPr>
            </w:pPr>
            <w:r w:rsidRPr="00540D6C">
              <w:rPr>
                <w:sz w:val="16"/>
                <w:szCs w:val="16"/>
              </w:rPr>
              <w:t>1.3</w:t>
            </w:r>
          </w:p>
        </w:tc>
        <w:tc>
          <w:tcPr>
            <w:tcW w:w="991" w:type="dxa"/>
            <w:tcBorders>
              <w:top w:val="nil"/>
              <w:left w:val="nil"/>
              <w:bottom w:val="single" w:sz="8" w:space="0" w:color="404040"/>
              <w:right w:val="nil"/>
            </w:tcBorders>
            <w:shd w:val="clear" w:color="auto" w:fill="auto"/>
            <w:noWrap/>
            <w:vAlign w:val="center"/>
          </w:tcPr>
          <w:p w14:paraId="0F06E8F3" w14:textId="6A38D8CB" w:rsidR="00540D6C" w:rsidRPr="00540D6C" w:rsidRDefault="00540D6C" w:rsidP="00540D6C">
            <w:pPr>
              <w:tabs>
                <w:tab w:val="decimal" w:pos="458"/>
              </w:tabs>
              <w:jc w:val="left"/>
              <w:rPr>
                <w:sz w:val="16"/>
                <w:szCs w:val="16"/>
              </w:rPr>
            </w:pPr>
            <w:r w:rsidRPr="00540D6C">
              <w:rPr>
                <w:sz w:val="16"/>
                <w:szCs w:val="16"/>
              </w:rPr>
              <w:t>5.5</w:t>
            </w:r>
          </w:p>
        </w:tc>
        <w:tc>
          <w:tcPr>
            <w:tcW w:w="934" w:type="dxa"/>
            <w:tcBorders>
              <w:top w:val="nil"/>
              <w:left w:val="nil"/>
              <w:bottom w:val="single" w:sz="8" w:space="0" w:color="404040"/>
              <w:right w:val="nil"/>
            </w:tcBorders>
            <w:shd w:val="clear" w:color="auto" w:fill="auto"/>
            <w:noWrap/>
            <w:vAlign w:val="center"/>
          </w:tcPr>
          <w:p w14:paraId="172367C7" w14:textId="7051E5B3" w:rsidR="00540D6C" w:rsidRPr="00540D6C" w:rsidRDefault="00540D6C" w:rsidP="00540D6C">
            <w:pPr>
              <w:tabs>
                <w:tab w:val="decimal" w:pos="444"/>
              </w:tabs>
              <w:jc w:val="left"/>
              <w:rPr>
                <w:sz w:val="16"/>
                <w:szCs w:val="16"/>
              </w:rPr>
            </w:pPr>
            <w:r w:rsidRPr="00540D6C">
              <w:rPr>
                <w:sz w:val="16"/>
                <w:szCs w:val="16"/>
              </w:rPr>
              <w:t>1.9</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60BC19F2" w:rsidR="00540D6C" w:rsidRPr="00540D6C" w:rsidRDefault="00540D6C" w:rsidP="00540D6C">
            <w:pPr>
              <w:tabs>
                <w:tab w:val="decimal" w:pos="504"/>
              </w:tabs>
              <w:jc w:val="left"/>
              <w:rPr>
                <w:sz w:val="16"/>
                <w:szCs w:val="16"/>
              </w:rPr>
            </w:pPr>
            <w:r w:rsidRPr="00540D6C">
              <w:rPr>
                <w:sz w:val="16"/>
                <w:szCs w:val="16"/>
              </w:rPr>
              <w:t>5.8</w:t>
            </w:r>
          </w:p>
        </w:tc>
      </w:tr>
    </w:tbl>
    <w:p w14:paraId="347C75D8" w14:textId="0319DFAD"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256080" w:rsidRDefault="00901366" w:rsidP="00DD75E8">
      <w:pPr>
        <w:pStyle w:val="p0"/>
        <w:keepNext/>
        <w:spacing w:before="360"/>
        <w:jc w:val="left"/>
        <w:rPr>
          <w:rFonts w:ascii="Arial" w:hAnsi="Arial"/>
          <w:b/>
          <w:iCs/>
          <w:smallCaps/>
          <w:color w:val="auto"/>
        </w:rPr>
      </w:pPr>
      <w:r w:rsidRPr="00256080">
        <w:rPr>
          <w:rFonts w:ascii="Arial" w:hAnsi="Arial"/>
          <w:b/>
          <w:iCs/>
          <w:smallCaps/>
          <w:color w:val="auto"/>
        </w:rPr>
        <w:lastRenderedPageBreak/>
        <w:t>Nota al usuario</w:t>
      </w:r>
    </w:p>
    <w:p w14:paraId="43601560" w14:textId="4CC564F3"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7A1EF6">
        <w:rPr>
          <w:rFonts w:ascii="Arial" w:hAnsi="Arial"/>
          <w:color w:val="auto"/>
          <w:lang w:val="es-MX"/>
        </w:rPr>
        <w:t>febrer</w:t>
      </w:r>
      <w:r w:rsidR="00725B90">
        <w:rPr>
          <w:rFonts w:ascii="Arial" w:hAnsi="Arial"/>
          <w:color w:val="auto"/>
          <w:lang w:val="es-MX"/>
        </w:rPr>
        <w:t>o</w:t>
      </w:r>
      <w:r w:rsidRPr="002D476C">
        <w:rPr>
          <w:rFonts w:ascii="Arial" w:hAnsi="Arial"/>
          <w:color w:val="auto"/>
          <w:lang w:val="es-MX"/>
        </w:rPr>
        <w:t xml:space="preserve"> de 202</w:t>
      </w:r>
      <w:r w:rsidR="00725B90">
        <w:rPr>
          <w:rFonts w:ascii="Arial" w:hAnsi="Arial"/>
          <w:color w:val="auto"/>
          <w:lang w:val="es-MX"/>
        </w:rPr>
        <w:t>3</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w:t>
      </w:r>
      <w:r w:rsidRPr="005911F4">
        <w:rPr>
          <w:rFonts w:ascii="Arial" w:hAnsi="Arial"/>
          <w:color w:val="auto"/>
          <w:lang w:val="es-MX"/>
        </w:rPr>
        <w:t>niveles altos de precisión</w:t>
      </w:r>
      <w:r w:rsidR="000E10B7" w:rsidRPr="005911F4">
        <w:rPr>
          <w:rFonts w:ascii="Arial" w:hAnsi="Arial"/>
          <w:color w:val="auto"/>
          <w:lang w:val="es-MX"/>
        </w:rPr>
        <w:t>.</w:t>
      </w:r>
    </w:p>
    <w:p w14:paraId="5FFF3AFA" w14:textId="1E43C8A6"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w:t>
      </w:r>
      <w:r w:rsidR="00392C10">
        <w:rPr>
          <w:rFonts w:ascii="Arial" w:hAnsi="Arial"/>
          <w:color w:val="auto"/>
          <w:lang w:val="es-MX"/>
        </w:rPr>
        <w:t>Instituto Nacional de Estadística y Geografía (</w:t>
      </w:r>
      <w:r w:rsidR="0026680B" w:rsidRPr="00F87E34">
        <w:rPr>
          <w:rFonts w:ascii="Arial" w:hAnsi="Arial"/>
          <w:color w:val="auto"/>
          <w:lang w:val="es-MX"/>
        </w:rPr>
        <w:t>INEGI</w:t>
      </w:r>
      <w:r w:rsidR="00392C10">
        <w:rPr>
          <w:rFonts w:ascii="Arial" w:hAnsi="Arial"/>
          <w:color w:val="auto"/>
          <w:lang w:val="es-MX"/>
        </w:rPr>
        <w:t>)</w:t>
      </w:r>
      <w:r w:rsidR="0026680B" w:rsidRPr="00F87E34">
        <w:rPr>
          <w:rFonts w:ascii="Arial" w:hAnsi="Arial"/>
          <w:color w:val="auto"/>
          <w:lang w:val="es-MX"/>
        </w:rPr>
        <w:t xml:space="preserve">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 en los modelos de ajuste estacional para los meses de la contingencia</w:t>
      </w:r>
      <w:r w:rsidR="00AA041D" w:rsidRPr="00F87E34">
        <w:rPr>
          <w:rFonts w:ascii="Arial" w:hAnsi="Arial"/>
          <w:color w:val="auto"/>
          <w:lang w:val="es-MX"/>
        </w:rPr>
        <w:t>, como el de</w:t>
      </w:r>
      <w:r w:rsidR="00AA041D">
        <w:rPr>
          <w:rFonts w:ascii="Arial" w:hAnsi="Arial"/>
          <w:color w:val="auto"/>
          <w:lang w:val="es-MX"/>
        </w:rPr>
        <w:t xml:space="preserve"> </w:t>
      </w:r>
      <w:proofErr w:type="spellStart"/>
      <w:r w:rsidR="00AA041D" w:rsidRPr="007A49F7">
        <w:rPr>
          <w:rFonts w:ascii="Arial" w:hAnsi="Arial"/>
          <w:i/>
          <w:iCs/>
          <w:color w:val="auto"/>
          <w:lang w:val="es-MX"/>
        </w:rPr>
        <w:t>o</w:t>
      </w:r>
      <w:r w:rsidR="00AA041D" w:rsidRPr="00F87E34">
        <w:rPr>
          <w:rFonts w:ascii="Arial" w:hAnsi="Arial"/>
          <w:i/>
          <w:color w:val="auto"/>
          <w:lang w:val="es-MX"/>
        </w:rPr>
        <w:t>utliers</w:t>
      </w:r>
      <w:proofErr w:type="spellEnd"/>
      <w:r w:rsidR="0026680B" w:rsidRPr="00F87E34">
        <w:rPr>
          <w:rFonts w:ascii="Arial" w:hAnsi="Arial"/>
          <w:color w:val="auto"/>
          <w:lang w:val="es-MX"/>
        </w:rPr>
        <w:t>. Lo anterior</w:t>
      </w:r>
      <w:r w:rsidR="0098208F">
        <w:rPr>
          <w:rFonts w:ascii="Arial" w:hAnsi="Arial"/>
          <w:color w:val="auto"/>
          <w:lang w:val="es-MX"/>
        </w:rPr>
        <w:t>,</w:t>
      </w:r>
      <w:r w:rsidR="0026680B" w:rsidRPr="00F87E34">
        <w:rPr>
          <w:rFonts w:ascii="Arial" w:hAnsi="Arial"/>
          <w:color w:val="auto"/>
          <w:lang w:val="es-MX"/>
        </w:rPr>
        <w:t xml:space="preserve">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256080" w:rsidRDefault="00467BD1" w:rsidP="00EA274B">
      <w:pPr>
        <w:pStyle w:val="p0"/>
        <w:keepLines w:val="0"/>
        <w:widowControl/>
        <w:spacing w:before="360"/>
        <w:rPr>
          <w:rFonts w:ascii="Arial" w:hAnsi="Arial"/>
          <w:b/>
          <w:iCs/>
          <w:smallCaps/>
          <w:color w:val="auto"/>
        </w:rPr>
      </w:pPr>
      <w:r w:rsidRPr="00256080">
        <w:rPr>
          <w:rFonts w:ascii="Arial" w:hAnsi="Arial"/>
          <w:b/>
          <w:iCs/>
          <w:smallCaps/>
          <w:color w:val="auto"/>
        </w:rPr>
        <w:t>Nota metodológica</w:t>
      </w:r>
    </w:p>
    <w:p w14:paraId="0A629C88" w14:textId="20E37287" w:rsidR="0026680B" w:rsidRPr="00F87E34" w:rsidRDefault="0026680B" w:rsidP="0015603F">
      <w:pPr>
        <w:pStyle w:val="p0"/>
        <w:keepLines w:val="0"/>
        <w:spacing w:before="280"/>
        <w:rPr>
          <w:rFonts w:ascii="Arial" w:hAnsi="Arial"/>
          <w:color w:val="auto"/>
        </w:rPr>
      </w:pPr>
      <w:r w:rsidRPr="00F87E34">
        <w:rPr>
          <w:rFonts w:ascii="Arial" w:hAnsi="Arial"/>
          <w:color w:val="auto"/>
        </w:rPr>
        <w:t>Con las variables captadas por la EMEC, se generan índices y tasas de variación de</w:t>
      </w:r>
      <w:r w:rsidR="0023118F">
        <w:rPr>
          <w:rFonts w:ascii="Arial" w:hAnsi="Arial"/>
          <w:color w:val="auto"/>
        </w:rPr>
        <w:t xml:space="preserve"> lo siguiente</w:t>
      </w:r>
      <w:r w:rsidRPr="00F87E34">
        <w:rPr>
          <w:rFonts w:ascii="Arial" w:hAnsi="Arial"/>
          <w:color w:val="auto"/>
        </w:rPr>
        <w:t xml:space="preserv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5B911097"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w:t>
      </w:r>
      <w:r w:rsidR="0098208F">
        <w:rPr>
          <w:rFonts w:ascii="Arial" w:hAnsi="Arial"/>
          <w:color w:val="auto"/>
        </w:rPr>
        <w:t>así como</w:t>
      </w:r>
      <w:r w:rsidRPr="00F87E34">
        <w:rPr>
          <w:rFonts w:ascii="Arial" w:hAnsi="Arial"/>
          <w:color w:val="auto"/>
        </w:rPr>
        <w:t xml:space="preserve">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2B3A25F7" w14:textId="2EF6B148" w:rsidR="0026680B" w:rsidRPr="00F87E34" w:rsidRDefault="0026680B" w:rsidP="0015603F">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23773FB6" w:rsidR="00770BFA"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w:t>
      </w:r>
      <w:r w:rsidR="00506F35">
        <w:rPr>
          <w:rFonts w:ascii="Arial" w:hAnsi="Arial"/>
          <w:color w:val="auto"/>
        </w:rPr>
        <w:t>,</w:t>
      </w:r>
      <w:r w:rsidRPr="00F87E34">
        <w:rPr>
          <w:rFonts w:ascii="Arial" w:hAnsi="Arial"/>
          <w:color w:val="auto"/>
        </w:rPr>
        <w:t xml:space="preserve">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enor y no probabilístico</w:t>
      </w:r>
      <w:r w:rsidR="00506F35">
        <w:rPr>
          <w:rFonts w:ascii="Arial" w:hAnsi="Arial"/>
          <w:color w:val="auto"/>
        </w:rPr>
        <w:t>,</w:t>
      </w:r>
      <w:r w:rsidRPr="00F87E34">
        <w:rPr>
          <w:rFonts w:ascii="Arial" w:hAnsi="Arial"/>
          <w:color w:val="auto"/>
        </w:rPr>
        <w:t xml:space="preserve">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lastRenderedPageBreak/>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73665BE"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 xml:space="preserve">Considérense </w:t>
      </w:r>
      <w:r w:rsidR="00506F35" w:rsidRPr="00F87E34">
        <w:rPr>
          <w:rFonts w:ascii="Arial" w:hAnsi="Arial"/>
          <w:color w:val="auto"/>
        </w:rPr>
        <w:t>como preliminares</w:t>
      </w:r>
      <w:r w:rsidR="00506F35">
        <w:rPr>
          <w:rFonts w:ascii="Arial" w:hAnsi="Arial"/>
          <w:color w:val="auto"/>
        </w:rPr>
        <w:t xml:space="preserve"> </w:t>
      </w:r>
      <w:r w:rsidR="002E761C">
        <w:rPr>
          <w:rFonts w:ascii="Arial" w:hAnsi="Arial"/>
          <w:color w:val="auto"/>
        </w:rPr>
        <w:t>l</w:t>
      </w:r>
      <w:r w:rsidR="002E761C" w:rsidRPr="00F87E34">
        <w:rPr>
          <w:rFonts w:ascii="Arial" w:hAnsi="Arial"/>
          <w:color w:val="auto"/>
        </w:rPr>
        <w:t>os resultados que se presentan en las series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159C0125" w14:textId="08AE2978" w:rsidR="00B97A3F" w:rsidRPr="00DD75E8" w:rsidRDefault="00B97A3F" w:rsidP="002E761C">
      <w:pPr>
        <w:pStyle w:val="p0"/>
        <w:keepLines w:val="0"/>
        <w:rPr>
          <w:rFonts w:ascii="Arial" w:hAnsi="Arial"/>
          <w:color w:val="242424"/>
          <w:shd w:val="clear" w:color="auto" w:fill="FFFFFF"/>
        </w:rPr>
      </w:pPr>
      <w:r w:rsidRPr="00F70DF7">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9F6CBC">
        <w:rPr>
          <w:rFonts w:ascii="Arial" w:hAnsi="Arial"/>
          <w:color w:val="auto"/>
        </w:rPr>
        <w:t>«</w:t>
      </w:r>
      <w:r w:rsidRPr="00F70DF7">
        <w:rPr>
          <w:rFonts w:ascii="Arial" w:hAnsi="Arial"/>
          <w:color w:val="auto"/>
        </w:rPr>
        <w:t>metadatos</w:t>
      </w:r>
      <w:r w:rsidR="009F6CBC">
        <w:rPr>
          <w:rFonts w:ascii="Arial" w:hAnsi="Arial"/>
          <w:color w:val="auto"/>
        </w:rPr>
        <w:t>»</w:t>
      </w:r>
      <w:r w:rsidRPr="00F70DF7">
        <w:rPr>
          <w:rFonts w:ascii="Arial" w:hAnsi="Arial"/>
          <w:color w:val="auto"/>
        </w:rPr>
        <w:t xml:space="preserve"> de la EMEC</w:t>
      </w:r>
      <w:r w:rsidRPr="00DD75E8">
        <w:rPr>
          <w:rFonts w:ascii="Arial" w:hAnsi="Arial"/>
          <w:color w:val="242424"/>
          <w:shd w:val="clear" w:color="auto" w:fill="FFFFFF"/>
        </w:rPr>
        <w:t>:</w:t>
      </w:r>
    </w:p>
    <w:p w14:paraId="0A1E9EB0" w14:textId="1CE49FD1" w:rsidR="00B97A3F" w:rsidRPr="00F70DF7" w:rsidRDefault="00CA5A6C" w:rsidP="00F70DF7">
      <w:pPr>
        <w:pStyle w:val="parrafo1"/>
        <w:widowControl w:val="0"/>
        <w:spacing w:before="0"/>
        <w:ind w:left="0" w:right="0"/>
        <w:rPr>
          <w:rStyle w:val="Hipervnculo"/>
          <w:rFonts w:cs="Arial"/>
          <w:lang w:eastAsia="en-US"/>
        </w:rPr>
      </w:pPr>
      <w:hyperlink r:id="rId20" w:tgtFrame="_blank" w:history="1">
        <w:r w:rsidR="00B97A3F" w:rsidRPr="00F70DF7">
          <w:rPr>
            <w:rStyle w:val="Hipervnculo"/>
            <w:rFonts w:cs="Arial"/>
            <w:lang w:eastAsia="en-US"/>
          </w:rPr>
          <w:t>https://www.inegi.org.mx/programas/emec/2013/</w:t>
        </w:r>
      </w:hyperlink>
    </w:p>
    <w:p w14:paraId="5CFB0E8A" w14:textId="0360C04E" w:rsidR="00822E2D" w:rsidRPr="00F87E34" w:rsidRDefault="004F1857" w:rsidP="00EC2BB6">
      <w:pPr>
        <w:pStyle w:val="p0"/>
        <w:widowControl/>
        <w:rPr>
          <w:rFonts w:ascii="Arial" w:hAnsi="Arial"/>
          <w:color w:val="auto"/>
        </w:rPr>
      </w:pPr>
      <w:r>
        <w:rPr>
          <w:rFonts w:ascii="Arial" w:hAnsi="Arial"/>
          <w:color w:val="auto"/>
        </w:rPr>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44F7CA8" w:rsidR="002E761C" w:rsidRPr="00F87E34" w:rsidRDefault="00EA093F" w:rsidP="00EC2BB6">
      <w:pPr>
        <w:spacing w:before="240"/>
      </w:pPr>
      <w:r>
        <w:lastRenderedPageBreak/>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w:t>
      </w:r>
      <w:r w:rsidR="002370D6">
        <w:t>,</w:t>
      </w:r>
      <w:r w:rsidR="007F5187">
        <w:t xml:space="preserve">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l agregar la información de noviembre de los últimos años, el efecto del Buen Fin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CA5A6C" w:rsidP="0015603F">
      <w:pPr>
        <w:pStyle w:val="parrafo1"/>
        <w:widowControl w:val="0"/>
        <w:spacing w:before="0"/>
        <w:ind w:left="0" w:right="0"/>
        <w:rPr>
          <w:rStyle w:val="Hipervnculo"/>
          <w:rFonts w:cs="Arial"/>
          <w:lang w:eastAsia="en-US"/>
        </w:rPr>
      </w:pPr>
      <w:hyperlink r:id="rId21" w:history="1">
        <w:r w:rsidR="00822E2D" w:rsidRPr="00F87E34">
          <w:rPr>
            <w:rStyle w:val="Hipervnculo"/>
            <w:rFonts w:cs="Arial"/>
            <w:lang w:eastAsia="en-US"/>
          </w:rPr>
          <w:t>https://www.inegi.org.mx/app/biblioteca/ficha.html?upc=702825099060</w:t>
        </w:r>
      </w:hyperlink>
    </w:p>
    <w:p w14:paraId="02378505" w14:textId="4EF8D8D0" w:rsidR="00822E2D" w:rsidRPr="00F87E34" w:rsidRDefault="00094C0C"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62336" behindDoc="0" locked="0" layoutInCell="1" allowOverlap="1" wp14:anchorId="0DC87915" wp14:editId="6F8ECA9A">
            <wp:simplePos x="0" y="0"/>
            <wp:positionH relativeFrom="rightMargin">
              <wp:posOffset>-5133975</wp:posOffset>
            </wp:positionH>
            <wp:positionV relativeFrom="paragraph">
              <wp:posOffset>696595</wp:posOffset>
            </wp:positionV>
            <wp:extent cx="152400" cy="152400"/>
            <wp:effectExtent l="0" t="0" r="0" b="0"/>
            <wp:wrapNone/>
            <wp:docPr id="12" name="Picture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00822E2D"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 Selecci</w:t>
      </w:r>
      <w:r w:rsidR="001C47BD">
        <w:rPr>
          <w:rFonts w:ascii="Arial" w:hAnsi="Arial"/>
          <w:color w:val="auto"/>
        </w:rPr>
        <w:t>one</w:t>
      </w:r>
      <w:r w:rsidR="00822E2D"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00822E2D" w:rsidRPr="00F87E34">
        <w:rPr>
          <w:rFonts w:ascii="Arial" w:hAnsi="Arial"/>
          <w:color w:val="auto"/>
        </w:rPr>
        <w:t xml:space="preserve">l icono de información  </w:t>
      </w:r>
      <w:r>
        <w:rPr>
          <w:rFonts w:ascii="Arial" w:hAnsi="Arial"/>
          <w:color w:val="auto"/>
        </w:rPr>
        <w:t xml:space="preserve">   </w:t>
      </w:r>
      <w:r w:rsidR="00822E2D" w:rsidRPr="00F87E34">
        <w:rPr>
          <w:rFonts w:ascii="Arial" w:hAnsi="Arial"/>
          <w:color w:val="auto"/>
        </w:rPr>
        <w:t xml:space="preserve">correspondiente a las </w:t>
      </w:r>
      <w:r w:rsidR="00E66DD7" w:rsidRPr="00E66DD7">
        <w:rPr>
          <w:rFonts w:ascii="Arial" w:hAnsi="Arial"/>
          <w:color w:val="auto"/>
        </w:rPr>
        <w:t>«</w:t>
      </w:r>
      <w:r w:rsidR="00822E2D" w:rsidRPr="00F87E34">
        <w:rPr>
          <w:rFonts w:ascii="Arial" w:hAnsi="Arial"/>
          <w:color w:val="auto"/>
        </w:rPr>
        <w:t>series desestacionalizadas y de tendencia</w:t>
      </w:r>
      <w:r w:rsidR="00822E2D"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3659E8E6"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77B5F59E"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23" w:history="1">
        <w:r w:rsidRPr="008B05A9">
          <w:rPr>
            <w:rStyle w:val="Hipervnculo"/>
            <w:rFonts w:ascii="Arial" w:hAnsi="Arial"/>
          </w:rPr>
          <w:t>https://www.inegi.org.mx/temas/comercioemp/</w:t>
        </w:r>
      </w:hyperlink>
    </w:p>
    <w:p w14:paraId="4318B1E5" w14:textId="7C72360D"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24" w:history="1">
        <w:r w:rsidRPr="008B05A9">
          <w:rPr>
            <w:rStyle w:val="Hipervnculo"/>
            <w:rFonts w:ascii="Arial" w:hAnsi="Arial"/>
          </w:rPr>
          <w:t>https://www.inegi.org.mx/programas/emec/2013/</w:t>
        </w:r>
      </w:hyperlink>
    </w:p>
    <w:p w14:paraId="61F97D85" w14:textId="449087C9" w:rsidR="0026680B" w:rsidRPr="008B05A9" w:rsidRDefault="005E78FF" w:rsidP="00DD75E8">
      <w:pPr>
        <w:pStyle w:val="p0"/>
        <w:keepLines w:val="0"/>
        <w:tabs>
          <w:tab w:val="left" w:pos="1218"/>
        </w:tabs>
        <w:spacing w:before="0"/>
        <w:rPr>
          <w:rFonts w:ascii="Arial" w:hAnsi="Arial"/>
        </w:rPr>
      </w:pPr>
      <w:r w:rsidRPr="008B05A9">
        <w:rPr>
          <w:rFonts w:ascii="Arial" w:hAnsi="Arial"/>
          <w:color w:val="auto"/>
        </w:rPr>
        <w:t>B</w:t>
      </w:r>
      <w:r w:rsidR="0015603F" w:rsidRPr="008B05A9">
        <w:rPr>
          <w:rFonts w:ascii="Arial" w:hAnsi="Arial"/>
          <w:color w:val="auto"/>
        </w:rPr>
        <w:t>IE</w:t>
      </w:r>
      <w:r w:rsidRPr="008B05A9">
        <w:rPr>
          <w:rFonts w:ascii="Arial" w:hAnsi="Arial"/>
          <w:color w:val="auto"/>
        </w:rPr>
        <w:t>:</w:t>
      </w:r>
      <w:r w:rsidRPr="008B05A9">
        <w:rPr>
          <w:rFonts w:ascii="Arial" w:hAnsi="Arial"/>
        </w:rPr>
        <w:t xml:space="preserve"> </w:t>
      </w:r>
      <w:hyperlink r:id="rId25" w:history="1">
        <w:r w:rsidR="00B231B0" w:rsidRPr="008B05A9">
          <w:rPr>
            <w:rStyle w:val="Hipervnculo"/>
            <w:rFonts w:ascii="Arial" w:hAnsi="Arial"/>
          </w:rPr>
          <w:t>https://www.inegi.org.mx/app/indicadores/?tm=0</w:t>
        </w:r>
      </w:hyperlink>
    </w:p>
    <w:sectPr w:rsidR="0026680B" w:rsidRPr="008B05A9" w:rsidSect="00992BFC">
      <w:headerReference w:type="default" r:id="rId26"/>
      <w:type w:val="continuous"/>
      <w:pgSz w:w="12242" w:h="15842" w:code="119"/>
      <w:pgMar w:top="2552" w:right="1418" w:bottom="1134" w:left="1134" w:header="680" w:footer="68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0EDD" w14:textId="77777777" w:rsidR="00CA5A6C" w:rsidRDefault="00CA5A6C">
      <w:r>
        <w:separator/>
      </w:r>
    </w:p>
  </w:endnote>
  <w:endnote w:type="continuationSeparator" w:id="0">
    <w:p w14:paraId="7B11BA7B" w14:textId="77777777" w:rsidR="00CA5A6C" w:rsidRDefault="00CA5A6C">
      <w:r>
        <w:continuationSeparator/>
      </w:r>
    </w:p>
  </w:endnote>
  <w:endnote w:type="continuationNotice" w:id="1">
    <w:p w14:paraId="1A8474BC" w14:textId="77777777" w:rsidR="00CA5A6C" w:rsidRDefault="00CA5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992BFC" w:rsidRPr="00992BFC" w:rsidRDefault="00992BFC" w:rsidP="003076C4">
    <w:pPr>
      <w:pStyle w:val="Piedepgina"/>
      <w:jc w:val="center"/>
      <w:rPr>
        <w:b/>
        <w:color w:val="002060"/>
        <w:sz w:val="20"/>
        <w:szCs w:val="20"/>
        <w:lang w:val="es-MX"/>
      </w:rPr>
    </w:pPr>
    <w:r w:rsidRPr="00992BF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7C6E9" w14:textId="77777777" w:rsidR="00CA5A6C" w:rsidRDefault="00CA5A6C">
      <w:r>
        <w:separator/>
      </w:r>
    </w:p>
  </w:footnote>
  <w:footnote w:type="continuationSeparator" w:id="0">
    <w:p w14:paraId="78C05D64" w14:textId="77777777" w:rsidR="00CA5A6C" w:rsidRDefault="00CA5A6C">
      <w:r>
        <w:continuationSeparator/>
      </w:r>
    </w:p>
  </w:footnote>
  <w:footnote w:type="continuationNotice" w:id="1">
    <w:p w14:paraId="4F9CE43A" w14:textId="77777777" w:rsidR="00CA5A6C" w:rsidRDefault="00CA5A6C"/>
  </w:footnote>
  <w:footnote w:id="2">
    <w:p w14:paraId="06A6970C" w14:textId="029ADBAC" w:rsidR="00992BFC" w:rsidRPr="003C3740" w:rsidRDefault="00992BFC" w:rsidP="008C58B5">
      <w:pPr>
        <w:pStyle w:val="Textonotapie"/>
        <w:ind w:left="168"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3">
    <w:p w14:paraId="3424F5DA" w14:textId="77777777" w:rsidR="00992BFC" w:rsidRPr="003C3740" w:rsidRDefault="00992BFC" w:rsidP="00110935">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1C1F16A3" w:rsidR="00992BFC" w:rsidRDefault="00992BFC" w:rsidP="00992BFC">
    <w:bookmarkStart w:id="14" w:name="_Hlk131511726"/>
    <w:r>
      <w:rPr>
        <w:noProof/>
        <w:lang w:eastAsia="es-MX"/>
      </w:rPr>
      <mc:AlternateContent>
        <mc:Choice Requires="wps">
          <w:drawing>
            <wp:anchor distT="45720" distB="45720" distL="114300" distR="114300" simplePos="0" relativeHeight="251659264" behindDoc="0" locked="0" layoutInCell="1" allowOverlap="1" wp14:anchorId="1DFF2F35" wp14:editId="3640E857">
              <wp:simplePos x="0" y="0"/>
              <wp:positionH relativeFrom="margin">
                <wp:align>right</wp:align>
              </wp:positionH>
              <wp:positionV relativeFrom="paragraph">
                <wp:posOffset>5715</wp:posOffset>
              </wp:positionV>
              <wp:extent cx="3343275" cy="733425"/>
              <wp:effectExtent l="0" t="0" r="9525" b="952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004DA4CD" w14:textId="5DBFED3B" w:rsidR="00992BFC" w:rsidRPr="00306ECD" w:rsidRDefault="00992BFC" w:rsidP="00992BFC">
                          <w:pPr>
                            <w:pStyle w:val="Encabezado"/>
                            <w:ind w:left="-142" w:right="49" w:hanging="142"/>
                            <w:jc w:val="right"/>
                            <w:rPr>
                              <w:b/>
                              <w:color w:val="002060"/>
                              <w:lang w:val="pt-BR"/>
                            </w:rPr>
                          </w:pPr>
                          <w:r w:rsidRPr="00306ECD">
                            <w:rPr>
                              <w:b/>
                              <w:color w:val="002060"/>
                            </w:rPr>
                            <w:t xml:space="preserve">COMUNICADO DE PRENSA NÚM. </w:t>
                          </w:r>
                          <w:r>
                            <w:rPr>
                              <w:b/>
                              <w:color w:val="002060"/>
                            </w:rPr>
                            <w:t>198</w:t>
                          </w:r>
                          <w:r w:rsidRPr="00306ECD">
                            <w:rPr>
                              <w:b/>
                              <w:color w:val="002060"/>
                            </w:rPr>
                            <w:t>/2</w:t>
                          </w:r>
                          <w:r>
                            <w:rPr>
                              <w:b/>
                              <w:color w:val="002060"/>
                            </w:rPr>
                            <w:t>3</w:t>
                          </w:r>
                        </w:p>
                        <w:p w14:paraId="3DB80951" w14:textId="304BA4D0" w:rsidR="00992BFC" w:rsidRPr="00306ECD" w:rsidRDefault="00992BFC" w:rsidP="00992BFC">
                          <w:pPr>
                            <w:pStyle w:val="Encabezado"/>
                            <w:ind w:left="-567" w:right="49"/>
                            <w:jc w:val="right"/>
                            <w:rPr>
                              <w:b/>
                              <w:color w:val="002060"/>
                              <w:lang w:val="pt-BR"/>
                            </w:rPr>
                          </w:pPr>
                          <w:r>
                            <w:rPr>
                              <w:b/>
                              <w:color w:val="002060"/>
                              <w:lang w:val="pt-BR"/>
                            </w:rPr>
                            <w:t xml:space="preserve">  20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0F1AC63" w14:textId="19ECEB74" w:rsidR="00992BFC" w:rsidRPr="00794C57" w:rsidRDefault="00992BFC" w:rsidP="00992BFC">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F2F35" id="_x0000_t202" coordsize="21600,21600" o:spt="202" path="m,l,21600r21600,l21600,xe">
              <v:stroke joinstyle="miter"/>
              <v:path gradientshapeok="t" o:connecttype="rect"/>
            </v:shapetype>
            <v:shape id="Cuadro de texto 7" o:spid="_x0000_s1027" type="#_x0000_t202" style="position:absolute;left:0;text-align:left;margin-left:212.05pt;margin-top:.45pt;width:263.25pt;height:5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" stroked="f">
              <v:textbox>
                <w:txbxContent>
                  <w:p w14:paraId="004DA4CD" w14:textId="5DBFED3B" w:rsidR="00992BFC" w:rsidRPr="00306ECD" w:rsidRDefault="00992BFC" w:rsidP="00992BFC">
                    <w:pPr>
                      <w:pStyle w:val="Encabezado"/>
                      <w:ind w:left="-142" w:right="49" w:hanging="142"/>
                      <w:jc w:val="right"/>
                      <w:rPr>
                        <w:b/>
                        <w:color w:val="002060"/>
                        <w:lang w:val="pt-BR"/>
                      </w:rPr>
                    </w:pPr>
                    <w:r w:rsidRPr="00306ECD">
                      <w:rPr>
                        <w:b/>
                        <w:color w:val="002060"/>
                      </w:rPr>
                      <w:t xml:space="preserve">COMUNICADO DE PRENSA NÚM. </w:t>
                    </w:r>
                    <w:r>
                      <w:rPr>
                        <w:b/>
                        <w:color w:val="002060"/>
                      </w:rPr>
                      <w:t>198</w:t>
                    </w:r>
                    <w:r w:rsidRPr="00306ECD">
                      <w:rPr>
                        <w:b/>
                        <w:color w:val="002060"/>
                      </w:rPr>
                      <w:t>/2</w:t>
                    </w:r>
                    <w:r>
                      <w:rPr>
                        <w:b/>
                        <w:color w:val="002060"/>
                      </w:rPr>
                      <w:t>3</w:t>
                    </w:r>
                  </w:p>
                  <w:p w14:paraId="3DB80951" w14:textId="304BA4D0" w:rsidR="00992BFC" w:rsidRPr="00306ECD" w:rsidRDefault="00992BFC" w:rsidP="00992BFC">
                    <w:pPr>
                      <w:pStyle w:val="Encabezado"/>
                      <w:ind w:left="-567" w:right="49"/>
                      <w:jc w:val="right"/>
                      <w:rPr>
                        <w:b/>
                        <w:color w:val="002060"/>
                        <w:lang w:val="pt-BR"/>
                      </w:rPr>
                    </w:pPr>
                    <w:r>
                      <w:rPr>
                        <w:b/>
                        <w:color w:val="002060"/>
                        <w:lang w:val="pt-BR"/>
                      </w:rPr>
                      <w:t xml:space="preserve">  20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0F1AC63" w14:textId="19ECEB74" w:rsidR="00992BFC" w:rsidRPr="00794C57" w:rsidRDefault="00992BFC" w:rsidP="00992BFC">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txbxContent>
              </v:textbox>
              <w10:wrap type="square" anchorx="margin"/>
            </v:shape>
          </w:pict>
        </mc:Fallback>
      </mc:AlternateContent>
    </w:r>
    <w:bookmarkEnd w:id="14"/>
    <w:r>
      <w:rPr>
        <w:noProof/>
        <w:lang w:val="es-MX" w:eastAsia="es-MX"/>
      </w:rPr>
      <w:drawing>
        <wp:inline distT="0" distB="0" distL="0" distR="0" wp14:anchorId="536F8885" wp14:editId="78D52FB4">
          <wp:extent cx="928800" cy="964800"/>
          <wp:effectExtent l="0" t="0" r="5080" b="6985"/>
          <wp:docPr id="10" name="Picture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F7E9" w14:textId="77777777" w:rsidR="00992BFC" w:rsidRDefault="00992BFC" w:rsidP="00992BFC">
    <w:pPr>
      <w:pStyle w:val="Encabezado"/>
      <w:tabs>
        <w:tab w:val="clear" w:pos="4320"/>
        <w:tab w:val="clear" w:pos="8640"/>
      </w:tabs>
      <w:jc w:val="center"/>
    </w:pPr>
    <w:r>
      <w:rPr>
        <w:noProof/>
        <w:lang w:val="es-MX" w:eastAsia="es-MX"/>
      </w:rPr>
      <w:drawing>
        <wp:inline distT="0" distB="0" distL="0" distR="0" wp14:anchorId="57856EA0" wp14:editId="34F1C6D1">
          <wp:extent cx="928800" cy="964800"/>
          <wp:effectExtent l="0" t="0" r="5080" b="6985"/>
          <wp:docPr id="4" name="Picture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05F2"/>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3C6E"/>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C0C"/>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43B0"/>
    <w:rsid w:val="000A4E99"/>
    <w:rsid w:val="000A53E6"/>
    <w:rsid w:val="000A574B"/>
    <w:rsid w:val="000A5B04"/>
    <w:rsid w:val="000A5E2A"/>
    <w:rsid w:val="000A643B"/>
    <w:rsid w:val="000A6733"/>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1D4"/>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DEB"/>
    <w:rsid w:val="000F2C78"/>
    <w:rsid w:val="000F3491"/>
    <w:rsid w:val="000F3ADD"/>
    <w:rsid w:val="000F3DE6"/>
    <w:rsid w:val="000F44E7"/>
    <w:rsid w:val="000F49F1"/>
    <w:rsid w:val="000F4C41"/>
    <w:rsid w:val="000F4FA7"/>
    <w:rsid w:val="000F536A"/>
    <w:rsid w:val="000F541D"/>
    <w:rsid w:val="000F5AD1"/>
    <w:rsid w:val="000F5F79"/>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935"/>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039"/>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45D"/>
    <w:rsid w:val="00141A0B"/>
    <w:rsid w:val="00141AF4"/>
    <w:rsid w:val="00141C8C"/>
    <w:rsid w:val="00142E09"/>
    <w:rsid w:val="0014377B"/>
    <w:rsid w:val="00143D3A"/>
    <w:rsid w:val="00144829"/>
    <w:rsid w:val="0014535F"/>
    <w:rsid w:val="00145482"/>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6A4"/>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476"/>
    <w:rsid w:val="001A4E0E"/>
    <w:rsid w:val="001A4E8C"/>
    <w:rsid w:val="001A4EF7"/>
    <w:rsid w:val="001A4F6E"/>
    <w:rsid w:val="001A5283"/>
    <w:rsid w:val="001A5ABD"/>
    <w:rsid w:val="001A5CE0"/>
    <w:rsid w:val="001A60E2"/>
    <w:rsid w:val="001A69F0"/>
    <w:rsid w:val="001A6A3F"/>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5EA"/>
    <w:rsid w:val="001F58D3"/>
    <w:rsid w:val="001F5C4E"/>
    <w:rsid w:val="001F65A4"/>
    <w:rsid w:val="001F65E0"/>
    <w:rsid w:val="001F6EE3"/>
    <w:rsid w:val="001F702F"/>
    <w:rsid w:val="001F7362"/>
    <w:rsid w:val="001F7AE9"/>
    <w:rsid w:val="001F7CFD"/>
    <w:rsid w:val="002009DA"/>
    <w:rsid w:val="002009E4"/>
    <w:rsid w:val="002011D5"/>
    <w:rsid w:val="00201C2D"/>
    <w:rsid w:val="00203367"/>
    <w:rsid w:val="00203ADC"/>
    <w:rsid w:val="002042DC"/>
    <w:rsid w:val="00204438"/>
    <w:rsid w:val="002047A0"/>
    <w:rsid w:val="00204A44"/>
    <w:rsid w:val="00206147"/>
    <w:rsid w:val="002064F3"/>
    <w:rsid w:val="002069A8"/>
    <w:rsid w:val="00206EE7"/>
    <w:rsid w:val="00207801"/>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18F"/>
    <w:rsid w:val="0023170E"/>
    <w:rsid w:val="00231839"/>
    <w:rsid w:val="002319D0"/>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0D6"/>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9FD"/>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080"/>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742"/>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41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4826"/>
    <w:rsid w:val="002A5227"/>
    <w:rsid w:val="002A5493"/>
    <w:rsid w:val="002A57BC"/>
    <w:rsid w:val="002A581C"/>
    <w:rsid w:val="002A777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A8D"/>
    <w:rsid w:val="002C0CAC"/>
    <w:rsid w:val="002C1F28"/>
    <w:rsid w:val="002C254B"/>
    <w:rsid w:val="002C25DE"/>
    <w:rsid w:val="002C27E8"/>
    <w:rsid w:val="002C2ACB"/>
    <w:rsid w:val="002C2EE4"/>
    <w:rsid w:val="002C2F60"/>
    <w:rsid w:val="002C3CB7"/>
    <w:rsid w:val="002C415B"/>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1F5D"/>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2F7CAB"/>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23"/>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6F0"/>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18CF"/>
    <w:rsid w:val="003F1AAD"/>
    <w:rsid w:val="003F2BFE"/>
    <w:rsid w:val="003F3A44"/>
    <w:rsid w:val="003F3DAF"/>
    <w:rsid w:val="003F5F0A"/>
    <w:rsid w:val="003F6DD5"/>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8FB"/>
    <w:rsid w:val="00412EF3"/>
    <w:rsid w:val="004133CD"/>
    <w:rsid w:val="00413549"/>
    <w:rsid w:val="00413B23"/>
    <w:rsid w:val="00414538"/>
    <w:rsid w:val="0041479C"/>
    <w:rsid w:val="00414D50"/>
    <w:rsid w:val="00414FBD"/>
    <w:rsid w:val="00416787"/>
    <w:rsid w:val="004203CA"/>
    <w:rsid w:val="004208D7"/>
    <w:rsid w:val="00420CA2"/>
    <w:rsid w:val="00420F52"/>
    <w:rsid w:val="00421878"/>
    <w:rsid w:val="004218AF"/>
    <w:rsid w:val="00421B63"/>
    <w:rsid w:val="004221BC"/>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8CD"/>
    <w:rsid w:val="00444FBF"/>
    <w:rsid w:val="00445064"/>
    <w:rsid w:val="00445172"/>
    <w:rsid w:val="004455C4"/>
    <w:rsid w:val="00445A32"/>
    <w:rsid w:val="00445B9A"/>
    <w:rsid w:val="004462CB"/>
    <w:rsid w:val="00446F4F"/>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184F"/>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3E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4A0"/>
    <w:rsid w:val="00494826"/>
    <w:rsid w:val="00494B28"/>
    <w:rsid w:val="004950F7"/>
    <w:rsid w:val="004953E1"/>
    <w:rsid w:val="00495441"/>
    <w:rsid w:val="00495FFF"/>
    <w:rsid w:val="00496A9F"/>
    <w:rsid w:val="00497358"/>
    <w:rsid w:val="00497641"/>
    <w:rsid w:val="00497972"/>
    <w:rsid w:val="00497C98"/>
    <w:rsid w:val="00497FA5"/>
    <w:rsid w:val="004A03B3"/>
    <w:rsid w:val="004A04D5"/>
    <w:rsid w:val="004A0D65"/>
    <w:rsid w:val="004A1AA2"/>
    <w:rsid w:val="004A1B07"/>
    <w:rsid w:val="004A2265"/>
    <w:rsid w:val="004A2693"/>
    <w:rsid w:val="004A2E04"/>
    <w:rsid w:val="004A3226"/>
    <w:rsid w:val="004A32E9"/>
    <w:rsid w:val="004A399F"/>
    <w:rsid w:val="004A4096"/>
    <w:rsid w:val="004A4670"/>
    <w:rsid w:val="004A4692"/>
    <w:rsid w:val="004A52F6"/>
    <w:rsid w:val="004A5D08"/>
    <w:rsid w:val="004A5E9A"/>
    <w:rsid w:val="004A669F"/>
    <w:rsid w:val="004A6842"/>
    <w:rsid w:val="004A6A98"/>
    <w:rsid w:val="004A6BC3"/>
    <w:rsid w:val="004A718C"/>
    <w:rsid w:val="004A7DBE"/>
    <w:rsid w:val="004A7F94"/>
    <w:rsid w:val="004B08AC"/>
    <w:rsid w:val="004B0D88"/>
    <w:rsid w:val="004B0F7D"/>
    <w:rsid w:val="004B19DC"/>
    <w:rsid w:val="004B1D13"/>
    <w:rsid w:val="004B1D41"/>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7BF"/>
    <w:rsid w:val="004C4829"/>
    <w:rsid w:val="004C4D30"/>
    <w:rsid w:val="004C4EAB"/>
    <w:rsid w:val="004C5570"/>
    <w:rsid w:val="004C5BD0"/>
    <w:rsid w:val="004C5D52"/>
    <w:rsid w:val="004C5DB0"/>
    <w:rsid w:val="004C60D8"/>
    <w:rsid w:val="004C62EE"/>
    <w:rsid w:val="004C6755"/>
    <w:rsid w:val="004C6954"/>
    <w:rsid w:val="004C6A0D"/>
    <w:rsid w:val="004C6CC0"/>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87C"/>
    <w:rsid w:val="00505F08"/>
    <w:rsid w:val="0050671D"/>
    <w:rsid w:val="0050672C"/>
    <w:rsid w:val="00506C4C"/>
    <w:rsid w:val="00506F35"/>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64B"/>
    <w:rsid w:val="0054069F"/>
    <w:rsid w:val="00540D6C"/>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6DEF"/>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DEE"/>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1F4"/>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0C8"/>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55E"/>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E7BA7"/>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174C4"/>
    <w:rsid w:val="006205E1"/>
    <w:rsid w:val="006208EE"/>
    <w:rsid w:val="0062091D"/>
    <w:rsid w:val="00620C44"/>
    <w:rsid w:val="0062100E"/>
    <w:rsid w:val="006211A5"/>
    <w:rsid w:val="006212A7"/>
    <w:rsid w:val="006219BC"/>
    <w:rsid w:val="00621AC7"/>
    <w:rsid w:val="00621DD8"/>
    <w:rsid w:val="00621DE8"/>
    <w:rsid w:val="00621F54"/>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84A"/>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6FD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87BBD"/>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B09"/>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C7309"/>
    <w:rsid w:val="006D01F3"/>
    <w:rsid w:val="006D045E"/>
    <w:rsid w:val="006D0B6D"/>
    <w:rsid w:val="006D1549"/>
    <w:rsid w:val="006D1666"/>
    <w:rsid w:val="006D1A5F"/>
    <w:rsid w:val="006D2182"/>
    <w:rsid w:val="006D3409"/>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3F"/>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A51"/>
    <w:rsid w:val="006F5B1A"/>
    <w:rsid w:val="006F5F76"/>
    <w:rsid w:val="006F6790"/>
    <w:rsid w:val="00700821"/>
    <w:rsid w:val="007010A7"/>
    <w:rsid w:val="007010F4"/>
    <w:rsid w:val="007011D1"/>
    <w:rsid w:val="007011D8"/>
    <w:rsid w:val="00701929"/>
    <w:rsid w:val="007021B1"/>
    <w:rsid w:val="0070263D"/>
    <w:rsid w:val="00702723"/>
    <w:rsid w:val="0070303A"/>
    <w:rsid w:val="0070318F"/>
    <w:rsid w:val="0070328F"/>
    <w:rsid w:val="00704346"/>
    <w:rsid w:val="007043D3"/>
    <w:rsid w:val="00704464"/>
    <w:rsid w:val="00704527"/>
    <w:rsid w:val="00705182"/>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B90"/>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443"/>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5B8E"/>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6C1"/>
    <w:rsid w:val="007648FE"/>
    <w:rsid w:val="00764A06"/>
    <w:rsid w:val="00764B39"/>
    <w:rsid w:val="00766009"/>
    <w:rsid w:val="007664EA"/>
    <w:rsid w:val="007667C4"/>
    <w:rsid w:val="007670FC"/>
    <w:rsid w:val="00767156"/>
    <w:rsid w:val="00767282"/>
    <w:rsid w:val="007678B9"/>
    <w:rsid w:val="00767C68"/>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873"/>
    <w:rsid w:val="00774F5B"/>
    <w:rsid w:val="0077558B"/>
    <w:rsid w:val="00775601"/>
    <w:rsid w:val="007756E4"/>
    <w:rsid w:val="00775A59"/>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1EF6"/>
    <w:rsid w:val="007A2A4D"/>
    <w:rsid w:val="007A31B2"/>
    <w:rsid w:val="007A3629"/>
    <w:rsid w:val="007A385C"/>
    <w:rsid w:val="007A38F5"/>
    <w:rsid w:val="007A3D24"/>
    <w:rsid w:val="007A3EB2"/>
    <w:rsid w:val="007A484F"/>
    <w:rsid w:val="007A4860"/>
    <w:rsid w:val="007A49F7"/>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0B38"/>
    <w:rsid w:val="007C1203"/>
    <w:rsid w:val="007C1541"/>
    <w:rsid w:val="007C168D"/>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637"/>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20"/>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B33"/>
    <w:rsid w:val="0083118A"/>
    <w:rsid w:val="00831284"/>
    <w:rsid w:val="00831784"/>
    <w:rsid w:val="00832727"/>
    <w:rsid w:val="00832780"/>
    <w:rsid w:val="00833196"/>
    <w:rsid w:val="00833718"/>
    <w:rsid w:val="008337C1"/>
    <w:rsid w:val="0083404A"/>
    <w:rsid w:val="00834838"/>
    <w:rsid w:val="00834F23"/>
    <w:rsid w:val="008353B6"/>
    <w:rsid w:val="00835B40"/>
    <w:rsid w:val="00836A67"/>
    <w:rsid w:val="00836CEB"/>
    <w:rsid w:val="00837498"/>
    <w:rsid w:val="00840AB4"/>
    <w:rsid w:val="00840EAF"/>
    <w:rsid w:val="008416BF"/>
    <w:rsid w:val="008416FD"/>
    <w:rsid w:val="0084175C"/>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47B2C"/>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073"/>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538"/>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0AA6"/>
    <w:rsid w:val="008E20BE"/>
    <w:rsid w:val="008E241B"/>
    <w:rsid w:val="008E264E"/>
    <w:rsid w:val="008E27E9"/>
    <w:rsid w:val="008E2905"/>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1C1C"/>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7D6"/>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051"/>
    <w:rsid w:val="0095699A"/>
    <w:rsid w:val="00956B34"/>
    <w:rsid w:val="0095702D"/>
    <w:rsid w:val="009571A6"/>
    <w:rsid w:val="0095752A"/>
    <w:rsid w:val="009577C1"/>
    <w:rsid w:val="00957A3B"/>
    <w:rsid w:val="009602BA"/>
    <w:rsid w:val="0096129F"/>
    <w:rsid w:val="009615D7"/>
    <w:rsid w:val="009620CC"/>
    <w:rsid w:val="0096212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436"/>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08F"/>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BFC"/>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25F"/>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7DE"/>
    <w:rsid w:val="009C4A32"/>
    <w:rsid w:val="009C4C9A"/>
    <w:rsid w:val="009C5A10"/>
    <w:rsid w:val="009C63AB"/>
    <w:rsid w:val="009C69D0"/>
    <w:rsid w:val="009C69F4"/>
    <w:rsid w:val="009C6D92"/>
    <w:rsid w:val="009C7163"/>
    <w:rsid w:val="009C76AC"/>
    <w:rsid w:val="009C77A3"/>
    <w:rsid w:val="009C7DB8"/>
    <w:rsid w:val="009C7F7D"/>
    <w:rsid w:val="009D1082"/>
    <w:rsid w:val="009D1317"/>
    <w:rsid w:val="009D1C00"/>
    <w:rsid w:val="009D1D1E"/>
    <w:rsid w:val="009D2066"/>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887"/>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6CBC"/>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6D85"/>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9DC"/>
    <w:rsid w:val="00A80AF3"/>
    <w:rsid w:val="00A8226A"/>
    <w:rsid w:val="00A82384"/>
    <w:rsid w:val="00A82501"/>
    <w:rsid w:val="00A82941"/>
    <w:rsid w:val="00A83139"/>
    <w:rsid w:val="00A834D6"/>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1D"/>
    <w:rsid w:val="00AA04C5"/>
    <w:rsid w:val="00AA0BAD"/>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3BA9"/>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639"/>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2F7E"/>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273E"/>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106F"/>
    <w:rsid w:val="00B4117D"/>
    <w:rsid w:val="00B418AC"/>
    <w:rsid w:val="00B41BE7"/>
    <w:rsid w:val="00B424F7"/>
    <w:rsid w:val="00B42530"/>
    <w:rsid w:val="00B42568"/>
    <w:rsid w:val="00B428C5"/>
    <w:rsid w:val="00B4316E"/>
    <w:rsid w:val="00B4339F"/>
    <w:rsid w:val="00B4381B"/>
    <w:rsid w:val="00B4383C"/>
    <w:rsid w:val="00B4403D"/>
    <w:rsid w:val="00B4411A"/>
    <w:rsid w:val="00B4471B"/>
    <w:rsid w:val="00B456C4"/>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326"/>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45C"/>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FD5"/>
    <w:rsid w:val="00BA6168"/>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2F96"/>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29D4"/>
    <w:rsid w:val="00BF3834"/>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1D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FF8"/>
    <w:rsid w:val="00C220F2"/>
    <w:rsid w:val="00C223A0"/>
    <w:rsid w:val="00C22B55"/>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539"/>
    <w:rsid w:val="00C45A51"/>
    <w:rsid w:val="00C469E3"/>
    <w:rsid w:val="00C47155"/>
    <w:rsid w:val="00C47987"/>
    <w:rsid w:val="00C47CD2"/>
    <w:rsid w:val="00C47D56"/>
    <w:rsid w:val="00C510DE"/>
    <w:rsid w:val="00C513B4"/>
    <w:rsid w:val="00C51816"/>
    <w:rsid w:val="00C536E4"/>
    <w:rsid w:val="00C538AE"/>
    <w:rsid w:val="00C53B4A"/>
    <w:rsid w:val="00C53C32"/>
    <w:rsid w:val="00C53E7A"/>
    <w:rsid w:val="00C54492"/>
    <w:rsid w:val="00C544B6"/>
    <w:rsid w:val="00C54601"/>
    <w:rsid w:val="00C54E26"/>
    <w:rsid w:val="00C555EB"/>
    <w:rsid w:val="00C557C0"/>
    <w:rsid w:val="00C55BC9"/>
    <w:rsid w:val="00C565FF"/>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702C6"/>
    <w:rsid w:val="00C70B38"/>
    <w:rsid w:val="00C70B43"/>
    <w:rsid w:val="00C71616"/>
    <w:rsid w:val="00C71A56"/>
    <w:rsid w:val="00C729D1"/>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65FB"/>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586A"/>
    <w:rsid w:val="00CA5A6C"/>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89E"/>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4133"/>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950"/>
    <w:rsid w:val="00CE0FC5"/>
    <w:rsid w:val="00CE11D8"/>
    <w:rsid w:val="00CE1648"/>
    <w:rsid w:val="00CE1A90"/>
    <w:rsid w:val="00CE1B83"/>
    <w:rsid w:val="00CE1C5C"/>
    <w:rsid w:val="00CE1CA9"/>
    <w:rsid w:val="00CE1D26"/>
    <w:rsid w:val="00CE1E07"/>
    <w:rsid w:val="00CE200B"/>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72A"/>
    <w:rsid w:val="00D22E00"/>
    <w:rsid w:val="00D23712"/>
    <w:rsid w:val="00D251E6"/>
    <w:rsid w:val="00D259B0"/>
    <w:rsid w:val="00D25ACE"/>
    <w:rsid w:val="00D25F4C"/>
    <w:rsid w:val="00D26097"/>
    <w:rsid w:val="00D261C5"/>
    <w:rsid w:val="00D26391"/>
    <w:rsid w:val="00D2651B"/>
    <w:rsid w:val="00D2699D"/>
    <w:rsid w:val="00D26C62"/>
    <w:rsid w:val="00D2710F"/>
    <w:rsid w:val="00D27747"/>
    <w:rsid w:val="00D27BF7"/>
    <w:rsid w:val="00D30729"/>
    <w:rsid w:val="00D30EAF"/>
    <w:rsid w:val="00D314F6"/>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719F"/>
    <w:rsid w:val="00D371C8"/>
    <w:rsid w:val="00D37742"/>
    <w:rsid w:val="00D4061B"/>
    <w:rsid w:val="00D406D5"/>
    <w:rsid w:val="00D40F25"/>
    <w:rsid w:val="00D42556"/>
    <w:rsid w:val="00D431DA"/>
    <w:rsid w:val="00D43450"/>
    <w:rsid w:val="00D43D75"/>
    <w:rsid w:val="00D43F48"/>
    <w:rsid w:val="00D43F90"/>
    <w:rsid w:val="00D44156"/>
    <w:rsid w:val="00D44198"/>
    <w:rsid w:val="00D445B3"/>
    <w:rsid w:val="00D453B5"/>
    <w:rsid w:val="00D45977"/>
    <w:rsid w:val="00D45CEF"/>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6BD6"/>
    <w:rsid w:val="00D56D76"/>
    <w:rsid w:val="00D5708A"/>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2D6"/>
    <w:rsid w:val="00D74660"/>
    <w:rsid w:val="00D74797"/>
    <w:rsid w:val="00D74968"/>
    <w:rsid w:val="00D749D2"/>
    <w:rsid w:val="00D74D9B"/>
    <w:rsid w:val="00D750A2"/>
    <w:rsid w:val="00D75650"/>
    <w:rsid w:val="00D756A3"/>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011"/>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4958"/>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CD"/>
    <w:rsid w:val="00E14E22"/>
    <w:rsid w:val="00E14FF5"/>
    <w:rsid w:val="00E15713"/>
    <w:rsid w:val="00E15AD8"/>
    <w:rsid w:val="00E16580"/>
    <w:rsid w:val="00E16682"/>
    <w:rsid w:val="00E1678A"/>
    <w:rsid w:val="00E17115"/>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8AD"/>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6A9D"/>
    <w:rsid w:val="00E571CF"/>
    <w:rsid w:val="00E5757E"/>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4F33"/>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EC9"/>
    <w:rsid w:val="00E85F05"/>
    <w:rsid w:val="00E86BAE"/>
    <w:rsid w:val="00E876A3"/>
    <w:rsid w:val="00E87DC5"/>
    <w:rsid w:val="00E9005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480"/>
    <w:rsid w:val="00EC28DD"/>
    <w:rsid w:val="00EC2BB6"/>
    <w:rsid w:val="00EC2EE6"/>
    <w:rsid w:val="00EC3012"/>
    <w:rsid w:val="00EC3713"/>
    <w:rsid w:val="00EC37A0"/>
    <w:rsid w:val="00EC3FA5"/>
    <w:rsid w:val="00EC404D"/>
    <w:rsid w:val="00EC4F34"/>
    <w:rsid w:val="00EC5503"/>
    <w:rsid w:val="00EC552D"/>
    <w:rsid w:val="00EC5B93"/>
    <w:rsid w:val="00EC774B"/>
    <w:rsid w:val="00EC7C27"/>
    <w:rsid w:val="00ED1308"/>
    <w:rsid w:val="00ED13EB"/>
    <w:rsid w:val="00ED1441"/>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2BE"/>
    <w:rsid w:val="00EE2B3E"/>
    <w:rsid w:val="00EE2B55"/>
    <w:rsid w:val="00EE2D03"/>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382"/>
    <w:rsid w:val="00F70C14"/>
    <w:rsid w:val="00F70DF7"/>
    <w:rsid w:val="00F713B8"/>
    <w:rsid w:val="00F713E2"/>
    <w:rsid w:val="00F7187B"/>
    <w:rsid w:val="00F718A4"/>
    <w:rsid w:val="00F71D8E"/>
    <w:rsid w:val="00F72698"/>
    <w:rsid w:val="00F72770"/>
    <w:rsid w:val="00F728AA"/>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0F4"/>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0F"/>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6DB"/>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AE0"/>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507D4AAA"/>
  <w15:docId w15:val="{60481C07-35E7-47E0-B6D4-F72CDC6D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3135308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negi.org.mx/app/biblioteca/ficha.html?upc=70282509906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6.xml"/><Relationship Id="rId25" Type="http://schemas.openxmlformats.org/officeDocument/2006/relationships/hyperlink" Target="https://www.inegi.org.mx/app/indicadores/?tm=0"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www.inegi.org.mx/programas/emec/2013/"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inegi.org.mx/temas/comercioemp/" TargetMode="External"/><Relationship Id="rId28" Type="http://schemas.openxmlformats.org/officeDocument/2006/relationships/theme" Target="theme/theme1.xml"/><Relationship Id="rId10" Type="http://schemas.openxmlformats.org/officeDocument/2006/relationships/hyperlink" Target="mailto:comunicacionsocial@inegi.org.mx"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image" Target="media/image3.gi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Datos!$C$126:$C$197</c:f>
              <c:numCache>
                <c:formatCode>0.0_)</c:formatCode>
                <c:ptCount val="62"/>
                <c:pt idx="0">
                  <c:v>108.459448963596</c:v>
                </c:pt>
                <c:pt idx="1">
                  <c:v>109.141766191588</c:v>
                </c:pt>
                <c:pt idx="2">
                  <c:v>110.897932613378</c:v>
                </c:pt>
                <c:pt idx="3">
                  <c:v>110.465850889016</c:v>
                </c:pt>
                <c:pt idx="4">
                  <c:v>111.294358730222</c:v>
                </c:pt>
                <c:pt idx="5">
                  <c:v>111.438743376977</c:v>
                </c:pt>
                <c:pt idx="6">
                  <c:v>109.69300494897399</c:v>
                </c:pt>
                <c:pt idx="7">
                  <c:v>110.591629822876</c:v>
                </c:pt>
                <c:pt idx="8">
                  <c:v>110.857872845226</c:v>
                </c:pt>
                <c:pt idx="9">
                  <c:v>112.683397875935</c:v>
                </c:pt>
                <c:pt idx="10">
                  <c:v>109.54065664225401</c:v>
                </c:pt>
                <c:pt idx="11">
                  <c:v>106.73233170269999</c:v>
                </c:pt>
                <c:pt idx="12">
                  <c:v>108.729026666444</c:v>
                </c:pt>
                <c:pt idx="13">
                  <c:v>108.248806669337</c:v>
                </c:pt>
                <c:pt idx="14">
                  <c:v>107.778238572769</c:v>
                </c:pt>
                <c:pt idx="15">
                  <c:v>107.92992639587099</c:v>
                </c:pt>
                <c:pt idx="16">
                  <c:v>107.269124866719</c:v>
                </c:pt>
                <c:pt idx="17">
                  <c:v>108.048427715968</c:v>
                </c:pt>
                <c:pt idx="18">
                  <c:v>107.38174360094899</c:v>
                </c:pt>
                <c:pt idx="19">
                  <c:v>107.955961984479</c:v>
                </c:pt>
                <c:pt idx="20">
                  <c:v>107.34699040712</c:v>
                </c:pt>
                <c:pt idx="21">
                  <c:v>106.063162229989</c:v>
                </c:pt>
                <c:pt idx="22">
                  <c:v>106.005873917938</c:v>
                </c:pt>
                <c:pt idx="23">
                  <c:v>105.670078115751</c:v>
                </c:pt>
                <c:pt idx="24">
                  <c:v>106.58048373544899</c:v>
                </c:pt>
                <c:pt idx="25">
                  <c:v>105.449488359668</c:v>
                </c:pt>
                <c:pt idx="26">
                  <c:v>104.35948160489799</c:v>
                </c:pt>
                <c:pt idx="27">
                  <c:v>85.692734193949406</c:v>
                </c:pt>
                <c:pt idx="28">
                  <c:v>81.605147224046107</c:v>
                </c:pt>
                <c:pt idx="29">
                  <c:v>90.803731237692304</c:v>
                </c:pt>
                <c:pt idx="30">
                  <c:v>95.602323021933003</c:v>
                </c:pt>
                <c:pt idx="31">
                  <c:v>97.601414505130904</c:v>
                </c:pt>
                <c:pt idx="32">
                  <c:v>99.111306489499398</c:v>
                </c:pt>
                <c:pt idx="33">
                  <c:v>100.617907958888</c:v>
                </c:pt>
                <c:pt idx="34">
                  <c:v>102.283843670121</c:v>
                </c:pt>
                <c:pt idx="35">
                  <c:v>103.845527637819</c:v>
                </c:pt>
                <c:pt idx="36">
                  <c:v>104.98974586287299</c:v>
                </c:pt>
                <c:pt idx="37">
                  <c:v>106.748149358155</c:v>
                </c:pt>
                <c:pt idx="38">
                  <c:v>109.19798206079599</c:v>
                </c:pt>
                <c:pt idx="39">
                  <c:v>108.646088434226</c:v>
                </c:pt>
                <c:pt idx="40">
                  <c:v>109.59468120442401</c:v>
                </c:pt>
                <c:pt idx="41">
                  <c:v>110.134148226639</c:v>
                </c:pt>
                <c:pt idx="42">
                  <c:v>111.102565764945</c:v>
                </c:pt>
                <c:pt idx="43">
                  <c:v>111.357225604134</c:v>
                </c:pt>
                <c:pt idx="44">
                  <c:v>112.018052094726</c:v>
                </c:pt>
                <c:pt idx="45">
                  <c:v>112.617632764969</c:v>
                </c:pt>
                <c:pt idx="46">
                  <c:v>113.370161623443</c:v>
                </c:pt>
                <c:pt idx="47">
                  <c:v>113.15138381983699</c:v>
                </c:pt>
                <c:pt idx="48">
                  <c:v>114.24216385766699</c:v>
                </c:pt>
                <c:pt idx="49">
                  <c:v>114.485046256201</c:v>
                </c:pt>
                <c:pt idx="50">
                  <c:v>117.344671093117</c:v>
                </c:pt>
                <c:pt idx="51">
                  <c:v>115.764201997079</c:v>
                </c:pt>
                <c:pt idx="52">
                  <c:v>115.79111007111599</c:v>
                </c:pt>
                <c:pt idx="53">
                  <c:v>115.514167787321</c:v>
                </c:pt>
                <c:pt idx="54">
                  <c:v>114.94192145738</c:v>
                </c:pt>
                <c:pt idx="55">
                  <c:v>114.16554572017699</c:v>
                </c:pt>
                <c:pt idx="56">
                  <c:v>113.892423345094</c:v>
                </c:pt>
                <c:pt idx="57">
                  <c:v>114.22202193807099</c:v>
                </c:pt>
                <c:pt idx="58">
                  <c:v>113.302115114842</c:v>
                </c:pt>
                <c:pt idx="59">
                  <c:v>113.625648747187</c:v>
                </c:pt>
                <c:pt idx="60">
                  <c:v>113.29160066602</c:v>
                </c:pt>
                <c:pt idx="61">
                  <c:v>112.812745943561</c:v>
                </c:pt>
              </c:numCache>
            </c:numRef>
          </c:val>
          <c:extLst>
            <c:ext xmlns:c16="http://schemas.microsoft.com/office/drawing/2014/chart" uri="{C3380CC4-5D6E-409C-BE32-E72D297353CC}">
              <c16:uniqueId val="{00000000-65A9-4CFE-8CC5-32076FCAB068}"/>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Datos!$D$126:$D$197</c:f>
              <c:numCache>
                <c:formatCode>0.0_)</c:formatCode>
                <c:ptCount val="62"/>
                <c:pt idx="0">
                  <c:v>108.94639643785101</c:v>
                </c:pt>
                <c:pt idx="1">
                  <c:v>109.57456611370699</c:v>
                </c:pt>
                <c:pt idx="2">
                  <c:v>110.195780670329</c:v>
                </c:pt>
                <c:pt idx="3">
                  <c:v>110.70793142550301</c:v>
                </c:pt>
                <c:pt idx="4">
                  <c:v>111.054911846137</c:v>
                </c:pt>
                <c:pt idx="5">
                  <c:v>111.199974927326</c:v>
                </c:pt>
                <c:pt idx="6">
                  <c:v>111.135462505665</c:v>
                </c:pt>
                <c:pt idx="7">
                  <c:v>110.894284382149</c:v>
                </c:pt>
                <c:pt idx="8">
                  <c:v>110.550785457259</c:v>
                </c:pt>
                <c:pt idx="9">
                  <c:v>110.12790131414501</c:v>
                </c:pt>
                <c:pt idx="10">
                  <c:v>109.650463609795</c:v>
                </c:pt>
                <c:pt idx="11">
                  <c:v>109.15589447469701</c:v>
                </c:pt>
                <c:pt idx="12">
                  <c:v>108.68024433839599</c:v>
                </c:pt>
                <c:pt idx="13">
                  <c:v>108.262496811703</c:v>
                </c:pt>
                <c:pt idx="14">
                  <c:v>107.957588673495</c:v>
                </c:pt>
                <c:pt idx="15">
                  <c:v>107.798637532946</c:v>
                </c:pt>
                <c:pt idx="16">
                  <c:v>107.739276631161</c:v>
                </c:pt>
                <c:pt idx="17">
                  <c:v>107.707277009626</c:v>
                </c:pt>
                <c:pt idx="18">
                  <c:v>107.616051577265</c:v>
                </c:pt>
                <c:pt idx="19">
                  <c:v>107.394281207348</c:v>
                </c:pt>
                <c:pt idx="20">
                  <c:v>107.048775200752</c:v>
                </c:pt>
                <c:pt idx="21">
                  <c:v>106.62752740861001</c:v>
                </c:pt>
                <c:pt idx="22">
                  <c:v>106.16277438557999</c:v>
                </c:pt>
                <c:pt idx="23">
                  <c:v>105.70282151306399</c:v>
                </c:pt>
                <c:pt idx="24">
                  <c:v>105.286950895929</c:v>
                </c:pt>
                <c:pt idx="25">
                  <c:v>104.917520012444</c:v>
                </c:pt>
                <c:pt idx="26">
                  <c:v>104.61347386196501</c:v>
                </c:pt>
                <c:pt idx="27">
                  <c:v>96.014512798242095</c:v>
                </c:pt>
                <c:pt idx="28">
                  <c:v>96.003273976864904</c:v>
                </c:pt>
                <c:pt idx="29">
                  <c:v>96.278813093418705</c:v>
                </c:pt>
                <c:pt idx="30">
                  <c:v>96.902793782908404</c:v>
                </c:pt>
                <c:pt idx="31">
                  <c:v>97.868913750510302</c:v>
                </c:pt>
                <c:pt idx="32">
                  <c:v>99.118844745299697</c:v>
                </c:pt>
                <c:pt idx="33">
                  <c:v>100.573317485343</c:v>
                </c:pt>
                <c:pt idx="34">
                  <c:v>102.14666559259101</c:v>
                </c:pt>
                <c:pt idx="35">
                  <c:v>103.728494876849</c:v>
                </c:pt>
                <c:pt idx="36">
                  <c:v>105.206172811835</c:v>
                </c:pt>
                <c:pt idx="37">
                  <c:v>106.540884255092</c:v>
                </c:pt>
                <c:pt idx="38">
                  <c:v>107.708814908126</c:v>
                </c:pt>
                <c:pt idx="39">
                  <c:v>108.70980376297101</c:v>
                </c:pt>
                <c:pt idx="40">
                  <c:v>109.55110757648799</c:v>
                </c:pt>
                <c:pt idx="41">
                  <c:v>110.27980729233199</c:v>
                </c:pt>
                <c:pt idx="42">
                  <c:v>110.92240694231199</c:v>
                </c:pt>
                <c:pt idx="43">
                  <c:v>111.511117814317</c:v>
                </c:pt>
                <c:pt idx="44">
                  <c:v>112.058217952481</c:v>
                </c:pt>
                <c:pt idx="45">
                  <c:v>112.57090224645999</c:v>
                </c:pt>
                <c:pt idx="46">
                  <c:v>113.082083521691</c:v>
                </c:pt>
                <c:pt idx="47">
                  <c:v>113.62452109035</c:v>
                </c:pt>
                <c:pt idx="48">
                  <c:v>114.199999158818</c:v>
                </c:pt>
                <c:pt idx="49">
                  <c:v>114.77376963296</c:v>
                </c:pt>
                <c:pt idx="50">
                  <c:v>115.255284964127</c:v>
                </c:pt>
                <c:pt idx="51">
                  <c:v>115.540096610696</c:v>
                </c:pt>
                <c:pt idx="52">
                  <c:v>115.575511139486</c:v>
                </c:pt>
                <c:pt idx="53">
                  <c:v>115.359980424602</c:v>
                </c:pt>
                <c:pt idx="54">
                  <c:v>114.97023748185001</c:v>
                </c:pt>
                <c:pt idx="55">
                  <c:v>114.538053170597</c:v>
                </c:pt>
                <c:pt idx="56">
                  <c:v>114.12805663636701</c:v>
                </c:pt>
                <c:pt idx="57">
                  <c:v>113.78989153463399</c:v>
                </c:pt>
                <c:pt idx="58">
                  <c:v>113.541511794952</c:v>
                </c:pt>
                <c:pt idx="59">
                  <c:v>113.3905895627</c:v>
                </c:pt>
                <c:pt idx="60">
                  <c:v>113.334711039707</c:v>
                </c:pt>
                <c:pt idx="61">
                  <c:v>113.378109609947</c:v>
                </c:pt>
              </c:numCache>
            </c:numRef>
          </c:val>
          <c:smooth val="0"/>
          <c:extLst>
            <c:ext xmlns:c16="http://schemas.microsoft.com/office/drawing/2014/chart" uri="{C3380CC4-5D6E-409C-BE32-E72D297353CC}">
              <c16:uniqueId val="{00000001-65A9-4CFE-8CC5-32076FCAB068}"/>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Datos!$E$126:$E$197</c:f>
              <c:numCache>
                <c:formatCode>0.0_)</c:formatCode>
                <c:ptCount val="62"/>
                <c:pt idx="0">
                  <c:v>112.018620679826</c:v>
                </c:pt>
                <c:pt idx="1">
                  <c:v>112.256282834798</c:v>
                </c:pt>
                <c:pt idx="2">
                  <c:v>113.484032155949</c:v>
                </c:pt>
                <c:pt idx="3">
                  <c:v>112.651499550246</c:v>
                </c:pt>
                <c:pt idx="4">
                  <c:v>113.03974001108</c:v>
                </c:pt>
                <c:pt idx="5">
                  <c:v>113.79037867312999</c:v>
                </c:pt>
                <c:pt idx="6">
                  <c:v>113.840255390184</c:v>
                </c:pt>
                <c:pt idx="7">
                  <c:v>113.502604200427</c:v>
                </c:pt>
                <c:pt idx="8">
                  <c:v>114.111890193706</c:v>
                </c:pt>
                <c:pt idx="9">
                  <c:v>114.474464730834</c:v>
                </c:pt>
                <c:pt idx="10">
                  <c:v>114.32471481555299</c:v>
                </c:pt>
                <c:pt idx="11">
                  <c:v>112.057555038526</c:v>
                </c:pt>
                <c:pt idx="12">
                  <c:v>114.71861102247701</c:v>
                </c:pt>
                <c:pt idx="13">
                  <c:v>115.8195731456</c:v>
                </c:pt>
                <c:pt idx="14">
                  <c:v>114.59050215617999</c:v>
                </c:pt>
                <c:pt idx="15">
                  <c:v>114.92991248630101</c:v>
                </c:pt>
                <c:pt idx="16">
                  <c:v>115.395343396662</c:v>
                </c:pt>
                <c:pt idx="17">
                  <c:v>115.883971348293</c:v>
                </c:pt>
                <c:pt idx="18">
                  <c:v>115.889931557464</c:v>
                </c:pt>
                <c:pt idx="19">
                  <c:v>116.61528225220199</c:v>
                </c:pt>
                <c:pt idx="20">
                  <c:v>116.457821479562</c:v>
                </c:pt>
                <c:pt idx="21">
                  <c:v>115.612445640861</c:v>
                </c:pt>
                <c:pt idx="22">
                  <c:v>116.380652961669</c:v>
                </c:pt>
                <c:pt idx="23">
                  <c:v>115.892553192123</c:v>
                </c:pt>
                <c:pt idx="24">
                  <c:v>116.391623969172</c:v>
                </c:pt>
                <c:pt idx="25">
                  <c:v>114.51726582365001</c:v>
                </c:pt>
                <c:pt idx="26">
                  <c:v>111.821729550328</c:v>
                </c:pt>
                <c:pt idx="27">
                  <c:v>87.166223351613496</c:v>
                </c:pt>
                <c:pt idx="28">
                  <c:v>87.958326883381204</c:v>
                </c:pt>
                <c:pt idx="29">
                  <c:v>96.394127825514602</c:v>
                </c:pt>
                <c:pt idx="30">
                  <c:v>102.00022855918699</c:v>
                </c:pt>
                <c:pt idx="31">
                  <c:v>105.606765910891</c:v>
                </c:pt>
                <c:pt idx="32">
                  <c:v>107.708162673684</c:v>
                </c:pt>
                <c:pt idx="33">
                  <c:v>107.81473661087099</c:v>
                </c:pt>
                <c:pt idx="34">
                  <c:v>110.81826088061899</c:v>
                </c:pt>
                <c:pt idx="35">
                  <c:v>109.525280304364</c:v>
                </c:pt>
                <c:pt idx="36">
                  <c:v>108.356069051966</c:v>
                </c:pt>
                <c:pt idx="37">
                  <c:v>110.581871942566</c:v>
                </c:pt>
                <c:pt idx="38">
                  <c:v>113.880812367056</c:v>
                </c:pt>
                <c:pt idx="39">
                  <c:v>113.134731081719</c:v>
                </c:pt>
                <c:pt idx="40">
                  <c:v>113.279534426521</c:v>
                </c:pt>
                <c:pt idx="41">
                  <c:v>113.085499048279</c:v>
                </c:pt>
                <c:pt idx="42">
                  <c:v>112.093242055556</c:v>
                </c:pt>
                <c:pt idx="43">
                  <c:v>113.447007830613</c:v>
                </c:pt>
                <c:pt idx="44">
                  <c:v>114.406196755211</c:v>
                </c:pt>
                <c:pt idx="45">
                  <c:v>114.669832258703</c:v>
                </c:pt>
                <c:pt idx="46">
                  <c:v>115.93028368695801</c:v>
                </c:pt>
                <c:pt idx="47">
                  <c:v>115.814257209142</c:v>
                </c:pt>
                <c:pt idx="48">
                  <c:v>115.629047617517</c:v>
                </c:pt>
                <c:pt idx="49">
                  <c:v>117.264762799604</c:v>
                </c:pt>
                <c:pt idx="50">
                  <c:v>117.844168216825</c:v>
                </c:pt>
                <c:pt idx="51">
                  <c:v>118.042156366104</c:v>
                </c:pt>
                <c:pt idx="52">
                  <c:v>118.351698744174</c:v>
                </c:pt>
                <c:pt idx="53">
                  <c:v>117.823092659144</c:v>
                </c:pt>
                <c:pt idx="54">
                  <c:v>118.416312121277</c:v>
                </c:pt>
                <c:pt idx="55">
                  <c:v>118.41531195319899</c:v>
                </c:pt>
                <c:pt idx="56">
                  <c:v>118.19657106993699</c:v>
                </c:pt>
                <c:pt idx="57">
                  <c:v>119.114248055814</c:v>
                </c:pt>
                <c:pt idx="58">
                  <c:v>118.922134034637</c:v>
                </c:pt>
                <c:pt idx="59">
                  <c:v>119.24077770282101</c:v>
                </c:pt>
                <c:pt idx="60">
                  <c:v>121.280339115893</c:v>
                </c:pt>
                <c:pt idx="61">
                  <c:v>120.97061540285</c:v>
                </c:pt>
              </c:numCache>
            </c:numRef>
          </c:val>
          <c:extLst>
            <c:ext xmlns:c16="http://schemas.microsoft.com/office/drawing/2014/chart" uri="{C3380CC4-5D6E-409C-BE32-E72D297353CC}">
              <c16:uniqueId val="{00000000-96EB-49AA-B277-E19DF30EB45C}"/>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Datos!$F$126:$F$197</c:f>
              <c:numCache>
                <c:formatCode>0.0_)</c:formatCode>
                <c:ptCount val="62"/>
                <c:pt idx="0">
                  <c:v>112.13246766845</c:v>
                </c:pt>
                <c:pt idx="1">
                  <c:v>112.47562593967599</c:v>
                </c:pt>
                <c:pt idx="2">
                  <c:v>112.781358608655</c:v>
                </c:pt>
                <c:pt idx="3">
                  <c:v>113.04336271523501</c:v>
                </c:pt>
                <c:pt idx="4">
                  <c:v>113.27724657284701</c:v>
                </c:pt>
                <c:pt idx="5">
                  <c:v>113.48807887178501</c:v>
                </c:pt>
                <c:pt idx="6">
                  <c:v>113.693944442331</c:v>
                </c:pt>
                <c:pt idx="7">
                  <c:v>113.87555872429699</c:v>
                </c:pt>
                <c:pt idx="8">
                  <c:v>114.05548641633401</c:v>
                </c:pt>
                <c:pt idx="9">
                  <c:v>114.225857998881</c:v>
                </c:pt>
                <c:pt idx="10">
                  <c:v>114.364151587924</c:v>
                </c:pt>
                <c:pt idx="11">
                  <c:v>114.489619845478</c:v>
                </c:pt>
                <c:pt idx="12">
                  <c:v>114.60917911132201</c:v>
                </c:pt>
                <c:pt idx="13">
                  <c:v>114.72622249149001</c:v>
                </c:pt>
                <c:pt idx="14">
                  <c:v>114.885049722311</c:v>
                </c:pt>
                <c:pt idx="15">
                  <c:v>115.136580924304</c:v>
                </c:pt>
                <c:pt idx="16">
                  <c:v>115.44051009975399</c:v>
                </c:pt>
                <c:pt idx="17">
                  <c:v>115.750670609251</c:v>
                </c:pt>
                <c:pt idx="18">
                  <c:v>116.03403360303901</c:v>
                </c:pt>
                <c:pt idx="19">
                  <c:v>116.243510951657</c:v>
                </c:pt>
                <c:pt idx="20">
                  <c:v>116.322289915881</c:v>
                </c:pt>
                <c:pt idx="21">
                  <c:v>116.24294656515301</c:v>
                </c:pt>
                <c:pt idx="22">
                  <c:v>116.002384819988</c:v>
                </c:pt>
                <c:pt idx="23">
                  <c:v>115.60335486829599</c:v>
                </c:pt>
                <c:pt idx="24">
                  <c:v>115.095061645624</c:v>
                </c:pt>
                <c:pt idx="25">
                  <c:v>114.547313381743</c:v>
                </c:pt>
                <c:pt idx="26">
                  <c:v>114.045559005028</c:v>
                </c:pt>
                <c:pt idx="27">
                  <c:v>105.866784748189</c:v>
                </c:pt>
                <c:pt idx="28">
                  <c:v>105.760138307254</c:v>
                </c:pt>
                <c:pt idx="29">
                  <c:v>105.903519750348</c:v>
                </c:pt>
                <c:pt idx="30">
                  <c:v>106.246738918372</c:v>
                </c:pt>
                <c:pt idx="31">
                  <c:v>106.751744850687</c:v>
                </c:pt>
                <c:pt idx="32">
                  <c:v>107.36033819775901</c:v>
                </c:pt>
                <c:pt idx="33">
                  <c:v>108.009939181531</c:v>
                </c:pt>
                <c:pt idx="34">
                  <c:v>108.693135361079</c:v>
                </c:pt>
                <c:pt idx="35">
                  <c:v>109.43673832110299</c:v>
                </c:pt>
                <c:pt idx="36">
                  <c:v>110.23259962227399</c:v>
                </c:pt>
                <c:pt idx="37">
                  <c:v>111.05549077973301</c:v>
                </c:pt>
                <c:pt idx="38">
                  <c:v>111.83433090472801</c:v>
                </c:pt>
                <c:pt idx="39">
                  <c:v>112.48757178585301</c:v>
                </c:pt>
                <c:pt idx="40">
                  <c:v>112.96274110854201</c:v>
                </c:pt>
                <c:pt idx="41">
                  <c:v>113.30796536592101</c:v>
                </c:pt>
                <c:pt idx="42">
                  <c:v>113.608603077346</c:v>
                </c:pt>
                <c:pt idx="43">
                  <c:v>113.924419919079</c:v>
                </c:pt>
                <c:pt idx="44">
                  <c:v>114.30645277087901</c:v>
                </c:pt>
                <c:pt idx="45">
                  <c:v>114.786408450393</c:v>
                </c:pt>
                <c:pt idx="46">
                  <c:v>115.334451582659</c:v>
                </c:pt>
                <c:pt idx="47">
                  <c:v>115.917700589631</c:v>
                </c:pt>
                <c:pt idx="48">
                  <c:v>116.50094310085601</c:v>
                </c:pt>
                <c:pt idx="49">
                  <c:v>117.049110755497</c:v>
                </c:pt>
                <c:pt idx="50">
                  <c:v>117.527257631799</c:v>
                </c:pt>
                <c:pt idx="51">
                  <c:v>117.8929924442</c:v>
                </c:pt>
                <c:pt idx="52">
                  <c:v>118.125038144128</c:v>
                </c:pt>
                <c:pt idx="53">
                  <c:v>118.24737124881401</c:v>
                </c:pt>
                <c:pt idx="54">
                  <c:v>118.27884730501501</c:v>
                </c:pt>
                <c:pt idx="55">
                  <c:v>118.33007495275599</c:v>
                </c:pt>
                <c:pt idx="56">
                  <c:v>118.483281117285</c:v>
                </c:pt>
                <c:pt idx="57">
                  <c:v>118.773954723364</c:v>
                </c:pt>
                <c:pt idx="58">
                  <c:v>119.2241522887</c:v>
                </c:pt>
                <c:pt idx="59">
                  <c:v>119.805078547703</c:v>
                </c:pt>
                <c:pt idx="60">
                  <c:v>120.453797508492</c:v>
                </c:pt>
                <c:pt idx="61">
                  <c:v>121.08719028479</c:v>
                </c:pt>
              </c:numCache>
            </c:numRef>
          </c:val>
          <c:smooth val="0"/>
          <c:extLst>
            <c:ext xmlns:c16="http://schemas.microsoft.com/office/drawing/2014/chart" uri="{C3380CC4-5D6E-409C-BE32-E72D297353CC}">
              <c16:uniqueId val="{00000001-96EB-49AA-B277-E19DF30EB45C}"/>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Datos!$C$126:$C$197</c:f>
              <c:numCache>
                <c:formatCode>0.0_)</c:formatCode>
                <c:ptCount val="62"/>
                <c:pt idx="0">
                  <c:v>108.459448963596</c:v>
                </c:pt>
                <c:pt idx="1">
                  <c:v>109.141766191588</c:v>
                </c:pt>
                <c:pt idx="2">
                  <c:v>110.897932613378</c:v>
                </c:pt>
                <c:pt idx="3">
                  <c:v>110.465850889016</c:v>
                </c:pt>
                <c:pt idx="4">
                  <c:v>111.294358730222</c:v>
                </c:pt>
                <c:pt idx="5">
                  <c:v>111.438743376977</c:v>
                </c:pt>
                <c:pt idx="6">
                  <c:v>109.69300494897399</c:v>
                </c:pt>
                <c:pt idx="7">
                  <c:v>110.591629822876</c:v>
                </c:pt>
                <c:pt idx="8">
                  <c:v>110.857872845226</c:v>
                </c:pt>
                <c:pt idx="9">
                  <c:v>112.683397875935</c:v>
                </c:pt>
                <c:pt idx="10">
                  <c:v>109.54065664225401</c:v>
                </c:pt>
                <c:pt idx="11">
                  <c:v>106.73233170269999</c:v>
                </c:pt>
                <c:pt idx="12">
                  <c:v>108.729026666444</c:v>
                </c:pt>
                <c:pt idx="13">
                  <c:v>108.248806669337</c:v>
                </c:pt>
                <c:pt idx="14">
                  <c:v>107.778238572769</c:v>
                </c:pt>
                <c:pt idx="15">
                  <c:v>107.92992639587099</c:v>
                </c:pt>
                <c:pt idx="16">
                  <c:v>107.269124866719</c:v>
                </c:pt>
                <c:pt idx="17">
                  <c:v>108.048427715968</c:v>
                </c:pt>
                <c:pt idx="18">
                  <c:v>107.38174360094899</c:v>
                </c:pt>
                <c:pt idx="19">
                  <c:v>107.955961984479</c:v>
                </c:pt>
                <c:pt idx="20">
                  <c:v>107.34699040712</c:v>
                </c:pt>
                <c:pt idx="21">
                  <c:v>106.063162229989</c:v>
                </c:pt>
                <c:pt idx="22">
                  <c:v>106.005873917938</c:v>
                </c:pt>
                <c:pt idx="23">
                  <c:v>105.670078115751</c:v>
                </c:pt>
                <c:pt idx="24">
                  <c:v>106.58048373544899</c:v>
                </c:pt>
                <c:pt idx="25">
                  <c:v>105.449488359668</c:v>
                </c:pt>
                <c:pt idx="26">
                  <c:v>104.35948160489799</c:v>
                </c:pt>
                <c:pt idx="27">
                  <c:v>85.692734193949406</c:v>
                </c:pt>
                <c:pt idx="28">
                  <c:v>81.605147224046107</c:v>
                </c:pt>
                <c:pt idx="29">
                  <c:v>90.803731237692304</c:v>
                </c:pt>
                <c:pt idx="30">
                  <c:v>95.602323021933003</c:v>
                </c:pt>
                <c:pt idx="31">
                  <c:v>97.601414505130904</c:v>
                </c:pt>
                <c:pt idx="32">
                  <c:v>99.111306489499398</c:v>
                </c:pt>
                <c:pt idx="33">
                  <c:v>100.617907958888</c:v>
                </c:pt>
                <c:pt idx="34">
                  <c:v>102.283843670121</c:v>
                </c:pt>
                <c:pt idx="35">
                  <c:v>103.845527637819</c:v>
                </c:pt>
                <c:pt idx="36">
                  <c:v>104.98974586287299</c:v>
                </c:pt>
                <c:pt idx="37">
                  <c:v>106.748149358155</c:v>
                </c:pt>
                <c:pt idx="38">
                  <c:v>109.19798206079599</c:v>
                </c:pt>
                <c:pt idx="39">
                  <c:v>108.646088434226</c:v>
                </c:pt>
                <c:pt idx="40">
                  <c:v>109.59468120442401</c:v>
                </c:pt>
                <c:pt idx="41">
                  <c:v>110.134148226639</c:v>
                </c:pt>
                <c:pt idx="42">
                  <c:v>111.102565764945</c:v>
                </c:pt>
                <c:pt idx="43">
                  <c:v>111.357225604134</c:v>
                </c:pt>
                <c:pt idx="44">
                  <c:v>112.018052094726</c:v>
                </c:pt>
                <c:pt idx="45">
                  <c:v>112.617632764969</c:v>
                </c:pt>
                <c:pt idx="46">
                  <c:v>113.370161623443</c:v>
                </c:pt>
                <c:pt idx="47">
                  <c:v>113.15138381983699</c:v>
                </c:pt>
                <c:pt idx="48">
                  <c:v>114.24216385766699</c:v>
                </c:pt>
                <c:pt idx="49">
                  <c:v>114.485046256201</c:v>
                </c:pt>
                <c:pt idx="50">
                  <c:v>117.344671093117</c:v>
                </c:pt>
                <c:pt idx="51">
                  <c:v>115.764201997079</c:v>
                </c:pt>
                <c:pt idx="52">
                  <c:v>115.79111007111599</c:v>
                </c:pt>
                <c:pt idx="53">
                  <c:v>115.514167787321</c:v>
                </c:pt>
                <c:pt idx="54">
                  <c:v>114.94192145738</c:v>
                </c:pt>
                <c:pt idx="55">
                  <c:v>114.16554572017699</c:v>
                </c:pt>
                <c:pt idx="56">
                  <c:v>113.892423345094</c:v>
                </c:pt>
                <c:pt idx="57">
                  <c:v>114.22202193807099</c:v>
                </c:pt>
                <c:pt idx="58">
                  <c:v>113.302115114842</c:v>
                </c:pt>
                <c:pt idx="59">
                  <c:v>113.625648747187</c:v>
                </c:pt>
                <c:pt idx="60">
                  <c:v>113.29160066602</c:v>
                </c:pt>
                <c:pt idx="61">
                  <c:v>112.812745943561</c:v>
                </c:pt>
              </c:numCache>
            </c:numRef>
          </c:val>
          <c:extLst>
            <c:ext xmlns:c16="http://schemas.microsoft.com/office/drawing/2014/chart" uri="{C3380CC4-5D6E-409C-BE32-E72D297353CC}">
              <c16:uniqueId val="{00000000-6127-4A24-9495-F46CA9BE582F}"/>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Datos!$D$126:$D$197</c:f>
              <c:numCache>
                <c:formatCode>0.0_)</c:formatCode>
                <c:ptCount val="62"/>
                <c:pt idx="0">
                  <c:v>108.94639643785101</c:v>
                </c:pt>
                <c:pt idx="1">
                  <c:v>109.57456611370699</c:v>
                </c:pt>
                <c:pt idx="2">
                  <c:v>110.195780670329</c:v>
                </c:pt>
                <c:pt idx="3">
                  <c:v>110.70793142550301</c:v>
                </c:pt>
                <c:pt idx="4">
                  <c:v>111.054911846137</c:v>
                </c:pt>
                <c:pt idx="5">
                  <c:v>111.199974927326</c:v>
                </c:pt>
                <c:pt idx="6">
                  <c:v>111.135462505665</c:v>
                </c:pt>
                <c:pt idx="7">
                  <c:v>110.894284382149</c:v>
                </c:pt>
                <c:pt idx="8">
                  <c:v>110.550785457259</c:v>
                </c:pt>
                <c:pt idx="9">
                  <c:v>110.12790131414501</c:v>
                </c:pt>
                <c:pt idx="10">
                  <c:v>109.650463609795</c:v>
                </c:pt>
                <c:pt idx="11">
                  <c:v>109.15589447469701</c:v>
                </c:pt>
                <c:pt idx="12">
                  <c:v>108.68024433839599</c:v>
                </c:pt>
                <c:pt idx="13">
                  <c:v>108.262496811703</c:v>
                </c:pt>
                <c:pt idx="14">
                  <c:v>107.957588673495</c:v>
                </c:pt>
                <c:pt idx="15">
                  <c:v>107.798637532946</c:v>
                </c:pt>
                <c:pt idx="16">
                  <c:v>107.739276631161</c:v>
                </c:pt>
                <c:pt idx="17">
                  <c:v>107.707277009626</c:v>
                </c:pt>
                <c:pt idx="18">
                  <c:v>107.616051577265</c:v>
                </c:pt>
                <c:pt idx="19">
                  <c:v>107.394281207348</c:v>
                </c:pt>
                <c:pt idx="20">
                  <c:v>107.048775200752</c:v>
                </c:pt>
                <c:pt idx="21">
                  <c:v>106.62752740861001</c:v>
                </c:pt>
                <c:pt idx="22">
                  <c:v>106.16277438557999</c:v>
                </c:pt>
                <c:pt idx="23">
                  <c:v>105.70282151306399</c:v>
                </c:pt>
                <c:pt idx="24">
                  <c:v>105.286950895929</c:v>
                </c:pt>
                <c:pt idx="25">
                  <c:v>104.917520012444</c:v>
                </c:pt>
                <c:pt idx="26">
                  <c:v>104.61347386196501</c:v>
                </c:pt>
                <c:pt idx="27">
                  <c:v>96.014512798242095</c:v>
                </c:pt>
                <c:pt idx="28">
                  <c:v>96.003273976864904</c:v>
                </c:pt>
                <c:pt idx="29">
                  <c:v>96.278813093418705</c:v>
                </c:pt>
                <c:pt idx="30">
                  <c:v>96.902793782908404</c:v>
                </c:pt>
                <c:pt idx="31">
                  <c:v>97.868913750510302</c:v>
                </c:pt>
                <c:pt idx="32">
                  <c:v>99.118844745299697</c:v>
                </c:pt>
                <c:pt idx="33">
                  <c:v>100.573317485343</c:v>
                </c:pt>
                <c:pt idx="34">
                  <c:v>102.14666559259101</c:v>
                </c:pt>
                <c:pt idx="35">
                  <c:v>103.728494876849</c:v>
                </c:pt>
                <c:pt idx="36">
                  <c:v>105.206172811835</c:v>
                </c:pt>
                <c:pt idx="37">
                  <c:v>106.540884255092</c:v>
                </c:pt>
                <c:pt idx="38">
                  <c:v>107.708814908126</c:v>
                </c:pt>
                <c:pt idx="39">
                  <c:v>108.70980376297101</c:v>
                </c:pt>
                <c:pt idx="40">
                  <c:v>109.55110757648799</c:v>
                </c:pt>
                <c:pt idx="41">
                  <c:v>110.27980729233199</c:v>
                </c:pt>
                <c:pt idx="42">
                  <c:v>110.92240694231199</c:v>
                </c:pt>
                <c:pt idx="43">
                  <c:v>111.511117814317</c:v>
                </c:pt>
                <c:pt idx="44">
                  <c:v>112.058217952481</c:v>
                </c:pt>
                <c:pt idx="45">
                  <c:v>112.57090224645999</c:v>
                </c:pt>
                <c:pt idx="46">
                  <c:v>113.082083521691</c:v>
                </c:pt>
                <c:pt idx="47">
                  <c:v>113.62452109035</c:v>
                </c:pt>
                <c:pt idx="48">
                  <c:v>114.199999158818</c:v>
                </c:pt>
                <c:pt idx="49">
                  <c:v>114.77376963296</c:v>
                </c:pt>
                <c:pt idx="50">
                  <c:v>115.255284964127</c:v>
                </c:pt>
                <c:pt idx="51">
                  <c:v>115.540096610696</c:v>
                </c:pt>
                <c:pt idx="52">
                  <c:v>115.575511139486</c:v>
                </c:pt>
                <c:pt idx="53">
                  <c:v>115.359980424602</c:v>
                </c:pt>
                <c:pt idx="54">
                  <c:v>114.97023748185001</c:v>
                </c:pt>
                <c:pt idx="55">
                  <c:v>114.538053170597</c:v>
                </c:pt>
                <c:pt idx="56">
                  <c:v>114.12805663636701</c:v>
                </c:pt>
                <c:pt idx="57">
                  <c:v>113.78989153463399</c:v>
                </c:pt>
                <c:pt idx="58">
                  <c:v>113.541511794952</c:v>
                </c:pt>
                <c:pt idx="59">
                  <c:v>113.3905895627</c:v>
                </c:pt>
                <c:pt idx="60">
                  <c:v>113.334711039707</c:v>
                </c:pt>
                <c:pt idx="61">
                  <c:v>113.378109609947</c:v>
                </c:pt>
              </c:numCache>
            </c:numRef>
          </c:val>
          <c:smooth val="0"/>
          <c:extLst>
            <c:ext xmlns:c16="http://schemas.microsoft.com/office/drawing/2014/chart" uri="{C3380CC4-5D6E-409C-BE32-E72D297353CC}">
              <c16:uniqueId val="{00000001-6127-4A24-9495-F46CA9BE582F}"/>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78346917708578279"/>
        </c:manualLayout>
      </c:layout>
      <c:barChart>
        <c:barDir val="col"/>
        <c:grouping val="clustered"/>
        <c:varyColors val="0"/>
        <c:ser>
          <c:idx val="0"/>
          <c:order val="0"/>
          <c:tx>
            <c:strRef>
              <c:f>Datos!$G$5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Datos!$G$126:$G$197</c:f>
              <c:numCache>
                <c:formatCode>0.0_)</c:formatCode>
                <c:ptCount val="62"/>
                <c:pt idx="0">
                  <c:v>112.400503033685</c:v>
                </c:pt>
                <c:pt idx="1">
                  <c:v>112.90633138035</c:v>
                </c:pt>
                <c:pt idx="2">
                  <c:v>113.150535604637</c:v>
                </c:pt>
                <c:pt idx="3">
                  <c:v>113.66318339038</c:v>
                </c:pt>
                <c:pt idx="4">
                  <c:v>114.653308694839</c:v>
                </c:pt>
                <c:pt idx="5">
                  <c:v>114.32566213246599</c:v>
                </c:pt>
                <c:pt idx="6">
                  <c:v>114.81199468925</c:v>
                </c:pt>
                <c:pt idx="7">
                  <c:v>114.91811200921001</c:v>
                </c:pt>
                <c:pt idx="8">
                  <c:v>114.77956242004799</c:v>
                </c:pt>
                <c:pt idx="9">
                  <c:v>115.281775815977</c:v>
                </c:pt>
                <c:pt idx="10">
                  <c:v>115.478903551342</c:v>
                </c:pt>
                <c:pt idx="11">
                  <c:v>115.858548039795</c:v>
                </c:pt>
                <c:pt idx="12">
                  <c:v>115.99929313753699</c:v>
                </c:pt>
                <c:pt idx="13">
                  <c:v>116.14296347381099</c:v>
                </c:pt>
                <c:pt idx="14">
                  <c:v>116.53118004365299</c:v>
                </c:pt>
                <c:pt idx="15">
                  <c:v>116.786151236176</c:v>
                </c:pt>
                <c:pt idx="16">
                  <c:v>117.254357081973</c:v>
                </c:pt>
                <c:pt idx="17">
                  <c:v>117.57911447932599</c:v>
                </c:pt>
                <c:pt idx="18">
                  <c:v>117.483835373318</c:v>
                </c:pt>
                <c:pt idx="19">
                  <c:v>117.096343164754</c:v>
                </c:pt>
                <c:pt idx="20">
                  <c:v>117.123084531616</c:v>
                </c:pt>
                <c:pt idx="21">
                  <c:v>117.20487550660501</c:v>
                </c:pt>
                <c:pt idx="22">
                  <c:v>117.296961519585</c:v>
                </c:pt>
                <c:pt idx="23">
                  <c:v>117.414198119693</c:v>
                </c:pt>
                <c:pt idx="24">
                  <c:v>117.57915546600501</c:v>
                </c:pt>
                <c:pt idx="25">
                  <c:v>117.455541259234</c:v>
                </c:pt>
                <c:pt idx="26">
                  <c:v>117.197086261582</c:v>
                </c:pt>
                <c:pt idx="27">
                  <c:v>115.29054945466</c:v>
                </c:pt>
                <c:pt idx="28">
                  <c:v>114.62812054623301</c:v>
                </c:pt>
                <c:pt idx="29">
                  <c:v>114.33367095468201</c:v>
                </c:pt>
                <c:pt idx="30">
                  <c:v>114.284205555429</c:v>
                </c:pt>
                <c:pt idx="31">
                  <c:v>114.250832982765</c:v>
                </c:pt>
                <c:pt idx="32">
                  <c:v>114.461719100886</c:v>
                </c:pt>
                <c:pt idx="33">
                  <c:v>114.665763041753</c:v>
                </c:pt>
                <c:pt idx="34">
                  <c:v>114.38551258343399</c:v>
                </c:pt>
                <c:pt idx="35">
                  <c:v>114.60355377104</c:v>
                </c:pt>
                <c:pt idx="36">
                  <c:v>114.842783456384</c:v>
                </c:pt>
                <c:pt idx="37">
                  <c:v>115.036824695947</c:v>
                </c:pt>
                <c:pt idx="38">
                  <c:v>115.840201935892</c:v>
                </c:pt>
                <c:pt idx="39">
                  <c:v>115.663233450836</c:v>
                </c:pt>
                <c:pt idx="40">
                  <c:v>116.231988520291</c:v>
                </c:pt>
                <c:pt idx="41">
                  <c:v>116.612949352453</c:v>
                </c:pt>
                <c:pt idx="42">
                  <c:v>116.57920243209701</c:v>
                </c:pt>
                <c:pt idx="43">
                  <c:v>117.347632325432</c:v>
                </c:pt>
                <c:pt idx="44">
                  <c:v>117.37524728733899</c:v>
                </c:pt>
                <c:pt idx="45">
                  <c:v>117.66220913861299</c:v>
                </c:pt>
                <c:pt idx="46">
                  <c:v>118.04138228273</c:v>
                </c:pt>
                <c:pt idx="47">
                  <c:v>117.523326569598</c:v>
                </c:pt>
                <c:pt idx="48">
                  <c:v>117.609706986848</c:v>
                </c:pt>
                <c:pt idx="49">
                  <c:v>117.807755855445</c:v>
                </c:pt>
                <c:pt idx="50">
                  <c:v>118.089925190283</c:v>
                </c:pt>
                <c:pt idx="51">
                  <c:v>118.16724695287</c:v>
                </c:pt>
                <c:pt idx="52">
                  <c:v>118.087980363768</c:v>
                </c:pt>
                <c:pt idx="53">
                  <c:v>118.217261129655</c:v>
                </c:pt>
                <c:pt idx="54">
                  <c:v>118.30126514668601</c:v>
                </c:pt>
                <c:pt idx="55">
                  <c:v>118.52406664370901</c:v>
                </c:pt>
                <c:pt idx="56">
                  <c:v>118.727124755977</c:v>
                </c:pt>
                <c:pt idx="57">
                  <c:v>118.74391935574</c:v>
                </c:pt>
                <c:pt idx="58">
                  <c:v>119.116832341397</c:v>
                </c:pt>
                <c:pt idx="59">
                  <c:v>119.34928755583699</c:v>
                </c:pt>
                <c:pt idx="60">
                  <c:v>119.36887359661699</c:v>
                </c:pt>
                <c:pt idx="61">
                  <c:v>119.728144435815</c:v>
                </c:pt>
              </c:numCache>
            </c:numRef>
          </c:val>
          <c:extLst>
            <c:ext xmlns:c16="http://schemas.microsoft.com/office/drawing/2014/chart" uri="{C3380CC4-5D6E-409C-BE32-E72D297353CC}">
              <c16:uniqueId val="{00000000-4CCB-41ED-8D23-A9ED141CADF5}"/>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Datos!$H$126:$H$197</c:f>
              <c:numCache>
                <c:formatCode>0.0_)</c:formatCode>
                <c:ptCount val="62"/>
                <c:pt idx="0">
                  <c:v>112.419330733767</c:v>
                </c:pt>
                <c:pt idx="1">
                  <c:v>112.817337418056</c:v>
                </c:pt>
                <c:pt idx="2">
                  <c:v>113.23738655305</c:v>
                </c:pt>
                <c:pt idx="3">
                  <c:v>113.663964653728</c:v>
                </c:pt>
                <c:pt idx="4">
                  <c:v>114.08028854627899</c:v>
                </c:pt>
                <c:pt idx="5">
                  <c:v>114.42850059595899</c:v>
                </c:pt>
                <c:pt idx="6">
                  <c:v>114.676622409064</c:v>
                </c:pt>
                <c:pt idx="7">
                  <c:v>114.840557632341</c:v>
                </c:pt>
                <c:pt idx="8">
                  <c:v>115.006492781861</c:v>
                </c:pt>
                <c:pt idx="9">
                  <c:v>115.227120005171</c:v>
                </c:pt>
                <c:pt idx="10">
                  <c:v>115.489641097411</c:v>
                </c:pt>
                <c:pt idx="11">
                  <c:v>115.76476662339201</c:v>
                </c:pt>
                <c:pt idx="12">
                  <c:v>115.99931148989801</c:v>
                </c:pt>
                <c:pt idx="13">
                  <c:v>116.22451712360299</c:v>
                </c:pt>
                <c:pt idx="14">
                  <c:v>116.519087506364</c:v>
                </c:pt>
                <c:pt idx="15">
                  <c:v>116.88182555369499</c:v>
                </c:pt>
                <c:pt idx="16">
                  <c:v>117.215522638647</c:v>
                </c:pt>
                <c:pt idx="17">
                  <c:v>117.390801844259</c:v>
                </c:pt>
                <c:pt idx="18">
                  <c:v>117.38096946335401</c:v>
                </c:pt>
                <c:pt idx="19">
                  <c:v>117.268026413334</c:v>
                </c:pt>
                <c:pt idx="20">
                  <c:v>117.17021154218899</c:v>
                </c:pt>
                <c:pt idx="21">
                  <c:v>117.189358176989</c:v>
                </c:pt>
                <c:pt idx="22">
                  <c:v>117.313369964785</c:v>
                </c:pt>
                <c:pt idx="23">
                  <c:v>117.44646137637601</c:v>
                </c:pt>
                <c:pt idx="24">
                  <c:v>117.508193549978</c:v>
                </c:pt>
                <c:pt idx="25">
                  <c:v>117.434003133568</c:v>
                </c:pt>
                <c:pt idx="26">
                  <c:v>117.172793712013</c:v>
                </c:pt>
                <c:pt idx="27">
                  <c:v>115.173033278636</c:v>
                </c:pt>
                <c:pt idx="28">
                  <c:v>114.743842374208</c:v>
                </c:pt>
                <c:pt idx="29">
                  <c:v>114.41690065486</c:v>
                </c:pt>
                <c:pt idx="30">
                  <c:v>114.27740645489</c:v>
                </c:pt>
                <c:pt idx="31">
                  <c:v>114.30251588098299</c:v>
                </c:pt>
                <c:pt idx="32">
                  <c:v>114.391841980362</c:v>
                </c:pt>
                <c:pt idx="33">
                  <c:v>114.46834282185</c:v>
                </c:pt>
                <c:pt idx="34">
                  <c:v>114.535419640458</c:v>
                </c:pt>
                <c:pt idx="35">
                  <c:v>114.63807198196101</c:v>
                </c:pt>
                <c:pt idx="36">
                  <c:v>114.805675018111</c:v>
                </c:pt>
                <c:pt idx="37">
                  <c:v>115.059662345758</c:v>
                </c:pt>
                <c:pt idx="38">
                  <c:v>115.38675232683001</c:v>
                </c:pt>
                <c:pt idx="39">
                  <c:v>115.760387869076</c:v>
                </c:pt>
                <c:pt idx="40">
                  <c:v>116.180904113214</c:v>
                </c:pt>
                <c:pt idx="41">
                  <c:v>116.597342094596</c:v>
                </c:pt>
                <c:pt idx="42">
                  <c:v>116.96502778153599</c:v>
                </c:pt>
                <c:pt idx="43">
                  <c:v>117.263941717723</c:v>
                </c:pt>
                <c:pt idx="44">
                  <c:v>117.467831739823</c:v>
                </c:pt>
                <c:pt idx="45">
                  <c:v>117.573812618288</c:v>
                </c:pt>
                <c:pt idx="46">
                  <c:v>117.59636462098899</c:v>
                </c:pt>
                <c:pt idx="47">
                  <c:v>117.60780989955001</c:v>
                </c:pt>
                <c:pt idx="48">
                  <c:v>117.68310577861899</c:v>
                </c:pt>
                <c:pt idx="49">
                  <c:v>117.821862802363</c:v>
                </c:pt>
                <c:pt idx="50">
                  <c:v>117.98526483333001</c:v>
                </c:pt>
                <c:pt idx="51">
                  <c:v>118.09948700712</c:v>
                </c:pt>
                <c:pt idx="52">
                  <c:v>118.158653970789</c:v>
                </c:pt>
                <c:pt idx="53">
                  <c:v>118.227260565541</c:v>
                </c:pt>
                <c:pt idx="54">
                  <c:v>118.336591706932</c:v>
                </c:pt>
                <c:pt idx="55">
                  <c:v>118.48788065142701</c:v>
                </c:pt>
                <c:pt idx="56">
                  <c:v>118.671977261309</c:v>
                </c:pt>
                <c:pt idx="57">
                  <c:v>118.87187501212</c:v>
                </c:pt>
                <c:pt idx="58">
                  <c:v>119.08125005705899</c:v>
                </c:pt>
                <c:pt idx="59">
                  <c:v>119.27041519378</c:v>
                </c:pt>
                <c:pt idx="60">
                  <c:v>119.420047048161</c:v>
                </c:pt>
                <c:pt idx="61">
                  <c:v>119.519337944143</c:v>
                </c:pt>
              </c:numCache>
            </c:numRef>
          </c:val>
          <c:smooth val="0"/>
          <c:extLst>
            <c:ext xmlns:c16="http://schemas.microsoft.com/office/drawing/2014/chart" uri="{C3380CC4-5D6E-409C-BE32-E72D297353CC}">
              <c16:uniqueId val="{00000001-4CCB-41ED-8D23-A9ED141CADF5}"/>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5"/>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0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7910279907353609"/>
        </c:manualLayout>
      </c:layout>
      <c:barChart>
        <c:barDir val="col"/>
        <c:grouping val="clustered"/>
        <c:varyColors val="0"/>
        <c:ser>
          <c:idx val="0"/>
          <c:order val="0"/>
          <c:tx>
            <c:strRef>
              <c:f>Datos!$K$5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Datos!$K$126:$K$197</c:f>
              <c:numCache>
                <c:formatCode>0.0</c:formatCode>
                <c:ptCount val="62"/>
                <c:pt idx="0">
                  <c:v>105.50878159448099</c:v>
                </c:pt>
                <c:pt idx="1">
                  <c:v>104.35757739117</c:v>
                </c:pt>
                <c:pt idx="2">
                  <c:v>106.002462180732</c:v>
                </c:pt>
                <c:pt idx="3">
                  <c:v>106.012294358687</c:v>
                </c:pt>
                <c:pt idx="4">
                  <c:v>106.40059457348799</c:v>
                </c:pt>
                <c:pt idx="5">
                  <c:v>107.535558737489</c:v>
                </c:pt>
                <c:pt idx="6">
                  <c:v>107.20748241819</c:v>
                </c:pt>
                <c:pt idx="7">
                  <c:v>107.261539492579</c:v>
                </c:pt>
                <c:pt idx="8">
                  <c:v>107.396994208358</c:v>
                </c:pt>
                <c:pt idx="9">
                  <c:v>106.651616470288</c:v>
                </c:pt>
                <c:pt idx="10">
                  <c:v>111.193641433338</c:v>
                </c:pt>
                <c:pt idx="11">
                  <c:v>107.020464239074</c:v>
                </c:pt>
                <c:pt idx="12">
                  <c:v>105.951206883431</c:v>
                </c:pt>
                <c:pt idx="13">
                  <c:v>105.845033980558</c:v>
                </c:pt>
                <c:pt idx="14">
                  <c:v>103.37911736624</c:v>
                </c:pt>
                <c:pt idx="15">
                  <c:v>102.451916133195</c:v>
                </c:pt>
                <c:pt idx="16">
                  <c:v>104.286574928698</c:v>
                </c:pt>
                <c:pt idx="17">
                  <c:v>103.032274659189</c:v>
                </c:pt>
                <c:pt idx="18">
                  <c:v>104.010367234744</c:v>
                </c:pt>
                <c:pt idx="19">
                  <c:v>105.774278579069</c:v>
                </c:pt>
                <c:pt idx="20">
                  <c:v>104.439087233359</c:v>
                </c:pt>
                <c:pt idx="21">
                  <c:v>106.260703637131</c:v>
                </c:pt>
                <c:pt idx="22">
                  <c:v>105.687320117971</c:v>
                </c:pt>
                <c:pt idx="23">
                  <c:v>103.82997857443399</c:v>
                </c:pt>
                <c:pt idx="24">
                  <c:v>102.83706549163701</c:v>
                </c:pt>
                <c:pt idx="25">
                  <c:v>102.679367055274</c:v>
                </c:pt>
                <c:pt idx="26">
                  <c:v>102.51008598524901</c:v>
                </c:pt>
                <c:pt idx="27">
                  <c:v>103.868393400201</c:v>
                </c:pt>
                <c:pt idx="28">
                  <c:v>99.589471682952393</c:v>
                </c:pt>
                <c:pt idx="29">
                  <c:v>101.838136690879</c:v>
                </c:pt>
                <c:pt idx="30">
                  <c:v>101.921665854937</c:v>
                </c:pt>
                <c:pt idx="31">
                  <c:v>102.955086673884</c:v>
                </c:pt>
                <c:pt idx="32">
                  <c:v>105.308586102145</c:v>
                </c:pt>
                <c:pt idx="33">
                  <c:v>103.26056342101</c:v>
                </c:pt>
                <c:pt idx="34">
                  <c:v>106.170396799817</c:v>
                </c:pt>
                <c:pt idx="35">
                  <c:v>106.36410399207099</c:v>
                </c:pt>
                <c:pt idx="36">
                  <c:v>105.71330302691899</c:v>
                </c:pt>
                <c:pt idx="37">
                  <c:v>105.005129090361</c:v>
                </c:pt>
                <c:pt idx="38">
                  <c:v>105.724582696206</c:v>
                </c:pt>
                <c:pt idx="39">
                  <c:v>105.464113722569</c:v>
                </c:pt>
                <c:pt idx="40">
                  <c:v>106.46052619551099</c:v>
                </c:pt>
                <c:pt idx="41">
                  <c:v>111.035446068775</c:v>
                </c:pt>
                <c:pt idx="42">
                  <c:v>106.18449923129</c:v>
                </c:pt>
                <c:pt idx="43">
                  <c:v>105.569623158681</c:v>
                </c:pt>
                <c:pt idx="44">
                  <c:v>104.85901602684901</c:v>
                </c:pt>
                <c:pt idx="45">
                  <c:v>104.419872185564</c:v>
                </c:pt>
                <c:pt idx="46">
                  <c:v>103.707284817065</c:v>
                </c:pt>
                <c:pt idx="47">
                  <c:v>103.15310525168201</c:v>
                </c:pt>
                <c:pt idx="48">
                  <c:v>104.18820715516399</c:v>
                </c:pt>
                <c:pt idx="49">
                  <c:v>104.404205675889</c:v>
                </c:pt>
                <c:pt idx="50">
                  <c:v>105.018284870272</c:v>
                </c:pt>
                <c:pt idx="51">
                  <c:v>105.535475864381</c:v>
                </c:pt>
                <c:pt idx="52">
                  <c:v>104.47098318597899</c:v>
                </c:pt>
                <c:pt idx="53">
                  <c:v>102.659432321423</c:v>
                </c:pt>
                <c:pt idx="54">
                  <c:v>103.302826024357</c:v>
                </c:pt>
                <c:pt idx="55">
                  <c:v>102.87587172544001</c:v>
                </c:pt>
                <c:pt idx="56">
                  <c:v>102.601552783198</c:v>
                </c:pt>
                <c:pt idx="57">
                  <c:v>103.50837311219399</c:v>
                </c:pt>
                <c:pt idx="58">
                  <c:v>103.653684749308</c:v>
                </c:pt>
                <c:pt idx="59">
                  <c:v>104.273849370021</c:v>
                </c:pt>
                <c:pt idx="60">
                  <c:v>105.21354836476</c:v>
                </c:pt>
                <c:pt idx="61">
                  <c:v>106.121150928494</c:v>
                </c:pt>
              </c:numCache>
            </c:numRef>
          </c:val>
          <c:extLst>
            <c:ext xmlns:c16="http://schemas.microsoft.com/office/drawing/2014/chart" uri="{C3380CC4-5D6E-409C-BE32-E72D297353CC}">
              <c16:uniqueId val="{00000000-5E4E-4B1E-9CA0-0F5A9398EFDF}"/>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Datos!$L$126:$L$197</c:f>
              <c:numCache>
                <c:formatCode>0.0</c:formatCode>
                <c:ptCount val="62"/>
                <c:pt idx="0">
                  <c:v>105.06635263176901</c:v>
                </c:pt>
                <c:pt idx="1">
                  <c:v>105.31647106064899</c:v>
                </c:pt>
                <c:pt idx="2">
                  <c:v>105.670922350205</c:v>
                </c:pt>
                <c:pt idx="3">
                  <c:v>106.130632951507</c:v>
                </c:pt>
                <c:pt idx="4">
                  <c:v>106.589377696333</c:v>
                </c:pt>
                <c:pt idx="5">
                  <c:v>106.969245135061</c:v>
                </c:pt>
                <c:pt idx="6">
                  <c:v>107.22553209972899</c:v>
                </c:pt>
                <c:pt idx="7">
                  <c:v>107.317149874169</c:v>
                </c:pt>
                <c:pt idx="8">
                  <c:v>107.306202481757</c:v>
                </c:pt>
                <c:pt idx="9">
                  <c:v>107.21868048464999</c:v>
                </c:pt>
                <c:pt idx="10">
                  <c:v>106.95351956401301</c:v>
                </c:pt>
                <c:pt idx="11">
                  <c:v>106.503262713442</c:v>
                </c:pt>
                <c:pt idx="12">
                  <c:v>105.867140787652</c:v>
                </c:pt>
                <c:pt idx="13">
                  <c:v>105.076806081767</c:v>
                </c:pt>
                <c:pt idx="14">
                  <c:v>104.330984570353</c:v>
                </c:pt>
                <c:pt idx="15">
                  <c:v>103.78894031596199</c:v>
                </c:pt>
                <c:pt idx="16">
                  <c:v>103.587032324135</c:v>
                </c:pt>
                <c:pt idx="17">
                  <c:v>103.79917236947</c:v>
                </c:pt>
                <c:pt idx="18">
                  <c:v>104.31215826999301</c:v>
                </c:pt>
                <c:pt idx="19">
                  <c:v>104.880190131611</c:v>
                </c:pt>
                <c:pt idx="20">
                  <c:v>105.24512998866101</c:v>
                </c:pt>
                <c:pt idx="21">
                  <c:v>105.23084948163699</c:v>
                </c:pt>
                <c:pt idx="22">
                  <c:v>104.870841428969</c:v>
                </c:pt>
                <c:pt idx="23">
                  <c:v>104.25911802541501</c:v>
                </c:pt>
                <c:pt idx="24">
                  <c:v>103.547971809038</c:v>
                </c:pt>
                <c:pt idx="25">
                  <c:v>102.911186578957</c:v>
                </c:pt>
                <c:pt idx="26">
                  <c:v>102.408921243805</c:v>
                </c:pt>
                <c:pt idx="27">
                  <c:v>102.10596839426699</c:v>
                </c:pt>
                <c:pt idx="28">
                  <c:v>102.017377128889</c:v>
                </c:pt>
                <c:pt idx="29">
                  <c:v>102.105622980268</c:v>
                </c:pt>
                <c:pt idx="30">
                  <c:v>102.434483070382</c:v>
                </c:pt>
                <c:pt idx="31">
                  <c:v>103.05885573556399</c:v>
                </c:pt>
                <c:pt idx="32">
                  <c:v>103.876882448041</c:v>
                </c:pt>
                <c:pt idx="33">
                  <c:v>104.700172788807</c:v>
                </c:pt>
                <c:pt idx="34">
                  <c:v>105.323745181785</c:v>
                </c:pt>
                <c:pt idx="35">
                  <c:v>105.645673601783</c:v>
                </c:pt>
                <c:pt idx="36">
                  <c:v>105.74329309961</c:v>
                </c:pt>
                <c:pt idx="37">
                  <c:v>105.76283787297901</c:v>
                </c:pt>
                <c:pt idx="38">
                  <c:v>105.832475757875</c:v>
                </c:pt>
                <c:pt idx="39">
                  <c:v>105.976213480083</c:v>
                </c:pt>
                <c:pt idx="40">
                  <c:v>106.137841902052</c:v>
                </c:pt>
                <c:pt idx="41">
                  <c:v>106.217830586977</c:v>
                </c:pt>
                <c:pt idx="42">
                  <c:v>106.034784174047</c:v>
                </c:pt>
                <c:pt idx="43">
                  <c:v>105.56670944693499</c:v>
                </c:pt>
                <c:pt idx="44">
                  <c:v>104.934936133169</c:v>
                </c:pt>
                <c:pt idx="45">
                  <c:v>104.329089505626</c:v>
                </c:pt>
                <c:pt idx="46">
                  <c:v>103.94394165967</c:v>
                </c:pt>
                <c:pt idx="47">
                  <c:v>103.902959661835</c:v>
                </c:pt>
                <c:pt idx="48">
                  <c:v>104.131010890296</c:v>
                </c:pt>
                <c:pt idx="49">
                  <c:v>104.455640255123</c:v>
                </c:pt>
                <c:pt idx="50">
                  <c:v>104.68902069580901</c:v>
                </c:pt>
                <c:pt idx="51">
                  <c:v>104.66601401409901</c:v>
                </c:pt>
                <c:pt idx="52">
                  <c:v>104.35159085606701</c:v>
                </c:pt>
                <c:pt idx="53">
                  <c:v>103.845469628809</c:v>
                </c:pt>
                <c:pt idx="54">
                  <c:v>103.33696403386701</c:v>
                </c:pt>
                <c:pt idx="55">
                  <c:v>103.009111437351</c:v>
                </c:pt>
                <c:pt idx="56">
                  <c:v>102.990071213823</c:v>
                </c:pt>
                <c:pt idx="57">
                  <c:v>103.306634931559</c:v>
                </c:pt>
                <c:pt idx="58">
                  <c:v>103.859426246376</c:v>
                </c:pt>
                <c:pt idx="59">
                  <c:v>104.46813741111301</c:v>
                </c:pt>
                <c:pt idx="60">
                  <c:v>105.00356341771599</c:v>
                </c:pt>
                <c:pt idx="61">
                  <c:v>105.376576251233</c:v>
                </c:pt>
              </c:numCache>
            </c:numRef>
          </c:val>
          <c:smooth val="0"/>
          <c:extLst>
            <c:ext xmlns:c16="http://schemas.microsoft.com/office/drawing/2014/chart" uri="{C3380CC4-5D6E-409C-BE32-E72D297353CC}">
              <c16:uniqueId val="{00000001-5E4E-4B1E-9CA0-0F5A9398EFDF}"/>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78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Datos!$E$126:$E$197</c:f>
              <c:numCache>
                <c:formatCode>0.0_)</c:formatCode>
                <c:ptCount val="62"/>
                <c:pt idx="0">
                  <c:v>112.018620679826</c:v>
                </c:pt>
                <c:pt idx="1">
                  <c:v>112.256282834798</c:v>
                </c:pt>
                <c:pt idx="2">
                  <c:v>113.484032155949</c:v>
                </c:pt>
                <c:pt idx="3">
                  <c:v>112.651499550246</c:v>
                </c:pt>
                <c:pt idx="4">
                  <c:v>113.03974001108</c:v>
                </c:pt>
                <c:pt idx="5">
                  <c:v>113.79037867312999</c:v>
                </c:pt>
                <c:pt idx="6">
                  <c:v>113.840255390184</c:v>
                </c:pt>
                <c:pt idx="7">
                  <c:v>113.502604200427</c:v>
                </c:pt>
                <c:pt idx="8">
                  <c:v>114.111890193706</c:v>
                </c:pt>
                <c:pt idx="9">
                  <c:v>114.474464730834</c:v>
                </c:pt>
                <c:pt idx="10">
                  <c:v>114.32471481555299</c:v>
                </c:pt>
                <c:pt idx="11">
                  <c:v>112.057555038526</c:v>
                </c:pt>
                <c:pt idx="12">
                  <c:v>114.71861102247701</c:v>
                </c:pt>
                <c:pt idx="13">
                  <c:v>115.8195731456</c:v>
                </c:pt>
                <c:pt idx="14">
                  <c:v>114.59050215617999</c:v>
                </c:pt>
                <c:pt idx="15">
                  <c:v>114.92991248630101</c:v>
                </c:pt>
                <c:pt idx="16">
                  <c:v>115.395343396662</c:v>
                </c:pt>
                <c:pt idx="17">
                  <c:v>115.883971348293</c:v>
                </c:pt>
                <c:pt idx="18">
                  <c:v>115.889931557464</c:v>
                </c:pt>
                <c:pt idx="19">
                  <c:v>116.61528225220199</c:v>
                </c:pt>
                <c:pt idx="20">
                  <c:v>116.457821479562</c:v>
                </c:pt>
                <c:pt idx="21">
                  <c:v>115.612445640861</c:v>
                </c:pt>
                <c:pt idx="22">
                  <c:v>116.380652961669</c:v>
                </c:pt>
                <c:pt idx="23">
                  <c:v>115.892553192123</c:v>
                </c:pt>
                <c:pt idx="24">
                  <c:v>116.391623969172</c:v>
                </c:pt>
                <c:pt idx="25">
                  <c:v>114.51726582365001</c:v>
                </c:pt>
                <c:pt idx="26">
                  <c:v>111.821729550328</c:v>
                </c:pt>
                <c:pt idx="27">
                  <c:v>87.166223351613496</c:v>
                </c:pt>
                <c:pt idx="28">
                  <c:v>87.958326883381204</c:v>
                </c:pt>
                <c:pt idx="29">
                  <c:v>96.394127825514602</c:v>
                </c:pt>
                <c:pt idx="30">
                  <c:v>102.00022855918699</c:v>
                </c:pt>
                <c:pt idx="31">
                  <c:v>105.606765910891</c:v>
                </c:pt>
                <c:pt idx="32">
                  <c:v>107.708162673684</c:v>
                </c:pt>
                <c:pt idx="33">
                  <c:v>107.81473661087099</c:v>
                </c:pt>
                <c:pt idx="34">
                  <c:v>110.81826088061899</c:v>
                </c:pt>
                <c:pt idx="35">
                  <c:v>109.525280304364</c:v>
                </c:pt>
                <c:pt idx="36">
                  <c:v>108.356069051966</c:v>
                </c:pt>
                <c:pt idx="37">
                  <c:v>110.581871942566</c:v>
                </c:pt>
                <c:pt idx="38">
                  <c:v>113.880812367056</c:v>
                </c:pt>
                <c:pt idx="39">
                  <c:v>113.134731081719</c:v>
                </c:pt>
                <c:pt idx="40">
                  <c:v>113.279534426521</c:v>
                </c:pt>
                <c:pt idx="41">
                  <c:v>113.085499048279</c:v>
                </c:pt>
                <c:pt idx="42">
                  <c:v>112.093242055556</c:v>
                </c:pt>
                <c:pt idx="43">
                  <c:v>113.447007830613</c:v>
                </c:pt>
                <c:pt idx="44">
                  <c:v>114.406196755211</c:v>
                </c:pt>
                <c:pt idx="45">
                  <c:v>114.669832258703</c:v>
                </c:pt>
                <c:pt idx="46">
                  <c:v>115.93028368695801</c:v>
                </c:pt>
                <c:pt idx="47">
                  <c:v>115.814257209142</c:v>
                </c:pt>
                <c:pt idx="48">
                  <c:v>115.629047617517</c:v>
                </c:pt>
                <c:pt idx="49">
                  <c:v>117.264762799604</c:v>
                </c:pt>
                <c:pt idx="50">
                  <c:v>117.844168216825</c:v>
                </c:pt>
                <c:pt idx="51">
                  <c:v>118.042156366104</c:v>
                </c:pt>
                <c:pt idx="52">
                  <c:v>118.351698744174</c:v>
                </c:pt>
                <c:pt idx="53">
                  <c:v>117.823092659144</c:v>
                </c:pt>
                <c:pt idx="54">
                  <c:v>118.416312121277</c:v>
                </c:pt>
                <c:pt idx="55">
                  <c:v>118.41531195319899</c:v>
                </c:pt>
                <c:pt idx="56">
                  <c:v>118.19657106993699</c:v>
                </c:pt>
                <c:pt idx="57">
                  <c:v>119.114248055814</c:v>
                </c:pt>
                <c:pt idx="58">
                  <c:v>118.922134034637</c:v>
                </c:pt>
                <c:pt idx="59">
                  <c:v>119.24077770282101</c:v>
                </c:pt>
                <c:pt idx="60">
                  <c:v>121.280339115893</c:v>
                </c:pt>
                <c:pt idx="61">
                  <c:v>120.97061540285</c:v>
                </c:pt>
              </c:numCache>
            </c:numRef>
          </c:val>
          <c:extLst>
            <c:ext xmlns:c16="http://schemas.microsoft.com/office/drawing/2014/chart" uri="{C3380CC4-5D6E-409C-BE32-E72D297353CC}">
              <c16:uniqueId val="{00000000-E3D1-451D-9238-685F5CA57ADA}"/>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Datos!$F$126:$F$197</c:f>
              <c:numCache>
                <c:formatCode>0.0_)</c:formatCode>
                <c:ptCount val="62"/>
                <c:pt idx="0">
                  <c:v>112.13246766845</c:v>
                </c:pt>
                <c:pt idx="1">
                  <c:v>112.47562593967599</c:v>
                </c:pt>
                <c:pt idx="2">
                  <c:v>112.781358608655</c:v>
                </c:pt>
                <c:pt idx="3">
                  <c:v>113.04336271523501</c:v>
                </c:pt>
                <c:pt idx="4">
                  <c:v>113.27724657284701</c:v>
                </c:pt>
                <c:pt idx="5">
                  <c:v>113.48807887178501</c:v>
                </c:pt>
                <c:pt idx="6">
                  <c:v>113.693944442331</c:v>
                </c:pt>
                <c:pt idx="7">
                  <c:v>113.87555872429699</c:v>
                </c:pt>
                <c:pt idx="8">
                  <c:v>114.05548641633401</c:v>
                </c:pt>
                <c:pt idx="9">
                  <c:v>114.225857998881</c:v>
                </c:pt>
                <c:pt idx="10">
                  <c:v>114.364151587924</c:v>
                </c:pt>
                <c:pt idx="11">
                  <c:v>114.489619845478</c:v>
                </c:pt>
                <c:pt idx="12">
                  <c:v>114.60917911132201</c:v>
                </c:pt>
                <c:pt idx="13">
                  <c:v>114.72622249149001</c:v>
                </c:pt>
                <c:pt idx="14">
                  <c:v>114.885049722311</c:v>
                </c:pt>
                <c:pt idx="15">
                  <c:v>115.136580924304</c:v>
                </c:pt>
                <c:pt idx="16">
                  <c:v>115.44051009975399</c:v>
                </c:pt>
                <c:pt idx="17">
                  <c:v>115.750670609251</c:v>
                </c:pt>
                <c:pt idx="18">
                  <c:v>116.03403360303901</c:v>
                </c:pt>
                <c:pt idx="19">
                  <c:v>116.243510951657</c:v>
                </c:pt>
                <c:pt idx="20">
                  <c:v>116.322289915881</c:v>
                </c:pt>
                <c:pt idx="21">
                  <c:v>116.24294656515301</c:v>
                </c:pt>
                <c:pt idx="22">
                  <c:v>116.002384819988</c:v>
                </c:pt>
                <c:pt idx="23">
                  <c:v>115.60335486829599</c:v>
                </c:pt>
                <c:pt idx="24">
                  <c:v>115.095061645624</c:v>
                </c:pt>
                <c:pt idx="25">
                  <c:v>114.547313381743</c:v>
                </c:pt>
                <c:pt idx="26">
                  <c:v>114.045559005028</c:v>
                </c:pt>
                <c:pt idx="27">
                  <c:v>105.866784748189</c:v>
                </c:pt>
                <c:pt idx="28">
                  <c:v>105.760138307254</c:v>
                </c:pt>
                <c:pt idx="29">
                  <c:v>105.903519750348</c:v>
                </c:pt>
                <c:pt idx="30">
                  <c:v>106.246738918372</c:v>
                </c:pt>
                <c:pt idx="31">
                  <c:v>106.751744850687</c:v>
                </c:pt>
                <c:pt idx="32">
                  <c:v>107.36033819775901</c:v>
                </c:pt>
                <c:pt idx="33">
                  <c:v>108.009939181531</c:v>
                </c:pt>
                <c:pt idx="34">
                  <c:v>108.693135361079</c:v>
                </c:pt>
                <c:pt idx="35">
                  <c:v>109.43673832110299</c:v>
                </c:pt>
                <c:pt idx="36">
                  <c:v>110.23259962227399</c:v>
                </c:pt>
                <c:pt idx="37">
                  <c:v>111.05549077973301</c:v>
                </c:pt>
                <c:pt idx="38">
                  <c:v>111.83433090472801</c:v>
                </c:pt>
                <c:pt idx="39">
                  <c:v>112.48757178585301</c:v>
                </c:pt>
                <c:pt idx="40">
                  <c:v>112.96274110854201</c:v>
                </c:pt>
                <c:pt idx="41">
                  <c:v>113.30796536592101</c:v>
                </c:pt>
                <c:pt idx="42">
                  <c:v>113.608603077346</c:v>
                </c:pt>
                <c:pt idx="43">
                  <c:v>113.924419919079</c:v>
                </c:pt>
                <c:pt idx="44">
                  <c:v>114.30645277087901</c:v>
                </c:pt>
                <c:pt idx="45">
                  <c:v>114.786408450393</c:v>
                </c:pt>
                <c:pt idx="46">
                  <c:v>115.334451582659</c:v>
                </c:pt>
                <c:pt idx="47">
                  <c:v>115.917700589631</c:v>
                </c:pt>
                <c:pt idx="48">
                  <c:v>116.50094310085601</c:v>
                </c:pt>
                <c:pt idx="49">
                  <c:v>117.049110755497</c:v>
                </c:pt>
                <c:pt idx="50">
                  <c:v>117.527257631799</c:v>
                </c:pt>
                <c:pt idx="51">
                  <c:v>117.8929924442</c:v>
                </c:pt>
                <c:pt idx="52">
                  <c:v>118.125038144128</c:v>
                </c:pt>
                <c:pt idx="53">
                  <c:v>118.24737124881401</c:v>
                </c:pt>
                <c:pt idx="54">
                  <c:v>118.27884730501501</c:v>
                </c:pt>
                <c:pt idx="55">
                  <c:v>118.33007495275599</c:v>
                </c:pt>
                <c:pt idx="56">
                  <c:v>118.483281117285</c:v>
                </c:pt>
                <c:pt idx="57">
                  <c:v>118.773954723364</c:v>
                </c:pt>
                <c:pt idx="58">
                  <c:v>119.2241522887</c:v>
                </c:pt>
                <c:pt idx="59">
                  <c:v>119.805078547703</c:v>
                </c:pt>
                <c:pt idx="60">
                  <c:v>120.453797508492</c:v>
                </c:pt>
                <c:pt idx="61">
                  <c:v>121.08719028479</c:v>
                </c:pt>
              </c:numCache>
            </c:numRef>
          </c:val>
          <c:smooth val="0"/>
          <c:extLst>
            <c:ext xmlns:c16="http://schemas.microsoft.com/office/drawing/2014/chart" uri="{C3380CC4-5D6E-409C-BE32-E72D297353CC}">
              <c16:uniqueId val="{00000001-E3D1-451D-9238-685F5CA57ADA}"/>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79369527462474587"/>
        </c:manualLayout>
      </c:layout>
      <c:barChart>
        <c:barDir val="col"/>
        <c:grouping val="clustered"/>
        <c:varyColors val="0"/>
        <c:ser>
          <c:idx val="0"/>
          <c:order val="0"/>
          <c:tx>
            <c:strRef>
              <c:f>Datos!$I$5</c:f>
              <c:strCache>
                <c:ptCount val="1"/>
                <c:pt idx="0">
                  <c:v>Serie desestacionalizada</c:v>
                </c:pt>
              </c:strCache>
            </c:strRef>
          </c:tx>
          <c:spPr>
            <a:solidFill>
              <a:srgbClr val="00B050"/>
            </a:solidFill>
            <a:ln w="0">
              <a:solidFill>
                <a:srgbClr val="006600"/>
              </a:solidFill>
              <a:prstDash val="solid"/>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Datos!$I$126:$I$197</c:f>
              <c:numCache>
                <c:formatCode>0.0_)</c:formatCode>
                <c:ptCount val="62"/>
                <c:pt idx="0">
                  <c:v>104.43542735291599</c:v>
                </c:pt>
                <c:pt idx="1">
                  <c:v>104.19497162544999</c:v>
                </c:pt>
                <c:pt idx="2">
                  <c:v>105.702440858052</c:v>
                </c:pt>
                <c:pt idx="3">
                  <c:v>105.7207982715</c:v>
                </c:pt>
                <c:pt idx="4">
                  <c:v>105.232939019033</c:v>
                </c:pt>
                <c:pt idx="5">
                  <c:v>105.124828940142</c:v>
                </c:pt>
                <c:pt idx="6">
                  <c:v>105.028175387483</c:v>
                </c:pt>
                <c:pt idx="7">
                  <c:v>105.07636083691099</c:v>
                </c:pt>
                <c:pt idx="8">
                  <c:v>104.404434197759</c:v>
                </c:pt>
                <c:pt idx="9">
                  <c:v>104.21799154279999</c:v>
                </c:pt>
                <c:pt idx="10">
                  <c:v>104.825895395372</c:v>
                </c:pt>
                <c:pt idx="11">
                  <c:v>104.801892020813</c:v>
                </c:pt>
                <c:pt idx="12">
                  <c:v>104.363415997149</c:v>
                </c:pt>
                <c:pt idx="13">
                  <c:v>104.485340355836</c:v>
                </c:pt>
                <c:pt idx="14">
                  <c:v>104.17231705567001</c:v>
                </c:pt>
                <c:pt idx="15">
                  <c:v>104.598682990643</c:v>
                </c:pt>
                <c:pt idx="16">
                  <c:v>104.964432639653</c:v>
                </c:pt>
                <c:pt idx="17">
                  <c:v>105.066604141835</c:v>
                </c:pt>
                <c:pt idx="18">
                  <c:v>104.953891489165</c:v>
                </c:pt>
                <c:pt idx="19">
                  <c:v>105.14024195241601</c:v>
                </c:pt>
                <c:pt idx="20">
                  <c:v>105.10698941787901</c:v>
                </c:pt>
                <c:pt idx="21">
                  <c:v>104.430884438954</c:v>
                </c:pt>
                <c:pt idx="22">
                  <c:v>104.65233188667</c:v>
                </c:pt>
                <c:pt idx="23">
                  <c:v>104.83520728792</c:v>
                </c:pt>
                <c:pt idx="24">
                  <c:v>104.604088987347</c:v>
                </c:pt>
                <c:pt idx="25">
                  <c:v>104.46096225094099</c:v>
                </c:pt>
                <c:pt idx="26">
                  <c:v>104.13971961756501</c:v>
                </c:pt>
                <c:pt idx="27">
                  <c:v>95.110738936796807</c:v>
                </c:pt>
                <c:pt idx="28">
                  <c:v>96.051920581357095</c:v>
                </c:pt>
                <c:pt idx="29">
                  <c:v>96.479921611128802</c:v>
                </c:pt>
                <c:pt idx="30">
                  <c:v>97.519893646288494</c:v>
                </c:pt>
                <c:pt idx="31">
                  <c:v>98.162832649142999</c:v>
                </c:pt>
                <c:pt idx="32">
                  <c:v>99.722629248306006</c:v>
                </c:pt>
                <c:pt idx="33">
                  <c:v>99.744192600066398</c:v>
                </c:pt>
                <c:pt idx="34">
                  <c:v>99.723112002624404</c:v>
                </c:pt>
                <c:pt idx="35">
                  <c:v>99.139413193690601</c:v>
                </c:pt>
                <c:pt idx="36">
                  <c:v>100.200188072716</c:v>
                </c:pt>
                <c:pt idx="37">
                  <c:v>100.251041343333</c:v>
                </c:pt>
                <c:pt idx="38">
                  <c:v>100.168674581955</c:v>
                </c:pt>
                <c:pt idx="39">
                  <c:v>99.884310256357693</c:v>
                </c:pt>
                <c:pt idx="40">
                  <c:v>99.8109641842792</c:v>
                </c:pt>
                <c:pt idx="41">
                  <c:v>99.703105246770605</c:v>
                </c:pt>
                <c:pt idx="42">
                  <c:v>99.848819688526206</c:v>
                </c:pt>
                <c:pt idx="43">
                  <c:v>99.556317300395904</c:v>
                </c:pt>
                <c:pt idx="44">
                  <c:v>99.582656076853795</c:v>
                </c:pt>
                <c:pt idx="45">
                  <c:v>99.619572999134405</c:v>
                </c:pt>
                <c:pt idx="46">
                  <c:v>99.191285201271498</c:v>
                </c:pt>
                <c:pt idx="47">
                  <c:v>98.885166250857495</c:v>
                </c:pt>
                <c:pt idx="48">
                  <c:v>98.869328651718305</c:v>
                </c:pt>
                <c:pt idx="49">
                  <c:v>98.936662564990499</c:v>
                </c:pt>
                <c:pt idx="50">
                  <c:v>98.868050484013807</c:v>
                </c:pt>
                <c:pt idx="51">
                  <c:v>98.789028885659903</c:v>
                </c:pt>
                <c:pt idx="52">
                  <c:v>98.733960442595304</c:v>
                </c:pt>
                <c:pt idx="53">
                  <c:v>98.720341481487793</c:v>
                </c:pt>
                <c:pt idx="54">
                  <c:v>98.603542510798803</c:v>
                </c:pt>
                <c:pt idx="55">
                  <c:v>98.717454484339001</c:v>
                </c:pt>
                <c:pt idx="56">
                  <c:v>98.786106515997503</c:v>
                </c:pt>
                <c:pt idx="57">
                  <c:v>98.757885819033902</c:v>
                </c:pt>
                <c:pt idx="58">
                  <c:v>98.893882815563103</c:v>
                </c:pt>
                <c:pt idx="59">
                  <c:v>98.943488419815594</c:v>
                </c:pt>
                <c:pt idx="60">
                  <c:v>98.763957455598501</c:v>
                </c:pt>
                <c:pt idx="61">
                  <c:v>98.484935069960798</c:v>
                </c:pt>
              </c:numCache>
            </c:numRef>
          </c:val>
          <c:extLst>
            <c:ext xmlns:c16="http://schemas.microsoft.com/office/drawing/2014/chart" uri="{C3380CC4-5D6E-409C-BE32-E72D297353CC}">
              <c16:uniqueId val="{00000000-3805-4ABE-9445-73152A8803D6}"/>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Datos!$J$126:$J$197</c:f>
              <c:numCache>
                <c:formatCode>0.0_)</c:formatCode>
                <c:ptCount val="62"/>
                <c:pt idx="0">
                  <c:v>104.71338006232</c:v>
                </c:pt>
                <c:pt idx="1">
                  <c:v>104.913104078689</c:v>
                </c:pt>
                <c:pt idx="2">
                  <c:v>105.099008156816</c:v>
                </c:pt>
                <c:pt idx="3">
                  <c:v>105.22774914889</c:v>
                </c:pt>
                <c:pt idx="4">
                  <c:v>105.254756316734</c:v>
                </c:pt>
                <c:pt idx="5">
                  <c:v>105.180060788586</c:v>
                </c:pt>
                <c:pt idx="6">
                  <c:v>105.048564407504</c:v>
                </c:pt>
                <c:pt idx="7">
                  <c:v>104.907393011292</c:v>
                </c:pt>
                <c:pt idx="8">
                  <c:v>104.79051973076599</c:v>
                </c:pt>
                <c:pt idx="9">
                  <c:v>104.69743143471599</c:v>
                </c:pt>
                <c:pt idx="10">
                  <c:v>104.61701540932199</c:v>
                </c:pt>
                <c:pt idx="11">
                  <c:v>104.54624581121099</c:v>
                </c:pt>
                <c:pt idx="12">
                  <c:v>104.506907020491</c:v>
                </c:pt>
                <c:pt idx="13">
                  <c:v>104.512036555579</c:v>
                </c:pt>
                <c:pt idx="14">
                  <c:v>104.56774452530399</c:v>
                </c:pt>
                <c:pt idx="15">
                  <c:v>104.674980802577</c:v>
                </c:pt>
                <c:pt idx="16">
                  <c:v>104.82509012994601</c:v>
                </c:pt>
                <c:pt idx="17">
                  <c:v>104.965514247557</c:v>
                </c:pt>
                <c:pt idx="18">
                  <c:v>105.048670084275</c:v>
                </c:pt>
                <c:pt idx="19">
                  <c:v>105.06141579637401</c:v>
                </c:pt>
                <c:pt idx="20">
                  <c:v>105.01988648648999</c:v>
                </c:pt>
                <c:pt idx="21">
                  <c:v>104.935441615475</c:v>
                </c:pt>
                <c:pt idx="22">
                  <c:v>104.824237811418</c:v>
                </c:pt>
                <c:pt idx="23">
                  <c:v>104.694740668816</c:v>
                </c:pt>
                <c:pt idx="24">
                  <c:v>104.553799725272</c:v>
                </c:pt>
                <c:pt idx="25">
                  <c:v>104.417888901707</c:v>
                </c:pt>
                <c:pt idx="26">
                  <c:v>104.303038790572</c:v>
                </c:pt>
                <c:pt idx="27">
                  <c:v>99.824045494108802</c:v>
                </c:pt>
                <c:pt idx="28">
                  <c:v>99.7682492128327</c:v>
                </c:pt>
                <c:pt idx="29">
                  <c:v>99.742293673119406</c:v>
                </c:pt>
                <c:pt idx="30">
                  <c:v>99.731740586488598</c:v>
                </c:pt>
                <c:pt idx="31">
                  <c:v>99.722417553206697</c:v>
                </c:pt>
                <c:pt idx="32">
                  <c:v>99.7225084449843</c:v>
                </c:pt>
                <c:pt idx="33">
                  <c:v>99.752562769372602</c:v>
                </c:pt>
                <c:pt idx="34">
                  <c:v>99.822309308797301</c:v>
                </c:pt>
                <c:pt idx="35">
                  <c:v>99.914524636415905</c:v>
                </c:pt>
                <c:pt idx="36">
                  <c:v>99.995698746594599</c:v>
                </c:pt>
                <c:pt idx="37">
                  <c:v>100.040657678985</c:v>
                </c:pt>
                <c:pt idx="38">
                  <c:v>100.033098346728</c:v>
                </c:pt>
                <c:pt idx="39">
                  <c:v>99.974954939982496</c:v>
                </c:pt>
                <c:pt idx="40">
                  <c:v>99.888985647689907</c:v>
                </c:pt>
                <c:pt idx="41">
                  <c:v>99.802355659938598</c:v>
                </c:pt>
                <c:pt idx="42">
                  <c:v>99.723002128503694</c:v>
                </c:pt>
                <c:pt idx="43">
                  <c:v>99.634346779614205</c:v>
                </c:pt>
                <c:pt idx="44">
                  <c:v>99.516494728345606</c:v>
                </c:pt>
                <c:pt idx="45">
                  <c:v>99.367574137668598</c:v>
                </c:pt>
                <c:pt idx="46">
                  <c:v>99.204465811099496</c:v>
                </c:pt>
                <c:pt idx="47">
                  <c:v>99.055790022946994</c:v>
                </c:pt>
                <c:pt idx="48">
                  <c:v>98.942068659854399</c:v>
                </c:pt>
                <c:pt idx="49">
                  <c:v>98.865115191280793</c:v>
                </c:pt>
                <c:pt idx="50">
                  <c:v>98.811864955637702</c:v>
                </c:pt>
                <c:pt idx="51">
                  <c:v>98.774503104988895</c:v>
                </c:pt>
                <c:pt idx="52">
                  <c:v>98.738756565165502</c:v>
                </c:pt>
                <c:pt idx="53">
                  <c:v>98.705570267484404</c:v>
                </c:pt>
                <c:pt idx="54">
                  <c:v>98.694599358100305</c:v>
                </c:pt>
                <c:pt idx="55">
                  <c:v>98.721538115205405</c:v>
                </c:pt>
                <c:pt idx="56">
                  <c:v>98.771271306106499</c:v>
                </c:pt>
                <c:pt idx="57">
                  <c:v>98.813772417037299</c:v>
                </c:pt>
                <c:pt idx="58">
                  <c:v>98.825526277351202</c:v>
                </c:pt>
                <c:pt idx="59">
                  <c:v>98.796136020123896</c:v>
                </c:pt>
                <c:pt idx="60">
                  <c:v>98.731807326407505</c:v>
                </c:pt>
                <c:pt idx="61">
                  <c:v>98.649899180714399</c:v>
                </c:pt>
              </c:numCache>
            </c:numRef>
          </c:val>
          <c:smooth val="0"/>
          <c:extLst>
            <c:ext xmlns:c16="http://schemas.microsoft.com/office/drawing/2014/chart" uri="{C3380CC4-5D6E-409C-BE32-E72D297353CC}">
              <c16:uniqueId val="{00000001-3805-4ABE-9445-73152A8803D6}"/>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713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4058325972322598"/>
          <c:w val="0.91166059757236217"/>
          <c:h val="5.9416740276774002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79216993149142734"/>
        </c:manualLayout>
      </c:layout>
      <c:barChart>
        <c:barDir val="col"/>
        <c:grouping val="clustered"/>
        <c:varyColors val="0"/>
        <c:ser>
          <c:idx val="0"/>
          <c:order val="0"/>
          <c:tx>
            <c:strRef>
              <c:f>Datos!$M$5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Datos!$M$126:$M$197</c:f>
              <c:numCache>
                <c:formatCode>0.0</c:formatCode>
                <c:ptCount val="62"/>
                <c:pt idx="0">
                  <c:v>108.647891329071</c:v>
                </c:pt>
                <c:pt idx="1">
                  <c:v>109.48199300182699</c:v>
                </c:pt>
                <c:pt idx="2">
                  <c:v>109.385910541149</c:v>
                </c:pt>
                <c:pt idx="3">
                  <c:v>109.554720420531</c:v>
                </c:pt>
                <c:pt idx="4">
                  <c:v>108.873112998789</c:v>
                </c:pt>
                <c:pt idx="5">
                  <c:v>109.53399779426999</c:v>
                </c:pt>
                <c:pt idx="6">
                  <c:v>108.962082446956</c:v>
                </c:pt>
                <c:pt idx="7">
                  <c:v>109.39809150427401</c:v>
                </c:pt>
                <c:pt idx="8">
                  <c:v>110.571446489919</c:v>
                </c:pt>
                <c:pt idx="9">
                  <c:v>109.87935778573301</c:v>
                </c:pt>
                <c:pt idx="10">
                  <c:v>110.324571079365</c:v>
                </c:pt>
                <c:pt idx="11">
                  <c:v>111.105633531395</c:v>
                </c:pt>
                <c:pt idx="12">
                  <c:v>111.981904255175</c:v>
                </c:pt>
                <c:pt idx="13">
                  <c:v>113.337175555014</c:v>
                </c:pt>
                <c:pt idx="14">
                  <c:v>113.226855675726</c:v>
                </c:pt>
                <c:pt idx="15">
                  <c:v>113.23024541480601</c:v>
                </c:pt>
                <c:pt idx="16">
                  <c:v>112.855971218318</c:v>
                </c:pt>
                <c:pt idx="17">
                  <c:v>113.563211203956</c:v>
                </c:pt>
                <c:pt idx="18">
                  <c:v>112.529076406066</c:v>
                </c:pt>
                <c:pt idx="19">
                  <c:v>114.412738036012</c:v>
                </c:pt>
                <c:pt idx="20">
                  <c:v>115.05147119995399</c:v>
                </c:pt>
                <c:pt idx="21">
                  <c:v>115.390663460887</c:v>
                </c:pt>
                <c:pt idx="22">
                  <c:v>115.965222824536</c:v>
                </c:pt>
                <c:pt idx="23">
                  <c:v>115.844712345536</c:v>
                </c:pt>
                <c:pt idx="24">
                  <c:v>115.921741832826</c:v>
                </c:pt>
                <c:pt idx="25">
                  <c:v>115.89858490004001</c:v>
                </c:pt>
                <c:pt idx="26">
                  <c:v>115.47334722438799</c:v>
                </c:pt>
                <c:pt idx="27">
                  <c:v>114.54651578490299</c:v>
                </c:pt>
                <c:pt idx="28">
                  <c:v>112.10523536553301</c:v>
                </c:pt>
                <c:pt idx="29">
                  <c:v>112.867147277084</c:v>
                </c:pt>
                <c:pt idx="30">
                  <c:v>112.452791831181</c:v>
                </c:pt>
                <c:pt idx="31">
                  <c:v>113.760344144006</c:v>
                </c:pt>
                <c:pt idx="32">
                  <c:v>113.356627536045</c:v>
                </c:pt>
                <c:pt idx="33">
                  <c:v>114.169777631941</c:v>
                </c:pt>
                <c:pt idx="34">
                  <c:v>115.291085738414</c:v>
                </c:pt>
                <c:pt idx="35">
                  <c:v>118.40849802015499</c:v>
                </c:pt>
                <c:pt idx="36">
                  <c:v>113.070041351238</c:v>
                </c:pt>
                <c:pt idx="37">
                  <c:v>112.808971926873</c:v>
                </c:pt>
                <c:pt idx="38">
                  <c:v>113.92106353053801</c:v>
                </c:pt>
                <c:pt idx="39">
                  <c:v>113.487961801086</c:v>
                </c:pt>
                <c:pt idx="40">
                  <c:v>120.505755647334</c:v>
                </c:pt>
                <c:pt idx="41">
                  <c:v>115.643542455125</c:v>
                </c:pt>
                <c:pt idx="42">
                  <c:v>116.31532825825199</c:v>
                </c:pt>
                <c:pt idx="43">
                  <c:v>115.56782313769099</c:v>
                </c:pt>
                <c:pt idx="44">
                  <c:v>116.070237991827</c:v>
                </c:pt>
                <c:pt idx="45">
                  <c:v>116.66475521772399</c:v>
                </c:pt>
                <c:pt idx="46">
                  <c:v>119.046914863192</c:v>
                </c:pt>
                <c:pt idx="47">
                  <c:v>117.62163309278201</c:v>
                </c:pt>
                <c:pt idx="48">
                  <c:v>118.078761897828</c:v>
                </c:pt>
                <c:pt idx="49">
                  <c:v>117.879825088041</c:v>
                </c:pt>
                <c:pt idx="50">
                  <c:v>115.732252904406</c:v>
                </c:pt>
                <c:pt idx="51">
                  <c:v>120.48333232935001</c:v>
                </c:pt>
                <c:pt idx="52">
                  <c:v>124.545770950593</c:v>
                </c:pt>
                <c:pt idx="53">
                  <c:v>120.242942351094</c:v>
                </c:pt>
                <c:pt idx="54">
                  <c:v>121.581641889021</c:v>
                </c:pt>
                <c:pt idx="55">
                  <c:v>120.264906933346</c:v>
                </c:pt>
                <c:pt idx="56">
                  <c:v>120.627360676451</c:v>
                </c:pt>
                <c:pt idx="57">
                  <c:v>120.830265245272</c:v>
                </c:pt>
                <c:pt idx="58">
                  <c:v>120.774931847351</c:v>
                </c:pt>
                <c:pt idx="59">
                  <c:v>121.787530038545</c:v>
                </c:pt>
                <c:pt idx="60">
                  <c:v>125.06216167066</c:v>
                </c:pt>
                <c:pt idx="61">
                  <c:v>124.498243638812</c:v>
                </c:pt>
              </c:numCache>
            </c:numRef>
          </c:val>
          <c:extLst>
            <c:ext xmlns:c16="http://schemas.microsoft.com/office/drawing/2014/chart" uri="{C3380CC4-5D6E-409C-BE32-E72D297353CC}">
              <c16:uniqueId val="{00000000-2192-472D-8017-B56C665990E6}"/>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Datos!$N$126:$N$197</c:f>
              <c:numCache>
                <c:formatCode>0.0</c:formatCode>
                <c:ptCount val="62"/>
                <c:pt idx="0">
                  <c:v>108.940599419075</c:v>
                </c:pt>
                <c:pt idx="1">
                  <c:v>109.15692661584001</c:v>
                </c:pt>
                <c:pt idx="2">
                  <c:v>109.272548140347</c:v>
                </c:pt>
                <c:pt idx="3">
                  <c:v>109.290438275247</c:v>
                </c:pt>
                <c:pt idx="4">
                  <c:v>109.280871419889</c:v>
                </c:pt>
                <c:pt idx="5">
                  <c:v>109.291294496718</c:v>
                </c:pt>
                <c:pt idx="6">
                  <c:v>109.363648775618</c:v>
                </c:pt>
                <c:pt idx="7">
                  <c:v>109.50812156808399</c:v>
                </c:pt>
                <c:pt idx="8">
                  <c:v>109.77030905125</c:v>
                </c:pt>
                <c:pt idx="9">
                  <c:v>110.170987124297</c:v>
                </c:pt>
                <c:pt idx="10">
                  <c:v>110.72311782305</c:v>
                </c:pt>
                <c:pt idx="11">
                  <c:v>111.367111478228</c:v>
                </c:pt>
                <c:pt idx="12">
                  <c:v>112.02181879361299</c:v>
                </c:pt>
                <c:pt idx="13">
                  <c:v>112.575254525491</c:v>
                </c:pt>
                <c:pt idx="14">
                  <c:v>112.97395817719899</c:v>
                </c:pt>
                <c:pt idx="15">
                  <c:v>113.213551750246</c:v>
                </c:pt>
                <c:pt idx="16">
                  <c:v>113.360873197548</c:v>
                </c:pt>
                <c:pt idx="17">
                  <c:v>113.56378155972401</c:v>
                </c:pt>
                <c:pt idx="18">
                  <c:v>113.908415821622</c:v>
                </c:pt>
                <c:pt idx="19">
                  <c:v>114.389314654553</c:v>
                </c:pt>
                <c:pt idx="20">
                  <c:v>114.925169376171</c:v>
                </c:pt>
                <c:pt idx="21">
                  <c:v>115.411602316065</c:v>
                </c:pt>
                <c:pt idx="22">
                  <c:v>115.777741530005</c:v>
                </c:pt>
                <c:pt idx="23">
                  <c:v>115.971613624911</c:v>
                </c:pt>
                <c:pt idx="24">
                  <c:v>115.953863243431</c:v>
                </c:pt>
                <c:pt idx="25">
                  <c:v>115.661653882401</c:v>
                </c:pt>
                <c:pt idx="26">
                  <c:v>115.13758078794901</c:v>
                </c:pt>
                <c:pt idx="27">
                  <c:v>114.473666668166</c:v>
                </c:pt>
                <c:pt idx="28">
                  <c:v>113.818022662874</c:v>
                </c:pt>
                <c:pt idx="29">
                  <c:v>113.346823430146</c:v>
                </c:pt>
                <c:pt idx="30">
                  <c:v>113.18379154145801</c:v>
                </c:pt>
                <c:pt idx="31">
                  <c:v>113.32612278831201</c:v>
                </c:pt>
                <c:pt idx="32">
                  <c:v>113.604643620103</c:v>
                </c:pt>
                <c:pt idx="33">
                  <c:v>113.837690567474</c:v>
                </c:pt>
                <c:pt idx="34">
                  <c:v>113.873663864647</c:v>
                </c:pt>
                <c:pt idx="35">
                  <c:v>113.722655493546</c:v>
                </c:pt>
                <c:pt idx="36">
                  <c:v>113.52197482488999</c:v>
                </c:pt>
                <c:pt idx="37">
                  <c:v>113.486144474919</c:v>
                </c:pt>
                <c:pt idx="38">
                  <c:v>113.72703483588</c:v>
                </c:pt>
                <c:pt idx="39">
                  <c:v>114.201922454274</c:v>
                </c:pt>
                <c:pt idx="40">
                  <c:v>114.794153668932</c:v>
                </c:pt>
                <c:pt idx="41">
                  <c:v>115.348478845684</c:v>
                </c:pt>
                <c:pt idx="42">
                  <c:v>115.776523693974</c:v>
                </c:pt>
                <c:pt idx="43">
                  <c:v>116.110017937165</c:v>
                </c:pt>
                <c:pt idx="44">
                  <c:v>116.409047048867</c:v>
                </c:pt>
                <c:pt idx="45">
                  <c:v>116.71020518437</c:v>
                </c:pt>
                <c:pt idx="46">
                  <c:v>117.061863556427</c:v>
                </c:pt>
                <c:pt idx="47">
                  <c:v>117.52371992898701</c:v>
                </c:pt>
                <c:pt idx="48">
                  <c:v>118.04066718868199</c:v>
                </c:pt>
                <c:pt idx="49">
                  <c:v>118.61934816976</c:v>
                </c:pt>
                <c:pt idx="50">
                  <c:v>119.22915259601101</c:v>
                </c:pt>
                <c:pt idx="51">
                  <c:v>119.82524974442499</c:v>
                </c:pt>
                <c:pt idx="52">
                  <c:v>120.32175701240899</c:v>
                </c:pt>
                <c:pt idx="53">
                  <c:v>120.630299976356</c:v>
                </c:pt>
                <c:pt idx="54">
                  <c:v>120.720307781442</c:v>
                </c:pt>
                <c:pt idx="55">
                  <c:v>120.668597221372</c:v>
                </c:pt>
                <c:pt idx="56">
                  <c:v>120.675265740021</c:v>
                </c:pt>
                <c:pt idx="57">
                  <c:v>120.88613987223501</c:v>
                </c:pt>
                <c:pt idx="58">
                  <c:v>121.332318509684</c:v>
                </c:pt>
                <c:pt idx="59">
                  <c:v>121.986155957471</c:v>
                </c:pt>
                <c:pt idx="60">
                  <c:v>122.78490543672601</c:v>
                </c:pt>
                <c:pt idx="61">
                  <c:v>123.627587880562</c:v>
                </c:pt>
              </c:numCache>
            </c:numRef>
          </c:val>
          <c:smooth val="0"/>
          <c:extLst>
            <c:ext xmlns:c16="http://schemas.microsoft.com/office/drawing/2014/chart" uri="{C3380CC4-5D6E-409C-BE32-E72D297353CC}">
              <c16:uniqueId val="{00000001-2192-472D-8017-B56C665990E6}"/>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432234528"/>
        <c:crosses val="autoZero"/>
        <c:auto val="1"/>
        <c:lblAlgn val="ctr"/>
        <c:lblOffset val="100"/>
        <c:tickLblSkip val="1"/>
        <c:tickMarkSkip val="12"/>
        <c:noMultiLvlLbl val="1"/>
      </c:catAx>
      <c:valAx>
        <c:axId val="432234528"/>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322372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8F63-B3BA-4D0B-80B9-B6990959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27</TotalTime>
  <Pages>12</Pages>
  <Words>2397</Words>
  <Characters>13189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Comunicado de Prensa. Indicadores sobre Empresas Comerciales</vt:lpstr>
    </vt:vector>
  </TitlesOfParts>
  <Company>INEGI</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sobre Empresas Comerciales</dc:title>
  <dc:subject/>
  <dc:creator>INEGI</dc:creator>
  <cp:keywords>Ingreso por suministro de bienes y servicios Personla ocupado total Remuneraciones reales</cp:keywords>
  <cp:lastModifiedBy>GUILLEN MEDINA MOISES</cp:lastModifiedBy>
  <cp:revision>7</cp:revision>
  <cp:lastPrinted>2023-03-21T15:38:00Z</cp:lastPrinted>
  <dcterms:created xsi:type="dcterms:W3CDTF">2023-04-19T19:37:00Z</dcterms:created>
  <dcterms:modified xsi:type="dcterms:W3CDTF">2023-04-19T23:25:00Z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18963453d70262e6629f3f757e139febd44871e9219465bd19ffbbef6cc8ebe8</vt:lpwstr>
  </property>
</Properties>
</file>