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rawings/drawing2.xml" ContentType="application/vnd.openxmlformats-officedocument.drawingml.chartshapes+xml"/>
  <Override PartName="/word/charts/chart7.xml" ContentType="application/vnd.openxmlformats-officedocument.drawingml.chart+xml"/>
  <Override PartName="/word/drawings/drawing3.xml" ContentType="application/vnd.openxmlformats-officedocument.drawingml.chartshapes+xml"/>
  <Override PartName="/word/charts/chart8.xml" ContentType="application/vnd.openxmlformats-officedocument.drawingml.chart+xml"/>
  <Override PartName="/word/drawings/drawing4.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430FE" w14:textId="1C6245A0" w:rsidR="00074DE7" w:rsidRDefault="00074DE7" w:rsidP="00D90B27">
      <w:pPr>
        <w:pStyle w:val="Profesin"/>
        <w:spacing w:before="240"/>
        <w:outlineLvl w:val="0"/>
        <w:rPr>
          <w:caps w:val="0"/>
          <w:smallCaps/>
        </w:rPr>
      </w:pPr>
    </w:p>
    <w:bookmarkStart w:id="0" w:name="_Hlk96532470"/>
    <w:bookmarkEnd w:id="0"/>
    <w:p w14:paraId="39D65456" w14:textId="0115C5B9" w:rsidR="00074DE7" w:rsidRDefault="00074DE7" w:rsidP="00D90B27">
      <w:pPr>
        <w:pStyle w:val="Profesin"/>
        <w:spacing w:before="240"/>
        <w:outlineLvl w:val="0"/>
        <w:rPr>
          <w:caps w:val="0"/>
          <w:smallCaps/>
        </w:rPr>
      </w:pPr>
      <w:r w:rsidRPr="003C0955">
        <w:rPr>
          <w:noProof/>
          <w:color w:val="244061" w:themeColor="accent1" w:themeShade="80"/>
          <w:lang w:eastAsia="es-MX"/>
        </w:rPr>
        <mc:AlternateContent>
          <mc:Choice Requires="wps">
            <w:drawing>
              <wp:anchor distT="45720" distB="45720" distL="114300" distR="114300" simplePos="0" relativeHeight="251660288" behindDoc="0" locked="0" layoutInCell="1" allowOverlap="1" wp14:anchorId="60B88989" wp14:editId="56407EF2">
                <wp:simplePos x="0" y="0"/>
                <wp:positionH relativeFrom="margin">
                  <wp:posOffset>3063875</wp:posOffset>
                </wp:positionH>
                <wp:positionV relativeFrom="paragraph">
                  <wp:posOffset>16510</wp:posOffset>
                </wp:positionV>
                <wp:extent cx="3336290" cy="266700"/>
                <wp:effectExtent l="0" t="0" r="0" b="0"/>
                <wp:wrapSquare wrapText="bothSides"/>
                <wp:docPr id="610586331" name="Cuadro de texto 610586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noFill/>
                        <a:ln w="9525">
                          <a:noFill/>
                          <a:miter lim="800000"/>
                          <a:headEnd/>
                          <a:tailEnd/>
                        </a:ln>
                      </wps:spPr>
                      <wps:txbx>
                        <w:txbxContent>
                          <w:p w14:paraId="02BAD541" w14:textId="73AD3F54" w:rsidR="00074DE7" w:rsidRPr="00B30160" w:rsidRDefault="00074DE7" w:rsidP="00074DE7">
                            <w:pPr>
                              <w:jc w:val="right"/>
                              <w:rPr>
                                <w:rFonts w:ascii="Arial Negrita" w:hAnsi="Arial Negrita"/>
                                <w:color w:val="07BFBA"/>
                              </w:rPr>
                            </w:pPr>
                            <w:r w:rsidRPr="00B30160">
                              <w:rPr>
                                <w:rFonts w:ascii="Arial Negrita" w:hAnsi="Arial Negrita"/>
                                <w:color w:val="07BFBA"/>
                              </w:rPr>
                              <w:t xml:space="preserve">Próxima publicación: </w:t>
                            </w:r>
                            <w:r>
                              <w:rPr>
                                <w:rFonts w:ascii="Arial Negrita" w:hAnsi="Arial Negrita"/>
                                <w:b/>
                                <w:bCs/>
                                <w:color w:val="07BFBA"/>
                              </w:rPr>
                              <w:t>20</w:t>
                            </w:r>
                            <w:r w:rsidRPr="00B30160">
                              <w:rPr>
                                <w:rFonts w:ascii="Arial Negrita" w:hAnsi="Arial Negrita"/>
                                <w:b/>
                                <w:bCs/>
                                <w:color w:val="07BFBA"/>
                              </w:rPr>
                              <w:t xml:space="preserve"> de </w:t>
                            </w:r>
                            <w:r>
                              <w:rPr>
                                <w:rFonts w:ascii="Arial Negrita" w:hAnsi="Arial Negrita"/>
                                <w:b/>
                                <w:bCs/>
                                <w:color w:val="07BFBA"/>
                              </w:rPr>
                              <w:t>diciembre</w:t>
                            </w:r>
                          </w:p>
                          <w:p w14:paraId="5493C187" w14:textId="77777777" w:rsidR="00074DE7" w:rsidRDefault="00074DE7" w:rsidP="00074D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B88989" id="_x0000_t202" coordsize="21600,21600" o:spt="202" path="m,l,21600r21600,l21600,xe">
                <v:stroke joinstyle="miter"/>
                <v:path gradientshapeok="t" o:connecttype="rect"/>
              </v:shapetype>
              <v:shape id="Cuadro de texto 610586331" o:spid="_x0000_s1026" type="#_x0000_t202" style="position:absolute;left:0;text-align:left;margin-left:241.25pt;margin-top:1.3pt;width:262.7pt;height:2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" filled="f" stroked="f">
                <v:textbox>
                  <w:txbxContent>
                    <w:p w14:paraId="02BAD541" w14:textId="73AD3F54" w:rsidR="00074DE7" w:rsidRPr="00B30160" w:rsidRDefault="00074DE7" w:rsidP="00074DE7">
                      <w:pPr>
                        <w:jc w:val="right"/>
                        <w:rPr>
                          <w:rFonts w:ascii="Arial Negrita" w:hAnsi="Arial Negrita"/>
                          <w:color w:val="07BFBA"/>
                        </w:rPr>
                      </w:pPr>
                      <w:r w:rsidRPr="00B30160">
                        <w:rPr>
                          <w:rFonts w:ascii="Arial Negrita" w:hAnsi="Arial Negrita"/>
                          <w:color w:val="07BFBA"/>
                        </w:rPr>
                        <w:t xml:space="preserve">Próxima publicación: </w:t>
                      </w:r>
                      <w:r>
                        <w:rPr>
                          <w:rFonts w:ascii="Arial Negrita" w:hAnsi="Arial Negrita"/>
                          <w:b/>
                          <w:bCs/>
                          <w:color w:val="07BFBA"/>
                        </w:rPr>
                        <w:t>20</w:t>
                      </w:r>
                      <w:r w:rsidRPr="00B30160">
                        <w:rPr>
                          <w:rFonts w:ascii="Arial Negrita" w:hAnsi="Arial Negrita"/>
                          <w:b/>
                          <w:bCs/>
                          <w:color w:val="07BFBA"/>
                        </w:rPr>
                        <w:t xml:space="preserve"> de </w:t>
                      </w:r>
                      <w:r>
                        <w:rPr>
                          <w:rFonts w:ascii="Arial Negrita" w:hAnsi="Arial Negrita"/>
                          <w:b/>
                          <w:bCs/>
                          <w:color w:val="07BFBA"/>
                        </w:rPr>
                        <w:t>diciembre</w:t>
                      </w:r>
                    </w:p>
                    <w:p w14:paraId="5493C187" w14:textId="77777777" w:rsidR="00074DE7" w:rsidRDefault="00074DE7" w:rsidP="00074DE7"/>
                  </w:txbxContent>
                </v:textbox>
                <w10:wrap type="square" anchorx="margin"/>
              </v:shape>
            </w:pict>
          </mc:Fallback>
        </mc:AlternateContent>
      </w:r>
    </w:p>
    <w:p w14:paraId="4A128E23" w14:textId="6E6E3218" w:rsidR="00467BD1" w:rsidRPr="00074DE7" w:rsidRDefault="000B55A5" w:rsidP="00D90B27">
      <w:pPr>
        <w:pStyle w:val="Profesin"/>
        <w:spacing w:before="240"/>
        <w:outlineLvl w:val="0"/>
        <w:rPr>
          <w:rFonts w:ascii="Arial Negrita" w:hAnsi="Arial Negrita"/>
          <w:b w:val="0"/>
          <w:caps w:val="0"/>
          <w:sz w:val="24"/>
        </w:rPr>
      </w:pPr>
      <w:r w:rsidRPr="00074DE7">
        <w:rPr>
          <w:rFonts w:ascii="Arial Negrita" w:hAnsi="Arial Negrita"/>
          <w:caps w:val="0"/>
          <w:sz w:val="24"/>
        </w:rPr>
        <w:t>INDICADORES DE EMPRESAS COMERCIALES</w:t>
      </w:r>
    </w:p>
    <w:p w14:paraId="44E3C063" w14:textId="0C97D73D" w:rsidR="00ED4D0D" w:rsidRPr="00074DE7" w:rsidRDefault="002B398D" w:rsidP="00ED4D0D">
      <w:pPr>
        <w:spacing w:before="60"/>
        <w:jc w:val="center"/>
        <w:rPr>
          <w:szCs w:val="28"/>
        </w:rPr>
      </w:pPr>
      <w:r w:rsidRPr="00074DE7">
        <w:rPr>
          <w:szCs w:val="28"/>
        </w:rPr>
        <w:t>Septiembre</w:t>
      </w:r>
      <w:r w:rsidR="00BA674C" w:rsidRPr="00074DE7">
        <w:rPr>
          <w:szCs w:val="28"/>
        </w:rPr>
        <w:t xml:space="preserve"> de 2023</w:t>
      </w:r>
    </w:p>
    <w:p w14:paraId="0A4EAB5C" w14:textId="4A33635D" w:rsidR="00F66929" w:rsidRPr="00074DE7" w:rsidRDefault="00F66929" w:rsidP="00074DE7">
      <w:pPr>
        <w:pStyle w:val="Prrafodelista"/>
        <w:spacing w:before="240"/>
        <w:ind w:left="0" w:right="51"/>
        <w:rPr>
          <w:snapToGrid w:val="0"/>
          <w:szCs w:val="22"/>
        </w:rPr>
      </w:pPr>
      <w:r w:rsidRPr="00074DE7">
        <w:rPr>
          <w:snapToGrid w:val="0"/>
          <w:szCs w:val="22"/>
        </w:rPr>
        <w:t xml:space="preserve">El Instituto Nacional de Estadística y Geografía </w:t>
      </w:r>
      <w:r w:rsidR="00074DE7">
        <w:rPr>
          <w:snapToGrid w:val="0"/>
          <w:szCs w:val="22"/>
        </w:rPr>
        <w:t>(</w:t>
      </w:r>
      <w:r w:rsidR="00074DE7" w:rsidRPr="00074DE7">
        <w:rPr>
          <w:smallCaps/>
          <w:snapToGrid w:val="0"/>
          <w:szCs w:val="22"/>
        </w:rPr>
        <w:t>inegi</w:t>
      </w:r>
      <w:r w:rsidR="00074DE7">
        <w:rPr>
          <w:snapToGrid w:val="0"/>
          <w:szCs w:val="22"/>
        </w:rPr>
        <w:t xml:space="preserve">) </w:t>
      </w:r>
      <w:r w:rsidRPr="00074DE7">
        <w:rPr>
          <w:snapToGrid w:val="0"/>
          <w:szCs w:val="22"/>
        </w:rPr>
        <w:t>presenta los resultados de la Encuesta Mensual sobre Empresas Comerciales (</w:t>
      </w:r>
      <w:r w:rsidR="002B398D" w:rsidRPr="00074DE7">
        <w:rPr>
          <w:smallCaps/>
          <w:snapToGrid w:val="0"/>
          <w:szCs w:val="22"/>
        </w:rPr>
        <w:t>emec</w:t>
      </w:r>
      <w:r w:rsidRPr="00074DE7">
        <w:rPr>
          <w:snapToGrid w:val="0"/>
          <w:szCs w:val="22"/>
        </w:rPr>
        <w:t>) con el fin de proporcionar indicadores relevantes sobre el comportamiento del comercio interior de México.</w:t>
      </w:r>
    </w:p>
    <w:p w14:paraId="0BDFE259" w14:textId="08AEEDCE" w:rsidR="00ED4D0D" w:rsidRDefault="00EA694F" w:rsidP="00074DE7">
      <w:pPr>
        <w:pStyle w:val="Prrafodelista"/>
        <w:spacing w:before="240"/>
        <w:ind w:left="0" w:right="51"/>
        <w:rPr>
          <w:snapToGrid w:val="0"/>
          <w:szCs w:val="22"/>
        </w:rPr>
      </w:pPr>
      <w:r w:rsidRPr="00074DE7">
        <w:rPr>
          <w:snapToGrid w:val="0"/>
          <w:szCs w:val="22"/>
        </w:rPr>
        <w:t xml:space="preserve">En </w:t>
      </w:r>
      <w:r w:rsidR="002B398D" w:rsidRPr="00074DE7">
        <w:rPr>
          <w:snapToGrid w:val="0"/>
          <w:szCs w:val="22"/>
        </w:rPr>
        <w:t>septiembre</w:t>
      </w:r>
      <w:r w:rsidR="008C58B5" w:rsidRPr="00074DE7">
        <w:rPr>
          <w:snapToGrid w:val="0"/>
          <w:szCs w:val="22"/>
        </w:rPr>
        <w:t xml:space="preserve"> de 202</w:t>
      </w:r>
      <w:r w:rsidR="00725B90" w:rsidRPr="00074DE7">
        <w:rPr>
          <w:snapToGrid w:val="0"/>
          <w:szCs w:val="22"/>
        </w:rPr>
        <w:t>3</w:t>
      </w:r>
      <w:r w:rsidR="00BC18E0" w:rsidRPr="00074DE7">
        <w:rPr>
          <w:snapToGrid w:val="0"/>
          <w:szCs w:val="22"/>
        </w:rPr>
        <w:t>, a tasa mensual</w:t>
      </w:r>
      <w:r w:rsidR="008C58B5" w:rsidRPr="00074DE7">
        <w:rPr>
          <w:snapToGrid w:val="0"/>
          <w:szCs w:val="22"/>
        </w:rPr>
        <w:t xml:space="preserve"> y con cifras desestacionalizadas</w:t>
      </w:r>
      <w:r w:rsidR="00D512E6" w:rsidRPr="00074DE7">
        <w:rPr>
          <w:snapToGrid w:val="0"/>
          <w:szCs w:val="22"/>
        </w:rPr>
        <w:t>,</w:t>
      </w:r>
      <w:r w:rsidR="00F66929" w:rsidRPr="00074DE7">
        <w:rPr>
          <w:snapToGrid w:val="0"/>
          <w:szCs w:val="22"/>
        </w:rPr>
        <w:t xml:space="preserve"> </w:t>
      </w:r>
      <w:r w:rsidR="006A7C4A" w:rsidRPr="00074DE7">
        <w:rPr>
          <w:snapToGrid w:val="0"/>
          <w:szCs w:val="22"/>
        </w:rPr>
        <w:t xml:space="preserve">en </w:t>
      </w:r>
      <w:r w:rsidR="00C805F6" w:rsidRPr="00074DE7">
        <w:rPr>
          <w:snapToGrid w:val="0"/>
          <w:szCs w:val="22"/>
        </w:rPr>
        <w:t>la</w:t>
      </w:r>
      <w:r w:rsidR="006D01F3" w:rsidRPr="00074DE7">
        <w:rPr>
          <w:snapToGrid w:val="0"/>
          <w:szCs w:val="22"/>
        </w:rPr>
        <w:t xml:space="preserve">s </w:t>
      </w:r>
      <w:r w:rsidR="00F819B9" w:rsidRPr="00074DE7">
        <w:rPr>
          <w:snapToGrid w:val="0"/>
          <w:szCs w:val="22"/>
        </w:rPr>
        <w:t>e</w:t>
      </w:r>
      <w:r w:rsidR="006D01F3" w:rsidRPr="00074DE7">
        <w:rPr>
          <w:snapToGrid w:val="0"/>
          <w:szCs w:val="22"/>
        </w:rPr>
        <w:t xml:space="preserve">mpresas </w:t>
      </w:r>
      <w:r w:rsidR="00F819B9" w:rsidRPr="00074DE7">
        <w:rPr>
          <w:snapToGrid w:val="0"/>
          <w:szCs w:val="22"/>
        </w:rPr>
        <w:t>c</w:t>
      </w:r>
      <w:r w:rsidR="006D01F3" w:rsidRPr="00074DE7">
        <w:rPr>
          <w:snapToGrid w:val="0"/>
          <w:szCs w:val="22"/>
        </w:rPr>
        <w:t xml:space="preserve">omerciales </w:t>
      </w:r>
      <w:r w:rsidR="009E2BC4" w:rsidRPr="00074DE7">
        <w:rPr>
          <w:snapToGrid w:val="0"/>
          <w:szCs w:val="22"/>
        </w:rPr>
        <w:t xml:space="preserve">al por </w:t>
      </w:r>
      <w:r w:rsidR="00F819B9" w:rsidRPr="00074DE7">
        <w:rPr>
          <w:snapToGrid w:val="0"/>
          <w:szCs w:val="22"/>
        </w:rPr>
        <w:t>m</w:t>
      </w:r>
      <w:r w:rsidR="009E2BC4" w:rsidRPr="00074DE7">
        <w:rPr>
          <w:snapToGrid w:val="0"/>
          <w:szCs w:val="22"/>
        </w:rPr>
        <w:t>ayor</w:t>
      </w:r>
      <w:r w:rsidR="00B42530" w:rsidRPr="00074DE7">
        <w:rPr>
          <w:snapToGrid w:val="0"/>
          <w:szCs w:val="22"/>
        </w:rPr>
        <w:t>,</w:t>
      </w:r>
      <w:r w:rsidR="006A7C4A" w:rsidRPr="00074DE7">
        <w:rPr>
          <w:snapToGrid w:val="0"/>
          <w:szCs w:val="22"/>
        </w:rPr>
        <w:t xml:space="preserve"> </w:t>
      </w:r>
      <w:r w:rsidR="009E2BC4" w:rsidRPr="00074DE7">
        <w:rPr>
          <w:snapToGrid w:val="0"/>
          <w:szCs w:val="22"/>
        </w:rPr>
        <w:t xml:space="preserve">los </w:t>
      </w:r>
      <w:r w:rsidR="004C75FC" w:rsidRPr="00074DE7">
        <w:rPr>
          <w:snapToGrid w:val="0"/>
          <w:szCs w:val="22"/>
        </w:rPr>
        <w:t>i</w:t>
      </w:r>
      <w:r w:rsidR="009E2BC4" w:rsidRPr="00074DE7">
        <w:rPr>
          <w:snapToGrid w:val="0"/>
          <w:szCs w:val="22"/>
        </w:rPr>
        <w:t>ngresos reales por suministro de bienes y servicios</w:t>
      </w:r>
      <w:r w:rsidR="001A2519" w:rsidRPr="00074DE7">
        <w:rPr>
          <w:snapToGrid w:val="0"/>
          <w:szCs w:val="22"/>
        </w:rPr>
        <w:t xml:space="preserve"> </w:t>
      </w:r>
      <w:r w:rsidR="00F2006A" w:rsidRPr="00074DE7">
        <w:rPr>
          <w:snapToGrid w:val="0"/>
          <w:szCs w:val="22"/>
        </w:rPr>
        <w:t xml:space="preserve">aumentaron </w:t>
      </w:r>
      <w:r w:rsidR="00371C9A" w:rsidRPr="00074DE7">
        <w:rPr>
          <w:snapToGrid w:val="0"/>
          <w:szCs w:val="22"/>
        </w:rPr>
        <w:t>3.</w:t>
      </w:r>
      <w:r w:rsidR="00470E63" w:rsidRPr="00074DE7">
        <w:rPr>
          <w:snapToGrid w:val="0"/>
          <w:szCs w:val="22"/>
        </w:rPr>
        <w:t>9</w:t>
      </w:r>
      <w:r w:rsidR="0026546B" w:rsidRPr="00074DE7">
        <w:rPr>
          <w:snapToGrid w:val="0"/>
          <w:szCs w:val="22"/>
        </w:rPr>
        <w:t> %</w:t>
      </w:r>
      <w:r w:rsidR="00371C9A" w:rsidRPr="00074DE7">
        <w:rPr>
          <w:snapToGrid w:val="0"/>
          <w:szCs w:val="22"/>
        </w:rPr>
        <w:t xml:space="preserve"> </w:t>
      </w:r>
      <w:r w:rsidR="00740F70" w:rsidRPr="00074DE7">
        <w:rPr>
          <w:snapToGrid w:val="0"/>
          <w:szCs w:val="22"/>
        </w:rPr>
        <w:t xml:space="preserve">y las remuneraciones medias reales pagadas, 2.5 por ciento. El </w:t>
      </w:r>
      <w:r w:rsidR="00C1592A" w:rsidRPr="00074DE7">
        <w:rPr>
          <w:snapToGrid w:val="0"/>
          <w:szCs w:val="22"/>
        </w:rPr>
        <w:t>personal ocupado total</w:t>
      </w:r>
      <w:r w:rsidR="00371C9A" w:rsidRPr="00074DE7">
        <w:rPr>
          <w:snapToGrid w:val="0"/>
          <w:szCs w:val="22"/>
        </w:rPr>
        <w:t xml:space="preserve"> </w:t>
      </w:r>
      <w:r w:rsidR="00470E63" w:rsidRPr="00074DE7">
        <w:rPr>
          <w:snapToGrid w:val="0"/>
          <w:szCs w:val="22"/>
        </w:rPr>
        <w:t>disminuy</w:t>
      </w:r>
      <w:r w:rsidR="00371C9A" w:rsidRPr="00074DE7">
        <w:rPr>
          <w:snapToGrid w:val="0"/>
          <w:szCs w:val="22"/>
        </w:rPr>
        <w:t>ó</w:t>
      </w:r>
      <w:r w:rsidR="00C1592A" w:rsidRPr="00074DE7">
        <w:rPr>
          <w:snapToGrid w:val="0"/>
          <w:szCs w:val="22"/>
        </w:rPr>
        <w:t xml:space="preserve"> </w:t>
      </w:r>
      <w:r w:rsidR="00470E63" w:rsidRPr="00074DE7">
        <w:rPr>
          <w:snapToGrid w:val="0"/>
          <w:szCs w:val="22"/>
        </w:rPr>
        <w:t>0.3 </w:t>
      </w:r>
      <w:r w:rsidR="00740F70" w:rsidRPr="00074DE7">
        <w:rPr>
          <w:snapToGrid w:val="0"/>
          <w:szCs w:val="22"/>
        </w:rPr>
        <w:t>por ciento.</w:t>
      </w:r>
    </w:p>
    <w:p w14:paraId="0F624C67" w14:textId="77777777" w:rsidR="00074DE7" w:rsidRDefault="00074DE7" w:rsidP="00074DE7">
      <w:pPr>
        <w:pStyle w:val="Prrafodelista"/>
        <w:spacing w:before="240"/>
        <w:ind w:left="0" w:right="51"/>
        <w:rPr>
          <w:snapToGrid w:val="0"/>
          <w:szCs w:val="22"/>
        </w:rPr>
      </w:pPr>
    </w:p>
    <w:p w14:paraId="1D5613AF" w14:textId="77777777" w:rsidR="00074DE7" w:rsidRDefault="00074DE7" w:rsidP="00074DE7">
      <w:pPr>
        <w:pStyle w:val="p0"/>
        <w:keepLines w:val="0"/>
        <w:spacing w:before="0"/>
        <w:jc w:val="center"/>
        <w:rPr>
          <w:rFonts w:ascii="Arial" w:hAnsi="Arial"/>
          <w:b/>
          <w:smallCaps/>
          <w:color w:val="auto"/>
          <w:sz w:val="22"/>
          <w:szCs w:val="22"/>
        </w:rPr>
      </w:pPr>
      <w:r>
        <w:rPr>
          <w:rFonts w:ascii="Arial" w:hAnsi="Arial"/>
          <w:b/>
          <w:smallCaps/>
          <w:color w:val="auto"/>
          <w:sz w:val="22"/>
          <w:szCs w:val="22"/>
        </w:rPr>
        <w:t xml:space="preserve">Series desestacionalizada y de tendencia-ciclo </w:t>
      </w:r>
    </w:p>
    <w:p w14:paraId="0A3DF3C0" w14:textId="77777777" w:rsidR="00074DE7" w:rsidRDefault="00074DE7" w:rsidP="00074DE7">
      <w:pPr>
        <w:pStyle w:val="p0"/>
        <w:keepLines w:val="0"/>
        <w:spacing w:before="0"/>
        <w:jc w:val="center"/>
        <w:rPr>
          <w:rFonts w:ascii="Arial" w:hAnsi="Arial"/>
          <w:b/>
          <w:smallCaps/>
          <w:color w:val="auto"/>
          <w:sz w:val="22"/>
        </w:rPr>
      </w:pPr>
      <w:r>
        <w:rPr>
          <w:rFonts w:ascii="Arial" w:hAnsi="Arial"/>
          <w:b/>
          <w:smallCaps/>
          <w:color w:val="auto"/>
          <w:sz w:val="22"/>
          <w:szCs w:val="22"/>
        </w:rPr>
        <w:t>de los i</w:t>
      </w:r>
      <w:r w:rsidRPr="00F87E34">
        <w:rPr>
          <w:rFonts w:ascii="Arial" w:hAnsi="Arial"/>
          <w:b/>
          <w:smallCaps/>
          <w:snapToGrid/>
          <w:color w:val="auto"/>
          <w:sz w:val="22"/>
        </w:rPr>
        <w:t>ngresos reales por suministro de bienes y servicios</w:t>
      </w:r>
      <w:r w:rsidRPr="00F87E34">
        <w:rPr>
          <w:rFonts w:ascii="Arial" w:hAnsi="Arial"/>
          <w:b/>
          <w:smallCaps/>
          <w:color w:val="auto"/>
          <w:sz w:val="22"/>
        </w:rPr>
        <w:t xml:space="preserve"> </w:t>
      </w:r>
    </w:p>
    <w:p w14:paraId="5D6B3E32" w14:textId="3220A0BD" w:rsidR="00074DE7" w:rsidRDefault="00074DE7" w:rsidP="00074DE7">
      <w:pPr>
        <w:pStyle w:val="p0"/>
        <w:keepLines w:val="0"/>
        <w:spacing w:before="0"/>
        <w:jc w:val="center"/>
        <w:rPr>
          <w:rFonts w:ascii="Arial" w:hAnsi="Arial"/>
          <w:b/>
          <w:smallCaps/>
          <w:color w:val="auto"/>
          <w:sz w:val="22"/>
        </w:rPr>
      </w:pPr>
      <w:r>
        <w:rPr>
          <w:rFonts w:ascii="Arial" w:hAnsi="Arial"/>
          <w:b/>
          <w:smallCaps/>
          <w:color w:val="auto"/>
          <w:sz w:val="22"/>
        </w:rPr>
        <w:t>de empresas comerciales al por mayor</w:t>
      </w:r>
    </w:p>
    <w:p w14:paraId="05BCB1B2" w14:textId="77777777" w:rsidR="00074DE7" w:rsidRPr="005F4E1E" w:rsidRDefault="00074DE7" w:rsidP="00074DE7">
      <w:pPr>
        <w:pStyle w:val="p0"/>
        <w:keepNext/>
        <w:spacing w:before="0"/>
        <w:jc w:val="center"/>
        <w:rPr>
          <w:rFonts w:ascii="Arial" w:hAnsi="Arial"/>
          <w:color w:val="auto"/>
          <w:sz w:val="20"/>
          <w:szCs w:val="28"/>
          <w:lang w:val="es-MX"/>
        </w:rPr>
      </w:pPr>
      <w:r w:rsidRPr="005F4E1E">
        <w:rPr>
          <w:rFonts w:ascii="Arial" w:hAnsi="Arial"/>
          <w:color w:val="auto"/>
          <w:sz w:val="20"/>
          <w:szCs w:val="28"/>
          <w:lang w:val="es-MX"/>
        </w:rPr>
        <w:t>a septiembre de 2023</w:t>
      </w:r>
    </w:p>
    <w:p w14:paraId="32F99BD5" w14:textId="77777777" w:rsidR="00074DE7" w:rsidRPr="00F87E34" w:rsidRDefault="00074DE7" w:rsidP="00074DE7">
      <w:pPr>
        <w:pStyle w:val="p0"/>
        <w:keepLines w:val="0"/>
        <w:spacing w:before="0"/>
        <w:jc w:val="center"/>
        <w:rPr>
          <w:rFonts w:ascii="Arial" w:hAnsi="Arial"/>
          <w:color w:val="auto"/>
          <w:sz w:val="18"/>
          <w:szCs w:val="18"/>
        </w:rPr>
      </w:pPr>
      <w:r w:rsidRPr="00F87E34">
        <w:rPr>
          <w:rFonts w:ascii="Arial" w:hAnsi="Arial"/>
          <w:smallCaps/>
          <w:color w:val="auto"/>
          <w:sz w:val="18"/>
          <w:szCs w:val="18"/>
        </w:rPr>
        <w:t>(</w:t>
      </w:r>
      <w:r>
        <w:rPr>
          <w:rFonts w:ascii="Arial" w:hAnsi="Arial"/>
          <w:color w:val="auto"/>
          <w:sz w:val="18"/>
          <w:szCs w:val="18"/>
        </w:rPr>
        <w:t>í</w:t>
      </w:r>
      <w:r w:rsidRPr="00F87E34">
        <w:rPr>
          <w:rFonts w:ascii="Arial" w:hAnsi="Arial"/>
          <w:color w:val="auto"/>
          <w:sz w:val="18"/>
          <w:szCs w:val="18"/>
        </w:rPr>
        <w:t>ndice 201</w:t>
      </w:r>
      <w:r>
        <w:rPr>
          <w:rFonts w:ascii="Arial" w:hAnsi="Arial"/>
          <w:color w:val="auto"/>
          <w:sz w:val="18"/>
          <w:szCs w:val="18"/>
        </w:rPr>
        <w:t>8</w:t>
      </w:r>
      <w:r w:rsidRPr="00F87E34">
        <w:rPr>
          <w:rFonts w:ascii="Arial" w:hAnsi="Arial"/>
          <w:color w:val="auto"/>
          <w:sz w:val="18"/>
          <w:szCs w:val="18"/>
        </w:rPr>
        <w:t>=100)</w:t>
      </w:r>
    </w:p>
    <w:p w14:paraId="2CDC0DA0" w14:textId="77777777" w:rsidR="00074DE7" w:rsidRPr="00F87E34" w:rsidRDefault="00074DE7" w:rsidP="00074DE7">
      <w:pPr>
        <w:pStyle w:val="p0"/>
        <w:keepLines w:val="0"/>
        <w:spacing w:before="0"/>
        <w:jc w:val="center"/>
        <w:rPr>
          <w:rFonts w:ascii="Arial" w:hAnsi="Arial"/>
          <w:color w:val="auto"/>
          <w:sz w:val="18"/>
          <w:szCs w:val="18"/>
        </w:rPr>
      </w:pPr>
      <w:r>
        <w:rPr>
          <w:noProof/>
        </w:rPr>
        <w:drawing>
          <wp:inline distT="0" distB="0" distL="0" distR="0" wp14:anchorId="4F215E77" wp14:editId="4E31CEDA">
            <wp:extent cx="5400000" cy="2880000"/>
            <wp:effectExtent l="0" t="0" r="10795" b="15875"/>
            <wp:docPr id="1251775785" name="Gráfico 1251775785">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1038566" w14:textId="3A7FFE0B" w:rsidR="00074DE7" w:rsidRPr="00F24107" w:rsidRDefault="00074DE7" w:rsidP="00074DE7">
      <w:pPr>
        <w:pStyle w:val="Textoindependiente"/>
        <w:spacing w:before="0"/>
        <w:ind w:left="1442" w:right="760" w:hanging="591"/>
        <w:rPr>
          <w:color w:val="auto"/>
          <w:sz w:val="16"/>
          <w:szCs w:val="16"/>
        </w:rPr>
      </w:pPr>
      <w:r w:rsidRPr="00F24107">
        <w:rPr>
          <w:color w:val="auto"/>
          <w:sz w:val="16"/>
          <w:szCs w:val="16"/>
        </w:rPr>
        <w:t>Fuente:</w:t>
      </w:r>
      <w:r>
        <w:rPr>
          <w:color w:val="auto"/>
          <w:sz w:val="16"/>
          <w:szCs w:val="16"/>
        </w:rPr>
        <w:tab/>
      </w:r>
      <w:r w:rsidRPr="00F24107">
        <w:rPr>
          <w:smallCaps/>
          <w:color w:val="auto"/>
          <w:sz w:val="16"/>
          <w:szCs w:val="16"/>
        </w:rPr>
        <w:t>inegi</w:t>
      </w:r>
      <w:r>
        <w:rPr>
          <w:color w:val="auto"/>
          <w:sz w:val="16"/>
          <w:szCs w:val="16"/>
        </w:rPr>
        <w:t xml:space="preserve">. </w:t>
      </w:r>
      <w:r w:rsidRPr="00F24107">
        <w:rPr>
          <w:smallCaps/>
          <w:color w:val="auto"/>
          <w:sz w:val="16"/>
          <w:szCs w:val="16"/>
        </w:rPr>
        <w:t>emec</w:t>
      </w:r>
      <w:r>
        <w:rPr>
          <w:color w:val="auto"/>
          <w:sz w:val="16"/>
          <w:szCs w:val="16"/>
        </w:rPr>
        <w:t>.</w:t>
      </w:r>
      <w:r w:rsidRPr="00F24107">
        <w:rPr>
          <w:color w:val="auto"/>
          <w:sz w:val="16"/>
          <w:szCs w:val="16"/>
        </w:rPr>
        <w:t xml:space="preserve"> Series elaboradas mediante métodos econométricos, 2023.</w:t>
      </w:r>
    </w:p>
    <w:p w14:paraId="0352AB4F" w14:textId="77777777" w:rsidR="00074DE7" w:rsidRDefault="00074DE7" w:rsidP="00074DE7">
      <w:pPr>
        <w:pStyle w:val="Prrafodelista"/>
        <w:spacing w:before="240"/>
        <w:ind w:left="0" w:right="51"/>
        <w:rPr>
          <w:snapToGrid w:val="0"/>
          <w:szCs w:val="22"/>
        </w:rPr>
      </w:pPr>
    </w:p>
    <w:p w14:paraId="26FB24B5" w14:textId="5B41B892" w:rsidR="00ED4D0D" w:rsidRPr="00074DE7" w:rsidRDefault="00273742" w:rsidP="00074DE7">
      <w:pPr>
        <w:pStyle w:val="Prrafodelista"/>
        <w:spacing w:before="240"/>
        <w:ind w:left="0" w:right="51"/>
        <w:rPr>
          <w:snapToGrid w:val="0"/>
          <w:szCs w:val="22"/>
        </w:rPr>
      </w:pPr>
      <w:r w:rsidRPr="00074DE7">
        <w:rPr>
          <w:snapToGrid w:val="0"/>
          <w:szCs w:val="22"/>
        </w:rPr>
        <w:t>A tasa mensual, e</w:t>
      </w:r>
      <w:r w:rsidR="009E2BC4" w:rsidRPr="00074DE7">
        <w:rPr>
          <w:snapToGrid w:val="0"/>
          <w:szCs w:val="22"/>
        </w:rPr>
        <w:t xml:space="preserve">n las </w:t>
      </w:r>
      <w:r w:rsidR="00F819B9" w:rsidRPr="00074DE7">
        <w:rPr>
          <w:snapToGrid w:val="0"/>
          <w:szCs w:val="22"/>
        </w:rPr>
        <w:t>e</w:t>
      </w:r>
      <w:r w:rsidR="009E2BC4" w:rsidRPr="00074DE7">
        <w:rPr>
          <w:snapToGrid w:val="0"/>
          <w:szCs w:val="22"/>
        </w:rPr>
        <w:t xml:space="preserve">mpresas </w:t>
      </w:r>
      <w:r w:rsidR="00F819B9" w:rsidRPr="00074DE7">
        <w:rPr>
          <w:snapToGrid w:val="0"/>
          <w:szCs w:val="22"/>
        </w:rPr>
        <w:t>c</w:t>
      </w:r>
      <w:r w:rsidR="009E2BC4" w:rsidRPr="00074DE7">
        <w:rPr>
          <w:snapToGrid w:val="0"/>
          <w:szCs w:val="22"/>
        </w:rPr>
        <w:t xml:space="preserve">omerciales al por </w:t>
      </w:r>
      <w:r w:rsidR="00F819B9" w:rsidRPr="00074DE7">
        <w:rPr>
          <w:snapToGrid w:val="0"/>
          <w:szCs w:val="22"/>
        </w:rPr>
        <w:t>m</w:t>
      </w:r>
      <w:r w:rsidR="009E2BC4" w:rsidRPr="00074DE7">
        <w:rPr>
          <w:snapToGrid w:val="0"/>
          <w:szCs w:val="22"/>
        </w:rPr>
        <w:t>enor</w:t>
      </w:r>
      <w:r w:rsidR="00B052DE" w:rsidRPr="00074DE7">
        <w:rPr>
          <w:snapToGrid w:val="0"/>
          <w:szCs w:val="22"/>
        </w:rPr>
        <w:t>,</w:t>
      </w:r>
      <w:r w:rsidR="005F72CB" w:rsidRPr="00074DE7">
        <w:rPr>
          <w:snapToGrid w:val="0"/>
          <w:szCs w:val="22"/>
        </w:rPr>
        <w:t xml:space="preserve"> </w:t>
      </w:r>
      <w:r w:rsidR="009E2BC4" w:rsidRPr="00074DE7">
        <w:rPr>
          <w:snapToGrid w:val="0"/>
          <w:szCs w:val="22"/>
        </w:rPr>
        <w:t xml:space="preserve">los </w:t>
      </w:r>
      <w:r w:rsidR="004C75FC" w:rsidRPr="00074DE7">
        <w:rPr>
          <w:snapToGrid w:val="0"/>
          <w:szCs w:val="22"/>
        </w:rPr>
        <w:t>i</w:t>
      </w:r>
      <w:r w:rsidR="009E2BC4" w:rsidRPr="00074DE7">
        <w:rPr>
          <w:snapToGrid w:val="0"/>
          <w:szCs w:val="22"/>
        </w:rPr>
        <w:t>ngresos reales por suministro de bienes y servicios</w:t>
      </w:r>
      <w:r w:rsidR="00C13DFB" w:rsidRPr="00074DE7">
        <w:rPr>
          <w:snapToGrid w:val="0"/>
          <w:szCs w:val="22"/>
        </w:rPr>
        <w:t xml:space="preserve"> </w:t>
      </w:r>
      <w:r w:rsidR="00371C9A" w:rsidRPr="00074DE7">
        <w:rPr>
          <w:snapToGrid w:val="0"/>
          <w:szCs w:val="22"/>
        </w:rPr>
        <w:t>cayeron</w:t>
      </w:r>
      <w:r w:rsidR="00803BE9" w:rsidRPr="00074DE7">
        <w:rPr>
          <w:snapToGrid w:val="0"/>
          <w:szCs w:val="22"/>
        </w:rPr>
        <w:t xml:space="preserve"> </w:t>
      </w:r>
      <w:r w:rsidR="00470E63" w:rsidRPr="00074DE7">
        <w:rPr>
          <w:snapToGrid w:val="0"/>
          <w:szCs w:val="22"/>
        </w:rPr>
        <w:t>0.2 % y el</w:t>
      </w:r>
      <w:r w:rsidR="00C45539" w:rsidRPr="00074DE7">
        <w:rPr>
          <w:snapToGrid w:val="0"/>
          <w:szCs w:val="22"/>
        </w:rPr>
        <w:t xml:space="preserve"> personal ocupado total</w:t>
      </w:r>
      <w:r w:rsidR="000F6236" w:rsidRPr="00074DE7">
        <w:rPr>
          <w:snapToGrid w:val="0"/>
          <w:szCs w:val="22"/>
        </w:rPr>
        <w:t xml:space="preserve"> </w:t>
      </w:r>
      <w:r w:rsidR="00470E63" w:rsidRPr="00074DE7">
        <w:rPr>
          <w:snapToGrid w:val="0"/>
          <w:szCs w:val="22"/>
        </w:rPr>
        <w:t xml:space="preserve">descendió </w:t>
      </w:r>
      <w:r w:rsidR="001A4476" w:rsidRPr="00074DE7">
        <w:rPr>
          <w:snapToGrid w:val="0"/>
          <w:szCs w:val="22"/>
        </w:rPr>
        <w:t>0.</w:t>
      </w:r>
      <w:r w:rsidR="00470E63" w:rsidRPr="00074DE7">
        <w:rPr>
          <w:snapToGrid w:val="0"/>
          <w:szCs w:val="22"/>
        </w:rPr>
        <w:t>4</w:t>
      </w:r>
      <w:r w:rsidR="00740F70" w:rsidRPr="00074DE7">
        <w:rPr>
          <w:snapToGrid w:val="0"/>
          <w:szCs w:val="22"/>
        </w:rPr>
        <w:t xml:space="preserve"> por ciento</w:t>
      </w:r>
      <w:r w:rsidR="00470E63" w:rsidRPr="00074DE7">
        <w:rPr>
          <w:snapToGrid w:val="0"/>
          <w:szCs w:val="22"/>
        </w:rPr>
        <w:t>. L</w:t>
      </w:r>
      <w:r w:rsidR="007C168D" w:rsidRPr="00074DE7">
        <w:rPr>
          <w:snapToGrid w:val="0"/>
          <w:szCs w:val="22"/>
        </w:rPr>
        <w:t>as remuneraciones medias reales</w:t>
      </w:r>
      <w:r w:rsidR="00CE231D" w:rsidRPr="00074DE7">
        <w:rPr>
          <w:snapToGrid w:val="0"/>
          <w:szCs w:val="22"/>
        </w:rPr>
        <w:t xml:space="preserve"> </w:t>
      </w:r>
      <w:r w:rsidR="00371C9A" w:rsidRPr="00074DE7">
        <w:rPr>
          <w:snapToGrid w:val="0"/>
          <w:szCs w:val="22"/>
        </w:rPr>
        <w:t>subieron</w:t>
      </w:r>
      <w:r w:rsidR="00CE231D" w:rsidRPr="00074DE7">
        <w:rPr>
          <w:snapToGrid w:val="0"/>
          <w:szCs w:val="22"/>
        </w:rPr>
        <w:t xml:space="preserve"> </w:t>
      </w:r>
      <w:r w:rsidR="00470E63" w:rsidRPr="00074DE7">
        <w:rPr>
          <w:snapToGrid w:val="0"/>
          <w:szCs w:val="22"/>
        </w:rPr>
        <w:t>0.4</w:t>
      </w:r>
      <w:r w:rsidR="00371C9A" w:rsidRPr="00074DE7">
        <w:rPr>
          <w:snapToGrid w:val="0"/>
          <w:szCs w:val="22"/>
        </w:rPr>
        <w:t xml:space="preserve"> por ciento</w:t>
      </w:r>
      <w:r w:rsidR="00F70DF7" w:rsidRPr="00074DE7">
        <w:rPr>
          <w:snapToGrid w:val="0"/>
          <w:szCs w:val="22"/>
        </w:rPr>
        <w:t>.</w:t>
      </w:r>
    </w:p>
    <w:p w14:paraId="1EF21751" w14:textId="77777777" w:rsidR="00074DE7" w:rsidRDefault="00074DE7" w:rsidP="00074DE7">
      <w:pPr>
        <w:pStyle w:val="Textoindependiente"/>
        <w:widowControl w:val="0"/>
        <w:spacing w:before="0"/>
        <w:jc w:val="center"/>
        <w:rPr>
          <w:b/>
          <w:smallCaps/>
          <w:color w:val="auto"/>
          <w:sz w:val="22"/>
          <w:szCs w:val="22"/>
        </w:rPr>
      </w:pPr>
      <w:r>
        <w:rPr>
          <w:b/>
          <w:smallCaps/>
          <w:color w:val="auto"/>
          <w:sz w:val="22"/>
          <w:szCs w:val="22"/>
        </w:rPr>
        <w:lastRenderedPageBreak/>
        <w:t xml:space="preserve">Series desestacionalizada y de tendencia-ciclo </w:t>
      </w:r>
    </w:p>
    <w:p w14:paraId="48754AA1" w14:textId="77777777" w:rsidR="00074DE7" w:rsidRDefault="00074DE7" w:rsidP="00074DE7">
      <w:pPr>
        <w:pStyle w:val="Textoindependiente"/>
        <w:widowControl w:val="0"/>
        <w:spacing w:before="0"/>
        <w:jc w:val="center"/>
        <w:rPr>
          <w:b/>
          <w:smallCaps/>
          <w:snapToGrid w:val="0"/>
          <w:color w:val="auto"/>
          <w:sz w:val="22"/>
        </w:rPr>
      </w:pPr>
      <w:r>
        <w:rPr>
          <w:b/>
          <w:smallCaps/>
          <w:color w:val="auto"/>
          <w:sz w:val="22"/>
          <w:szCs w:val="22"/>
        </w:rPr>
        <w:t>de los i</w:t>
      </w:r>
      <w:r w:rsidRPr="00F87E34">
        <w:rPr>
          <w:b/>
          <w:smallCaps/>
          <w:snapToGrid w:val="0"/>
          <w:color w:val="auto"/>
          <w:sz w:val="22"/>
        </w:rPr>
        <w:t>ngresos reales por suministro de bienes y servicios</w:t>
      </w:r>
    </w:p>
    <w:p w14:paraId="1BE947FD" w14:textId="735DC29C" w:rsidR="00074DE7" w:rsidRDefault="00074DE7" w:rsidP="00074DE7">
      <w:pPr>
        <w:pStyle w:val="Textoindependiente"/>
        <w:widowControl w:val="0"/>
        <w:spacing w:before="0"/>
        <w:jc w:val="center"/>
        <w:rPr>
          <w:b/>
          <w:smallCaps/>
          <w:snapToGrid w:val="0"/>
          <w:color w:val="auto"/>
          <w:sz w:val="22"/>
        </w:rPr>
      </w:pPr>
      <w:r>
        <w:rPr>
          <w:b/>
          <w:smallCaps/>
          <w:snapToGrid w:val="0"/>
          <w:color w:val="auto"/>
          <w:sz w:val="22"/>
        </w:rPr>
        <w:t>de empresas comerciales al por menor</w:t>
      </w:r>
    </w:p>
    <w:p w14:paraId="56BCD1E9" w14:textId="77777777" w:rsidR="00074DE7" w:rsidRPr="005F4E1E" w:rsidRDefault="00074DE7" w:rsidP="00074DE7">
      <w:pPr>
        <w:pStyle w:val="p0"/>
        <w:keepNext/>
        <w:spacing w:before="0"/>
        <w:jc w:val="center"/>
        <w:rPr>
          <w:rFonts w:ascii="Arial" w:hAnsi="Arial"/>
          <w:color w:val="auto"/>
          <w:sz w:val="20"/>
          <w:szCs w:val="28"/>
          <w:lang w:val="es-MX"/>
        </w:rPr>
      </w:pPr>
      <w:r w:rsidRPr="005F4E1E">
        <w:rPr>
          <w:rFonts w:ascii="Arial" w:hAnsi="Arial"/>
          <w:color w:val="auto"/>
          <w:sz w:val="20"/>
          <w:szCs w:val="28"/>
          <w:lang w:val="es-MX"/>
        </w:rPr>
        <w:t>a septiembre de 2023</w:t>
      </w:r>
    </w:p>
    <w:p w14:paraId="24CDC62A" w14:textId="77777777" w:rsidR="00074DE7" w:rsidRPr="00F87E34" w:rsidRDefault="00074DE7" w:rsidP="00074DE7">
      <w:pPr>
        <w:pStyle w:val="p0"/>
        <w:keepLines w:val="0"/>
        <w:spacing w:before="0"/>
        <w:jc w:val="center"/>
        <w:rPr>
          <w:rFonts w:ascii="Arial" w:hAnsi="Arial"/>
          <w:color w:val="auto"/>
          <w:sz w:val="18"/>
          <w:szCs w:val="18"/>
        </w:rPr>
      </w:pPr>
      <w:r w:rsidRPr="00F87E34">
        <w:rPr>
          <w:rFonts w:ascii="Arial" w:hAnsi="Arial"/>
          <w:smallCaps/>
          <w:color w:val="auto"/>
          <w:sz w:val="18"/>
          <w:szCs w:val="18"/>
        </w:rPr>
        <w:t>(</w:t>
      </w:r>
      <w:r>
        <w:rPr>
          <w:rFonts w:ascii="Arial" w:hAnsi="Arial"/>
          <w:color w:val="auto"/>
          <w:sz w:val="18"/>
          <w:szCs w:val="18"/>
        </w:rPr>
        <w:t>í</w:t>
      </w:r>
      <w:r w:rsidRPr="00F87E34">
        <w:rPr>
          <w:rFonts w:ascii="Arial" w:hAnsi="Arial"/>
          <w:color w:val="auto"/>
          <w:sz w:val="18"/>
          <w:szCs w:val="18"/>
        </w:rPr>
        <w:t>ndice</w:t>
      </w:r>
      <w:r>
        <w:rPr>
          <w:rFonts w:ascii="Arial" w:hAnsi="Arial"/>
          <w:color w:val="auto"/>
          <w:sz w:val="18"/>
          <w:szCs w:val="18"/>
        </w:rPr>
        <w:t xml:space="preserve"> </w:t>
      </w:r>
      <w:r w:rsidRPr="00F87E34">
        <w:rPr>
          <w:rFonts w:ascii="Arial" w:hAnsi="Arial"/>
          <w:color w:val="auto"/>
          <w:sz w:val="18"/>
          <w:szCs w:val="18"/>
        </w:rPr>
        <w:t>201</w:t>
      </w:r>
      <w:r>
        <w:rPr>
          <w:rFonts w:ascii="Arial" w:hAnsi="Arial"/>
          <w:color w:val="auto"/>
          <w:sz w:val="18"/>
          <w:szCs w:val="18"/>
        </w:rPr>
        <w:t>8</w:t>
      </w:r>
      <w:r w:rsidRPr="00F87E34">
        <w:rPr>
          <w:rFonts w:ascii="Arial" w:hAnsi="Arial"/>
          <w:color w:val="auto"/>
          <w:sz w:val="18"/>
          <w:szCs w:val="18"/>
        </w:rPr>
        <w:t>=100)</w:t>
      </w:r>
    </w:p>
    <w:p w14:paraId="05381007" w14:textId="77777777" w:rsidR="00074DE7" w:rsidRPr="00F87E34" w:rsidRDefault="00074DE7" w:rsidP="00074DE7">
      <w:pPr>
        <w:pStyle w:val="p0"/>
        <w:keepLines w:val="0"/>
        <w:spacing w:before="0"/>
        <w:jc w:val="center"/>
        <w:rPr>
          <w:rFonts w:ascii="Arial" w:hAnsi="Arial"/>
          <w:color w:val="auto"/>
          <w:sz w:val="18"/>
          <w:szCs w:val="18"/>
        </w:rPr>
      </w:pPr>
      <w:r>
        <w:rPr>
          <w:noProof/>
        </w:rPr>
        <w:drawing>
          <wp:inline distT="0" distB="0" distL="0" distR="0" wp14:anchorId="68550AFC" wp14:editId="21934AC7">
            <wp:extent cx="5400000" cy="2880000"/>
            <wp:effectExtent l="0" t="0" r="10795" b="15875"/>
            <wp:docPr id="1376190127" name="Gráfico 1376190127">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2CB9D0E" w14:textId="53711B11" w:rsidR="00074DE7" w:rsidRDefault="00074DE7" w:rsidP="00074DE7">
      <w:pPr>
        <w:pStyle w:val="Textoindependiente"/>
        <w:spacing w:before="0"/>
        <w:ind w:left="1442" w:right="760" w:hanging="591"/>
        <w:rPr>
          <w:color w:val="auto"/>
          <w:sz w:val="16"/>
          <w:szCs w:val="16"/>
        </w:rPr>
      </w:pPr>
      <w:r w:rsidRPr="00F24107">
        <w:rPr>
          <w:color w:val="auto"/>
          <w:sz w:val="16"/>
          <w:szCs w:val="16"/>
        </w:rPr>
        <w:t>Fuente:</w:t>
      </w:r>
      <w:r>
        <w:rPr>
          <w:color w:val="auto"/>
          <w:sz w:val="16"/>
          <w:szCs w:val="16"/>
        </w:rPr>
        <w:tab/>
      </w:r>
      <w:r w:rsidRPr="00F24107">
        <w:rPr>
          <w:smallCaps/>
          <w:color w:val="auto"/>
          <w:sz w:val="16"/>
          <w:szCs w:val="16"/>
        </w:rPr>
        <w:t>inegi</w:t>
      </w:r>
      <w:r>
        <w:rPr>
          <w:color w:val="auto"/>
          <w:sz w:val="16"/>
          <w:szCs w:val="16"/>
        </w:rPr>
        <w:t xml:space="preserve">. </w:t>
      </w:r>
      <w:r w:rsidRPr="00F24107">
        <w:rPr>
          <w:smallCaps/>
          <w:color w:val="auto"/>
          <w:sz w:val="16"/>
          <w:szCs w:val="16"/>
        </w:rPr>
        <w:t>emec</w:t>
      </w:r>
      <w:r w:rsidRPr="00F24107">
        <w:rPr>
          <w:color w:val="auto"/>
          <w:sz w:val="16"/>
          <w:szCs w:val="16"/>
        </w:rPr>
        <w:t>. Series elaboradas mediante métodos econométricos, 2023.</w:t>
      </w:r>
    </w:p>
    <w:p w14:paraId="01032F0D" w14:textId="77777777" w:rsidR="00074DE7" w:rsidRDefault="00074DE7" w:rsidP="00074DE7">
      <w:pPr>
        <w:pStyle w:val="Prrafodelista"/>
        <w:spacing w:before="240"/>
        <w:ind w:left="0" w:right="51"/>
        <w:rPr>
          <w:snapToGrid w:val="0"/>
          <w:szCs w:val="22"/>
        </w:rPr>
      </w:pPr>
    </w:p>
    <w:p w14:paraId="0BBC0C53" w14:textId="57054A60" w:rsidR="00B152B9" w:rsidRDefault="00922B25" w:rsidP="00074DE7">
      <w:pPr>
        <w:pStyle w:val="Prrafodelista"/>
        <w:spacing w:before="240"/>
        <w:ind w:left="0" w:right="51"/>
        <w:rPr>
          <w:snapToGrid w:val="0"/>
          <w:szCs w:val="22"/>
        </w:rPr>
      </w:pPr>
      <w:r w:rsidRPr="00074DE7">
        <w:rPr>
          <w:snapToGrid w:val="0"/>
          <w:szCs w:val="22"/>
        </w:rPr>
        <w:t>En</w:t>
      </w:r>
      <w:r w:rsidR="00F728F3" w:rsidRPr="00074DE7">
        <w:rPr>
          <w:snapToGrid w:val="0"/>
          <w:szCs w:val="22"/>
        </w:rPr>
        <w:t xml:space="preserve"> </w:t>
      </w:r>
      <w:r w:rsidR="002B398D" w:rsidRPr="00074DE7">
        <w:rPr>
          <w:snapToGrid w:val="0"/>
          <w:szCs w:val="22"/>
        </w:rPr>
        <w:t>septiembre</w:t>
      </w:r>
      <w:r w:rsidRPr="00074DE7">
        <w:rPr>
          <w:snapToGrid w:val="0"/>
          <w:szCs w:val="22"/>
        </w:rPr>
        <w:t xml:space="preserve"> de </w:t>
      </w:r>
      <w:r w:rsidR="00BA674C" w:rsidRPr="00074DE7">
        <w:rPr>
          <w:snapToGrid w:val="0"/>
          <w:szCs w:val="22"/>
        </w:rPr>
        <w:t>este año</w:t>
      </w:r>
      <w:r w:rsidRPr="00074DE7">
        <w:rPr>
          <w:snapToGrid w:val="0"/>
          <w:szCs w:val="22"/>
        </w:rPr>
        <w:t xml:space="preserve"> y a</w:t>
      </w:r>
      <w:r w:rsidR="00974690" w:rsidRPr="00074DE7">
        <w:rPr>
          <w:snapToGrid w:val="0"/>
          <w:szCs w:val="22"/>
        </w:rPr>
        <w:t xml:space="preserve"> tasa anual</w:t>
      </w:r>
      <w:r w:rsidR="00AF671C" w:rsidRPr="00074DE7">
        <w:rPr>
          <w:snapToGrid w:val="0"/>
          <w:szCs w:val="22"/>
        </w:rPr>
        <w:t xml:space="preserve">, </w:t>
      </w:r>
      <w:r w:rsidR="00974690" w:rsidRPr="00074DE7">
        <w:rPr>
          <w:snapToGrid w:val="0"/>
          <w:szCs w:val="22"/>
        </w:rPr>
        <w:t xml:space="preserve">los datos desestacionalizados del </w:t>
      </w:r>
      <w:r w:rsidR="00F819B9" w:rsidRPr="00074DE7">
        <w:rPr>
          <w:snapToGrid w:val="0"/>
          <w:szCs w:val="22"/>
        </w:rPr>
        <w:t>c</w:t>
      </w:r>
      <w:r w:rsidR="00974690" w:rsidRPr="00074DE7">
        <w:rPr>
          <w:snapToGrid w:val="0"/>
          <w:szCs w:val="22"/>
        </w:rPr>
        <w:t xml:space="preserve">omercio al por </w:t>
      </w:r>
      <w:r w:rsidR="00F819B9" w:rsidRPr="00074DE7">
        <w:rPr>
          <w:snapToGrid w:val="0"/>
          <w:szCs w:val="22"/>
        </w:rPr>
        <w:t>m</w:t>
      </w:r>
      <w:r w:rsidR="00974690" w:rsidRPr="00074DE7">
        <w:rPr>
          <w:snapToGrid w:val="0"/>
          <w:szCs w:val="22"/>
        </w:rPr>
        <w:t xml:space="preserve">ayor </w:t>
      </w:r>
      <w:r w:rsidR="00285F22" w:rsidRPr="00074DE7">
        <w:rPr>
          <w:snapToGrid w:val="0"/>
          <w:szCs w:val="22"/>
        </w:rPr>
        <w:t>s</w:t>
      </w:r>
      <w:r w:rsidR="003F1AAD" w:rsidRPr="00074DE7">
        <w:rPr>
          <w:snapToGrid w:val="0"/>
          <w:szCs w:val="22"/>
        </w:rPr>
        <w:t>e comportaron de la siguiente manera</w:t>
      </w:r>
      <w:r w:rsidR="002A12E5" w:rsidRPr="00074DE7">
        <w:rPr>
          <w:snapToGrid w:val="0"/>
          <w:szCs w:val="22"/>
        </w:rPr>
        <w:t>:</w:t>
      </w:r>
      <w:r w:rsidR="00F74B18" w:rsidRPr="00074DE7">
        <w:rPr>
          <w:snapToGrid w:val="0"/>
          <w:szCs w:val="22"/>
        </w:rPr>
        <w:t xml:space="preserve"> los </w:t>
      </w:r>
      <w:r w:rsidR="004C75FC" w:rsidRPr="00074DE7">
        <w:rPr>
          <w:snapToGrid w:val="0"/>
          <w:szCs w:val="22"/>
        </w:rPr>
        <w:t>i</w:t>
      </w:r>
      <w:r w:rsidR="00F74B18" w:rsidRPr="00074DE7">
        <w:rPr>
          <w:snapToGrid w:val="0"/>
          <w:szCs w:val="22"/>
        </w:rPr>
        <w:t xml:space="preserve">ngresos reales por suministro de bienes y servicios </w:t>
      </w:r>
      <w:r w:rsidR="00371C9A" w:rsidRPr="00074DE7">
        <w:rPr>
          <w:snapToGrid w:val="0"/>
          <w:szCs w:val="22"/>
        </w:rPr>
        <w:t>avanzaron</w:t>
      </w:r>
      <w:r w:rsidR="001A4476" w:rsidRPr="00074DE7">
        <w:rPr>
          <w:snapToGrid w:val="0"/>
          <w:szCs w:val="22"/>
        </w:rPr>
        <w:t xml:space="preserve"> </w:t>
      </w:r>
      <w:r w:rsidR="00470E63" w:rsidRPr="00074DE7">
        <w:rPr>
          <w:snapToGrid w:val="0"/>
          <w:szCs w:val="22"/>
        </w:rPr>
        <w:t>8.5</w:t>
      </w:r>
      <w:r w:rsidR="0026546B" w:rsidRPr="00074DE7">
        <w:rPr>
          <w:snapToGrid w:val="0"/>
          <w:szCs w:val="22"/>
        </w:rPr>
        <w:t> %</w:t>
      </w:r>
      <w:r w:rsidR="00371C9A" w:rsidRPr="00074DE7">
        <w:rPr>
          <w:snapToGrid w:val="0"/>
          <w:szCs w:val="22"/>
        </w:rPr>
        <w:t>;</w:t>
      </w:r>
      <w:r w:rsidR="00C44431" w:rsidRPr="00074DE7">
        <w:rPr>
          <w:snapToGrid w:val="0"/>
          <w:szCs w:val="22"/>
        </w:rPr>
        <w:t xml:space="preserve"> e</w:t>
      </w:r>
      <w:r w:rsidR="00FE1F2C" w:rsidRPr="00074DE7">
        <w:rPr>
          <w:snapToGrid w:val="0"/>
          <w:szCs w:val="22"/>
        </w:rPr>
        <w:t xml:space="preserve">l </w:t>
      </w:r>
      <w:r w:rsidR="00281413" w:rsidRPr="00074DE7">
        <w:rPr>
          <w:snapToGrid w:val="0"/>
          <w:szCs w:val="22"/>
        </w:rPr>
        <w:t>personal ocupado total</w:t>
      </w:r>
      <w:r w:rsidR="00371C9A" w:rsidRPr="00074DE7">
        <w:rPr>
          <w:snapToGrid w:val="0"/>
          <w:szCs w:val="22"/>
        </w:rPr>
        <w:t>,</w:t>
      </w:r>
      <w:r w:rsidR="00065249" w:rsidRPr="00074DE7">
        <w:rPr>
          <w:snapToGrid w:val="0"/>
          <w:szCs w:val="22"/>
        </w:rPr>
        <w:t xml:space="preserve"> </w:t>
      </w:r>
      <w:r w:rsidR="00470E63" w:rsidRPr="00074DE7">
        <w:rPr>
          <w:snapToGrid w:val="0"/>
          <w:szCs w:val="22"/>
        </w:rPr>
        <w:t>1.9</w:t>
      </w:r>
      <w:r w:rsidR="0026546B" w:rsidRPr="00074DE7">
        <w:rPr>
          <w:snapToGrid w:val="0"/>
          <w:szCs w:val="22"/>
        </w:rPr>
        <w:t> %</w:t>
      </w:r>
      <w:r w:rsidR="00BA5B4E" w:rsidRPr="00074DE7">
        <w:rPr>
          <w:snapToGrid w:val="0"/>
          <w:szCs w:val="22"/>
        </w:rPr>
        <w:t xml:space="preserve"> </w:t>
      </w:r>
      <w:r w:rsidR="00065249" w:rsidRPr="00074DE7">
        <w:rPr>
          <w:snapToGrid w:val="0"/>
          <w:szCs w:val="22"/>
        </w:rPr>
        <w:t>y l</w:t>
      </w:r>
      <w:r w:rsidR="00110935" w:rsidRPr="00074DE7">
        <w:rPr>
          <w:snapToGrid w:val="0"/>
          <w:szCs w:val="22"/>
        </w:rPr>
        <w:t>as remuneraciones medias reales pagadas</w:t>
      </w:r>
      <w:r w:rsidR="00371C9A" w:rsidRPr="00074DE7">
        <w:rPr>
          <w:snapToGrid w:val="0"/>
          <w:szCs w:val="22"/>
        </w:rPr>
        <w:t>,</w:t>
      </w:r>
      <w:r w:rsidR="00C44431" w:rsidRPr="00074DE7">
        <w:rPr>
          <w:snapToGrid w:val="0"/>
          <w:szCs w:val="22"/>
        </w:rPr>
        <w:t xml:space="preserve"> </w:t>
      </w:r>
      <w:r w:rsidR="00470E63" w:rsidRPr="00074DE7">
        <w:rPr>
          <w:snapToGrid w:val="0"/>
          <w:szCs w:val="22"/>
        </w:rPr>
        <w:t>9.5</w:t>
      </w:r>
      <w:r w:rsidR="007010F4" w:rsidRPr="00074DE7">
        <w:rPr>
          <w:snapToGrid w:val="0"/>
          <w:szCs w:val="22"/>
        </w:rPr>
        <w:t xml:space="preserve"> </w:t>
      </w:r>
      <w:r w:rsidR="00CC7785" w:rsidRPr="00074DE7">
        <w:rPr>
          <w:snapToGrid w:val="0"/>
          <w:szCs w:val="22"/>
        </w:rPr>
        <w:t>por</w:t>
      </w:r>
      <w:r w:rsidR="007010F4" w:rsidRPr="00074DE7">
        <w:rPr>
          <w:snapToGrid w:val="0"/>
          <w:szCs w:val="22"/>
        </w:rPr>
        <w:t xml:space="preserve"> </w:t>
      </w:r>
      <w:r w:rsidR="00CC7785" w:rsidRPr="00074DE7">
        <w:rPr>
          <w:snapToGrid w:val="0"/>
          <w:szCs w:val="22"/>
        </w:rPr>
        <w:t>ciento</w:t>
      </w:r>
      <w:r w:rsidR="00974690" w:rsidRPr="00074DE7">
        <w:rPr>
          <w:snapToGrid w:val="0"/>
          <w:szCs w:val="22"/>
        </w:rPr>
        <w:t>.</w:t>
      </w:r>
    </w:p>
    <w:p w14:paraId="64B732E8" w14:textId="77777777" w:rsidR="00074DE7" w:rsidRDefault="00074DE7" w:rsidP="00074DE7">
      <w:pPr>
        <w:pStyle w:val="Prrafodelista"/>
        <w:spacing w:before="240"/>
        <w:ind w:left="0" w:right="51"/>
        <w:rPr>
          <w:snapToGrid w:val="0"/>
          <w:szCs w:val="22"/>
        </w:rPr>
      </w:pPr>
    </w:p>
    <w:p w14:paraId="47B34900" w14:textId="77777777" w:rsidR="00074DE7" w:rsidRPr="003D4A98" w:rsidRDefault="00074DE7" w:rsidP="00074DE7">
      <w:pPr>
        <w:pStyle w:val="p01"/>
        <w:keepNext/>
        <w:widowControl w:val="0"/>
        <w:spacing w:before="0"/>
        <w:jc w:val="center"/>
        <w:outlineLvl w:val="0"/>
        <w:rPr>
          <w:rFonts w:ascii="Arial" w:hAnsi="Arial" w:cs="Arial"/>
          <w:b/>
          <w:smallCaps/>
          <w:color w:val="auto"/>
          <w:sz w:val="22"/>
          <w:lang w:val="es-MX"/>
        </w:rPr>
      </w:pPr>
      <w:r w:rsidRPr="003D4A98">
        <w:rPr>
          <w:rFonts w:ascii="Arial" w:hAnsi="Arial" w:cs="Arial"/>
          <w:b/>
          <w:smallCaps/>
          <w:color w:val="auto"/>
          <w:sz w:val="22"/>
        </w:rPr>
        <w:t xml:space="preserve">Variación de los indicadores de </w:t>
      </w:r>
      <w:r w:rsidRPr="003D4A98">
        <w:rPr>
          <w:rFonts w:ascii="Arial" w:hAnsi="Arial" w:cs="Arial"/>
          <w:b/>
          <w:smallCaps/>
          <w:color w:val="auto"/>
          <w:sz w:val="22"/>
          <w:lang w:val="es-MX"/>
        </w:rPr>
        <w:t>empresas comerciales</w:t>
      </w:r>
      <w:r>
        <w:rPr>
          <w:rFonts w:ascii="Arial" w:hAnsi="Arial" w:cs="Arial"/>
          <w:b/>
          <w:smallCaps/>
          <w:color w:val="auto"/>
          <w:sz w:val="22"/>
          <w:lang w:val="es-MX"/>
        </w:rPr>
        <w:t xml:space="preserve"> </w:t>
      </w:r>
      <w:r w:rsidRPr="003D4A98">
        <w:rPr>
          <w:rFonts w:ascii="Arial" w:hAnsi="Arial" w:cs="Arial"/>
          <w:b/>
          <w:smallCaps/>
          <w:color w:val="auto"/>
          <w:sz w:val="22"/>
          <w:lang w:val="es-MX"/>
        </w:rPr>
        <w:t>por sector de actividad</w:t>
      </w:r>
    </w:p>
    <w:p w14:paraId="44045A0B" w14:textId="77777777" w:rsidR="00074DE7" w:rsidRPr="003D4A98" w:rsidRDefault="00074DE7" w:rsidP="00074DE7">
      <w:pPr>
        <w:pStyle w:val="p01"/>
        <w:keepNext/>
        <w:widowControl w:val="0"/>
        <w:spacing w:before="0"/>
        <w:jc w:val="center"/>
        <w:outlineLvl w:val="0"/>
        <w:rPr>
          <w:rFonts w:ascii="Arial" w:hAnsi="Arial" w:cs="Arial"/>
          <w:b/>
          <w:smallCaps/>
          <w:color w:val="auto"/>
          <w:sz w:val="22"/>
          <w:szCs w:val="22"/>
        </w:rPr>
      </w:pPr>
      <w:r w:rsidRPr="003D4A98">
        <w:rPr>
          <w:rFonts w:ascii="Arial" w:hAnsi="Arial" w:cs="Arial"/>
          <w:b/>
          <w:smallCaps/>
          <w:color w:val="auto"/>
          <w:sz w:val="20"/>
        </w:rPr>
        <w:t>cifras desestacionalizadas</w:t>
      </w:r>
    </w:p>
    <w:p w14:paraId="75FF380D" w14:textId="77777777" w:rsidR="00074DE7" w:rsidRPr="003D4A98" w:rsidRDefault="00074DE7" w:rsidP="00074DE7">
      <w:pPr>
        <w:pStyle w:val="p01"/>
        <w:keepNext/>
        <w:widowControl w:val="0"/>
        <w:spacing w:before="0"/>
        <w:jc w:val="center"/>
        <w:outlineLvl w:val="0"/>
        <w:rPr>
          <w:rFonts w:ascii="Arial" w:hAnsi="Arial" w:cs="Arial"/>
          <w:bCs/>
          <w:color w:val="auto"/>
          <w:sz w:val="20"/>
        </w:rPr>
      </w:pPr>
      <w:r w:rsidRPr="003D4A98">
        <w:rPr>
          <w:rFonts w:ascii="Arial" w:hAnsi="Arial" w:cs="Arial"/>
          <w:bCs/>
          <w:color w:val="auto"/>
          <w:sz w:val="20"/>
        </w:rPr>
        <w:t>septiembre de</w:t>
      </w:r>
      <w:r w:rsidRPr="003D4A98">
        <w:rPr>
          <w:rFonts w:ascii="Arial" w:hAnsi="Arial" w:cs="Arial"/>
          <w:bCs/>
          <w:smallCaps/>
          <w:color w:val="auto"/>
          <w:sz w:val="20"/>
        </w:rPr>
        <w:t xml:space="preserve"> </w:t>
      </w:r>
      <w:r w:rsidRPr="003D4A98">
        <w:rPr>
          <w:rFonts w:ascii="Arial" w:hAnsi="Arial" w:cs="Arial"/>
          <w:bCs/>
          <w:color w:val="auto"/>
          <w:sz w:val="20"/>
        </w:rPr>
        <w:t>2023</w:t>
      </w:r>
    </w:p>
    <w:p w14:paraId="5B1645AE" w14:textId="77777777" w:rsidR="00074DE7" w:rsidRPr="00C15DA7" w:rsidRDefault="00074DE7" w:rsidP="00074DE7">
      <w:pPr>
        <w:pStyle w:val="p0"/>
        <w:keepLines w:val="0"/>
        <w:widowControl/>
        <w:spacing w:before="0"/>
        <w:jc w:val="center"/>
        <w:rPr>
          <w:rFonts w:ascii="Arial" w:hAnsi="Arial"/>
          <w:bCs/>
          <w:color w:val="auto"/>
          <w:sz w:val="20"/>
          <w:szCs w:val="20"/>
        </w:rPr>
      </w:pPr>
      <w:r w:rsidRPr="003D4A98">
        <w:rPr>
          <w:rFonts w:ascii="Arial" w:hAnsi="Arial"/>
          <w:bCs/>
          <w:color w:val="auto"/>
          <w:sz w:val="18"/>
          <w:szCs w:val="18"/>
        </w:rPr>
        <w:t>(variación porcentual mensual y anual)</w:t>
      </w:r>
    </w:p>
    <w:tbl>
      <w:tblPr>
        <w:tblStyle w:val="Tablaconcuadrcula"/>
        <w:tblW w:w="4452" w:type="pct"/>
        <w:jc w:val="cente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ook w:val="04A0" w:firstRow="1" w:lastRow="0" w:firstColumn="1" w:lastColumn="0" w:noHBand="0" w:noVBand="1"/>
      </w:tblPr>
      <w:tblGrid>
        <w:gridCol w:w="4167"/>
        <w:gridCol w:w="1174"/>
        <w:gridCol w:w="1176"/>
        <w:gridCol w:w="1176"/>
        <w:gridCol w:w="1174"/>
      </w:tblGrid>
      <w:tr w:rsidR="00074DE7" w:rsidRPr="00F87E34" w14:paraId="351E4D10" w14:textId="77777777" w:rsidTr="006D5A0E">
        <w:trPr>
          <w:trHeight w:val="510"/>
          <w:jc w:val="center"/>
        </w:trPr>
        <w:tc>
          <w:tcPr>
            <w:tcW w:w="2350" w:type="pct"/>
            <w:vMerge w:val="restart"/>
            <w:tcBorders>
              <w:top w:val="single" w:sz="6" w:space="0" w:color="404040"/>
              <w:left w:val="single" w:sz="6" w:space="0" w:color="404040"/>
              <w:bottom w:val="single" w:sz="4" w:space="0" w:color="404040"/>
              <w:right w:val="single" w:sz="4" w:space="0" w:color="404040"/>
            </w:tcBorders>
            <w:shd w:val="clear" w:color="auto" w:fill="D7E4BD"/>
            <w:vAlign w:val="center"/>
            <w:hideMark/>
          </w:tcPr>
          <w:p w14:paraId="007C00E7" w14:textId="77777777" w:rsidR="00074DE7" w:rsidRPr="00F87E34" w:rsidRDefault="00074DE7" w:rsidP="00513D90">
            <w:pPr>
              <w:pStyle w:val="p0"/>
              <w:keepLines w:val="0"/>
              <w:widowControl/>
              <w:spacing w:before="40" w:after="40"/>
              <w:ind w:left="470"/>
              <w:jc w:val="left"/>
              <w:rPr>
                <w:rFonts w:ascii="Arial" w:hAnsi="Arial"/>
                <w:color w:val="000000" w:themeColor="text1"/>
                <w:sz w:val="18"/>
                <w:szCs w:val="18"/>
              </w:rPr>
            </w:pPr>
            <w:r w:rsidRPr="00F87E34">
              <w:rPr>
                <w:rFonts w:ascii="Arial" w:hAnsi="Arial"/>
                <w:color w:val="000000" w:themeColor="text1"/>
                <w:sz w:val="18"/>
                <w:szCs w:val="18"/>
              </w:rPr>
              <w:t>Indicador</w:t>
            </w:r>
            <w:r>
              <w:rPr>
                <w:rFonts w:ascii="Arial" w:hAnsi="Arial"/>
                <w:color w:val="000000" w:themeColor="text1"/>
                <w:sz w:val="18"/>
                <w:szCs w:val="18"/>
              </w:rPr>
              <w:t>es</w:t>
            </w:r>
          </w:p>
        </w:tc>
        <w:tc>
          <w:tcPr>
            <w:tcW w:w="1325" w:type="pct"/>
            <w:gridSpan w:val="2"/>
            <w:tcBorders>
              <w:top w:val="single" w:sz="6" w:space="0" w:color="404040"/>
              <w:left w:val="single" w:sz="4" w:space="0" w:color="404040"/>
              <w:bottom w:val="single" w:sz="4" w:space="0" w:color="404040"/>
              <w:right w:val="single" w:sz="4" w:space="0" w:color="404040"/>
            </w:tcBorders>
            <w:shd w:val="clear" w:color="auto" w:fill="D7E4BD"/>
            <w:vAlign w:val="center"/>
          </w:tcPr>
          <w:p w14:paraId="303B457B" w14:textId="77777777" w:rsidR="00074DE7" w:rsidRPr="00F87E34" w:rsidRDefault="00074DE7" w:rsidP="00513D90">
            <w:pPr>
              <w:pStyle w:val="p0"/>
              <w:keepLines w:val="0"/>
              <w:widowControl/>
              <w:spacing w:before="40" w:after="40"/>
              <w:ind w:left="-105" w:right="-105"/>
              <w:jc w:val="center"/>
              <w:rPr>
                <w:rFonts w:ascii="Arial" w:hAnsi="Arial"/>
                <w:color w:val="auto"/>
                <w:sz w:val="18"/>
                <w:szCs w:val="18"/>
              </w:rPr>
            </w:pPr>
            <w:r w:rsidRPr="00F87E34">
              <w:rPr>
                <w:rFonts w:ascii="Arial" w:hAnsi="Arial"/>
                <w:color w:val="auto"/>
                <w:sz w:val="18"/>
                <w:szCs w:val="18"/>
              </w:rPr>
              <w:t xml:space="preserve">Empresas comerciales </w:t>
            </w:r>
            <w:r w:rsidRPr="00F87E34">
              <w:rPr>
                <w:rFonts w:ascii="Arial" w:hAnsi="Arial"/>
                <w:color w:val="auto"/>
                <w:sz w:val="18"/>
                <w:szCs w:val="18"/>
              </w:rPr>
              <w:br/>
              <w:t>al por mayor</w:t>
            </w:r>
          </w:p>
        </w:tc>
        <w:tc>
          <w:tcPr>
            <w:tcW w:w="1325" w:type="pct"/>
            <w:gridSpan w:val="2"/>
            <w:tcBorders>
              <w:top w:val="single" w:sz="6" w:space="0" w:color="404040"/>
              <w:left w:val="single" w:sz="4" w:space="0" w:color="404040"/>
              <w:bottom w:val="single" w:sz="4" w:space="0" w:color="404040"/>
              <w:right w:val="single" w:sz="6" w:space="0" w:color="404040"/>
            </w:tcBorders>
            <w:shd w:val="clear" w:color="auto" w:fill="D7E4BD"/>
            <w:vAlign w:val="center"/>
          </w:tcPr>
          <w:p w14:paraId="6CE555ED" w14:textId="77777777" w:rsidR="00074DE7" w:rsidRPr="00F87E34" w:rsidRDefault="00074DE7" w:rsidP="00513D90">
            <w:pPr>
              <w:pStyle w:val="p0"/>
              <w:keepLines w:val="0"/>
              <w:widowControl/>
              <w:spacing w:before="40" w:after="40"/>
              <w:ind w:left="-110" w:right="-90"/>
              <w:jc w:val="center"/>
              <w:rPr>
                <w:rFonts w:ascii="Arial" w:hAnsi="Arial"/>
                <w:color w:val="auto"/>
                <w:sz w:val="18"/>
                <w:szCs w:val="18"/>
              </w:rPr>
            </w:pPr>
            <w:r w:rsidRPr="00F87E34">
              <w:rPr>
                <w:rFonts w:ascii="Arial" w:hAnsi="Arial"/>
                <w:color w:val="auto"/>
                <w:sz w:val="18"/>
                <w:szCs w:val="18"/>
              </w:rPr>
              <w:t xml:space="preserve">Empresas comerciales </w:t>
            </w:r>
            <w:r w:rsidRPr="00F87E34">
              <w:rPr>
                <w:rFonts w:ascii="Arial" w:hAnsi="Arial"/>
                <w:color w:val="auto"/>
                <w:sz w:val="18"/>
                <w:szCs w:val="18"/>
              </w:rPr>
              <w:br/>
              <w:t>al por menor</w:t>
            </w:r>
          </w:p>
        </w:tc>
      </w:tr>
      <w:tr w:rsidR="00074DE7" w:rsidRPr="00F87E34" w14:paraId="05943975" w14:textId="77777777" w:rsidTr="006A5791">
        <w:trPr>
          <w:trHeight w:val="283"/>
          <w:jc w:val="center"/>
        </w:trPr>
        <w:tc>
          <w:tcPr>
            <w:tcW w:w="2350" w:type="pct"/>
            <w:vMerge/>
            <w:tcBorders>
              <w:top w:val="single" w:sz="4" w:space="0" w:color="404040"/>
              <w:left w:val="single" w:sz="6" w:space="0" w:color="404040"/>
              <w:bottom w:val="single" w:sz="4" w:space="0" w:color="404040"/>
              <w:right w:val="single" w:sz="4" w:space="0" w:color="404040"/>
            </w:tcBorders>
            <w:shd w:val="clear" w:color="auto" w:fill="D7E4BD"/>
            <w:vAlign w:val="center"/>
          </w:tcPr>
          <w:p w14:paraId="667F2684" w14:textId="77777777" w:rsidR="00074DE7" w:rsidRPr="00F87E34" w:rsidRDefault="00074DE7" w:rsidP="00513D90">
            <w:pPr>
              <w:pStyle w:val="p0"/>
              <w:keepLines w:val="0"/>
              <w:widowControl/>
              <w:spacing w:before="40" w:after="40"/>
              <w:jc w:val="center"/>
              <w:rPr>
                <w:rFonts w:ascii="Arial" w:hAnsi="Arial"/>
                <w:color w:val="000000" w:themeColor="text1"/>
                <w:sz w:val="20"/>
              </w:rPr>
            </w:pPr>
          </w:p>
        </w:tc>
        <w:tc>
          <w:tcPr>
            <w:tcW w:w="2650" w:type="pct"/>
            <w:gridSpan w:val="4"/>
            <w:tcBorders>
              <w:top w:val="single" w:sz="4" w:space="0" w:color="404040"/>
              <w:left w:val="single" w:sz="4" w:space="0" w:color="404040"/>
              <w:bottom w:val="single" w:sz="4" w:space="0" w:color="404040"/>
              <w:right w:val="single" w:sz="6" w:space="0" w:color="404040"/>
            </w:tcBorders>
            <w:shd w:val="clear" w:color="auto" w:fill="D7E4BD"/>
            <w:vAlign w:val="center"/>
          </w:tcPr>
          <w:p w14:paraId="36F58FA3" w14:textId="77777777" w:rsidR="00074DE7" w:rsidRPr="007010F4" w:rsidRDefault="00074DE7" w:rsidP="00513D90">
            <w:pPr>
              <w:pStyle w:val="p0"/>
              <w:keepLines w:val="0"/>
              <w:widowControl/>
              <w:spacing w:before="0"/>
              <w:jc w:val="center"/>
              <w:rPr>
                <w:rFonts w:ascii="Arial" w:hAnsi="Arial"/>
                <w:color w:val="000000" w:themeColor="text1"/>
                <w:sz w:val="18"/>
                <w:szCs w:val="18"/>
              </w:rPr>
            </w:pPr>
            <w:r w:rsidRPr="007010F4">
              <w:rPr>
                <w:rFonts w:ascii="Arial" w:hAnsi="Arial"/>
                <w:color w:val="000000" w:themeColor="text1"/>
                <w:sz w:val="18"/>
                <w:szCs w:val="18"/>
              </w:rPr>
              <w:t xml:space="preserve">variación </w:t>
            </w:r>
            <w:r>
              <w:rPr>
                <w:rFonts w:ascii="Arial" w:hAnsi="Arial"/>
                <w:color w:val="000000" w:themeColor="text1"/>
                <w:sz w:val="18"/>
                <w:szCs w:val="18"/>
              </w:rPr>
              <w:t xml:space="preserve">porcentual </w:t>
            </w:r>
            <w:r w:rsidRPr="006D5A0E">
              <w:rPr>
                <w:rFonts w:ascii="Arial" w:hAnsi="Arial"/>
                <w:color w:val="000000" w:themeColor="text1"/>
                <w:sz w:val="18"/>
                <w:szCs w:val="18"/>
              </w:rPr>
              <w:t>respecto a</w:t>
            </w:r>
            <w:r>
              <w:rPr>
                <w:rFonts w:ascii="Arial" w:hAnsi="Arial"/>
                <w:color w:val="000000" w:themeColor="text1"/>
                <w:sz w:val="18"/>
                <w:szCs w:val="18"/>
              </w:rPr>
              <w:t>:</w:t>
            </w:r>
          </w:p>
        </w:tc>
      </w:tr>
      <w:tr w:rsidR="00074DE7" w:rsidRPr="00F87E34" w14:paraId="1F181261" w14:textId="77777777" w:rsidTr="006A5791">
        <w:trPr>
          <w:trHeight w:val="283"/>
          <w:jc w:val="center"/>
        </w:trPr>
        <w:tc>
          <w:tcPr>
            <w:tcW w:w="2350" w:type="pct"/>
            <w:vMerge/>
            <w:tcBorders>
              <w:top w:val="single" w:sz="4" w:space="0" w:color="404040"/>
              <w:left w:val="single" w:sz="6" w:space="0" w:color="404040"/>
              <w:bottom w:val="single" w:sz="4" w:space="0" w:color="404040"/>
              <w:right w:val="single" w:sz="4" w:space="0" w:color="404040"/>
            </w:tcBorders>
            <w:shd w:val="clear" w:color="auto" w:fill="D7E4BD"/>
            <w:vAlign w:val="center"/>
          </w:tcPr>
          <w:p w14:paraId="226CFDCB" w14:textId="77777777" w:rsidR="00074DE7" w:rsidRPr="00F87E34" w:rsidRDefault="00074DE7" w:rsidP="00513D90">
            <w:pPr>
              <w:pStyle w:val="p0"/>
              <w:keepLines w:val="0"/>
              <w:widowControl/>
              <w:spacing w:before="40" w:after="40"/>
              <w:jc w:val="left"/>
              <w:rPr>
                <w:rFonts w:ascii="Arial" w:hAnsi="Arial"/>
                <w:color w:val="000000" w:themeColor="text1"/>
                <w:sz w:val="18"/>
                <w:szCs w:val="18"/>
              </w:rPr>
            </w:pPr>
          </w:p>
        </w:tc>
        <w:tc>
          <w:tcPr>
            <w:tcW w:w="662" w:type="pct"/>
            <w:tcBorders>
              <w:top w:val="single" w:sz="4" w:space="0" w:color="404040"/>
              <w:left w:val="single" w:sz="4" w:space="0" w:color="404040"/>
              <w:bottom w:val="single" w:sz="4" w:space="0" w:color="404040"/>
              <w:right w:val="single" w:sz="4" w:space="0" w:color="404040"/>
            </w:tcBorders>
            <w:shd w:val="clear" w:color="auto" w:fill="D7E4BD"/>
            <w:vAlign w:val="center"/>
          </w:tcPr>
          <w:p w14:paraId="4A5128BE" w14:textId="77777777" w:rsidR="00074DE7" w:rsidRPr="006D5A0E" w:rsidRDefault="00074DE7" w:rsidP="00513D90">
            <w:pPr>
              <w:jc w:val="center"/>
              <w:rPr>
                <w:sz w:val="18"/>
                <w:szCs w:val="18"/>
              </w:rPr>
            </w:pPr>
            <w:r>
              <w:rPr>
                <w:sz w:val="18"/>
                <w:szCs w:val="18"/>
              </w:rPr>
              <w:t>agost</w:t>
            </w:r>
            <w:r w:rsidRPr="006D5A0E">
              <w:rPr>
                <w:sz w:val="18"/>
                <w:szCs w:val="18"/>
              </w:rPr>
              <w:t xml:space="preserve">o </w:t>
            </w:r>
            <w:r>
              <w:rPr>
                <w:sz w:val="18"/>
                <w:szCs w:val="18"/>
              </w:rPr>
              <w:br/>
            </w:r>
            <w:r w:rsidRPr="006D5A0E">
              <w:rPr>
                <w:sz w:val="18"/>
                <w:szCs w:val="18"/>
              </w:rPr>
              <w:t>de 2023</w:t>
            </w:r>
          </w:p>
        </w:tc>
        <w:tc>
          <w:tcPr>
            <w:tcW w:w="663" w:type="pct"/>
            <w:tcBorders>
              <w:top w:val="single" w:sz="4" w:space="0" w:color="404040"/>
              <w:left w:val="single" w:sz="4" w:space="0" w:color="404040"/>
              <w:bottom w:val="single" w:sz="4" w:space="0" w:color="404040"/>
              <w:right w:val="single" w:sz="4" w:space="0" w:color="404040"/>
            </w:tcBorders>
            <w:shd w:val="clear" w:color="auto" w:fill="D7E4BD"/>
            <w:vAlign w:val="center"/>
          </w:tcPr>
          <w:p w14:paraId="2694CC41" w14:textId="77777777" w:rsidR="00074DE7" w:rsidRPr="006D5A0E" w:rsidRDefault="00074DE7" w:rsidP="00513D90">
            <w:pPr>
              <w:jc w:val="center"/>
              <w:rPr>
                <w:sz w:val="18"/>
                <w:szCs w:val="18"/>
              </w:rPr>
            </w:pPr>
            <w:r>
              <w:rPr>
                <w:sz w:val="18"/>
                <w:szCs w:val="18"/>
              </w:rPr>
              <w:t>septiembre</w:t>
            </w:r>
            <w:r w:rsidRPr="006D5A0E">
              <w:rPr>
                <w:sz w:val="18"/>
                <w:szCs w:val="18"/>
              </w:rPr>
              <w:t xml:space="preserve"> </w:t>
            </w:r>
            <w:r>
              <w:rPr>
                <w:sz w:val="18"/>
                <w:szCs w:val="18"/>
              </w:rPr>
              <w:br/>
            </w:r>
            <w:r w:rsidRPr="006D5A0E">
              <w:rPr>
                <w:sz w:val="18"/>
                <w:szCs w:val="18"/>
              </w:rPr>
              <w:t>de 2022</w:t>
            </w:r>
          </w:p>
        </w:tc>
        <w:tc>
          <w:tcPr>
            <w:tcW w:w="663" w:type="pct"/>
            <w:tcBorders>
              <w:top w:val="single" w:sz="4" w:space="0" w:color="404040"/>
              <w:left w:val="single" w:sz="4" w:space="0" w:color="404040"/>
              <w:bottom w:val="single" w:sz="4" w:space="0" w:color="404040"/>
              <w:right w:val="single" w:sz="4" w:space="0" w:color="404040"/>
            </w:tcBorders>
            <w:shd w:val="clear" w:color="auto" w:fill="D7E4BD"/>
            <w:vAlign w:val="center"/>
          </w:tcPr>
          <w:p w14:paraId="356C9B2D" w14:textId="77777777" w:rsidR="00074DE7" w:rsidRPr="00944C6C" w:rsidRDefault="00074DE7" w:rsidP="00513D90">
            <w:pPr>
              <w:jc w:val="center"/>
              <w:rPr>
                <w:sz w:val="18"/>
                <w:szCs w:val="18"/>
              </w:rPr>
            </w:pPr>
            <w:r>
              <w:rPr>
                <w:sz w:val="18"/>
                <w:szCs w:val="18"/>
              </w:rPr>
              <w:t>agosto</w:t>
            </w:r>
            <w:r w:rsidRPr="006D5A0E">
              <w:rPr>
                <w:sz w:val="18"/>
                <w:szCs w:val="18"/>
              </w:rPr>
              <w:t xml:space="preserve"> </w:t>
            </w:r>
            <w:r>
              <w:rPr>
                <w:sz w:val="18"/>
                <w:szCs w:val="18"/>
              </w:rPr>
              <w:br/>
            </w:r>
            <w:r w:rsidRPr="006D5A0E">
              <w:rPr>
                <w:sz w:val="18"/>
                <w:szCs w:val="18"/>
              </w:rPr>
              <w:t>de 2023</w:t>
            </w:r>
          </w:p>
        </w:tc>
        <w:tc>
          <w:tcPr>
            <w:tcW w:w="662" w:type="pct"/>
            <w:tcBorders>
              <w:top w:val="single" w:sz="4" w:space="0" w:color="404040"/>
              <w:left w:val="single" w:sz="4" w:space="0" w:color="404040"/>
              <w:bottom w:val="single" w:sz="4" w:space="0" w:color="404040"/>
              <w:right w:val="single" w:sz="6" w:space="0" w:color="404040"/>
            </w:tcBorders>
            <w:shd w:val="clear" w:color="auto" w:fill="D7E4BD"/>
            <w:vAlign w:val="center"/>
          </w:tcPr>
          <w:p w14:paraId="2289E4B7" w14:textId="77777777" w:rsidR="00074DE7" w:rsidRPr="00944C6C" w:rsidRDefault="00074DE7" w:rsidP="00513D90">
            <w:pPr>
              <w:jc w:val="center"/>
              <w:rPr>
                <w:sz w:val="18"/>
                <w:szCs w:val="18"/>
              </w:rPr>
            </w:pPr>
            <w:r>
              <w:rPr>
                <w:sz w:val="18"/>
                <w:szCs w:val="18"/>
              </w:rPr>
              <w:t>septiembre</w:t>
            </w:r>
            <w:r w:rsidRPr="006D5A0E">
              <w:rPr>
                <w:sz w:val="18"/>
                <w:szCs w:val="18"/>
              </w:rPr>
              <w:t xml:space="preserve"> </w:t>
            </w:r>
            <w:r>
              <w:rPr>
                <w:sz w:val="18"/>
                <w:szCs w:val="18"/>
              </w:rPr>
              <w:br/>
            </w:r>
            <w:r w:rsidRPr="006D5A0E">
              <w:rPr>
                <w:sz w:val="18"/>
                <w:szCs w:val="18"/>
              </w:rPr>
              <w:t>de 2022</w:t>
            </w:r>
          </w:p>
        </w:tc>
      </w:tr>
      <w:tr w:rsidR="00074DE7" w:rsidRPr="00F87E34" w14:paraId="5BE4B9D3" w14:textId="77777777" w:rsidTr="002166EB">
        <w:trPr>
          <w:trHeight w:val="340"/>
          <w:jc w:val="center"/>
        </w:trPr>
        <w:tc>
          <w:tcPr>
            <w:tcW w:w="2350" w:type="pct"/>
            <w:tcBorders>
              <w:top w:val="single" w:sz="4" w:space="0" w:color="404040"/>
              <w:left w:val="single" w:sz="6" w:space="0" w:color="404040"/>
              <w:bottom w:val="nil"/>
              <w:right w:val="single" w:sz="4" w:space="0" w:color="404040"/>
            </w:tcBorders>
            <w:shd w:val="clear" w:color="auto" w:fill="auto"/>
            <w:vAlign w:val="center"/>
            <w:hideMark/>
          </w:tcPr>
          <w:p w14:paraId="7985DB2B" w14:textId="77777777" w:rsidR="00074DE7" w:rsidRPr="00F87E34" w:rsidRDefault="00074DE7" w:rsidP="00513D90">
            <w:pPr>
              <w:pStyle w:val="p0"/>
              <w:keepLines w:val="0"/>
              <w:widowControl/>
              <w:spacing w:before="40" w:after="40"/>
              <w:jc w:val="left"/>
              <w:rPr>
                <w:rFonts w:ascii="Arial" w:hAnsi="Arial"/>
                <w:color w:val="000000" w:themeColor="text1"/>
                <w:sz w:val="18"/>
                <w:szCs w:val="18"/>
              </w:rPr>
            </w:pPr>
            <w:r w:rsidRPr="00F87E34">
              <w:rPr>
                <w:rFonts w:ascii="Arial" w:hAnsi="Arial"/>
                <w:color w:val="000000" w:themeColor="text1"/>
                <w:sz w:val="18"/>
                <w:szCs w:val="18"/>
              </w:rPr>
              <w:t>Ingresos por suministro de bienes y servicios*</w:t>
            </w:r>
          </w:p>
        </w:tc>
        <w:tc>
          <w:tcPr>
            <w:tcW w:w="662" w:type="pct"/>
            <w:tcBorders>
              <w:top w:val="single" w:sz="4" w:space="0" w:color="404040"/>
              <w:left w:val="single" w:sz="4" w:space="0" w:color="404040"/>
              <w:bottom w:val="nil"/>
              <w:right w:val="single" w:sz="4" w:space="0" w:color="404040"/>
            </w:tcBorders>
            <w:shd w:val="clear" w:color="auto" w:fill="auto"/>
            <w:vAlign w:val="center"/>
          </w:tcPr>
          <w:p w14:paraId="1F35E8D9" w14:textId="77777777" w:rsidR="00074DE7" w:rsidRPr="00623910" w:rsidRDefault="00074DE7" w:rsidP="00513D90">
            <w:pPr>
              <w:tabs>
                <w:tab w:val="decimal" w:pos="466"/>
              </w:tabs>
              <w:jc w:val="left"/>
              <w:rPr>
                <w:sz w:val="18"/>
                <w:szCs w:val="18"/>
              </w:rPr>
            </w:pPr>
            <w:r>
              <w:rPr>
                <w:color w:val="000000"/>
                <w:sz w:val="18"/>
                <w:szCs w:val="18"/>
              </w:rPr>
              <w:t>3.9</w:t>
            </w:r>
          </w:p>
        </w:tc>
        <w:tc>
          <w:tcPr>
            <w:tcW w:w="663" w:type="pct"/>
            <w:tcBorders>
              <w:top w:val="single" w:sz="4" w:space="0" w:color="404040"/>
              <w:left w:val="single" w:sz="4" w:space="0" w:color="404040"/>
              <w:bottom w:val="nil"/>
              <w:right w:val="single" w:sz="4" w:space="0" w:color="404040"/>
            </w:tcBorders>
            <w:shd w:val="clear" w:color="auto" w:fill="auto"/>
            <w:vAlign w:val="center"/>
          </w:tcPr>
          <w:p w14:paraId="723299C8" w14:textId="77777777" w:rsidR="00074DE7" w:rsidRPr="00623910" w:rsidRDefault="00074DE7" w:rsidP="00513D90">
            <w:pPr>
              <w:tabs>
                <w:tab w:val="decimal" w:pos="466"/>
              </w:tabs>
              <w:jc w:val="left"/>
              <w:rPr>
                <w:sz w:val="18"/>
                <w:szCs w:val="18"/>
              </w:rPr>
            </w:pPr>
            <w:r>
              <w:rPr>
                <w:color w:val="000000"/>
                <w:sz w:val="18"/>
                <w:szCs w:val="18"/>
              </w:rPr>
              <w:t>8.5</w:t>
            </w:r>
          </w:p>
        </w:tc>
        <w:tc>
          <w:tcPr>
            <w:tcW w:w="663" w:type="pct"/>
            <w:tcBorders>
              <w:top w:val="single" w:sz="4" w:space="0" w:color="404040"/>
              <w:left w:val="single" w:sz="4" w:space="0" w:color="404040"/>
              <w:bottom w:val="nil"/>
              <w:right w:val="single" w:sz="4" w:space="0" w:color="404040"/>
            </w:tcBorders>
            <w:shd w:val="clear" w:color="auto" w:fill="auto"/>
            <w:vAlign w:val="center"/>
          </w:tcPr>
          <w:p w14:paraId="1A427C67" w14:textId="77777777" w:rsidR="00074DE7" w:rsidRPr="00623910" w:rsidRDefault="00074DE7" w:rsidP="00513D90">
            <w:pPr>
              <w:tabs>
                <w:tab w:val="decimal" w:pos="459"/>
              </w:tabs>
              <w:jc w:val="left"/>
              <w:rPr>
                <w:sz w:val="18"/>
                <w:szCs w:val="18"/>
              </w:rPr>
            </w:pPr>
            <w:r>
              <w:rPr>
                <w:color w:val="000000"/>
                <w:sz w:val="18"/>
                <w:szCs w:val="18"/>
              </w:rPr>
              <w:t>-0.2</w:t>
            </w:r>
          </w:p>
        </w:tc>
        <w:tc>
          <w:tcPr>
            <w:tcW w:w="662" w:type="pct"/>
            <w:tcBorders>
              <w:top w:val="single" w:sz="4" w:space="0" w:color="404040"/>
              <w:left w:val="single" w:sz="4" w:space="0" w:color="404040"/>
              <w:bottom w:val="nil"/>
              <w:right w:val="single" w:sz="6" w:space="0" w:color="404040"/>
            </w:tcBorders>
            <w:shd w:val="clear" w:color="auto" w:fill="auto"/>
            <w:vAlign w:val="center"/>
          </w:tcPr>
          <w:p w14:paraId="03AB40E1" w14:textId="77777777" w:rsidR="00074DE7" w:rsidRPr="00623910" w:rsidRDefault="00074DE7" w:rsidP="00513D90">
            <w:pPr>
              <w:tabs>
                <w:tab w:val="decimal" w:pos="466"/>
              </w:tabs>
              <w:jc w:val="left"/>
              <w:rPr>
                <w:sz w:val="18"/>
                <w:szCs w:val="18"/>
              </w:rPr>
            </w:pPr>
            <w:r>
              <w:rPr>
                <w:color w:val="000000"/>
                <w:sz w:val="18"/>
                <w:szCs w:val="18"/>
              </w:rPr>
              <w:t>2.6</w:t>
            </w:r>
          </w:p>
        </w:tc>
      </w:tr>
      <w:tr w:rsidR="00074DE7" w:rsidRPr="00F87E34" w14:paraId="78AB8E79" w14:textId="77777777" w:rsidTr="002166EB">
        <w:trPr>
          <w:trHeight w:val="340"/>
          <w:jc w:val="center"/>
        </w:trPr>
        <w:tc>
          <w:tcPr>
            <w:tcW w:w="2350" w:type="pct"/>
            <w:tcBorders>
              <w:top w:val="nil"/>
              <w:left w:val="single" w:sz="6" w:space="0" w:color="404040"/>
              <w:bottom w:val="nil"/>
              <w:right w:val="single" w:sz="4" w:space="0" w:color="404040"/>
            </w:tcBorders>
            <w:shd w:val="clear" w:color="auto" w:fill="auto"/>
            <w:vAlign w:val="center"/>
            <w:hideMark/>
          </w:tcPr>
          <w:p w14:paraId="70B9B56E" w14:textId="77777777" w:rsidR="00074DE7" w:rsidRPr="00F87E34" w:rsidRDefault="00074DE7" w:rsidP="00513D90">
            <w:pPr>
              <w:pStyle w:val="p0"/>
              <w:keepLines w:val="0"/>
              <w:widowControl/>
              <w:spacing w:before="40" w:after="40"/>
              <w:jc w:val="left"/>
              <w:rPr>
                <w:rFonts w:ascii="Arial" w:hAnsi="Arial"/>
                <w:color w:val="000000" w:themeColor="text1"/>
                <w:sz w:val="18"/>
                <w:szCs w:val="18"/>
              </w:rPr>
            </w:pPr>
            <w:r w:rsidRPr="00F87E34">
              <w:rPr>
                <w:rFonts w:ascii="Arial" w:hAnsi="Arial"/>
                <w:color w:val="000000" w:themeColor="text1"/>
                <w:sz w:val="18"/>
                <w:szCs w:val="18"/>
              </w:rPr>
              <w:t>Personal ocupado total</w:t>
            </w:r>
          </w:p>
        </w:tc>
        <w:tc>
          <w:tcPr>
            <w:tcW w:w="662" w:type="pct"/>
            <w:tcBorders>
              <w:top w:val="nil"/>
              <w:left w:val="single" w:sz="4" w:space="0" w:color="404040"/>
              <w:bottom w:val="nil"/>
              <w:right w:val="single" w:sz="4" w:space="0" w:color="404040"/>
            </w:tcBorders>
            <w:shd w:val="clear" w:color="auto" w:fill="auto"/>
            <w:vAlign w:val="center"/>
          </w:tcPr>
          <w:p w14:paraId="1F723EBD" w14:textId="77777777" w:rsidR="00074DE7" w:rsidRPr="00623910" w:rsidRDefault="00074DE7" w:rsidP="00513D90">
            <w:pPr>
              <w:tabs>
                <w:tab w:val="decimal" w:pos="466"/>
              </w:tabs>
              <w:jc w:val="left"/>
              <w:rPr>
                <w:sz w:val="18"/>
                <w:szCs w:val="18"/>
              </w:rPr>
            </w:pPr>
            <w:r>
              <w:rPr>
                <w:color w:val="000000"/>
                <w:sz w:val="18"/>
                <w:szCs w:val="18"/>
              </w:rPr>
              <w:t>-0.3</w:t>
            </w:r>
          </w:p>
        </w:tc>
        <w:tc>
          <w:tcPr>
            <w:tcW w:w="663" w:type="pct"/>
            <w:tcBorders>
              <w:top w:val="nil"/>
              <w:left w:val="single" w:sz="4" w:space="0" w:color="404040"/>
              <w:bottom w:val="nil"/>
              <w:right w:val="single" w:sz="4" w:space="0" w:color="404040"/>
            </w:tcBorders>
            <w:shd w:val="clear" w:color="auto" w:fill="auto"/>
            <w:vAlign w:val="center"/>
          </w:tcPr>
          <w:p w14:paraId="7CDDA336" w14:textId="77777777" w:rsidR="00074DE7" w:rsidRPr="00623910" w:rsidRDefault="00074DE7" w:rsidP="00513D90">
            <w:pPr>
              <w:tabs>
                <w:tab w:val="decimal" w:pos="466"/>
              </w:tabs>
              <w:jc w:val="left"/>
              <w:rPr>
                <w:sz w:val="18"/>
                <w:szCs w:val="18"/>
              </w:rPr>
            </w:pPr>
            <w:r>
              <w:rPr>
                <w:color w:val="000000"/>
                <w:sz w:val="18"/>
                <w:szCs w:val="18"/>
              </w:rPr>
              <w:t>1.9</w:t>
            </w:r>
          </w:p>
        </w:tc>
        <w:tc>
          <w:tcPr>
            <w:tcW w:w="663" w:type="pct"/>
            <w:tcBorders>
              <w:top w:val="nil"/>
              <w:left w:val="single" w:sz="4" w:space="0" w:color="404040"/>
              <w:bottom w:val="nil"/>
              <w:right w:val="single" w:sz="4" w:space="0" w:color="404040"/>
            </w:tcBorders>
            <w:shd w:val="clear" w:color="auto" w:fill="auto"/>
            <w:vAlign w:val="center"/>
          </w:tcPr>
          <w:p w14:paraId="5DCB448E" w14:textId="77777777" w:rsidR="00074DE7" w:rsidRPr="00623910" w:rsidRDefault="00074DE7" w:rsidP="00513D90">
            <w:pPr>
              <w:tabs>
                <w:tab w:val="decimal" w:pos="459"/>
              </w:tabs>
              <w:jc w:val="left"/>
              <w:rPr>
                <w:sz w:val="18"/>
                <w:szCs w:val="18"/>
              </w:rPr>
            </w:pPr>
            <w:r>
              <w:rPr>
                <w:color w:val="000000"/>
                <w:sz w:val="18"/>
                <w:szCs w:val="18"/>
              </w:rPr>
              <w:t>-0.4</w:t>
            </w:r>
          </w:p>
        </w:tc>
        <w:tc>
          <w:tcPr>
            <w:tcW w:w="662" w:type="pct"/>
            <w:tcBorders>
              <w:top w:val="nil"/>
              <w:left w:val="single" w:sz="4" w:space="0" w:color="404040"/>
              <w:bottom w:val="nil"/>
              <w:right w:val="single" w:sz="6" w:space="0" w:color="404040"/>
            </w:tcBorders>
            <w:shd w:val="clear" w:color="auto" w:fill="auto"/>
            <w:vAlign w:val="center"/>
          </w:tcPr>
          <w:p w14:paraId="5A11D1D4" w14:textId="77777777" w:rsidR="00074DE7" w:rsidRPr="00623910" w:rsidRDefault="00074DE7" w:rsidP="00513D90">
            <w:pPr>
              <w:tabs>
                <w:tab w:val="decimal" w:pos="466"/>
              </w:tabs>
              <w:jc w:val="left"/>
              <w:rPr>
                <w:sz w:val="18"/>
                <w:szCs w:val="18"/>
              </w:rPr>
            </w:pPr>
            <w:r>
              <w:rPr>
                <w:color w:val="000000"/>
                <w:sz w:val="18"/>
                <w:szCs w:val="18"/>
              </w:rPr>
              <w:t>0.7</w:t>
            </w:r>
          </w:p>
        </w:tc>
      </w:tr>
      <w:tr w:rsidR="00074DE7" w:rsidRPr="00F87E34" w14:paraId="5D73BD8E" w14:textId="77777777" w:rsidTr="002166EB">
        <w:trPr>
          <w:trHeight w:val="340"/>
          <w:jc w:val="center"/>
        </w:trPr>
        <w:tc>
          <w:tcPr>
            <w:tcW w:w="2350" w:type="pct"/>
            <w:tcBorders>
              <w:top w:val="nil"/>
              <w:left w:val="single" w:sz="6" w:space="0" w:color="404040"/>
              <w:bottom w:val="single" w:sz="6" w:space="0" w:color="404040"/>
              <w:right w:val="single" w:sz="4" w:space="0" w:color="404040"/>
            </w:tcBorders>
            <w:shd w:val="clear" w:color="auto" w:fill="auto"/>
            <w:vAlign w:val="center"/>
            <w:hideMark/>
          </w:tcPr>
          <w:p w14:paraId="6885BDB4" w14:textId="77777777" w:rsidR="00074DE7" w:rsidRPr="00F87E34" w:rsidRDefault="00074DE7" w:rsidP="00513D90">
            <w:pPr>
              <w:pStyle w:val="p0"/>
              <w:keepLines w:val="0"/>
              <w:widowControl/>
              <w:spacing w:before="40" w:after="40"/>
              <w:jc w:val="left"/>
              <w:rPr>
                <w:rFonts w:ascii="Arial" w:hAnsi="Arial"/>
                <w:color w:val="000000" w:themeColor="text1"/>
                <w:sz w:val="18"/>
                <w:szCs w:val="18"/>
              </w:rPr>
            </w:pPr>
            <w:r w:rsidRPr="00F87E34">
              <w:rPr>
                <w:rFonts w:ascii="Arial" w:hAnsi="Arial"/>
                <w:color w:val="000000" w:themeColor="text1"/>
                <w:sz w:val="18"/>
                <w:szCs w:val="18"/>
              </w:rPr>
              <w:t>Remuneraciones medias reales</w:t>
            </w:r>
          </w:p>
        </w:tc>
        <w:tc>
          <w:tcPr>
            <w:tcW w:w="662" w:type="pct"/>
            <w:tcBorders>
              <w:top w:val="nil"/>
              <w:left w:val="single" w:sz="4" w:space="0" w:color="404040"/>
              <w:bottom w:val="single" w:sz="6" w:space="0" w:color="404040"/>
              <w:right w:val="single" w:sz="4" w:space="0" w:color="404040"/>
            </w:tcBorders>
            <w:shd w:val="clear" w:color="auto" w:fill="auto"/>
            <w:vAlign w:val="center"/>
          </w:tcPr>
          <w:p w14:paraId="6DCB8512" w14:textId="77777777" w:rsidR="00074DE7" w:rsidRPr="00623910" w:rsidRDefault="00074DE7" w:rsidP="00513D90">
            <w:pPr>
              <w:tabs>
                <w:tab w:val="decimal" w:pos="466"/>
              </w:tabs>
              <w:jc w:val="left"/>
              <w:rPr>
                <w:sz w:val="18"/>
                <w:szCs w:val="18"/>
              </w:rPr>
            </w:pPr>
            <w:r>
              <w:rPr>
                <w:color w:val="000000"/>
                <w:sz w:val="18"/>
                <w:szCs w:val="18"/>
              </w:rPr>
              <w:t>2.5</w:t>
            </w:r>
          </w:p>
        </w:tc>
        <w:tc>
          <w:tcPr>
            <w:tcW w:w="663" w:type="pct"/>
            <w:tcBorders>
              <w:top w:val="nil"/>
              <w:left w:val="single" w:sz="4" w:space="0" w:color="404040"/>
              <w:bottom w:val="single" w:sz="6" w:space="0" w:color="404040"/>
              <w:right w:val="single" w:sz="4" w:space="0" w:color="404040"/>
            </w:tcBorders>
            <w:shd w:val="clear" w:color="auto" w:fill="auto"/>
            <w:vAlign w:val="center"/>
          </w:tcPr>
          <w:p w14:paraId="33BCE5D9" w14:textId="77777777" w:rsidR="00074DE7" w:rsidRPr="00623910" w:rsidRDefault="00074DE7" w:rsidP="00513D90">
            <w:pPr>
              <w:tabs>
                <w:tab w:val="decimal" w:pos="466"/>
              </w:tabs>
              <w:jc w:val="left"/>
              <w:rPr>
                <w:sz w:val="18"/>
                <w:szCs w:val="18"/>
              </w:rPr>
            </w:pPr>
            <w:r>
              <w:rPr>
                <w:color w:val="000000"/>
                <w:sz w:val="18"/>
                <w:szCs w:val="18"/>
              </w:rPr>
              <w:t>9.5</w:t>
            </w:r>
          </w:p>
        </w:tc>
        <w:tc>
          <w:tcPr>
            <w:tcW w:w="663" w:type="pct"/>
            <w:tcBorders>
              <w:top w:val="nil"/>
              <w:left w:val="single" w:sz="4" w:space="0" w:color="404040"/>
              <w:bottom w:val="single" w:sz="6" w:space="0" w:color="404040"/>
              <w:right w:val="single" w:sz="4" w:space="0" w:color="404040"/>
            </w:tcBorders>
            <w:shd w:val="clear" w:color="auto" w:fill="auto"/>
            <w:vAlign w:val="center"/>
          </w:tcPr>
          <w:p w14:paraId="70CA754B" w14:textId="77777777" w:rsidR="00074DE7" w:rsidRPr="00623910" w:rsidRDefault="00074DE7" w:rsidP="00513D90">
            <w:pPr>
              <w:tabs>
                <w:tab w:val="decimal" w:pos="459"/>
              </w:tabs>
              <w:jc w:val="left"/>
              <w:rPr>
                <w:sz w:val="18"/>
                <w:szCs w:val="18"/>
              </w:rPr>
            </w:pPr>
            <w:r>
              <w:rPr>
                <w:color w:val="000000"/>
                <w:sz w:val="18"/>
                <w:szCs w:val="18"/>
              </w:rPr>
              <w:t>0.4</w:t>
            </w:r>
          </w:p>
        </w:tc>
        <w:tc>
          <w:tcPr>
            <w:tcW w:w="662" w:type="pct"/>
            <w:tcBorders>
              <w:top w:val="nil"/>
              <w:left w:val="single" w:sz="4" w:space="0" w:color="404040"/>
              <w:bottom w:val="single" w:sz="6" w:space="0" w:color="404040"/>
              <w:right w:val="single" w:sz="6" w:space="0" w:color="404040"/>
            </w:tcBorders>
            <w:shd w:val="clear" w:color="auto" w:fill="auto"/>
            <w:vAlign w:val="center"/>
          </w:tcPr>
          <w:p w14:paraId="2202B8AE" w14:textId="77777777" w:rsidR="00074DE7" w:rsidRPr="00623910" w:rsidRDefault="00074DE7" w:rsidP="00513D90">
            <w:pPr>
              <w:tabs>
                <w:tab w:val="decimal" w:pos="466"/>
              </w:tabs>
              <w:jc w:val="left"/>
              <w:rPr>
                <w:sz w:val="18"/>
                <w:szCs w:val="18"/>
              </w:rPr>
            </w:pPr>
            <w:r>
              <w:rPr>
                <w:color w:val="000000"/>
                <w:sz w:val="18"/>
                <w:szCs w:val="18"/>
              </w:rPr>
              <w:t>10.5</w:t>
            </w:r>
          </w:p>
        </w:tc>
      </w:tr>
    </w:tbl>
    <w:p w14:paraId="3C3BE254" w14:textId="77777777" w:rsidR="00074DE7" w:rsidRPr="00F87E34" w:rsidRDefault="00074DE7" w:rsidP="00074DE7">
      <w:pPr>
        <w:pStyle w:val="Prrafodelista"/>
        <w:tabs>
          <w:tab w:val="left" w:pos="7939"/>
        </w:tabs>
        <w:ind w:left="1218" w:right="553" w:hanging="590"/>
        <w:rPr>
          <w:sz w:val="16"/>
          <w:szCs w:val="16"/>
        </w:rPr>
      </w:pPr>
      <w:r w:rsidRPr="00F87E34">
        <w:rPr>
          <w:sz w:val="16"/>
          <w:szCs w:val="16"/>
        </w:rPr>
        <w:t>*</w:t>
      </w:r>
      <w:r w:rsidRPr="00F87E34">
        <w:rPr>
          <w:sz w:val="16"/>
          <w:szCs w:val="16"/>
        </w:rPr>
        <w:tab/>
        <w:t>En términos reales</w:t>
      </w:r>
      <w:r>
        <w:rPr>
          <w:sz w:val="16"/>
          <w:szCs w:val="16"/>
        </w:rPr>
        <w:t>.</w:t>
      </w:r>
    </w:p>
    <w:p w14:paraId="60668003" w14:textId="5A22CB65" w:rsidR="00074DE7" w:rsidRDefault="00074DE7" w:rsidP="00074DE7">
      <w:pPr>
        <w:pStyle w:val="Prrafodelista"/>
        <w:tabs>
          <w:tab w:val="left" w:pos="1484"/>
          <w:tab w:val="left" w:pos="7939"/>
        </w:tabs>
        <w:ind w:left="1218" w:right="553" w:hanging="590"/>
        <w:rPr>
          <w:sz w:val="16"/>
          <w:szCs w:val="16"/>
        </w:rPr>
      </w:pPr>
      <w:r w:rsidRPr="00F87E34">
        <w:rPr>
          <w:sz w:val="16"/>
          <w:szCs w:val="16"/>
        </w:rPr>
        <w:t>Fuente:</w:t>
      </w:r>
      <w:r w:rsidRPr="00F87E34">
        <w:rPr>
          <w:sz w:val="16"/>
          <w:szCs w:val="16"/>
        </w:rPr>
        <w:tab/>
      </w:r>
      <w:r w:rsidRPr="001252E5">
        <w:rPr>
          <w:smallCaps/>
          <w:sz w:val="16"/>
          <w:szCs w:val="16"/>
        </w:rPr>
        <w:t>inegi</w:t>
      </w:r>
      <w:r>
        <w:rPr>
          <w:sz w:val="16"/>
          <w:szCs w:val="16"/>
        </w:rPr>
        <w:t xml:space="preserve">. </w:t>
      </w:r>
      <w:r w:rsidRPr="001252E5">
        <w:rPr>
          <w:smallCaps/>
          <w:sz w:val="16"/>
          <w:szCs w:val="16"/>
        </w:rPr>
        <w:t>emec</w:t>
      </w:r>
      <w:r>
        <w:rPr>
          <w:sz w:val="16"/>
          <w:szCs w:val="16"/>
        </w:rPr>
        <w:t>. Cifras</w:t>
      </w:r>
      <w:r w:rsidRPr="001252E5">
        <w:rPr>
          <w:sz w:val="16"/>
          <w:szCs w:val="16"/>
        </w:rPr>
        <w:t xml:space="preserve"> elaboradas mediante métodos econométricos, 2023</w:t>
      </w:r>
      <w:r>
        <w:rPr>
          <w:sz w:val="16"/>
          <w:szCs w:val="16"/>
        </w:rPr>
        <w:t>.</w:t>
      </w:r>
    </w:p>
    <w:p w14:paraId="4D20F077" w14:textId="77777777" w:rsidR="00074DE7" w:rsidRDefault="00074DE7" w:rsidP="00074DE7">
      <w:pPr>
        <w:pStyle w:val="Prrafodelista"/>
        <w:spacing w:before="240"/>
        <w:ind w:left="0" w:right="51"/>
        <w:rPr>
          <w:snapToGrid w:val="0"/>
          <w:szCs w:val="22"/>
        </w:rPr>
      </w:pPr>
    </w:p>
    <w:p w14:paraId="71897ABD" w14:textId="77777777" w:rsidR="00074DE7" w:rsidRPr="00074DE7" w:rsidRDefault="00074DE7" w:rsidP="00074DE7">
      <w:pPr>
        <w:pStyle w:val="Prrafodelista"/>
        <w:spacing w:before="240"/>
        <w:ind w:left="0" w:right="51"/>
        <w:rPr>
          <w:snapToGrid w:val="0"/>
          <w:szCs w:val="22"/>
        </w:rPr>
      </w:pPr>
    </w:p>
    <w:p w14:paraId="48317417" w14:textId="1D681CDC" w:rsidR="00901366" w:rsidRDefault="009E2BC4" w:rsidP="00074DE7">
      <w:pPr>
        <w:pStyle w:val="Prrafodelista"/>
        <w:spacing w:before="240"/>
        <w:ind w:left="0" w:right="51"/>
        <w:rPr>
          <w:snapToGrid w:val="0"/>
          <w:szCs w:val="22"/>
        </w:rPr>
      </w:pPr>
      <w:r w:rsidRPr="00074DE7">
        <w:rPr>
          <w:snapToGrid w:val="0"/>
          <w:szCs w:val="22"/>
        </w:rPr>
        <w:t xml:space="preserve">En las </w:t>
      </w:r>
      <w:r w:rsidR="00F819B9" w:rsidRPr="00074DE7">
        <w:rPr>
          <w:snapToGrid w:val="0"/>
          <w:szCs w:val="22"/>
        </w:rPr>
        <w:t>e</w:t>
      </w:r>
      <w:r w:rsidRPr="00074DE7">
        <w:rPr>
          <w:snapToGrid w:val="0"/>
          <w:szCs w:val="22"/>
        </w:rPr>
        <w:t xml:space="preserve">mpresas </w:t>
      </w:r>
      <w:r w:rsidR="00F819B9" w:rsidRPr="00074DE7">
        <w:rPr>
          <w:snapToGrid w:val="0"/>
          <w:szCs w:val="22"/>
        </w:rPr>
        <w:t>c</w:t>
      </w:r>
      <w:r w:rsidRPr="00074DE7">
        <w:rPr>
          <w:snapToGrid w:val="0"/>
          <w:szCs w:val="22"/>
        </w:rPr>
        <w:t xml:space="preserve">omerciales al por </w:t>
      </w:r>
      <w:r w:rsidR="00F819B9" w:rsidRPr="00074DE7">
        <w:rPr>
          <w:snapToGrid w:val="0"/>
          <w:szCs w:val="22"/>
        </w:rPr>
        <w:t>m</w:t>
      </w:r>
      <w:r w:rsidRPr="00074DE7">
        <w:rPr>
          <w:snapToGrid w:val="0"/>
          <w:szCs w:val="22"/>
        </w:rPr>
        <w:t>enor</w:t>
      </w:r>
      <w:r w:rsidR="00F238E5" w:rsidRPr="00074DE7">
        <w:rPr>
          <w:snapToGrid w:val="0"/>
          <w:szCs w:val="22"/>
        </w:rPr>
        <w:t>, a</w:t>
      </w:r>
      <w:r w:rsidR="008910F8" w:rsidRPr="00074DE7">
        <w:rPr>
          <w:snapToGrid w:val="0"/>
          <w:szCs w:val="22"/>
        </w:rPr>
        <w:t xml:space="preserve"> tasa anual y</w:t>
      </w:r>
      <w:r w:rsidR="00F238E5" w:rsidRPr="00074DE7">
        <w:rPr>
          <w:snapToGrid w:val="0"/>
          <w:szCs w:val="22"/>
        </w:rPr>
        <w:t xml:space="preserve"> </w:t>
      </w:r>
      <w:r w:rsidR="003F1AAD" w:rsidRPr="00074DE7">
        <w:rPr>
          <w:snapToGrid w:val="0"/>
          <w:szCs w:val="22"/>
        </w:rPr>
        <w:t xml:space="preserve">sin </w:t>
      </w:r>
      <w:r w:rsidR="00F238E5" w:rsidRPr="00074DE7">
        <w:rPr>
          <w:snapToGrid w:val="0"/>
          <w:szCs w:val="22"/>
        </w:rPr>
        <w:t>el factor estacional,</w:t>
      </w:r>
      <w:r w:rsidRPr="00074DE7">
        <w:rPr>
          <w:snapToGrid w:val="0"/>
          <w:szCs w:val="22"/>
        </w:rPr>
        <w:t xml:space="preserve"> los </w:t>
      </w:r>
      <w:r w:rsidR="004C75FC" w:rsidRPr="00074DE7">
        <w:rPr>
          <w:snapToGrid w:val="0"/>
          <w:szCs w:val="22"/>
        </w:rPr>
        <w:t>i</w:t>
      </w:r>
      <w:r w:rsidRPr="00074DE7">
        <w:rPr>
          <w:snapToGrid w:val="0"/>
          <w:szCs w:val="22"/>
        </w:rPr>
        <w:t xml:space="preserve">ngresos </w:t>
      </w:r>
      <w:r w:rsidR="00664719" w:rsidRPr="00074DE7">
        <w:rPr>
          <w:snapToGrid w:val="0"/>
          <w:szCs w:val="22"/>
        </w:rPr>
        <w:t xml:space="preserve">reales </w:t>
      </w:r>
      <w:r w:rsidR="00371C9A" w:rsidRPr="00074DE7">
        <w:rPr>
          <w:snapToGrid w:val="0"/>
          <w:szCs w:val="22"/>
        </w:rPr>
        <w:t>crecieron</w:t>
      </w:r>
      <w:r w:rsidR="00EA694F" w:rsidRPr="00074DE7">
        <w:rPr>
          <w:snapToGrid w:val="0"/>
          <w:szCs w:val="22"/>
        </w:rPr>
        <w:t xml:space="preserve"> </w:t>
      </w:r>
      <w:r w:rsidR="00470E63" w:rsidRPr="00074DE7">
        <w:rPr>
          <w:snapToGrid w:val="0"/>
          <w:szCs w:val="22"/>
        </w:rPr>
        <w:t>2.6</w:t>
      </w:r>
      <w:r w:rsidR="0026546B" w:rsidRPr="00074DE7">
        <w:rPr>
          <w:snapToGrid w:val="0"/>
          <w:szCs w:val="22"/>
        </w:rPr>
        <w:t> %</w:t>
      </w:r>
      <w:r w:rsidR="00143422" w:rsidRPr="00074DE7">
        <w:rPr>
          <w:snapToGrid w:val="0"/>
          <w:szCs w:val="22"/>
        </w:rPr>
        <w:t>;</w:t>
      </w:r>
      <w:r w:rsidR="007C168D" w:rsidRPr="00074DE7">
        <w:rPr>
          <w:snapToGrid w:val="0"/>
          <w:szCs w:val="22"/>
        </w:rPr>
        <w:t xml:space="preserve"> el personal ocupado total</w:t>
      </w:r>
      <w:r w:rsidR="00143422" w:rsidRPr="00074DE7">
        <w:rPr>
          <w:snapToGrid w:val="0"/>
          <w:szCs w:val="22"/>
        </w:rPr>
        <w:t>,</w:t>
      </w:r>
      <w:r w:rsidR="007C168D" w:rsidRPr="00074DE7">
        <w:rPr>
          <w:snapToGrid w:val="0"/>
          <w:szCs w:val="22"/>
        </w:rPr>
        <w:t xml:space="preserve"> </w:t>
      </w:r>
      <w:r w:rsidR="00470E63" w:rsidRPr="00074DE7">
        <w:rPr>
          <w:snapToGrid w:val="0"/>
          <w:szCs w:val="22"/>
        </w:rPr>
        <w:t>0.7</w:t>
      </w:r>
      <w:r w:rsidR="0026546B" w:rsidRPr="00074DE7">
        <w:rPr>
          <w:snapToGrid w:val="0"/>
          <w:szCs w:val="22"/>
        </w:rPr>
        <w:t> %</w:t>
      </w:r>
      <w:r w:rsidR="007C168D" w:rsidRPr="00074DE7">
        <w:rPr>
          <w:snapToGrid w:val="0"/>
          <w:szCs w:val="22"/>
        </w:rPr>
        <w:t xml:space="preserve"> </w:t>
      </w:r>
      <w:r w:rsidR="00DE0011" w:rsidRPr="00074DE7">
        <w:rPr>
          <w:snapToGrid w:val="0"/>
          <w:szCs w:val="22"/>
        </w:rPr>
        <w:t>y</w:t>
      </w:r>
      <w:r w:rsidR="008277F4" w:rsidRPr="00074DE7">
        <w:rPr>
          <w:snapToGrid w:val="0"/>
          <w:szCs w:val="22"/>
        </w:rPr>
        <w:t xml:space="preserve"> </w:t>
      </w:r>
      <w:r w:rsidR="00E506C9" w:rsidRPr="00074DE7">
        <w:rPr>
          <w:snapToGrid w:val="0"/>
          <w:szCs w:val="22"/>
        </w:rPr>
        <w:t>l</w:t>
      </w:r>
      <w:r w:rsidR="00A2626B" w:rsidRPr="00074DE7">
        <w:rPr>
          <w:snapToGrid w:val="0"/>
          <w:szCs w:val="22"/>
        </w:rPr>
        <w:t xml:space="preserve">as </w:t>
      </w:r>
      <w:r w:rsidR="004C75FC" w:rsidRPr="00074DE7">
        <w:rPr>
          <w:snapToGrid w:val="0"/>
          <w:szCs w:val="22"/>
        </w:rPr>
        <w:t>r</w:t>
      </w:r>
      <w:r w:rsidR="00A2626B" w:rsidRPr="00074DE7">
        <w:rPr>
          <w:snapToGrid w:val="0"/>
          <w:szCs w:val="22"/>
        </w:rPr>
        <w:t>emuneraciones medias reales</w:t>
      </w:r>
      <w:r w:rsidR="00143422" w:rsidRPr="00074DE7">
        <w:rPr>
          <w:snapToGrid w:val="0"/>
          <w:szCs w:val="22"/>
        </w:rPr>
        <w:t xml:space="preserve">, </w:t>
      </w:r>
      <w:r w:rsidR="00470E63" w:rsidRPr="00074DE7">
        <w:rPr>
          <w:snapToGrid w:val="0"/>
          <w:szCs w:val="22"/>
        </w:rPr>
        <w:t>10.5</w:t>
      </w:r>
      <w:r w:rsidR="004B1D41" w:rsidRPr="00074DE7">
        <w:rPr>
          <w:snapToGrid w:val="0"/>
          <w:szCs w:val="22"/>
        </w:rPr>
        <w:t xml:space="preserve"> </w:t>
      </w:r>
      <w:r w:rsidR="00DE0011" w:rsidRPr="00074DE7">
        <w:rPr>
          <w:snapToGrid w:val="0"/>
          <w:szCs w:val="22"/>
        </w:rPr>
        <w:t>por ciento.</w:t>
      </w:r>
    </w:p>
    <w:p w14:paraId="29B01510" w14:textId="77777777" w:rsidR="00074DE7" w:rsidRDefault="00074DE7" w:rsidP="00074DE7">
      <w:pPr>
        <w:pStyle w:val="Prrafodelista"/>
        <w:spacing w:before="240"/>
        <w:ind w:left="0" w:right="51"/>
        <w:rPr>
          <w:snapToGrid w:val="0"/>
          <w:szCs w:val="22"/>
        </w:rPr>
      </w:pPr>
    </w:p>
    <w:p w14:paraId="182A3F96" w14:textId="77777777" w:rsidR="00074DE7" w:rsidRDefault="00074DE7" w:rsidP="00074DE7">
      <w:pPr>
        <w:pStyle w:val="Prrafodelista"/>
        <w:spacing w:before="240"/>
        <w:ind w:left="0" w:right="51"/>
        <w:rPr>
          <w:snapToGrid w:val="0"/>
          <w:szCs w:val="22"/>
        </w:rPr>
      </w:pPr>
    </w:p>
    <w:p w14:paraId="5A5B8B81" w14:textId="77777777" w:rsidR="00074DE7" w:rsidRDefault="00074DE7" w:rsidP="00074DE7">
      <w:pPr>
        <w:pStyle w:val="Prrafodelista"/>
        <w:spacing w:before="240"/>
        <w:ind w:left="0" w:right="51"/>
        <w:rPr>
          <w:snapToGrid w:val="0"/>
          <w:szCs w:val="22"/>
        </w:rPr>
      </w:pPr>
    </w:p>
    <w:p w14:paraId="7D9DF0D9" w14:textId="77777777" w:rsidR="00074DE7" w:rsidRDefault="00074DE7" w:rsidP="00074DE7">
      <w:pPr>
        <w:pStyle w:val="Prrafodelista"/>
        <w:spacing w:before="240"/>
        <w:ind w:left="0" w:right="51"/>
        <w:rPr>
          <w:snapToGrid w:val="0"/>
          <w:szCs w:val="22"/>
        </w:rPr>
      </w:pPr>
    </w:p>
    <w:p w14:paraId="04104C6E" w14:textId="77777777" w:rsidR="00074DE7" w:rsidRDefault="00074DE7" w:rsidP="00074DE7">
      <w:pPr>
        <w:spacing w:before="360"/>
        <w:ind w:left="142" w:right="51"/>
        <w:jc w:val="center"/>
        <w:rPr>
          <w:bCs/>
          <w:snapToGrid w:val="0"/>
        </w:rPr>
      </w:pPr>
      <w:bookmarkStart w:id="1" w:name="_Hlk148955161"/>
      <w:r w:rsidRPr="000974C7">
        <w:rPr>
          <w:bCs/>
          <w:snapToGrid w:val="0"/>
        </w:rPr>
        <w:t>Se anexa Nota técnica</w:t>
      </w:r>
    </w:p>
    <w:bookmarkEnd w:id="1"/>
    <w:p w14:paraId="0050D269" w14:textId="77777777" w:rsidR="00074DE7" w:rsidRPr="003C0955" w:rsidRDefault="00074DE7" w:rsidP="00074DE7">
      <w:pPr>
        <w:pStyle w:val="Textoindependiente"/>
        <w:rPr>
          <w:caps/>
          <w:smallCaps/>
          <w:color w:val="244061" w:themeColor="accent1" w:themeShade="80"/>
          <w:sz w:val="28"/>
        </w:rPr>
      </w:pPr>
    </w:p>
    <w:p w14:paraId="37A4AD55" w14:textId="77777777" w:rsidR="00074DE7" w:rsidRPr="003C0955" w:rsidRDefault="00074DE7" w:rsidP="00074DE7">
      <w:pPr>
        <w:pStyle w:val="Textoindependiente"/>
        <w:jc w:val="right"/>
        <w:rPr>
          <w:caps/>
          <w:smallCaps/>
          <w:color w:val="244061" w:themeColor="accent1" w:themeShade="80"/>
          <w:sz w:val="28"/>
        </w:rPr>
      </w:pPr>
    </w:p>
    <w:p w14:paraId="439A6FA5" w14:textId="77777777" w:rsidR="00074DE7" w:rsidRPr="003C0955" w:rsidRDefault="00074DE7" w:rsidP="00074DE7">
      <w:pPr>
        <w:pStyle w:val="Textoindependiente"/>
        <w:jc w:val="right"/>
        <w:rPr>
          <w:caps/>
          <w:smallCaps/>
          <w:color w:val="244061" w:themeColor="accent1" w:themeShade="80"/>
          <w:sz w:val="28"/>
        </w:rPr>
      </w:pPr>
    </w:p>
    <w:p w14:paraId="16B9E609" w14:textId="77777777" w:rsidR="00074DE7" w:rsidRPr="003C0955" w:rsidRDefault="00074DE7" w:rsidP="00074DE7">
      <w:pPr>
        <w:pStyle w:val="Textoindependiente"/>
        <w:jc w:val="right"/>
        <w:rPr>
          <w:caps/>
          <w:smallCaps/>
          <w:color w:val="244061" w:themeColor="accent1" w:themeShade="80"/>
          <w:sz w:val="28"/>
        </w:rPr>
      </w:pPr>
    </w:p>
    <w:p w14:paraId="74BA999E" w14:textId="77777777" w:rsidR="00074DE7" w:rsidRPr="003C0955" w:rsidRDefault="00074DE7" w:rsidP="00074DE7">
      <w:pPr>
        <w:pStyle w:val="Textoindependiente"/>
        <w:tabs>
          <w:tab w:val="left" w:pos="7288"/>
        </w:tabs>
        <w:rPr>
          <w:caps/>
          <w:smallCaps/>
          <w:color w:val="244061" w:themeColor="accent1" w:themeShade="80"/>
          <w:sz w:val="28"/>
        </w:rPr>
      </w:pPr>
      <w:r w:rsidRPr="003C0955">
        <w:rPr>
          <w:smallCaps/>
          <w:color w:val="244061" w:themeColor="accent1" w:themeShade="80"/>
          <w:sz w:val="28"/>
        </w:rPr>
        <w:tab/>
      </w:r>
    </w:p>
    <w:p w14:paraId="35A44500" w14:textId="77777777" w:rsidR="00074DE7" w:rsidRPr="00074DE7" w:rsidRDefault="00074DE7" w:rsidP="00074DE7">
      <w:pPr>
        <w:pStyle w:val="NormalWeb"/>
        <w:ind w:left="-426" w:right="-518"/>
        <w:contextualSpacing/>
        <w:jc w:val="center"/>
        <w:rPr>
          <w:rFonts w:ascii="Arial" w:hAnsi="Arial" w:cs="Arial"/>
          <w:lang w:val="es-ES_tradnl"/>
        </w:rPr>
      </w:pPr>
      <w:bookmarkStart w:id="2" w:name="_Hlk147145049"/>
      <w:bookmarkStart w:id="3" w:name="_Hlk148018231"/>
      <w:bookmarkStart w:id="4" w:name="_Hlk148955175"/>
      <w:r w:rsidRPr="00074DE7">
        <w:rPr>
          <w:rFonts w:ascii="Arial" w:hAnsi="Arial" w:cs="Arial"/>
          <w:lang w:val="es-ES_tradnl"/>
        </w:rPr>
        <w:t xml:space="preserve">Para consultas de medios y periodistas, escribir a: </w:t>
      </w:r>
      <w:hyperlink r:id="rId13" w:history="1">
        <w:r w:rsidRPr="00074DE7">
          <w:rPr>
            <w:rStyle w:val="Hipervnculo"/>
            <w:rFonts w:ascii="Arial" w:eastAsiaTheme="majorEastAsia" w:hAnsi="Arial" w:cs="Arial"/>
          </w:rPr>
          <w:t>comunicacionsocial@inegi.org.mx</w:t>
        </w:r>
      </w:hyperlink>
      <w:r w:rsidRPr="00074DE7">
        <w:rPr>
          <w:rFonts w:ascii="Arial" w:hAnsi="Arial" w:cs="Arial"/>
          <w:lang w:val="es-ES_tradnl"/>
        </w:rPr>
        <w:t xml:space="preserve">    </w:t>
      </w:r>
    </w:p>
    <w:p w14:paraId="79F7DB8D" w14:textId="77777777" w:rsidR="00074DE7" w:rsidRPr="00074DE7" w:rsidRDefault="00074DE7" w:rsidP="00074DE7">
      <w:pPr>
        <w:pStyle w:val="NormalWeb"/>
        <w:spacing w:before="0" w:beforeAutospacing="0" w:after="0" w:afterAutospacing="0"/>
        <w:ind w:left="-426" w:right="-518"/>
        <w:contextualSpacing/>
        <w:jc w:val="center"/>
        <w:rPr>
          <w:rFonts w:ascii="Arial" w:hAnsi="Arial" w:cs="Arial"/>
          <w:lang w:val="es-ES_tradnl"/>
        </w:rPr>
      </w:pPr>
      <w:r w:rsidRPr="00074DE7">
        <w:rPr>
          <w:rFonts w:ascii="Arial" w:hAnsi="Arial" w:cs="Arial"/>
          <w:lang w:val="es-ES_tradnl"/>
        </w:rPr>
        <w:t>o llamar al teléfono (55) 52-78-10-00, extensiones 321064, 321134 y 321241</w:t>
      </w:r>
    </w:p>
    <w:p w14:paraId="34AEA629" w14:textId="77777777" w:rsidR="00074DE7" w:rsidRPr="00074DE7" w:rsidRDefault="00074DE7" w:rsidP="00074DE7">
      <w:pPr>
        <w:pStyle w:val="NormalWeb"/>
        <w:spacing w:before="0" w:beforeAutospacing="0" w:after="0" w:afterAutospacing="0"/>
        <w:ind w:left="-426" w:right="-518"/>
        <w:contextualSpacing/>
        <w:jc w:val="center"/>
        <w:rPr>
          <w:rFonts w:ascii="Arial" w:hAnsi="Arial" w:cs="Arial"/>
        </w:rPr>
      </w:pPr>
      <w:r w:rsidRPr="00074DE7">
        <w:rPr>
          <w:rFonts w:ascii="Arial" w:hAnsi="Arial" w:cs="Arial"/>
        </w:rPr>
        <w:t>Dirección de Atención a Medios/ Dirección General Adjunta de Comunicación</w:t>
      </w:r>
    </w:p>
    <w:p w14:paraId="2B294923" w14:textId="77777777" w:rsidR="00074DE7" w:rsidRPr="00074DE7" w:rsidRDefault="00074DE7" w:rsidP="00074DE7">
      <w:pPr>
        <w:pStyle w:val="NormalWeb"/>
        <w:spacing w:before="0" w:beforeAutospacing="0" w:after="0" w:afterAutospacing="0"/>
        <w:ind w:left="-426" w:right="-518"/>
        <w:contextualSpacing/>
        <w:jc w:val="center"/>
        <w:rPr>
          <w:rFonts w:ascii="Arial" w:hAnsi="Arial" w:cs="Arial"/>
        </w:rPr>
      </w:pPr>
    </w:p>
    <w:p w14:paraId="69E7A02D" w14:textId="3CF8CCF2" w:rsidR="00074DE7" w:rsidRDefault="00074DE7" w:rsidP="00074DE7">
      <w:pPr>
        <w:pStyle w:val="Piedepgina"/>
        <w:jc w:val="center"/>
        <w:rPr>
          <w:noProof/>
          <w:lang w:eastAsia="es-MX"/>
        </w:rPr>
      </w:pPr>
      <w:r w:rsidRPr="00074DE7">
        <w:rPr>
          <w:noProof/>
          <w:lang w:eastAsia="es-MX"/>
        </w:rPr>
        <w:tab/>
      </w:r>
      <w:r w:rsidRPr="00074DE7">
        <w:rPr>
          <w:noProof/>
          <w:lang w:eastAsia="es-MX"/>
        </w:rPr>
        <w:drawing>
          <wp:inline distT="0" distB="0" distL="0" distR="0" wp14:anchorId="6293918A" wp14:editId="10BD5C26">
            <wp:extent cx="372725" cy="360438"/>
            <wp:effectExtent l="0" t="0" r="0" b="0"/>
            <wp:docPr id="9" name="Imagen 9" descr="Icono&#10;&#10;Descripción generada automáticament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cono&#10;&#10;Descripción generada automáticamente">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t="1648" b="1648"/>
                    <a:stretch>
                      <a:fillRect/>
                    </a:stretch>
                  </pic:blipFill>
                  <pic:spPr bwMode="auto">
                    <a:xfrm>
                      <a:off x="0" y="0"/>
                      <a:ext cx="372725" cy="360438"/>
                    </a:xfrm>
                    <a:prstGeom prst="rect">
                      <a:avLst/>
                    </a:prstGeom>
                    <a:noFill/>
                    <a:ln>
                      <a:noFill/>
                    </a:ln>
                    <a:extLst>
                      <a:ext uri="{53640926-AAD7-44D8-BBD7-CCE9431645EC}">
                        <a14:shadowObscured xmlns:a14="http://schemas.microsoft.com/office/drawing/2010/main"/>
                      </a:ext>
                    </a:extLst>
                  </pic:spPr>
                </pic:pic>
              </a:graphicData>
            </a:graphic>
          </wp:inline>
        </w:drawing>
      </w:r>
      <w:r w:rsidRPr="00074DE7">
        <w:rPr>
          <w:noProof/>
          <w:lang w:eastAsia="es-MX"/>
        </w:rPr>
        <w:t xml:space="preserve"> </w:t>
      </w:r>
      <w:r w:rsidRPr="00074DE7">
        <w:rPr>
          <w:noProof/>
          <w:lang w:eastAsia="es-MX"/>
        </w:rPr>
        <w:drawing>
          <wp:inline distT="0" distB="0" distL="0" distR="0" wp14:anchorId="778D838A" wp14:editId="64DD16B7">
            <wp:extent cx="365760" cy="365760"/>
            <wp:effectExtent l="0" t="0" r="2540" b="2540"/>
            <wp:docPr id="2" name="Imagen 2" descr="Icono&#10;&#10;Descripción generada automáticament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cono&#10;&#10;Descripción generada automáticamente">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074DE7">
        <w:rPr>
          <w:noProof/>
          <w:lang w:eastAsia="es-MX"/>
        </w:rPr>
        <w:t xml:space="preserve"> </w:t>
      </w:r>
      <w:r w:rsidRPr="00074DE7">
        <w:rPr>
          <w:noProof/>
          <w:lang w:eastAsia="es-MX"/>
        </w:rPr>
        <w:drawing>
          <wp:inline distT="0" distB="0" distL="0" distR="0" wp14:anchorId="0A111099" wp14:editId="7BED9795">
            <wp:extent cx="365760" cy="365760"/>
            <wp:effectExtent l="0" t="0" r="2540" b="2540"/>
            <wp:docPr id="4" name="Imagen 4" descr="Imagen que contiene objeto, reloj&#10;&#10;Descripción generada automáticament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objeto, reloj&#10;&#10;Descripción generada automáticamente">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074DE7">
        <w:rPr>
          <w:noProof/>
          <w:lang w:eastAsia="es-MX"/>
        </w:rPr>
        <w:t xml:space="preserve"> </w:t>
      </w:r>
      <w:r w:rsidRPr="00074DE7">
        <w:rPr>
          <w:noProof/>
          <w:lang w:eastAsia="es-MX"/>
        </w:rPr>
        <w:drawing>
          <wp:inline distT="0" distB="0" distL="0" distR="0" wp14:anchorId="30FC7F8B" wp14:editId="30A66E98">
            <wp:extent cx="365760" cy="365760"/>
            <wp:effectExtent l="0" t="0" r="2540" b="2540"/>
            <wp:docPr id="5" name="Imagen 5" descr="Logotipo&#10;&#10;Descripción generada automáticamente">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10;&#10;Descripción generada automáticamente">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074DE7">
        <w:rPr>
          <w:noProof/>
          <w:lang w:eastAsia="es-MX"/>
        </w:rPr>
        <w:t xml:space="preserve">  </w:t>
      </w:r>
      <w:r w:rsidRPr="00074DE7">
        <w:rPr>
          <w:noProof/>
          <w:lang w:eastAsia="es-MX"/>
        </w:rPr>
        <w:drawing>
          <wp:inline distT="0" distB="0" distL="0" distR="0" wp14:anchorId="1826B6AA" wp14:editId="01082600">
            <wp:extent cx="1436914" cy="152592"/>
            <wp:effectExtent l="0" t="0" r="0" b="0"/>
            <wp:docPr id="33" name="Imagen 33" descr="Icono&#10;&#10;Descripción generada automáticamente">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descr="Icono&#10;&#10;Descripción generada automáticamente">
                      <a:hlinkClick r:id="rId22"/>
                    </pic:cNvPr>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1709956" cy="181587"/>
                    </a:xfrm>
                    <a:prstGeom prst="rect">
                      <a:avLst/>
                    </a:prstGeom>
                    <a:noFill/>
                    <a:ln>
                      <a:noFill/>
                    </a:ln>
                  </pic:spPr>
                </pic:pic>
              </a:graphicData>
            </a:graphic>
          </wp:inline>
        </w:drawing>
      </w:r>
      <w:bookmarkEnd w:id="2"/>
      <w:bookmarkEnd w:id="3"/>
      <w:r>
        <w:rPr>
          <w:noProof/>
          <w:lang w:eastAsia="es-MX"/>
        </w:rPr>
        <w:br w:type="page"/>
      </w:r>
    </w:p>
    <w:p w14:paraId="2FDB3170" w14:textId="666E2AF2" w:rsidR="00074DE7" w:rsidRDefault="00074DE7" w:rsidP="00074DE7">
      <w:pPr>
        <w:pStyle w:val="Piedepgina"/>
        <w:jc w:val="center"/>
        <w:rPr>
          <w:b/>
          <w:bCs/>
          <w:noProof/>
          <w:lang w:eastAsia="es-MX"/>
        </w:rPr>
      </w:pPr>
      <w:r w:rsidRPr="008F42F6">
        <w:rPr>
          <w:b/>
          <w:bCs/>
          <w:noProof/>
          <w:lang w:eastAsia="es-MX"/>
        </w:rPr>
        <w:lastRenderedPageBreak/>
        <w:t>NOTA TÉCNICA</w:t>
      </w:r>
    </w:p>
    <w:p w14:paraId="292A2E1E" w14:textId="77777777" w:rsidR="00074DE7" w:rsidRPr="00B8365A" w:rsidRDefault="00074DE7" w:rsidP="009B6BBB">
      <w:pPr>
        <w:pStyle w:val="Piedepgina"/>
        <w:jc w:val="center"/>
        <w:rPr>
          <w:b/>
          <w:bCs/>
          <w:noProof/>
          <w:sz w:val="10"/>
          <w:szCs w:val="10"/>
          <w:lang w:eastAsia="es-MX"/>
        </w:rPr>
      </w:pPr>
    </w:p>
    <w:p w14:paraId="15FC7692" w14:textId="77777777" w:rsidR="00074DE7" w:rsidRDefault="00074DE7" w:rsidP="009B6BBB">
      <w:pPr>
        <w:pStyle w:val="Profesin"/>
        <w:outlineLvl w:val="0"/>
        <w:rPr>
          <w:rFonts w:ascii="Arial Negrita" w:hAnsi="Arial Negrita"/>
          <w:caps w:val="0"/>
          <w:sz w:val="24"/>
        </w:rPr>
      </w:pPr>
      <w:r w:rsidRPr="00074DE7">
        <w:rPr>
          <w:rFonts w:ascii="Arial Negrita" w:hAnsi="Arial Negrita"/>
          <w:caps w:val="0"/>
          <w:sz w:val="24"/>
        </w:rPr>
        <w:t>INDICADORES DE EMPRESAS COMERCIALES</w:t>
      </w:r>
    </w:p>
    <w:p w14:paraId="49464663" w14:textId="77777777" w:rsidR="00B8365A" w:rsidRPr="00074DE7" w:rsidRDefault="00B8365A" w:rsidP="00B8365A">
      <w:pPr>
        <w:spacing w:before="60"/>
        <w:jc w:val="center"/>
        <w:rPr>
          <w:szCs w:val="28"/>
        </w:rPr>
      </w:pPr>
      <w:r w:rsidRPr="00074DE7">
        <w:rPr>
          <w:szCs w:val="28"/>
        </w:rPr>
        <w:t>Septiembre de 2023</w:t>
      </w:r>
    </w:p>
    <w:p w14:paraId="7B378DA4" w14:textId="77777777" w:rsidR="00B8365A" w:rsidRPr="00B8365A" w:rsidRDefault="00B8365A" w:rsidP="009B6BBB">
      <w:pPr>
        <w:pStyle w:val="Profesin"/>
        <w:outlineLvl w:val="0"/>
        <w:rPr>
          <w:rFonts w:ascii="Arial Negrita" w:hAnsi="Arial Negrita"/>
          <w:b w:val="0"/>
          <w:caps w:val="0"/>
          <w:sz w:val="10"/>
          <w:szCs w:val="10"/>
        </w:rPr>
      </w:pPr>
    </w:p>
    <w:bookmarkEnd w:id="4"/>
    <w:p w14:paraId="79FF7FA3" w14:textId="77777777" w:rsidR="009B6BBB" w:rsidRPr="00B8365A" w:rsidRDefault="009B6BBB" w:rsidP="009B6BBB">
      <w:pPr>
        <w:pStyle w:val="bulnot"/>
        <w:keepLines/>
        <w:widowControl w:val="0"/>
        <w:spacing w:before="0"/>
        <w:ind w:left="0" w:right="0" w:firstLine="0"/>
        <w:rPr>
          <w:rFonts w:cs="Arial"/>
          <w:b w:val="0"/>
          <w:bCs/>
          <w:color w:val="auto"/>
          <w:spacing w:val="0"/>
          <w:sz w:val="10"/>
          <w:szCs w:val="10"/>
        </w:rPr>
      </w:pPr>
    </w:p>
    <w:p w14:paraId="2F098082" w14:textId="77777777" w:rsidR="009B6BBB" w:rsidRDefault="001E0497" w:rsidP="009B6BBB">
      <w:pPr>
        <w:pStyle w:val="bulnot"/>
        <w:keepLines/>
        <w:widowControl w:val="0"/>
        <w:spacing w:before="0"/>
        <w:ind w:left="0" w:right="0" w:firstLine="0"/>
        <w:rPr>
          <w:rFonts w:cs="Arial"/>
          <w:b w:val="0"/>
          <w:bCs/>
          <w:color w:val="auto"/>
          <w:spacing w:val="0"/>
          <w:sz w:val="24"/>
          <w:szCs w:val="24"/>
        </w:rPr>
      </w:pPr>
      <w:r w:rsidRPr="000E10EE">
        <w:rPr>
          <w:rFonts w:cs="Arial"/>
          <w:b w:val="0"/>
          <w:bCs/>
          <w:color w:val="auto"/>
          <w:spacing w:val="0"/>
          <w:sz w:val="24"/>
          <w:szCs w:val="24"/>
        </w:rPr>
        <w:t>L</w:t>
      </w:r>
      <w:r w:rsidRPr="00AD25CC">
        <w:rPr>
          <w:rFonts w:cs="Arial"/>
          <w:b w:val="0"/>
          <w:bCs/>
          <w:color w:val="auto"/>
          <w:spacing w:val="0"/>
          <w:sz w:val="24"/>
          <w:szCs w:val="24"/>
        </w:rPr>
        <w:t xml:space="preserve">a </w:t>
      </w:r>
      <w:r w:rsidRPr="001E0497">
        <w:rPr>
          <w:rFonts w:cs="Arial"/>
          <w:b w:val="0"/>
          <w:bCs/>
          <w:color w:val="auto"/>
          <w:spacing w:val="0"/>
          <w:sz w:val="24"/>
          <w:szCs w:val="24"/>
        </w:rPr>
        <w:t>Encuesta Mensual sobre Empresas Comerciales (</w:t>
      </w:r>
      <w:r w:rsidRPr="00C87826">
        <w:rPr>
          <w:rFonts w:cs="Arial"/>
          <w:b w:val="0"/>
          <w:bCs/>
          <w:smallCaps/>
          <w:color w:val="auto"/>
          <w:spacing w:val="0"/>
          <w:sz w:val="24"/>
          <w:szCs w:val="24"/>
        </w:rPr>
        <w:t>emec</w:t>
      </w:r>
      <w:r w:rsidRPr="001E0497">
        <w:rPr>
          <w:rFonts w:cs="Arial"/>
          <w:b w:val="0"/>
          <w:bCs/>
          <w:color w:val="auto"/>
          <w:spacing w:val="0"/>
          <w:sz w:val="24"/>
          <w:szCs w:val="24"/>
        </w:rPr>
        <w:t>)</w:t>
      </w:r>
      <w:r w:rsidRPr="00AD25CC">
        <w:rPr>
          <w:rFonts w:cs="Arial"/>
          <w:b w:val="0"/>
          <w:bCs/>
          <w:color w:val="auto"/>
          <w:spacing w:val="0"/>
          <w:sz w:val="24"/>
          <w:szCs w:val="24"/>
        </w:rPr>
        <w:t xml:space="preserve"> que lleva a cabo el Instituto Nacional de Estadística y Geografía (</w:t>
      </w:r>
      <w:r w:rsidRPr="00C87826">
        <w:rPr>
          <w:rFonts w:cs="Arial"/>
          <w:b w:val="0"/>
          <w:bCs/>
          <w:smallCaps/>
          <w:color w:val="auto"/>
          <w:spacing w:val="0"/>
          <w:sz w:val="24"/>
          <w:szCs w:val="24"/>
        </w:rPr>
        <w:t>inegi</w:t>
      </w:r>
      <w:r w:rsidRPr="00AD25CC">
        <w:rPr>
          <w:rFonts w:cs="Arial"/>
          <w:b w:val="0"/>
          <w:bCs/>
          <w:color w:val="auto"/>
          <w:spacing w:val="0"/>
          <w:sz w:val="24"/>
          <w:szCs w:val="24"/>
        </w:rPr>
        <w:t xml:space="preserve">) </w:t>
      </w:r>
      <w:r w:rsidRPr="006F08D7">
        <w:rPr>
          <w:rFonts w:cs="Arial"/>
          <w:b w:val="0"/>
          <w:bCs/>
          <w:color w:val="auto"/>
          <w:spacing w:val="0"/>
          <w:sz w:val="24"/>
          <w:szCs w:val="24"/>
        </w:rPr>
        <w:t xml:space="preserve">proporciona información relevante </w:t>
      </w:r>
      <w:r w:rsidRPr="001E0497">
        <w:rPr>
          <w:rFonts w:cs="Arial"/>
          <w:b w:val="0"/>
          <w:bCs/>
          <w:color w:val="auto"/>
          <w:spacing w:val="0"/>
          <w:sz w:val="24"/>
          <w:szCs w:val="24"/>
        </w:rPr>
        <w:t>sobre el comportamiento del comercio interior de México</w:t>
      </w:r>
      <w:r w:rsidR="00F649EB">
        <w:rPr>
          <w:rFonts w:cs="Arial"/>
          <w:b w:val="0"/>
          <w:bCs/>
          <w:color w:val="auto"/>
          <w:spacing w:val="0"/>
          <w:sz w:val="24"/>
          <w:szCs w:val="24"/>
        </w:rPr>
        <w:t>.</w:t>
      </w:r>
    </w:p>
    <w:p w14:paraId="1A4031B5" w14:textId="762EFB91" w:rsidR="001E0497" w:rsidRPr="009B6BBB" w:rsidRDefault="001E0497" w:rsidP="009B6BBB">
      <w:pPr>
        <w:pStyle w:val="bulnot"/>
        <w:keepLines/>
        <w:widowControl w:val="0"/>
        <w:spacing w:before="0"/>
        <w:ind w:left="0" w:right="0" w:firstLine="0"/>
        <w:rPr>
          <w:rFonts w:cs="Arial"/>
          <w:b w:val="0"/>
          <w:bCs/>
          <w:color w:val="auto"/>
          <w:spacing w:val="0"/>
          <w:sz w:val="16"/>
          <w:szCs w:val="16"/>
        </w:rPr>
      </w:pPr>
    </w:p>
    <w:p w14:paraId="7EB706EF" w14:textId="618A1E86" w:rsidR="00774F5B" w:rsidRPr="003C3740" w:rsidRDefault="00774F5B" w:rsidP="009B6BBB">
      <w:pPr>
        <w:pStyle w:val="bulnot"/>
        <w:widowControl w:val="0"/>
        <w:numPr>
          <w:ilvl w:val="0"/>
          <w:numId w:val="26"/>
        </w:numPr>
        <w:tabs>
          <w:tab w:val="clear" w:pos="851"/>
        </w:tabs>
        <w:spacing w:before="0"/>
        <w:ind w:left="357" w:right="0" w:hanging="357"/>
        <w:jc w:val="center"/>
        <w:rPr>
          <w:rFonts w:cs="Arial"/>
          <w:bCs/>
          <w:smallCaps/>
          <w:color w:val="auto"/>
          <w:spacing w:val="0"/>
          <w:sz w:val="24"/>
          <w:szCs w:val="24"/>
        </w:rPr>
      </w:pPr>
      <w:r w:rsidRPr="003C3740">
        <w:rPr>
          <w:rFonts w:cs="Arial"/>
          <w:bCs/>
          <w:smallCaps/>
          <w:color w:val="auto"/>
          <w:spacing w:val="0"/>
          <w:sz w:val="24"/>
          <w:szCs w:val="24"/>
        </w:rPr>
        <w:t>Cifras desestacionalizadas</w:t>
      </w:r>
      <w:r w:rsidR="00F83790" w:rsidRPr="001252E5">
        <w:rPr>
          <w:rStyle w:val="Refdenotaalpie"/>
          <w:snapToGrid w:val="0"/>
          <w:color w:val="auto"/>
          <w:spacing w:val="6"/>
          <w:sz w:val="24"/>
          <w:szCs w:val="24"/>
        </w:rPr>
        <w:footnoteReference w:id="2"/>
      </w:r>
    </w:p>
    <w:p w14:paraId="568E17A4" w14:textId="77777777" w:rsidR="009B6BBB" w:rsidRDefault="009B6BBB" w:rsidP="009B6BBB">
      <w:pPr>
        <w:pStyle w:val="bulnot"/>
        <w:widowControl w:val="0"/>
        <w:spacing w:before="0"/>
        <w:ind w:left="567" w:right="567" w:firstLine="0"/>
        <w:rPr>
          <w:rFonts w:cs="Arial"/>
          <w:iCs/>
          <w:color w:val="auto"/>
          <w:spacing w:val="0"/>
          <w:sz w:val="24"/>
          <w:szCs w:val="24"/>
        </w:rPr>
      </w:pPr>
    </w:p>
    <w:p w14:paraId="46D4AC28" w14:textId="1D1F5860" w:rsidR="00467BD1" w:rsidRPr="00071749" w:rsidRDefault="008679CD" w:rsidP="009B6BBB">
      <w:pPr>
        <w:pStyle w:val="bulnot"/>
        <w:widowControl w:val="0"/>
        <w:spacing w:before="0"/>
        <w:ind w:left="567" w:right="567" w:firstLine="0"/>
        <w:rPr>
          <w:rFonts w:cs="Arial"/>
          <w:iCs/>
          <w:color w:val="auto"/>
          <w:spacing w:val="0"/>
          <w:sz w:val="24"/>
          <w:szCs w:val="24"/>
        </w:rPr>
      </w:pPr>
      <w:r w:rsidRPr="00071749">
        <w:rPr>
          <w:rFonts w:cs="Arial"/>
          <w:iCs/>
          <w:color w:val="auto"/>
          <w:spacing w:val="0"/>
          <w:sz w:val="24"/>
          <w:szCs w:val="24"/>
        </w:rPr>
        <w:t>Indicadores de las empresas comerciales al por mayor</w:t>
      </w:r>
    </w:p>
    <w:p w14:paraId="05F1EFD3" w14:textId="77777777" w:rsidR="009B6BBB" w:rsidRDefault="009B6BBB" w:rsidP="009B6BBB">
      <w:pPr>
        <w:pStyle w:val="Textoindependiente"/>
        <w:spacing w:before="0"/>
        <w:rPr>
          <w:color w:val="auto"/>
        </w:rPr>
      </w:pPr>
    </w:p>
    <w:p w14:paraId="67DD4409" w14:textId="125FF2CA" w:rsidR="00ED4D0D" w:rsidRPr="00F87E34" w:rsidRDefault="00F820E2" w:rsidP="009B6BBB">
      <w:pPr>
        <w:pStyle w:val="Textoindependiente"/>
        <w:spacing w:before="0"/>
        <w:rPr>
          <w:color w:val="auto"/>
        </w:rPr>
      </w:pPr>
      <w:r w:rsidRPr="00F87E34">
        <w:rPr>
          <w:color w:val="auto"/>
        </w:rPr>
        <w:t xml:space="preserve">En </w:t>
      </w:r>
      <w:r w:rsidR="002B398D">
        <w:rPr>
          <w:color w:val="auto"/>
        </w:rPr>
        <w:t>septiembre</w:t>
      </w:r>
      <w:r w:rsidRPr="00F87E34">
        <w:rPr>
          <w:color w:val="auto"/>
        </w:rPr>
        <w:t xml:space="preserve"> de 202</w:t>
      </w:r>
      <w:r w:rsidR="00725B90">
        <w:rPr>
          <w:color w:val="auto"/>
        </w:rPr>
        <w:t>3</w:t>
      </w:r>
      <w:r w:rsidR="00B35656">
        <w:rPr>
          <w:color w:val="auto"/>
        </w:rPr>
        <w:t xml:space="preserve"> y a tasa mensual</w:t>
      </w:r>
      <w:r w:rsidR="001A35C9">
        <w:rPr>
          <w:color w:val="auto"/>
        </w:rPr>
        <w:t xml:space="preserve">, </w:t>
      </w:r>
      <w:r w:rsidR="009E2BC4" w:rsidRPr="00F87E34">
        <w:rPr>
          <w:color w:val="auto"/>
        </w:rPr>
        <w:t xml:space="preserve">los </w:t>
      </w:r>
      <w:r w:rsidR="004C75FC" w:rsidRPr="00F87E34">
        <w:rPr>
          <w:color w:val="auto"/>
        </w:rPr>
        <w:t>i</w:t>
      </w:r>
      <w:r w:rsidR="009E2BC4" w:rsidRPr="00F87E34">
        <w:rPr>
          <w:color w:val="auto"/>
        </w:rPr>
        <w:t>ngresos reales por suministro de bienes y servicios</w:t>
      </w:r>
      <w:r w:rsidR="00F83790" w:rsidRPr="006D5A0E">
        <w:rPr>
          <w:rStyle w:val="Refdenotaalpie"/>
          <w:bCs/>
          <w:color w:val="auto"/>
          <w:spacing w:val="6"/>
        </w:rPr>
        <w:footnoteReference w:id="3"/>
      </w:r>
      <w:r w:rsidR="009E2BC4" w:rsidRPr="00F87E34">
        <w:rPr>
          <w:color w:val="auto"/>
        </w:rPr>
        <w:t xml:space="preserve"> </w:t>
      </w:r>
      <w:r w:rsidR="0002385A" w:rsidRPr="00F87E34">
        <w:rPr>
          <w:color w:val="auto"/>
        </w:rPr>
        <w:t>de las empresas comerciales al por m</w:t>
      </w:r>
      <w:r w:rsidR="0002385A">
        <w:rPr>
          <w:color w:val="auto"/>
        </w:rPr>
        <w:t xml:space="preserve">ayor crecieron </w:t>
      </w:r>
      <w:r w:rsidR="00371C9A">
        <w:rPr>
          <w:color w:val="auto"/>
        </w:rPr>
        <w:t>3.</w:t>
      </w:r>
      <w:r w:rsidR="00470E63">
        <w:rPr>
          <w:color w:val="auto"/>
        </w:rPr>
        <w:t>9</w:t>
      </w:r>
      <w:r w:rsidR="0026546B">
        <w:rPr>
          <w:color w:val="auto"/>
        </w:rPr>
        <w:t> %</w:t>
      </w:r>
      <w:r w:rsidR="00470E63">
        <w:rPr>
          <w:color w:val="auto"/>
        </w:rPr>
        <w:t xml:space="preserve"> </w:t>
      </w:r>
      <w:r w:rsidR="00AC2EA7">
        <w:rPr>
          <w:color w:val="auto"/>
        </w:rPr>
        <w:t>y l</w:t>
      </w:r>
      <w:r w:rsidR="00AC2EA7" w:rsidRPr="00F87E34">
        <w:rPr>
          <w:color w:val="auto"/>
        </w:rPr>
        <w:t>as remuneraciones medias reales</w:t>
      </w:r>
      <w:r w:rsidR="00AC2EA7">
        <w:rPr>
          <w:color w:val="auto"/>
        </w:rPr>
        <w:t>, 2.5 por ciento. E</w:t>
      </w:r>
      <w:r w:rsidR="00371C9A">
        <w:rPr>
          <w:color w:val="auto"/>
        </w:rPr>
        <w:t xml:space="preserve">l personal ocupado total </w:t>
      </w:r>
      <w:r w:rsidR="00470E63">
        <w:rPr>
          <w:color w:val="auto"/>
        </w:rPr>
        <w:t>disminuy</w:t>
      </w:r>
      <w:r w:rsidR="00371C9A">
        <w:rPr>
          <w:color w:val="auto"/>
        </w:rPr>
        <w:t>ó 0.</w:t>
      </w:r>
      <w:r w:rsidR="00470E63">
        <w:rPr>
          <w:color w:val="auto"/>
        </w:rPr>
        <w:t>3 </w:t>
      </w:r>
      <w:r w:rsidR="00AC2EA7">
        <w:rPr>
          <w:color w:val="auto"/>
        </w:rPr>
        <w:t>por ciento</w:t>
      </w:r>
      <w:r w:rsidR="00371C9A">
        <w:rPr>
          <w:color w:val="auto"/>
        </w:rPr>
        <w:t>.</w:t>
      </w:r>
      <w:r w:rsidR="0002385A">
        <w:rPr>
          <w:color w:val="auto"/>
        </w:rPr>
        <w:t xml:space="preserve"> </w:t>
      </w:r>
    </w:p>
    <w:p w14:paraId="2E87EE61" w14:textId="63E5FAE1" w:rsidR="00467BD1" w:rsidRPr="00F87E34" w:rsidRDefault="008B4B23" w:rsidP="001F681B">
      <w:pPr>
        <w:pStyle w:val="Textoindependiente"/>
        <w:rPr>
          <w:color w:val="auto"/>
        </w:rPr>
      </w:pPr>
      <w:r w:rsidRPr="00F87E34">
        <w:rPr>
          <w:color w:val="auto"/>
        </w:rPr>
        <w:t>E</w:t>
      </w:r>
      <w:r w:rsidR="00651B06">
        <w:rPr>
          <w:color w:val="auto"/>
        </w:rPr>
        <w:t xml:space="preserve">n </w:t>
      </w:r>
      <w:r w:rsidR="00AA2F6D">
        <w:rPr>
          <w:color w:val="auto"/>
        </w:rPr>
        <w:t xml:space="preserve">el </w:t>
      </w:r>
      <w:r w:rsidR="000B55A5">
        <w:rPr>
          <w:color w:val="auto"/>
        </w:rPr>
        <w:t>mes de referencia</w:t>
      </w:r>
      <w:r w:rsidR="00651B06">
        <w:rPr>
          <w:color w:val="auto"/>
        </w:rPr>
        <w:t xml:space="preserve"> y a tasa</w:t>
      </w:r>
      <w:r w:rsidRPr="00F87E34">
        <w:rPr>
          <w:color w:val="auto"/>
        </w:rPr>
        <w:t xml:space="preserve"> anual</w:t>
      </w:r>
      <w:r w:rsidR="009E2BC4" w:rsidRPr="00F87E34">
        <w:rPr>
          <w:color w:val="auto"/>
        </w:rPr>
        <w:t xml:space="preserve">, los </w:t>
      </w:r>
      <w:r w:rsidR="004C75FC" w:rsidRPr="00F87E34">
        <w:rPr>
          <w:color w:val="auto"/>
        </w:rPr>
        <w:t>i</w:t>
      </w:r>
      <w:r w:rsidR="009E2BC4" w:rsidRPr="00F87E34">
        <w:rPr>
          <w:color w:val="auto"/>
        </w:rPr>
        <w:t xml:space="preserve">ngresos reales por suministro de bienes y servicios </w:t>
      </w:r>
      <w:r w:rsidR="00371C9A">
        <w:rPr>
          <w:color w:val="auto"/>
        </w:rPr>
        <w:t>incrementaron</w:t>
      </w:r>
      <w:r w:rsidR="004C481C">
        <w:rPr>
          <w:color w:val="auto"/>
        </w:rPr>
        <w:t xml:space="preserve"> </w:t>
      </w:r>
      <w:r w:rsidR="00E93086">
        <w:rPr>
          <w:color w:val="auto"/>
        </w:rPr>
        <w:t>8.5</w:t>
      </w:r>
      <w:r w:rsidR="0026546B">
        <w:rPr>
          <w:color w:val="auto"/>
        </w:rPr>
        <w:t> %</w:t>
      </w:r>
      <w:r w:rsidR="00F8669B">
        <w:rPr>
          <w:color w:val="auto"/>
        </w:rPr>
        <w:t>,</w:t>
      </w:r>
      <w:r w:rsidR="00F054A3">
        <w:rPr>
          <w:color w:val="auto"/>
        </w:rPr>
        <w:t xml:space="preserve"> e</w:t>
      </w:r>
      <w:r w:rsidR="006E09A9" w:rsidRPr="00F87E34">
        <w:rPr>
          <w:color w:val="auto"/>
        </w:rPr>
        <w:t xml:space="preserve">l </w:t>
      </w:r>
      <w:r w:rsidR="004C75FC" w:rsidRPr="00F87E34">
        <w:rPr>
          <w:color w:val="auto"/>
        </w:rPr>
        <w:t>p</w:t>
      </w:r>
      <w:r w:rsidR="00B00396" w:rsidRPr="00F87E34">
        <w:rPr>
          <w:color w:val="auto"/>
        </w:rPr>
        <w:t>ersonal ocupado total</w:t>
      </w:r>
      <w:r w:rsidR="00056594" w:rsidRPr="00056594">
        <w:rPr>
          <w:color w:val="auto"/>
        </w:rPr>
        <w:t xml:space="preserve"> </w:t>
      </w:r>
      <w:r w:rsidR="00F8669B">
        <w:rPr>
          <w:color w:val="auto"/>
        </w:rPr>
        <w:t>subió</w:t>
      </w:r>
      <w:r w:rsidR="004C481C">
        <w:rPr>
          <w:color w:val="auto"/>
        </w:rPr>
        <w:t xml:space="preserve"> </w:t>
      </w:r>
      <w:r w:rsidR="00E93086">
        <w:rPr>
          <w:color w:val="auto"/>
        </w:rPr>
        <w:t>1.9</w:t>
      </w:r>
      <w:r w:rsidR="0026546B">
        <w:rPr>
          <w:color w:val="auto"/>
        </w:rPr>
        <w:t> %</w:t>
      </w:r>
      <w:r w:rsidR="00056594">
        <w:rPr>
          <w:color w:val="auto"/>
        </w:rPr>
        <w:t xml:space="preserve"> y l</w:t>
      </w:r>
      <w:r w:rsidR="005C5EAF" w:rsidRPr="00F87E34">
        <w:rPr>
          <w:color w:val="auto"/>
        </w:rPr>
        <w:t xml:space="preserve">as </w:t>
      </w:r>
      <w:r w:rsidR="004C75FC" w:rsidRPr="00F87E34">
        <w:rPr>
          <w:color w:val="auto"/>
        </w:rPr>
        <w:t>r</w:t>
      </w:r>
      <w:r w:rsidR="005C5EAF" w:rsidRPr="00F87E34">
        <w:rPr>
          <w:color w:val="auto"/>
        </w:rPr>
        <w:t>emuneraciones medias reales</w:t>
      </w:r>
      <w:r w:rsidR="00C44431">
        <w:rPr>
          <w:color w:val="auto"/>
        </w:rPr>
        <w:t xml:space="preserve"> </w:t>
      </w:r>
      <w:r w:rsidR="00F8669B">
        <w:rPr>
          <w:color w:val="auto"/>
        </w:rPr>
        <w:t>avanzaron</w:t>
      </w:r>
      <w:r w:rsidR="004C481C">
        <w:rPr>
          <w:color w:val="auto"/>
        </w:rPr>
        <w:t xml:space="preserve"> </w:t>
      </w:r>
      <w:r w:rsidR="00E93086">
        <w:rPr>
          <w:color w:val="auto"/>
        </w:rPr>
        <w:t>9.5</w:t>
      </w:r>
      <w:r w:rsidR="00556DEF">
        <w:rPr>
          <w:color w:val="auto"/>
        </w:rPr>
        <w:t xml:space="preserve"> </w:t>
      </w:r>
      <w:r w:rsidR="00CC7785">
        <w:rPr>
          <w:color w:val="auto"/>
        </w:rPr>
        <w:t>por ciento</w:t>
      </w:r>
      <w:r w:rsidR="004E0A24" w:rsidRPr="00F87E34">
        <w:rPr>
          <w:color w:val="auto"/>
        </w:rPr>
        <w:t>.</w:t>
      </w:r>
    </w:p>
    <w:p w14:paraId="76BACD40" w14:textId="41C6A5A3" w:rsidR="00467BD1" w:rsidRPr="00F87E34" w:rsidRDefault="00467BD1" w:rsidP="00D56D76">
      <w:pPr>
        <w:pStyle w:val="p0"/>
        <w:keepNext/>
        <w:keepLines w:val="0"/>
        <w:widowControl/>
        <w:spacing w:before="200"/>
        <w:jc w:val="center"/>
        <w:rPr>
          <w:rFonts w:ascii="Arial" w:hAnsi="Arial"/>
          <w:b/>
          <w:smallCaps/>
          <w:color w:val="auto"/>
          <w:sz w:val="22"/>
        </w:rPr>
      </w:pPr>
      <w:r w:rsidRPr="00F87E34">
        <w:rPr>
          <w:rFonts w:ascii="Arial" w:hAnsi="Arial"/>
          <w:color w:val="auto"/>
          <w:sz w:val="20"/>
        </w:rPr>
        <w:t>Gráfica 1</w:t>
      </w:r>
    </w:p>
    <w:p w14:paraId="4BBC941F" w14:textId="77777777" w:rsidR="0067572D" w:rsidRDefault="0067572D" w:rsidP="00774F5B">
      <w:pPr>
        <w:pStyle w:val="p0"/>
        <w:keepLines w:val="0"/>
        <w:spacing w:before="0"/>
        <w:jc w:val="center"/>
        <w:rPr>
          <w:rFonts w:ascii="Arial" w:hAnsi="Arial"/>
          <w:b/>
          <w:smallCaps/>
          <w:color w:val="auto"/>
          <w:sz w:val="22"/>
          <w:szCs w:val="22"/>
        </w:rPr>
      </w:pPr>
      <w:r>
        <w:rPr>
          <w:rFonts w:ascii="Arial" w:hAnsi="Arial"/>
          <w:b/>
          <w:smallCaps/>
          <w:color w:val="auto"/>
          <w:sz w:val="22"/>
          <w:szCs w:val="22"/>
        </w:rPr>
        <w:t xml:space="preserve">Series desestacionalizada y de tendencia-ciclo </w:t>
      </w:r>
    </w:p>
    <w:p w14:paraId="45D36BB7" w14:textId="1C74E687" w:rsidR="003D0BF3" w:rsidRDefault="0067572D" w:rsidP="00774F5B">
      <w:pPr>
        <w:pStyle w:val="p0"/>
        <w:keepLines w:val="0"/>
        <w:spacing w:before="0"/>
        <w:jc w:val="center"/>
        <w:rPr>
          <w:rFonts w:ascii="Arial" w:hAnsi="Arial"/>
          <w:b/>
          <w:smallCaps/>
          <w:color w:val="auto"/>
          <w:sz w:val="22"/>
        </w:rPr>
      </w:pPr>
      <w:r>
        <w:rPr>
          <w:rFonts w:ascii="Arial" w:hAnsi="Arial"/>
          <w:b/>
          <w:smallCaps/>
          <w:color w:val="auto"/>
          <w:sz w:val="22"/>
          <w:szCs w:val="22"/>
        </w:rPr>
        <w:t>de los i</w:t>
      </w:r>
      <w:r w:rsidR="00D805CD" w:rsidRPr="00F87E34">
        <w:rPr>
          <w:rFonts w:ascii="Arial" w:hAnsi="Arial"/>
          <w:b/>
          <w:smallCaps/>
          <w:snapToGrid/>
          <w:color w:val="auto"/>
          <w:sz w:val="22"/>
        </w:rPr>
        <w:t>ngresos reales por suministro de bienes y servicios</w:t>
      </w:r>
      <w:r w:rsidR="00D805CD" w:rsidRPr="00F87E34">
        <w:rPr>
          <w:rFonts w:ascii="Arial" w:hAnsi="Arial"/>
          <w:b/>
          <w:smallCaps/>
          <w:color w:val="auto"/>
          <w:sz w:val="22"/>
        </w:rPr>
        <w:t xml:space="preserve"> </w:t>
      </w:r>
    </w:p>
    <w:p w14:paraId="47D4F046" w14:textId="77777777" w:rsidR="00C87826" w:rsidRPr="005F4E1E" w:rsidRDefault="00C87826" w:rsidP="00C87826">
      <w:pPr>
        <w:pStyle w:val="p0"/>
        <w:keepNext/>
        <w:spacing w:before="0"/>
        <w:jc w:val="center"/>
        <w:rPr>
          <w:rFonts w:ascii="Arial" w:hAnsi="Arial"/>
          <w:color w:val="auto"/>
          <w:sz w:val="20"/>
          <w:szCs w:val="28"/>
          <w:lang w:val="es-MX"/>
        </w:rPr>
      </w:pPr>
      <w:r w:rsidRPr="005F4E1E">
        <w:rPr>
          <w:rFonts w:ascii="Arial" w:hAnsi="Arial"/>
          <w:color w:val="auto"/>
          <w:sz w:val="20"/>
          <w:szCs w:val="28"/>
          <w:lang w:val="es-MX"/>
        </w:rPr>
        <w:t>a septiembre de 2023</w:t>
      </w:r>
    </w:p>
    <w:p w14:paraId="5EAFB3CC" w14:textId="62725013" w:rsidR="00467BD1" w:rsidRPr="00F87E34" w:rsidRDefault="00467BD1" w:rsidP="00774F5B">
      <w:pPr>
        <w:pStyle w:val="p0"/>
        <w:keepLines w:val="0"/>
        <w:spacing w:before="0"/>
        <w:jc w:val="center"/>
        <w:rPr>
          <w:rFonts w:ascii="Arial" w:hAnsi="Arial"/>
          <w:color w:val="auto"/>
          <w:sz w:val="18"/>
          <w:szCs w:val="18"/>
        </w:rPr>
      </w:pPr>
      <w:r w:rsidRPr="00F87E34">
        <w:rPr>
          <w:rFonts w:ascii="Arial" w:hAnsi="Arial"/>
          <w:smallCaps/>
          <w:color w:val="auto"/>
          <w:sz w:val="18"/>
          <w:szCs w:val="18"/>
        </w:rPr>
        <w:t>(</w:t>
      </w:r>
      <w:r w:rsidR="00065189">
        <w:rPr>
          <w:rFonts w:ascii="Arial" w:hAnsi="Arial"/>
          <w:color w:val="auto"/>
          <w:sz w:val="18"/>
          <w:szCs w:val="18"/>
        </w:rPr>
        <w:t>í</w:t>
      </w:r>
      <w:r w:rsidRPr="00F87E34">
        <w:rPr>
          <w:rFonts w:ascii="Arial" w:hAnsi="Arial"/>
          <w:color w:val="auto"/>
          <w:sz w:val="18"/>
          <w:szCs w:val="18"/>
        </w:rPr>
        <w:t>ndice 20</w:t>
      </w:r>
      <w:r w:rsidR="006D01F3" w:rsidRPr="00F87E34">
        <w:rPr>
          <w:rFonts w:ascii="Arial" w:hAnsi="Arial"/>
          <w:color w:val="auto"/>
          <w:sz w:val="18"/>
          <w:szCs w:val="18"/>
        </w:rPr>
        <w:t>1</w:t>
      </w:r>
      <w:r w:rsidR="00BE4B77">
        <w:rPr>
          <w:rFonts w:ascii="Arial" w:hAnsi="Arial"/>
          <w:color w:val="auto"/>
          <w:sz w:val="18"/>
          <w:szCs w:val="18"/>
        </w:rPr>
        <w:t>8</w:t>
      </w:r>
      <w:r w:rsidRPr="00F87E34">
        <w:rPr>
          <w:rFonts w:ascii="Arial" w:hAnsi="Arial"/>
          <w:color w:val="auto"/>
          <w:sz w:val="18"/>
          <w:szCs w:val="18"/>
        </w:rPr>
        <w:t>=100)</w:t>
      </w:r>
    </w:p>
    <w:p w14:paraId="0722D1B4" w14:textId="7C50D83C" w:rsidR="00D805CD" w:rsidRPr="00F87E34" w:rsidRDefault="00E93086" w:rsidP="00774F5B">
      <w:pPr>
        <w:pStyle w:val="p0"/>
        <w:keepLines w:val="0"/>
        <w:spacing w:before="0"/>
        <w:jc w:val="center"/>
        <w:rPr>
          <w:rFonts w:ascii="Arial" w:hAnsi="Arial"/>
          <w:color w:val="auto"/>
          <w:sz w:val="18"/>
          <w:szCs w:val="18"/>
        </w:rPr>
      </w:pPr>
      <w:r>
        <w:rPr>
          <w:noProof/>
        </w:rPr>
        <w:drawing>
          <wp:inline distT="0" distB="0" distL="0" distR="0" wp14:anchorId="44846F8E" wp14:editId="6C19F76D">
            <wp:extent cx="5400000" cy="2880000"/>
            <wp:effectExtent l="0" t="0" r="10795" b="15875"/>
            <wp:docPr id="517296672"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EE9A48B" w14:textId="0B0468A0" w:rsidR="00D805CD" w:rsidRPr="00F24107" w:rsidRDefault="00D805CD" w:rsidP="00587EEE">
      <w:pPr>
        <w:pStyle w:val="Textoindependiente"/>
        <w:spacing w:before="0"/>
        <w:ind w:left="1442" w:right="760" w:hanging="591"/>
        <w:rPr>
          <w:color w:val="auto"/>
          <w:sz w:val="16"/>
          <w:szCs w:val="16"/>
        </w:rPr>
      </w:pPr>
      <w:r w:rsidRPr="00F24107">
        <w:rPr>
          <w:color w:val="auto"/>
          <w:sz w:val="16"/>
          <w:szCs w:val="16"/>
        </w:rPr>
        <w:t>Fuente:</w:t>
      </w:r>
      <w:r w:rsidR="00BC0138">
        <w:rPr>
          <w:color w:val="auto"/>
          <w:sz w:val="16"/>
          <w:szCs w:val="16"/>
        </w:rPr>
        <w:tab/>
      </w:r>
      <w:r w:rsidR="00F24107" w:rsidRPr="00F24107">
        <w:rPr>
          <w:smallCaps/>
          <w:color w:val="auto"/>
          <w:sz w:val="16"/>
          <w:szCs w:val="16"/>
        </w:rPr>
        <w:t>inegi</w:t>
      </w:r>
      <w:r w:rsidR="00F24107">
        <w:rPr>
          <w:color w:val="auto"/>
          <w:sz w:val="16"/>
          <w:szCs w:val="16"/>
        </w:rPr>
        <w:t xml:space="preserve">. </w:t>
      </w:r>
      <w:r w:rsidR="00F24107" w:rsidRPr="00F24107">
        <w:rPr>
          <w:color w:val="auto"/>
          <w:sz w:val="16"/>
          <w:szCs w:val="16"/>
        </w:rPr>
        <w:t>Encuesta Mensual sobre Empresas Comerciales (</w:t>
      </w:r>
      <w:r w:rsidR="00F24107" w:rsidRPr="00F24107">
        <w:rPr>
          <w:smallCaps/>
          <w:color w:val="auto"/>
          <w:sz w:val="16"/>
          <w:szCs w:val="16"/>
        </w:rPr>
        <w:t>emec</w:t>
      </w:r>
      <w:r w:rsidR="00F24107" w:rsidRPr="00F24107">
        <w:rPr>
          <w:color w:val="auto"/>
          <w:sz w:val="16"/>
          <w:szCs w:val="16"/>
        </w:rPr>
        <w:t>). Series elaboradas mediante métodos econométricos, 2023.</w:t>
      </w:r>
    </w:p>
    <w:p w14:paraId="174F6A49" w14:textId="3424B62A" w:rsidR="00D805CD" w:rsidRPr="00F87E34" w:rsidRDefault="00D805CD" w:rsidP="00D805CD">
      <w:pPr>
        <w:pStyle w:val="p0"/>
        <w:keepNext/>
        <w:keepLines w:val="0"/>
        <w:widowControl/>
        <w:jc w:val="center"/>
        <w:rPr>
          <w:rFonts w:ascii="Arial" w:hAnsi="Arial"/>
          <w:b/>
          <w:smallCaps/>
          <w:color w:val="auto"/>
          <w:sz w:val="22"/>
        </w:rPr>
      </w:pPr>
      <w:r w:rsidRPr="00F87E34">
        <w:rPr>
          <w:rFonts w:ascii="Arial" w:hAnsi="Arial"/>
          <w:color w:val="auto"/>
          <w:sz w:val="20"/>
        </w:rPr>
        <w:lastRenderedPageBreak/>
        <w:t>Gráfica 2</w:t>
      </w:r>
    </w:p>
    <w:p w14:paraId="53C44D06" w14:textId="77777777" w:rsidR="0067572D" w:rsidRDefault="0067572D" w:rsidP="00D805CD">
      <w:pPr>
        <w:jc w:val="center"/>
        <w:rPr>
          <w:b/>
          <w:smallCaps/>
          <w:sz w:val="22"/>
          <w:szCs w:val="22"/>
        </w:rPr>
      </w:pPr>
      <w:r>
        <w:rPr>
          <w:b/>
          <w:smallCaps/>
          <w:sz w:val="22"/>
          <w:szCs w:val="22"/>
        </w:rPr>
        <w:t xml:space="preserve">Series desestacionalizada y de tendencia-ciclo </w:t>
      </w:r>
    </w:p>
    <w:p w14:paraId="760E282E" w14:textId="1D9FD0D6" w:rsidR="00D805CD" w:rsidRDefault="0067572D" w:rsidP="00D805CD">
      <w:pPr>
        <w:jc w:val="center"/>
        <w:rPr>
          <w:b/>
          <w:smallCaps/>
          <w:sz w:val="22"/>
        </w:rPr>
      </w:pPr>
      <w:r>
        <w:rPr>
          <w:b/>
          <w:smallCaps/>
          <w:sz w:val="22"/>
          <w:szCs w:val="22"/>
        </w:rPr>
        <w:t xml:space="preserve">del </w:t>
      </w:r>
      <w:r>
        <w:rPr>
          <w:b/>
          <w:smallCaps/>
          <w:sz w:val="22"/>
        </w:rPr>
        <w:t>p</w:t>
      </w:r>
      <w:r w:rsidR="00D805CD" w:rsidRPr="00F87E34">
        <w:rPr>
          <w:b/>
          <w:smallCaps/>
          <w:sz w:val="22"/>
        </w:rPr>
        <w:t>ersonal ocupado total</w:t>
      </w:r>
    </w:p>
    <w:p w14:paraId="20CF0B7D" w14:textId="77777777" w:rsidR="00C87826" w:rsidRPr="005F4E1E" w:rsidRDefault="00C87826" w:rsidP="00C87826">
      <w:pPr>
        <w:pStyle w:val="p0"/>
        <w:keepNext/>
        <w:spacing w:before="0"/>
        <w:jc w:val="center"/>
        <w:rPr>
          <w:rFonts w:ascii="Arial" w:hAnsi="Arial"/>
          <w:color w:val="auto"/>
          <w:sz w:val="20"/>
          <w:szCs w:val="28"/>
          <w:lang w:val="es-MX"/>
        </w:rPr>
      </w:pPr>
      <w:r w:rsidRPr="005F4E1E">
        <w:rPr>
          <w:rFonts w:ascii="Arial" w:hAnsi="Arial"/>
          <w:color w:val="auto"/>
          <w:sz w:val="20"/>
          <w:szCs w:val="28"/>
          <w:lang w:val="es-MX"/>
        </w:rPr>
        <w:t>a septiembre de 2023</w:t>
      </w:r>
    </w:p>
    <w:p w14:paraId="5CAD35F4" w14:textId="2A4CA8D2" w:rsidR="00D805CD" w:rsidRPr="00F87E34" w:rsidRDefault="00D805CD" w:rsidP="00D805CD">
      <w:pPr>
        <w:pStyle w:val="p0"/>
        <w:keepLines w:val="0"/>
        <w:spacing w:before="0"/>
        <w:jc w:val="center"/>
        <w:rPr>
          <w:rFonts w:ascii="Arial" w:hAnsi="Arial"/>
          <w:color w:val="auto"/>
          <w:sz w:val="18"/>
          <w:szCs w:val="18"/>
        </w:rPr>
      </w:pPr>
      <w:r w:rsidRPr="00F87E34">
        <w:rPr>
          <w:rFonts w:ascii="Arial" w:hAnsi="Arial"/>
          <w:smallCaps/>
          <w:color w:val="auto"/>
          <w:sz w:val="18"/>
          <w:szCs w:val="18"/>
        </w:rPr>
        <w:t>(</w:t>
      </w:r>
      <w:r w:rsidR="00065189">
        <w:rPr>
          <w:rFonts w:ascii="Arial" w:hAnsi="Arial"/>
          <w:color w:val="auto"/>
          <w:sz w:val="18"/>
          <w:szCs w:val="18"/>
        </w:rPr>
        <w:t>í</w:t>
      </w:r>
      <w:r w:rsidRPr="00F87E34">
        <w:rPr>
          <w:rFonts w:ascii="Arial" w:hAnsi="Arial"/>
          <w:color w:val="auto"/>
          <w:sz w:val="18"/>
          <w:szCs w:val="18"/>
        </w:rPr>
        <w:t>ndice 201</w:t>
      </w:r>
      <w:r w:rsidR="00BE4B77">
        <w:rPr>
          <w:rFonts w:ascii="Arial" w:hAnsi="Arial"/>
          <w:color w:val="auto"/>
          <w:sz w:val="18"/>
          <w:szCs w:val="18"/>
        </w:rPr>
        <w:t>8</w:t>
      </w:r>
      <w:r w:rsidRPr="00F87E34">
        <w:rPr>
          <w:rFonts w:ascii="Arial" w:hAnsi="Arial"/>
          <w:color w:val="auto"/>
          <w:sz w:val="18"/>
          <w:szCs w:val="18"/>
        </w:rPr>
        <w:t>=100)</w:t>
      </w:r>
    </w:p>
    <w:p w14:paraId="706A6D46" w14:textId="74D24F6F" w:rsidR="00D805CD" w:rsidRPr="00F87E34" w:rsidRDefault="00E93086" w:rsidP="00D805CD">
      <w:pPr>
        <w:jc w:val="center"/>
      </w:pPr>
      <w:r>
        <w:rPr>
          <w:noProof/>
        </w:rPr>
        <w:drawing>
          <wp:inline distT="0" distB="0" distL="0" distR="0" wp14:anchorId="433E5A79" wp14:editId="2E0CF313">
            <wp:extent cx="5400000" cy="2880000"/>
            <wp:effectExtent l="0" t="0" r="10795" b="15875"/>
            <wp:docPr id="516501607"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C277EE2" w14:textId="7639DE6E" w:rsidR="00F24107" w:rsidRPr="00F24107" w:rsidRDefault="00F24107" w:rsidP="00587EEE">
      <w:pPr>
        <w:pStyle w:val="Textoindependiente"/>
        <w:spacing w:before="0"/>
        <w:ind w:left="1442" w:right="760" w:hanging="591"/>
        <w:rPr>
          <w:color w:val="auto"/>
          <w:sz w:val="16"/>
          <w:szCs w:val="16"/>
        </w:rPr>
      </w:pPr>
      <w:r w:rsidRPr="00F24107">
        <w:rPr>
          <w:color w:val="auto"/>
          <w:sz w:val="16"/>
          <w:szCs w:val="16"/>
        </w:rPr>
        <w:t>Fuente:</w:t>
      </w:r>
      <w:r w:rsidR="00BC0138">
        <w:rPr>
          <w:color w:val="auto"/>
          <w:sz w:val="16"/>
          <w:szCs w:val="16"/>
        </w:rPr>
        <w:tab/>
      </w:r>
      <w:r w:rsidRPr="00F24107">
        <w:rPr>
          <w:smallCaps/>
          <w:color w:val="auto"/>
          <w:sz w:val="16"/>
          <w:szCs w:val="16"/>
        </w:rPr>
        <w:t>inegi</w:t>
      </w:r>
      <w:r>
        <w:rPr>
          <w:color w:val="auto"/>
          <w:sz w:val="16"/>
          <w:szCs w:val="16"/>
        </w:rPr>
        <w:t xml:space="preserve">. </w:t>
      </w:r>
      <w:r w:rsidRPr="00F24107">
        <w:rPr>
          <w:color w:val="auto"/>
          <w:sz w:val="16"/>
          <w:szCs w:val="16"/>
        </w:rPr>
        <w:t>Encuesta Mensual sobre Empresas Comerciales (</w:t>
      </w:r>
      <w:r w:rsidRPr="00F24107">
        <w:rPr>
          <w:smallCaps/>
          <w:color w:val="auto"/>
          <w:sz w:val="16"/>
          <w:szCs w:val="16"/>
        </w:rPr>
        <w:t>emec</w:t>
      </w:r>
      <w:r w:rsidRPr="00F24107">
        <w:rPr>
          <w:color w:val="auto"/>
          <w:sz w:val="16"/>
          <w:szCs w:val="16"/>
        </w:rPr>
        <w:t>). Series elaboradas mediante métodos econométricos, 2023.</w:t>
      </w:r>
    </w:p>
    <w:p w14:paraId="1B41EEDB" w14:textId="1CAB7F28" w:rsidR="00D805CD" w:rsidRPr="00F87E34" w:rsidRDefault="00D805CD" w:rsidP="00280B03">
      <w:pPr>
        <w:spacing w:before="240"/>
        <w:jc w:val="center"/>
        <w:rPr>
          <w:b/>
          <w:smallCaps/>
          <w:sz w:val="22"/>
        </w:rPr>
      </w:pPr>
      <w:r w:rsidRPr="00F87E34">
        <w:rPr>
          <w:sz w:val="20"/>
        </w:rPr>
        <w:t>Gráfica 3</w:t>
      </w:r>
    </w:p>
    <w:p w14:paraId="0E282935" w14:textId="77777777" w:rsidR="005750B6" w:rsidRDefault="005750B6" w:rsidP="00D805CD">
      <w:pPr>
        <w:jc w:val="center"/>
        <w:rPr>
          <w:b/>
          <w:smallCaps/>
          <w:sz w:val="22"/>
          <w:szCs w:val="22"/>
        </w:rPr>
      </w:pPr>
      <w:r>
        <w:rPr>
          <w:b/>
          <w:smallCaps/>
          <w:sz w:val="22"/>
          <w:szCs w:val="22"/>
        </w:rPr>
        <w:t xml:space="preserve">Series desestacionalizada y de tendencia-ciclo </w:t>
      </w:r>
    </w:p>
    <w:p w14:paraId="15FE2724" w14:textId="7E2EEE7C" w:rsidR="00D805CD" w:rsidRDefault="005750B6" w:rsidP="00D805CD">
      <w:pPr>
        <w:jc w:val="center"/>
        <w:rPr>
          <w:b/>
          <w:smallCaps/>
          <w:sz w:val="22"/>
        </w:rPr>
      </w:pPr>
      <w:r>
        <w:rPr>
          <w:b/>
          <w:smallCaps/>
          <w:sz w:val="22"/>
          <w:szCs w:val="22"/>
        </w:rPr>
        <w:t>de las r</w:t>
      </w:r>
      <w:r w:rsidR="00D805CD" w:rsidRPr="00F87E34">
        <w:rPr>
          <w:b/>
          <w:smallCaps/>
          <w:sz w:val="22"/>
        </w:rPr>
        <w:t>emuneraciones medias reales</w:t>
      </w:r>
    </w:p>
    <w:p w14:paraId="0E0CE79F" w14:textId="77777777" w:rsidR="00C87826" w:rsidRPr="005F4E1E" w:rsidRDefault="00C87826" w:rsidP="00C87826">
      <w:pPr>
        <w:pStyle w:val="p0"/>
        <w:keepNext/>
        <w:spacing w:before="0"/>
        <w:jc w:val="center"/>
        <w:rPr>
          <w:rFonts w:ascii="Arial" w:hAnsi="Arial"/>
          <w:color w:val="auto"/>
          <w:sz w:val="20"/>
          <w:szCs w:val="28"/>
          <w:lang w:val="es-MX"/>
        </w:rPr>
      </w:pPr>
      <w:r w:rsidRPr="005F4E1E">
        <w:rPr>
          <w:rFonts w:ascii="Arial" w:hAnsi="Arial"/>
          <w:color w:val="auto"/>
          <w:sz w:val="20"/>
          <w:szCs w:val="28"/>
          <w:lang w:val="es-MX"/>
        </w:rPr>
        <w:t>a septiembre de 2023</w:t>
      </w:r>
    </w:p>
    <w:p w14:paraId="6236D549" w14:textId="5B65ACDC" w:rsidR="00D805CD" w:rsidRPr="00F87E34" w:rsidRDefault="00D805CD" w:rsidP="00D805CD">
      <w:pPr>
        <w:pStyle w:val="p0"/>
        <w:keepLines w:val="0"/>
        <w:spacing w:before="0"/>
        <w:jc w:val="center"/>
        <w:rPr>
          <w:rFonts w:ascii="Arial" w:hAnsi="Arial"/>
          <w:color w:val="auto"/>
          <w:sz w:val="18"/>
          <w:szCs w:val="18"/>
        </w:rPr>
      </w:pPr>
      <w:r w:rsidRPr="00F87E34">
        <w:rPr>
          <w:rFonts w:ascii="Arial" w:hAnsi="Arial"/>
          <w:smallCaps/>
          <w:color w:val="auto"/>
          <w:sz w:val="18"/>
          <w:szCs w:val="18"/>
        </w:rPr>
        <w:t>(</w:t>
      </w:r>
      <w:r w:rsidR="00065189">
        <w:rPr>
          <w:rFonts w:ascii="Arial" w:hAnsi="Arial"/>
          <w:color w:val="auto"/>
          <w:sz w:val="18"/>
          <w:szCs w:val="18"/>
        </w:rPr>
        <w:t>í</w:t>
      </w:r>
      <w:r w:rsidRPr="00F87E34">
        <w:rPr>
          <w:rFonts w:ascii="Arial" w:hAnsi="Arial"/>
          <w:color w:val="auto"/>
          <w:sz w:val="18"/>
          <w:szCs w:val="18"/>
        </w:rPr>
        <w:t>ndice</w:t>
      </w:r>
      <w:r w:rsidR="00065189">
        <w:rPr>
          <w:rFonts w:ascii="Arial" w:hAnsi="Arial"/>
          <w:color w:val="auto"/>
          <w:sz w:val="18"/>
          <w:szCs w:val="18"/>
        </w:rPr>
        <w:t xml:space="preserve"> </w:t>
      </w:r>
      <w:r w:rsidRPr="00F87E34">
        <w:rPr>
          <w:rFonts w:ascii="Arial" w:hAnsi="Arial"/>
          <w:color w:val="auto"/>
          <w:sz w:val="18"/>
          <w:szCs w:val="18"/>
        </w:rPr>
        <w:t>201</w:t>
      </w:r>
      <w:r w:rsidR="00BE4B77">
        <w:rPr>
          <w:rFonts w:ascii="Arial" w:hAnsi="Arial"/>
          <w:color w:val="auto"/>
          <w:sz w:val="18"/>
          <w:szCs w:val="18"/>
        </w:rPr>
        <w:t>8</w:t>
      </w:r>
      <w:r w:rsidRPr="00F87E34">
        <w:rPr>
          <w:rFonts w:ascii="Arial" w:hAnsi="Arial"/>
          <w:color w:val="auto"/>
          <w:sz w:val="18"/>
          <w:szCs w:val="18"/>
        </w:rPr>
        <w:t>=100)</w:t>
      </w:r>
    </w:p>
    <w:p w14:paraId="51E565DB" w14:textId="6E663C9C" w:rsidR="00A50405" w:rsidRPr="00F87E34" w:rsidRDefault="00E93086" w:rsidP="00D805CD">
      <w:pPr>
        <w:jc w:val="center"/>
      </w:pPr>
      <w:r>
        <w:rPr>
          <w:noProof/>
        </w:rPr>
        <w:drawing>
          <wp:inline distT="0" distB="0" distL="0" distR="0" wp14:anchorId="63301066" wp14:editId="6091318A">
            <wp:extent cx="5400000" cy="2880000"/>
            <wp:effectExtent l="0" t="0" r="10795" b="15875"/>
            <wp:docPr id="1434404914" name="Gráfico 1">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B38E9A5" w14:textId="1F3C58AE" w:rsidR="00F24107" w:rsidRPr="00F24107" w:rsidRDefault="00F24107" w:rsidP="00587EEE">
      <w:pPr>
        <w:pStyle w:val="Textoindependiente"/>
        <w:spacing w:before="0"/>
        <w:ind w:left="1442" w:right="760" w:hanging="591"/>
        <w:rPr>
          <w:color w:val="auto"/>
          <w:sz w:val="16"/>
          <w:szCs w:val="16"/>
        </w:rPr>
      </w:pPr>
      <w:r w:rsidRPr="00F24107">
        <w:rPr>
          <w:color w:val="auto"/>
          <w:sz w:val="16"/>
          <w:szCs w:val="16"/>
        </w:rPr>
        <w:t>Fuente:</w:t>
      </w:r>
      <w:r w:rsidR="00BC0138">
        <w:rPr>
          <w:color w:val="auto"/>
          <w:sz w:val="16"/>
          <w:szCs w:val="16"/>
        </w:rPr>
        <w:tab/>
      </w:r>
      <w:r w:rsidRPr="00F24107">
        <w:rPr>
          <w:smallCaps/>
          <w:color w:val="auto"/>
          <w:sz w:val="16"/>
          <w:szCs w:val="16"/>
        </w:rPr>
        <w:t>inegi</w:t>
      </w:r>
      <w:r>
        <w:rPr>
          <w:color w:val="auto"/>
          <w:sz w:val="16"/>
          <w:szCs w:val="16"/>
        </w:rPr>
        <w:t xml:space="preserve">. </w:t>
      </w:r>
      <w:r w:rsidRPr="00F24107">
        <w:rPr>
          <w:color w:val="auto"/>
          <w:sz w:val="16"/>
          <w:szCs w:val="16"/>
        </w:rPr>
        <w:t>Encuesta Mensual sobre Empresas Comerciales (</w:t>
      </w:r>
      <w:r w:rsidRPr="00F24107">
        <w:rPr>
          <w:smallCaps/>
          <w:color w:val="auto"/>
          <w:sz w:val="16"/>
          <w:szCs w:val="16"/>
        </w:rPr>
        <w:t>emec</w:t>
      </w:r>
      <w:r w:rsidRPr="00F24107">
        <w:rPr>
          <w:color w:val="auto"/>
          <w:sz w:val="16"/>
          <w:szCs w:val="16"/>
        </w:rPr>
        <w:t>). Series elaboradas mediante métodos econométricos, 2023.</w:t>
      </w:r>
    </w:p>
    <w:p w14:paraId="5C8347EE" w14:textId="77777777" w:rsidR="009B6BBB" w:rsidRDefault="009B6BBB" w:rsidP="009B6BBB">
      <w:pPr>
        <w:pStyle w:val="bulnot"/>
        <w:widowControl w:val="0"/>
        <w:spacing w:before="120"/>
        <w:ind w:left="567" w:right="567" w:firstLine="0"/>
        <w:rPr>
          <w:rFonts w:cs="Arial"/>
          <w:iCs/>
          <w:color w:val="auto"/>
          <w:spacing w:val="0"/>
          <w:sz w:val="24"/>
          <w:szCs w:val="24"/>
        </w:rPr>
      </w:pPr>
    </w:p>
    <w:p w14:paraId="5855B90C" w14:textId="6EC0261E" w:rsidR="00467BD1" w:rsidRPr="00071749" w:rsidRDefault="008679CD" w:rsidP="009B6BBB">
      <w:pPr>
        <w:pStyle w:val="bulnot"/>
        <w:widowControl w:val="0"/>
        <w:spacing w:before="120"/>
        <w:ind w:left="567" w:right="567" w:firstLine="0"/>
        <w:rPr>
          <w:rFonts w:cs="Arial"/>
          <w:iCs/>
          <w:color w:val="auto"/>
          <w:spacing w:val="0"/>
          <w:sz w:val="24"/>
          <w:szCs w:val="24"/>
        </w:rPr>
      </w:pPr>
      <w:r w:rsidRPr="00071749">
        <w:rPr>
          <w:rFonts w:cs="Arial"/>
          <w:iCs/>
          <w:color w:val="auto"/>
          <w:spacing w:val="0"/>
          <w:sz w:val="24"/>
          <w:szCs w:val="24"/>
        </w:rPr>
        <w:t xml:space="preserve">Indicadores de las empresas comerciales al por menor </w:t>
      </w:r>
    </w:p>
    <w:p w14:paraId="6BA8E4F0" w14:textId="38059BB2" w:rsidR="003012FA" w:rsidRPr="00F87E34" w:rsidRDefault="00FC717F" w:rsidP="001F681B">
      <w:pPr>
        <w:pStyle w:val="Textoindependiente"/>
        <w:keepNext/>
        <w:keepLines/>
        <w:outlineLvl w:val="0"/>
        <w:rPr>
          <w:color w:val="auto"/>
        </w:rPr>
      </w:pPr>
      <w:r w:rsidRPr="00F87E34">
        <w:rPr>
          <w:color w:val="auto"/>
        </w:rPr>
        <w:t>En</w:t>
      </w:r>
      <w:r w:rsidR="009D2066">
        <w:rPr>
          <w:color w:val="auto"/>
        </w:rPr>
        <w:t xml:space="preserve"> </w:t>
      </w:r>
      <w:r w:rsidR="00E93086">
        <w:rPr>
          <w:color w:val="auto"/>
        </w:rPr>
        <w:t>septiembre</w:t>
      </w:r>
      <w:r w:rsidRPr="00F87E34">
        <w:rPr>
          <w:color w:val="auto"/>
        </w:rPr>
        <w:t xml:space="preserve"> </w:t>
      </w:r>
      <w:r w:rsidR="00E47F8E">
        <w:rPr>
          <w:color w:val="auto"/>
        </w:rPr>
        <w:t>pasado</w:t>
      </w:r>
      <w:r w:rsidR="00C25FB1" w:rsidRPr="00F87E34">
        <w:rPr>
          <w:color w:val="auto"/>
        </w:rPr>
        <w:t xml:space="preserve"> y</w:t>
      </w:r>
      <w:r w:rsidRPr="00F87E34">
        <w:rPr>
          <w:color w:val="auto"/>
        </w:rPr>
        <w:t xml:space="preserve"> a tasa</w:t>
      </w:r>
      <w:r w:rsidR="009E2BC4" w:rsidRPr="00F87E34">
        <w:rPr>
          <w:color w:val="auto"/>
        </w:rPr>
        <w:t xml:space="preserve"> mensual</w:t>
      </w:r>
      <w:r w:rsidR="008B4B23" w:rsidRPr="00F87E34">
        <w:rPr>
          <w:color w:val="auto"/>
        </w:rPr>
        <w:t>,</w:t>
      </w:r>
      <w:r w:rsidR="00314FA7">
        <w:rPr>
          <w:color w:val="auto"/>
        </w:rPr>
        <w:t xml:space="preserve"> </w:t>
      </w:r>
      <w:r w:rsidR="009E2BC4" w:rsidRPr="00F87E34">
        <w:rPr>
          <w:color w:val="auto"/>
        </w:rPr>
        <w:t xml:space="preserve">los </w:t>
      </w:r>
      <w:r w:rsidR="004C75FC" w:rsidRPr="00F87E34">
        <w:rPr>
          <w:color w:val="auto"/>
        </w:rPr>
        <w:t>i</w:t>
      </w:r>
      <w:r w:rsidR="009E2BC4" w:rsidRPr="00F87E34">
        <w:rPr>
          <w:color w:val="auto"/>
        </w:rPr>
        <w:t xml:space="preserve">ngresos reales por suministro de bienes y servicios </w:t>
      </w:r>
      <w:r w:rsidR="000032AE" w:rsidRPr="00F87E34">
        <w:rPr>
          <w:color w:val="auto"/>
        </w:rPr>
        <w:t xml:space="preserve">de las </w:t>
      </w:r>
      <w:r w:rsidR="00D824C0" w:rsidRPr="00F87E34">
        <w:rPr>
          <w:color w:val="auto"/>
        </w:rPr>
        <w:t>e</w:t>
      </w:r>
      <w:r w:rsidR="000032AE" w:rsidRPr="00F87E34">
        <w:rPr>
          <w:color w:val="auto"/>
        </w:rPr>
        <w:t xml:space="preserve">mpresas </w:t>
      </w:r>
      <w:r w:rsidR="00D824C0" w:rsidRPr="00F87E34">
        <w:rPr>
          <w:color w:val="auto"/>
        </w:rPr>
        <w:t>c</w:t>
      </w:r>
      <w:r w:rsidR="000032AE" w:rsidRPr="00F87E34">
        <w:rPr>
          <w:color w:val="auto"/>
        </w:rPr>
        <w:t>omerciales</w:t>
      </w:r>
      <w:r w:rsidR="000032AE" w:rsidRPr="00F87E34">
        <w:rPr>
          <w:snapToGrid w:val="0"/>
          <w:color w:val="auto"/>
          <w:sz w:val="22"/>
          <w:szCs w:val="22"/>
        </w:rPr>
        <w:t xml:space="preserve"> </w:t>
      </w:r>
      <w:r w:rsidR="000032AE" w:rsidRPr="00F87E34">
        <w:rPr>
          <w:color w:val="auto"/>
        </w:rPr>
        <w:t xml:space="preserve">al por </w:t>
      </w:r>
      <w:r w:rsidR="00D824C0" w:rsidRPr="00F87E34">
        <w:rPr>
          <w:color w:val="auto"/>
        </w:rPr>
        <w:t>m</w:t>
      </w:r>
      <w:r w:rsidR="000032AE" w:rsidRPr="00F87E34">
        <w:rPr>
          <w:color w:val="auto"/>
        </w:rPr>
        <w:t>enor</w:t>
      </w:r>
      <w:r w:rsidR="009F0FB6">
        <w:rPr>
          <w:color w:val="auto"/>
        </w:rPr>
        <w:t xml:space="preserve"> </w:t>
      </w:r>
      <w:r w:rsidR="00F8669B">
        <w:rPr>
          <w:color w:val="auto"/>
        </w:rPr>
        <w:t>disminuyeron</w:t>
      </w:r>
      <w:r w:rsidR="00374E5B">
        <w:rPr>
          <w:color w:val="auto"/>
        </w:rPr>
        <w:t xml:space="preserve"> </w:t>
      </w:r>
      <w:r w:rsidR="00F054A3">
        <w:rPr>
          <w:color w:val="auto"/>
        </w:rPr>
        <w:t>0.</w:t>
      </w:r>
      <w:r w:rsidR="00E93086">
        <w:rPr>
          <w:color w:val="auto"/>
        </w:rPr>
        <w:t>2</w:t>
      </w:r>
      <w:r w:rsidR="00695C16">
        <w:rPr>
          <w:color w:val="auto"/>
        </w:rPr>
        <w:t> </w:t>
      </w:r>
      <w:r w:rsidR="00E93086">
        <w:rPr>
          <w:color w:val="auto"/>
        </w:rPr>
        <w:t>% y e</w:t>
      </w:r>
      <w:r w:rsidR="00F8669B" w:rsidRPr="00F87E34">
        <w:rPr>
          <w:color w:val="auto"/>
        </w:rPr>
        <w:t>l personal ocupado total</w:t>
      </w:r>
      <w:r w:rsidR="00F8669B">
        <w:rPr>
          <w:color w:val="auto"/>
        </w:rPr>
        <w:t xml:space="preserve"> </w:t>
      </w:r>
      <w:r w:rsidR="00E93086">
        <w:rPr>
          <w:color w:val="auto"/>
        </w:rPr>
        <w:t>de</w:t>
      </w:r>
      <w:r w:rsidR="00F8669B">
        <w:rPr>
          <w:color w:val="auto"/>
        </w:rPr>
        <w:t>creció 0.</w:t>
      </w:r>
      <w:r w:rsidR="00E93086">
        <w:rPr>
          <w:color w:val="auto"/>
        </w:rPr>
        <w:t>4 por ciento. L</w:t>
      </w:r>
      <w:r w:rsidR="00314FA7" w:rsidRPr="00F87E34">
        <w:rPr>
          <w:color w:val="auto"/>
        </w:rPr>
        <w:t>as remuneraciones medias reales</w:t>
      </w:r>
      <w:r w:rsidR="00CA00C4">
        <w:rPr>
          <w:color w:val="auto"/>
        </w:rPr>
        <w:t xml:space="preserve"> </w:t>
      </w:r>
      <w:r w:rsidR="00F8669B">
        <w:rPr>
          <w:color w:val="auto"/>
        </w:rPr>
        <w:t xml:space="preserve">aumentaron </w:t>
      </w:r>
      <w:r w:rsidR="00E93086">
        <w:rPr>
          <w:color w:val="auto"/>
        </w:rPr>
        <w:t>0.4</w:t>
      </w:r>
      <w:r w:rsidR="00F054A3">
        <w:rPr>
          <w:color w:val="auto"/>
        </w:rPr>
        <w:t> por ciento</w:t>
      </w:r>
      <w:r w:rsidR="0070318F">
        <w:rPr>
          <w:color w:val="auto"/>
        </w:rPr>
        <w:t>.</w:t>
      </w:r>
    </w:p>
    <w:p w14:paraId="7B98B776" w14:textId="59DDCD55" w:rsidR="00930043" w:rsidRDefault="000B55A5" w:rsidP="00930043">
      <w:pPr>
        <w:pStyle w:val="Textoindependiente"/>
        <w:outlineLvl w:val="0"/>
        <w:rPr>
          <w:color w:val="auto"/>
        </w:rPr>
      </w:pPr>
      <w:r>
        <w:rPr>
          <w:color w:val="auto"/>
        </w:rPr>
        <w:t>A</w:t>
      </w:r>
      <w:r w:rsidR="0051541E">
        <w:rPr>
          <w:color w:val="auto"/>
        </w:rPr>
        <w:t xml:space="preserve"> tasa</w:t>
      </w:r>
      <w:r w:rsidR="00EB4DDC" w:rsidRPr="00F87E34">
        <w:rPr>
          <w:color w:val="auto"/>
        </w:rPr>
        <w:t xml:space="preserve"> anual</w:t>
      </w:r>
      <w:r w:rsidR="009E2BC4" w:rsidRPr="00F87E34">
        <w:rPr>
          <w:color w:val="auto"/>
        </w:rPr>
        <w:t xml:space="preserve">, los </w:t>
      </w:r>
      <w:r w:rsidR="004C75FC" w:rsidRPr="00F87E34">
        <w:rPr>
          <w:color w:val="auto"/>
        </w:rPr>
        <w:t>i</w:t>
      </w:r>
      <w:r w:rsidR="009E2BC4" w:rsidRPr="00F87E34">
        <w:rPr>
          <w:color w:val="auto"/>
        </w:rPr>
        <w:t>ngresos reales por suministro de bienes y servici</w:t>
      </w:r>
      <w:r w:rsidR="009740EA" w:rsidRPr="00F87E34">
        <w:rPr>
          <w:color w:val="auto"/>
        </w:rPr>
        <w:t>o</w:t>
      </w:r>
      <w:r w:rsidR="00615CB8" w:rsidRPr="00F87E34">
        <w:rPr>
          <w:color w:val="auto"/>
        </w:rPr>
        <w:t xml:space="preserve">s </w:t>
      </w:r>
      <w:r w:rsidR="004A4670">
        <w:rPr>
          <w:color w:val="auto"/>
        </w:rPr>
        <w:t>incrementa</w:t>
      </w:r>
      <w:r w:rsidR="00CA22F1">
        <w:rPr>
          <w:color w:val="auto"/>
        </w:rPr>
        <w:t>ron</w:t>
      </w:r>
      <w:r w:rsidR="008D4520" w:rsidRPr="00F87E34">
        <w:rPr>
          <w:color w:val="auto"/>
        </w:rPr>
        <w:t xml:space="preserve"> </w:t>
      </w:r>
      <w:r w:rsidR="00E93086">
        <w:rPr>
          <w:color w:val="auto"/>
        </w:rPr>
        <w:t>2.6</w:t>
      </w:r>
      <w:r w:rsidR="0026546B">
        <w:rPr>
          <w:color w:val="auto"/>
        </w:rPr>
        <w:t> %</w:t>
      </w:r>
      <w:r w:rsidR="00F8669B">
        <w:rPr>
          <w:color w:val="auto"/>
        </w:rPr>
        <w:t>,</w:t>
      </w:r>
      <w:r w:rsidR="0084175C">
        <w:rPr>
          <w:color w:val="auto"/>
        </w:rPr>
        <w:t xml:space="preserve"> e</w:t>
      </w:r>
      <w:r w:rsidR="007A1EF6" w:rsidRPr="00F87E34">
        <w:rPr>
          <w:color w:val="auto"/>
        </w:rPr>
        <w:t>l p</w:t>
      </w:r>
      <w:r w:rsidR="007A1EF6">
        <w:rPr>
          <w:color w:val="auto"/>
        </w:rPr>
        <w:t>ersonal ocupado total</w:t>
      </w:r>
      <w:r w:rsidR="00045D98">
        <w:rPr>
          <w:color w:val="auto"/>
        </w:rPr>
        <w:t xml:space="preserve"> </w:t>
      </w:r>
      <w:r w:rsidR="00F8669B">
        <w:rPr>
          <w:color w:val="auto"/>
        </w:rPr>
        <w:t xml:space="preserve">avanzó </w:t>
      </w:r>
      <w:r w:rsidR="00E93086">
        <w:rPr>
          <w:color w:val="auto"/>
        </w:rPr>
        <w:t>0.7</w:t>
      </w:r>
      <w:r w:rsidR="0026546B">
        <w:rPr>
          <w:color w:val="auto"/>
        </w:rPr>
        <w:t> %</w:t>
      </w:r>
      <w:r w:rsidR="007A1EF6">
        <w:rPr>
          <w:color w:val="auto"/>
        </w:rPr>
        <w:t xml:space="preserve"> </w:t>
      </w:r>
      <w:r w:rsidR="0070318F">
        <w:rPr>
          <w:color w:val="auto"/>
        </w:rPr>
        <w:t>y</w:t>
      </w:r>
      <w:r w:rsidR="001D1AC6" w:rsidRPr="00F87E34">
        <w:rPr>
          <w:color w:val="auto"/>
        </w:rPr>
        <w:t xml:space="preserve"> </w:t>
      </w:r>
      <w:r w:rsidR="00675880" w:rsidRPr="00F87E34">
        <w:rPr>
          <w:color w:val="auto"/>
        </w:rPr>
        <w:t xml:space="preserve">las </w:t>
      </w:r>
      <w:r w:rsidR="004C75FC" w:rsidRPr="00F87E34">
        <w:rPr>
          <w:color w:val="auto"/>
        </w:rPr>
        <w:t>r</w:t>
      </w:r>
      <w:r w:rsidR="00675880" w:rsidRPr="00F87E34">
        <w:rPr>
          <w:color w:val="auto"/>
        </w:rPr>
        <w:t>emuneraciones medias reales</w:t>
      </w:r>
      <w:r w:rsidR="00F8669B">
        <w:rPr>
          <w:color w:val="auto"/>
        </w:rPr>
        <w:t xml:space="preserve"> subieron</w:t>
      </w:r>
      <w:r w:rsidR="00675880" w:rsidRPr="00F87E34">
        <w:rPr>
          <w:color w:val="auto"/>
        </w:rPr>
        <w:t xml:space="preserve"> </w:t>
      </w:r>
      <w:r w:rsidR="00E93086">
        <w:rPr>
          <w:color w:val="auto"/>
        </w:rPr>
        <w:t>10.5</w:t>
      </w:r>
      <w:r w:rsidR="008D61B5">
        <w:rPr>
          <w:color w:val="auto"/>
        </w:rPr>
        <w:t xml:space="preserve"> </w:t>
      </w:r>
      <w:r w:rsidR="0070318F">
        <w:rPr>
          <w:color w:val="auto"/>
        </w:rPr>
        <w:t>por</w:t>
      </w:r>
      <w:r w:rsidR="008D61B5">
        <w:rPr>
          <w:color w:val="auto"/>
        </w:rPr>
        <w:t xml:space="preserve"> </w:t>
      </w:r>
      <w:r w:rsidR="0070318F">
        <w:rPr>
          <w:color w:val="auto"/>
        </w:rPr>
        <w:t>ciento.</w:t>
      </w:r>
      <w:r w:rsidR="00930043">
        <w:rPr>
          <w:color w:val="auto"/>
        </w:rPr>
        <w:t xml:space="preserve"> </w:t>
      </w:r>
    </w:p>
    <w:p w14:paraId="4F2CC138" w14:textId="77777777" w:rsidR="009B6BBB" w:rsidRDefault="009B6BBB" w:rsidP="00930043">
      <w:pPr>
        <w:spacing w:before="240"/>
        <w:jc w:val="center"/>
        <w:rPr>
          <w:sz w:val="20"/>
        </w:rPr>
      </w:pPr>
    </w:p>
    <w:p w14:paraId="178315F5" w14:textId="58A50E91" w:rsidR="00467BD1" w:rsidRPr="00930043" w:rsidRDefault="00467BD1" w:rsidP="00930043">
      <w:pPr>
        <w:spacing w:before="240"/>
        <w:jc w:val="center"/>
        <w:rPr>
          <w:sz w:val="20"/>
        </w:rPr>
      </w:pPr>
      <w:r w:rsidRPr="00F87E34">
        <w:rPr>
          <w:sz w:val="20"/>
        </w:rPr>
        <w:t xml:space="preserve">Gráfica </w:t>
      </w:r>
      <w:r w:rsidR="00D805CD" w:rsidRPr="00F87E34">
        <w:rPr>
          <w:sz w:val="20"/>
        </w:rPr>
        <w:t>4</w:t>
      </w:r>
    </w:p>
    <w:p w14:paraId="105101D7" w14:textId="77777777" w:rsidR="00B440FC" w:rsidRDefault="00B440FC" w:rsidP="00D03A5B">
      <w:pPr>
        <w:pStyle w:val="Textoindependiente"/>
        <w:widowControl w:val="0"/>
        <w:spacing w:before="0"/>
        <w:jc w:val="center"/>
        <w:rPr>
          <w:b/>
          <w:smallCaps/>
          <w:color w:val="auto"/>
          <w:sz w:val="22"/>
          <w:szCs w:val="22"/>
        </w:rPr>
      </w:pPr>
      <w:r>
        <w:rPr>
          <w:b/>
          <w:smallCaps/>
          <w:color w:val="auto"/>
          <w:sz w:val="22"/>
          <w:szCs w:val="22"/>
        </w:rPr>
        <w:t xml:space="preserve">Series desestacionalizada y de tendencia-ciclo </w:t>
      </w:r>
    </w:p>
    <w:p w14:paraId="59B2E5FD" w14:textId="23ED7529" w:rsidR="00D805CD" w:rsidRDefault="00B440FC" w:rsidP="00D03A5B">
      <w:pPr>
        <w:pStyle w:val="Textoindependiente"/>
        <w:widowControl w:val="0"/>
        <w:spacing w:before="0"/>
        <w:jc w:val="center"/>
        <w:rPr>
          <w:b/>
          <w:smallCaps/>
          <w:snapToGrid w:val="0"/>
          <w:color w:val="auto"/>
          <w:sz w:val="22"/>
        </w:rPr>
      </w:pPr>
      <w:r>
        <w:rPr>
          <w:b/>
          <w:smallCaps/>
          <w:color w:val="auto"/>
          <w:sz w:val="22"/>
          <w:szCs w:val="22"/>
        </w:rPr>
        <w:t>de los i</w:t>
      </w:r>
      <w:r w:rsidR="00D805CD" w:rsidRPr="00F87E34">
        <w:rPr>
          <w:b/>
          <w:smallCaps/>
          <w:snapToGrid w:val="0"/>
          <w:color w:val="auto"/>
          <w:sz w:val="22"/>
        </w:rPr>
        <w:t>ngresos reales por suministro de bienes y servicios</w:t>
      </w:r>
    </w:p>
    <w:p w14:paraId="0FB33518" w14:textId="77777777" w:rsidR="00C87826" w:rsidRPr="005F4E1E" w:rsidRDefault="00C87826" w:rsidP="00C87826">
      <w:pPr>
        <w:pStyle w:val="p0"/>
        <w:keepNext/>
        <w:spacing w:before="0"/>
        <w:jc w:val="center"/>
        <w:rPr>
          <w:rFonts w:ascii="Arial" w:hAnsi="Arial"/>
          <w:color w:val="auto"/>
          <w:sz w:val="20"/>
          <w:szCs w:val="28"/>
          <w:lang w:val="es-MX"/>
        </w:rPr>
      </w:pPr>
      <w:r w:rsidRPr="005F4E1E">
        <w:rPr>
          <w:rFonts w:ascii="Arial" w:hAnsi="Arial"/>
          <w:color w:val="auto"/>
          <w:sz w:val="20"/>
          <w:szCs w:val="28"/>
          <w:lang w:val="es-MX"/>
        </w:rPr>
        <w:t>a septiembre de 2023</w:t>
      </w:r>
    </w:p>
    <w:p w14:paraId="6772744E" w14:textId="15FAFD8C" w:rsidR="00467BD1" w:rsidRPr="00F87E34" w:rsidRDefault="00467BD1" w:rsidP="00D03A5B">
      <w:pPr>
        <w:pStyle w:val="p0"/>
        <w:keepLines w:val="0"/>
        <w:spacing w:before="0"/>
        <w:jc w:val="center"/>
        <w:rPr>
          <w:rFonts w:ascii="Arial" w:hAnsi="Arial"/>
          <w:color w:val="auto"/>
          <w:sz w:val="18"/>
          <w:szCs w:val="18"/>
        </w:rPr>
      </w:pPr>
      <w:r w:rsidRPr="00F87E34">
        <w:rPr>
          <w:rFonts w:ascii="Arial" w:hAnsi="Arial"/>
          <w:smallCaps/>
          <w:color w:val="auto"/>
          <w:sz w:val="18"/>
          <w:szCs w:val="18"/>
        </w:rPr>
        <w:t>(</w:t>
      </w:r>
      <w:r w:rsidR="00065189">
        <w:rPr>
          <w:rFonts w:ascii="Arial" w:hAnsi="Arial"/>
          <w:color w:val="auto"/>
          <w:sz w:val="18"/>
          <w:szCs w:val="18"/>
        </w:rPr>
        <w:t>í</w:t>
      </w:r>
      <w:r w:rsidRPr="00F87E34">
        <w:rPr>
          <w:rFonts w:ascii="Arial" w:hAnsi="Arial"/>
          <w:color w:val="auto"/>
          <w:sz w:val="18"/>
          <w:szCs w:val="18"/>
        </w:rPr>
        <w:t>ndice</w:t>
      </w:r>
      <w:r w:rsidR="00065189">
        <w:rPr>
          <w:rFonts w:ascii="Arial" w:hAnsi="Arial"/>
          <w:color w:val="auto"/>
          <w:sz w:val="18"/>
          <w:szCs w:val="18"/>
        </w:rPr>
        <w:t xml:space="preserve"> </w:t>
      </w:r>
      <w:r w:rsidRPr="00F87E34">
        <w:rPr>
          <w:rFonts w:ascii="Arial" w:hAnsi="Arial"/>
          <w:color w:val="auto"/>
          <w:sz w:val="18"/>
          <w:szCs w:val="18"/>
        </w:rPr>
        <w:t>20</w:t>
      </w:r>
      <w:r w:rsidR="0073065B" w:rsidRPr="00F87E34">
        <w:rPr>
          <w:rFonts w:ascii="Arial" w:hAnsi="Arial"/>
          <w:color w:val="auto"/>
          <w:sz w:val="18"/>
          <w:szCs w:val="18"/>
        </w:rPr>
        <w:t>1</w:t>
      </w:r>
      <w:r w:rsidR="00BE4B77">
        <w:rPr>
          <w:rFonts w:ascii="Arial" w:hAnsi="Arial"/>
          <w:color w:val="auto"/>
          <w:sz w:val="18"/>
          <w:szCs w:val="18"/>
        </w:rPr>
        <w:t>8</w:t>
      </w:r>
      <w:r w:rsidRPr="00F87E34">
        <w:rPr>
          <w:rFonts w:ascii="Arial" w:hAnsi="Arial"/>
          <w:color w:val="auto"/>
          <w:sz w:val="18"/>
          <w:szCs w:val="18"/>
        </w:rPr>
        <w:t>=100)</w:t>
      </w:r>
    </w:p>
    <w:p w14:paraId="15AD9CC4" w14:textId="6C653D49" w:rsidR="00D805CD" w:rsidRPr="00F87E34" w:rsidRDefault="00E93086" w:rsidP="00D03A5B">
      <w:pPr>
        <w:pStyle w:val="p0"/>
        <w:keepLines w:val="0"/>
        <w:spacing w:before="0"/>
        <w:jc w:val="center"/>
        <w:rPr>
          <w:rFonts w:ascii="Arial" w:hAnsi="Arial"/>
          <w:color w:val="auto"/>
          <w:sz w:val="18"/>
          <w:szCs w:val="18"/>
        </w:rPr>
      </w:pPr>
      <w:r>
        <w:rPr>
          <w:noProof/>
        </w:rPr>
        <w:drawing>
          <wp:inline distT="0" distB="0" distL="0" distR="0" wp14:anchorId="02ED1455" wp14:editId="3985BB09">
            <wp:extent cx="5400000" cy="2880000"/>
            <wp:effectExtent l="0" t="0" r="10795" b="15875"/>
            <wp:docPr id="1649575107" name="Gráfico 1">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F0F1D99" w14:textId="2F9AF3F3" w:rsidR="00F24107" w:rsidRDefault="00F24107" w:rsidP="00587EEE">
      <w:pPr>
        <w:pStyle w:val="Textoindependiente"/>
        <w:spacing w:before="0"/>
        <w:ind w:left="1442" w:right="760" w:hanging="591"/>
        <w:rPr>
          <w:color w:val="auto"/>
          <w:sz w:val="16"/>
          <w:szCs w:val="16"/>
        </w:rPr>
      </w:pPr>
      <w:r w:rsidRPr="00F24107">
        <w:rPr>
          <w:color w:val="auto"/>
          <w:sz w:val="16"/>
          <w:szCs w:val="16"/>
        </w:rPr>
        <w:t>Fuente:</w:t>
      </w:r>
      <w:r w:rsidR="00BC0138">
        <w:rPr>
          <w:color w:val="auto"/>
          <w:sz w:val="16"/>
          <w:szCs w:val="16"/>
        </w:rPr>
        <w:tab/>
      </w:r>
      <w:r w:rsidRPr="00F24107">
        <w:rPr>
          <w:smallCaps/>
          <w:color w:val="auto"/>
          <w:sz w:val="16"/>
          <w:szCs w:val="16"/>
        </w:rPr>
        <w:t>inegi</w:t>
      </w:r>
      <w:r>
        <w:rPr>
          <w:color w:val="auto"/>
          <w:sz w:val="16"/>
          <w:szCs w:val="16"/>
        </w:rPr>
        <w:t xml:space="preserve">. </w:t>
      </w:r>
      <w:r w:rsidRPr="00F24107">
        <w:rPr>
          <w:color w:val="auto"/>
          <w:sz w:val="16"/>
          <w:szCs w:val="16"/>
        </w:rPr>
        <w:t>Encuesta Mensual sobre Empresas Comerciales (</w:t>
      </w:r>
      <w:r w:rsidRPr="00F24107">
        <w:rPr>
          <w:smallCaps/>
          <w:color w:val="auto"/>
          <w:sz w:val="16"/>
          <w:szCs w:val="16"/>
        </w:rPr>
        <w:t>emec</w:t>
      </w:r>
      <w:r w:rsidRPr="00F24107">
        <w:rPr>
          <w:color w:val="auto"/>
          <w:sz w:val="16"/>
          <w:szCs w:val="16"/>
        </w:rPr>
        <w:t>). Series elaboradas mediante métodos econométricos, 2023.</w:t>
      </w:r>
    </w:p>
    <w:p w14:paraId="1848A63E" w14:textId="77777777" w:rsidR="00280B03" w:rsidRDefault="00280B03">
      <w:pPr>
        <w:jc w:val="left"/>
        <w:rPr>
          <w:sz w:val="20"/>
        </w:rPr>
      </w:pPr>
      <w:r>
        <w:rPr>
          <w:sz w:val="20"/>
        </w:rPr>
        <w:br w:type="page"/>
      </w:r>
    </w:p>
    <w:p w14:paraId="43AF69F5" w14:textId="67ED5E54" w:rsidR="00D805CD" w:rsidRPr="00F24107" w:rsidRDefault="00D805CD" w:rsidP="00F24107">
      <w:pPr>
        <w:spacing w:before="240"/>
        <w:jc w:val="center"/>
        <w:rPr>
          <w:sz w:val="20"/>
        </w:rPr>
      </w:pPr>
      <w:r w:rsidRPr="00F87E34">
        <w:rPr>
          <w:sz w:val="20"/>
        </w:rPr>
        <w:lastRenderedPageBreak/>
        <w:t xml:space="preserve">Gráfica </w:t>
      </w:r>
      <w:r w:rsidR="00134F49" w:rsidRPr="00F87E34">
        <w:rPr>
          <w:sz w:val="20"/>
        </w:rPr>
        <w:t>5</w:t>
      </w:r>
    </w:p>
    <w:p w14:paraId="31839EDB" w14:textId="77777777" w:rsidR="00B440FC" w:rsidRDefault="00B440FC" w:rsidP="00D03A5B">
      <w:pPr>
        <w:pStyle w:val="Textoindependiente"/>
        <w:widowControl w:val="0"/>
        <w:spacing w:before="0"/>
        <w:jc w:val="center"/>
        <w:rPr>
          <w:b/>
          <w:smallCaps/>
          <w:color w:val="auto"/>
          <w:sz w:val="22"/>
          <w:szCs w:val="22"/>
        </w:rPr>
      </w:pPr>
      <w:r>
        <w:rPr>
          <w:b/>
          <w:smallCaps/>
          <w:color w:val="auto"/>
          <w:sz w:val="22"/>
          <w:szCs w:val="22"/>
        </w:rPr>
        <w:t xml:space="preserve">Series desestacionalizada y de tendencia-ciclo </w:t>
      </w:r>
    </w:p>
    <w:p w14:paraId="3CE569D9" w14:textId="38F45EAF" w:rsidR="00D805CD" w:rsidRDefault="00B440FC" w:rsidP="00D03A5B">
      <w:pPr>
        <w:pStyle w:val="Textoindependiente"/>
        <w:widowControl w:val="0"/>
        <w:spacing w:before="0"/>
        <w:jc w:val="center"/>
        <w:rPr>
          <w:b/>
          <w:smallCaps/>
          <w:snapToGrid w:val="0"/>
          <w:color w:val="auto"/>
          <w:sz w:val="22"/>
        </w:rPr>
      </w:pPr>
      <w:r>
        <w:rPr>
          <w:b/>
          <w:smallCaps/>
          <w:color w:val="auto"/>
          <w:sz w:val="22"/>
          <w:szCs w:val="22"/>
        </w:rPr>
        <w:t>del p</w:t>
      </w:r>
      <w:r w:rsidR="00D805CD" w:rsidRPr="00F87E34">
        <w:rPr>
          <w:b/>
          <w:smallCaps/>
          <w:snapToGrid w:val="0"/>
          <w:color w:val="auto"/>
          <w:sz w:val="22"/>
        </w:rPr>
        <w:t>ersonal ocupado total</w:t>
      </w:r>
    </w:p>
    <w:p w14:paraId="195E48A7" w14:textId="77777777" w:rsidR="00C87826" w:rsidRPr="005F4E1E" w:rsidRDefault="00C87826" w:rsidP="00C87826">
      <w:pPr>
        <w:pStyle w:val="p0"/>
        <w:keepNext/>
        <w:spacing w:before="0"/>
        <w:jc w:val="center"/>
        <w:rPr>
          <w:rFonts w:ascii="Arial" w:hAnsi="Arial"/>
          <w:color w:val="auto"/>
          <w:sz w:val="20"/>
          <w:szCs w:val="28"/>
          <w:lang w:val="es-MX"/>
        </w:rPr>
      </w:pPr>
      <w:r w:rsidRPr="005F4E1E">
        <w:rPr>
          <w:rFonts w:ascii="Arial" w:hAnsi="Arial"/>
          <w:color w:val="auto"/>
          <w:sz w:val="20"/>
          <w:szCs w:val="28"/>
          <w:lang w:val="es-MX"/>
        </w:rPr>
        <w:t>a septiembre de 2023</w:t>
      </w:r>
    </w:p>
    <w:p w14:paraId="561756C2" w14:textId="57177325" w:rsidR="00D805CD" w:rsidRPr="00F87E34" w:rsidRDefault="00D805CD" w:rsidP="00D03A5B">
      <w:pPr>
        <w:pStyle w:val="p0"/>
        <w:keepLines w:val="0"/>
        <w:spacing w:before="0"/>
        <w:jc w:val="center"/>
        <w:rPr>
          <w:rFonts w:ascii="Arial" w:hAnsi="Arial"/>
          <w:color w:val="auto"/>
          <w:sz w:val="18"/>
          <w:szCs w:val="18"/>
        </w:rPr>
      </w:pPr>
      <w:r w:rsidRPr="00F87E34">
        <w:rPr>
          <w:rFonts w:ascii="Arial" w:hAnsi="Arial"/>
          <w:smallCaps/>
          <w:color w:val="auto"/>
          <w:sz w:val="18"/>
          <w:szCs w:val="18"/>
        </w:rPr>
        <w:t>(</w:t>
      </w:r>
      <w:r w:rsidR="00065189">
        <w:rPr>
          <w:rFonts w:ascii="Arial" w:hAnsi="Arial"/>
          <w:color w:val="auto"/>
          <w:sz w:val="18"/>
          <w:szCs w:val="18"/>
        </w:rPr>
        <w:t>í</w:t>
      </w:r>
      <w:r w:rsidRPr="00F87E34">
        <w:rPr>
          <w:rFonts w:ascii="Arial" w:hAnsi="Arial"/>
          <w:color w:val="auto"/>
          <w:sz w:val="18"/>
          <w:szCs w:val="18"/>
        </w:rPr>
        <w:t>ndice</w:t>
      </w:r>
      <w:r w:rsidR="00065189">
        <w:rPr>
          <w:rFonts w:ascii="Arial" w:hAnsi="Arial"/>
          <w:color w:val="auto"/>
          <w:sz w:val="18"/>
          <w:szCs w:val="18"/>
        </w:rPr>
        <w:t xml:space="preserve"> </w:t>
      </w:r>
      <w:r w:rsidRPr="00F87E34">
        <w:rPr>
          <w:rFonts w:ascii="Arial" w:hAnsi="Arial"/>
          <w:color w:val="auto"/>
          <w:sz w:val="18"/>
          <w:szCs w:val="18"/>
        </w:rPr>
        <w:t>201</w:t>
      </w:r>
      <w:r w:rsidR="00BE4B77">
        <w:rPr>
          <w:rFonts w:ascii="Arial" w:hAnsi="Arial"/>
          <w:color w:val="auto"/>
          <w:sz w:val="18"/>
          <w:szCs w:val="18"/>
        </w:rPr>
        <w:t>8</w:t>
      </w:r>
      <w:r w:rsidRPr="00F87E34">
        <w:rPr>
          <w:rFonts w:ascii="Arial" w:hAnsi="Arial"/>
          <w:color w:val="auto"/>
          <w:sz w:val="18"/>
          <w:szCs w:val="18"/>
        </w:rPr>
        <w:t>=100)</w:t>
      </w:r>
    </w:p>
    <w:p w14:paraId="5F43CFE1" w14:textId="6C25B1BE" w:rsidR="00D805CD" w:rsidRPr="00F87E34" w:rsidRDefault="00E93086" w:rsidP="00D03A5B">
      <w:pPr>
        <w:widowControl w:val="0"/>
        <w:jc w:val="center"/>
      </w:pPr>
      <w:r>
        <w:rPr>
          <w:noProof/>
        </w:rPr>
        <w:drawing>
          <wp:inline distT="0" distB="0" distL="0" distR="0" wp14:anchorId="7D20A687" wp14:editId="3407810A">
            <wp:extent cx="5400000" cy="2880000"/>
            <wp:effectExtent l="0" t="0" r="10795" b="15875"/>
            <wp:docPr id="102048308" name="Gráfico 1">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D2B59C7" w14:textId="603FB4E3" w:rsidR="00F24107" w:rsidRDefault="00F24107" w:rsidP="00587EEE">
      <w:pPr>
        <w:pStyle w:val="Textoindependiente"/>
        <w:spacing w:before="0"/>
        <w:ind w:left="1442" w:right="760" w:hanging="591"/>
        <w:rPr>
          <w:color w:val="auto"/>
          <w:sz w:val="16"/>
          <w:szCs w:val="16"/>
        </w:rPr>
      </w:pPr>
      <w:r w:rsidRPr="00F24107">
        <w:rPr>
          <w:color w:val="auto"/>
          <w:sz w:val="16"/>
          <w:szCs w:val="16"/>
        </w:rPr>
        <w:t>Fuente:</w:t>
      </w:r>
      <w:r w:rsidR="00BC0138">
        <w:rPr>
          <w:color w:val="auto"/>
          <w:sz w:val="16"/>
          <w:szCs w:val="16"/>
        </w:rPr>
        <w:tab/>
      </w:r>
      <w:r w:rsidRPr="00F24107">
        <w:rPr>
          <w:smallCaps/>
          <w:color w:val="auto"/>
          <w:sz w:val="16"/>
          <w:szCs w:val="16"/>
        </w:rPr>
        <w:t>inegi</w:t>
      </w:r>
      <w:r>
        <w:rPr>
          <w:color w:val="auto"/>
          <w:sz w:val="16"/>
          <w:szCs w:val="16"/>
        </w:rPr>
        <w:t xml:space="preserve">. </w:t>
      </w:r>
      <w:r w:rsidRPr="00F24107">
        <w:rPr>
          <w:color w:val="auto"/>
          <w:sz w:val="16"/>
          <w:szCs w:val="16"/>
        </w:rPr>
        <w:t>Encuesta Mensual sobre Empresas Comerciales (</w:t>
      </w:r>
      <w:r w:rsidRPr="00F24107">
        <w:rPr>
          <w:smallCaps/>
          <w:color w:val="auto"/>
          <w:sz w:val="16"/>
          <w:szCs w:val="16"/>
        </w:rPr>
        <w:t>emec</w:t>
      </w:r>
      <w:r w:rsidRPr="00F24107">
        <w:rPr>
          <w:color w:val="auto"/>
          <w:sz w:val="16"/>
          <w:szCs w:val="16"/>
        </w:rPr>
        <w:t>). Series elaboradas mediante métodos econométricos, 2023.</w:t>
      </w:r>
    </w:p>
    <w:p w14:paraId="79DD01F5" w14:textId="32BB4F0D" w:rsidR="00134F49" w:rsidRPr="00F87E34" w:rsidRDefault="00134F49" w:rsidP="00930043">
      <w:pPr>
        <w:spacing w:before="240"/>
        <w:jc w:val="center"/>
        <w:rPr>
          <w:b/>
          <w:smallCaps/>
          <w:sz w:val="22"/>
        </w:rPr>
      </w:pPr>
      <w:r w:rsidRPr="00F87E34">
        <w:rPr>
          <w:sz w:val="20"/>
        </w:rPr>
        <w:t>Gráfica 6</w:t>
      </w:r>
    </w:p>
    <w:p w14:paraId="18C57488" w14:textId="77777777" w:rsidR="00B440FC" w:rsidRDefault="00B440FC" w:rsidP="00D03A5B">
      <w:pPr>
        <w:pStyle w:val="Textoindependiente"/>
        <w:widowControl w:val="0"/>
        <w:spacing w:before="0"/>
        <w:jc w:val="center"/>
        <w:rPr>
          <w:b/>
          <w:smallCaps/>
          <w:color w:val="auto"/>
          <w:sz w:val="22"/>
          <w:szCs w:val="22"/>
        </w:rPr>
      </w:pPr>
      <w:r>
        <w:rPr>
          <w:b/>
          <w:smallCaps/>
          <w:color w:val="auto"/>
          <w:sz w:val="22"/>
          <w:szCs w:val="22"/>
        </w:rPr>
        <w:t xml:space="preserve">Series desestacionalizada y de tendencia-ciclo </w:t>
      </w:r>
    </w:p>
    <w:p w14:paraId="02E883FB" w14:textId="1B42B51B" w:rsidR="00134F49" w:rsidRDefault="00B440FC" w:rsidP="00D03A5B">
      <w:pPr>
        <w:pStyle w:val="Textoindependiente"/>
        <w:widowControl w:val="0"/>
        <w:spacing w:before="0"/>
        <w:jc w:val="center"/>
        <w:rPr>
          <w:b/>
          <w:smallCaps/>
          <w:snapToGrid w:val="0"/>
          <w:color w:val="auto"/>
          <w:sz w:val="22"/>
        </w:rPr>
      </w:pPr>
      <w:r>
        <w:rPr>
          <w:b/>
          <w:smallCaps/>
          <w:color w:val="auto"/>
          <w:sz w:val="22"/>
          <w:szCs w:val="22"/>
        </w:rPr>
        <w:t>de las r</w:t>
      </w:r>
      <w:r w:rsidR="00134F49" w:rsidRPr="00F87E34">
        <w:rPr>
          <w:b/>
          <w:smallCaps/>
          <w:snapToGrid w:val="0"/>
          <w:color w:val="auto"/>
          <w:sz w:val="22"/>
        </w:rPr>
        <w:t>emuneraciones medias reales</w:t>
      </w:r>
    </w:p>
    <w:p w14:paraId="24541B76" w14:textId="77777777" w:rsidR="00C87826" w:rsidRPr="005F4E1E" w:rsidRDefault="00C87826" w:rsidP="00C87826">
      <w:pPr>
        <w:pStyle w:val="p0"/>
        <w:keepNext/>
        <w:spacing w:before="0"/>
        <w:jc w:val="center"/>
        <w:rPr>
          <w:rFonts w:ascii="Arial" w:hAnsi="Arial"/>
          <w:color w:val="auto"/>
          <w:sz w:val="20"/>
          <w:szCs w:val="28"/>
          <w:lang w:val="es-MX"/>
        </w:rPr>
      </w:pPr>
      <w:r w:rsidRPr="005F4E1E">
        <w:rPr>
          <w:rFonts w:ascii="Arial" w:hAnsi="Arial"/>
          <w:color w:val="auto"/>
          <w:sz w:val="20"/>
          <w:szCs w:val="28"/>
          <w:lang w:val="es-MX"/>
        </w:rPr>
        <w:t>a septiembre de 2023</w:t>
      </w:r>
    </w:p>
    <w:p w14:paraId="733536B9" w14:textId="6CBAA0FD" w:rsidR="00134F49" w:rsidRPr="00F87E34" w:rsidRDefault="00134F49" w:rsidP="00D03A5B">
      <w:pPr>
        <w:pStyle w:val="p0"/>
        <w:keepLines w:val="0"/>
        <w:spacing w:before="0"/>
        <w:jc w:val="center"/>
        <w:rPr>
          <w:rFonts w:ascii="Arial" w:hAnsi="Arial"/>
          <w:color w:val="auto"/>
          <w:sz w:val="18"/>
          <w:szCs w:val="18"/>
        </w:rPr>
      </w:pPr>
      <w:r w:rsidRPr="00F87E34">
        <w:rPr>
          <w:rFonts w:ascii="Arial" w:hAnsi="Arial"/>
          <w:smallCaps/>
          <w:color w:val="auto"/>
          <w:sz w:val="18"/>
          <w:szCs w:val="18"/>
        </w:rPr>
        <w:t>(</w:t>
      </w:r>
      <w:r w:rsidR="00065189">
        <w:rPr>
          <w:rFonts w:ascii="Arial" w:hAnsi="Arial"/>
          <w:color w:val="auto"/>
          <w:sz w:val="18"/>
          <w:szCs w:val="18"/>
        </w:rPr>
        <w:t>í</w:t>
      </w:r>
      <w:r w:rsidRPr="00F87E34">
        <w:rPr>
          <w:rFonts w:ascii="Arial" w:hAnsi="Arial"/>
          <w:color w:val="auto"/>
          <w:sz w:val="18"/>
          <w:szCs w:val="18"/>
        </w:rPr>
        <w:t>ndice 201</w:t>
      </w:r>
      <w:r w:rsidR="00BE4B77">
        <w:rPr>
          <w:rFonts w:ascii="Arial" w:hAnsi="Arial"/>
          <w:color w:val="auto"/>
          <w:sz w:val="18"/>
          <w:szCs w:val="18"/>
        </w:rPr>
        <w:t>8</w:t>
      </w:r>
      <w:r w:rsidRPr="00F87E34">
        <w:rPr>
          <w:rFonts w:ascii="Arial" w:hAnsi="Arial"/>
          <w:color w:val="auto"/>
          <w:sz w:val="18"/>
          <w:szCs w:val="18"/>
        </w:rPr>
        <w:t>=100)</w:t>
      </w:r>
    </w:p>
    <w:p w14:paraId="67CD084B" w14:textId="6B44335C" w:rsidR="00D805CD" w:rsidRPr="00F87E34" w:rsidRDefault="00E93086" w:rsidP="00D03A5B">
      <w:pPr>
        <w:widowControl w:val="0"/>
        <w:jc w:val="center"/>
      </w:pPr>
      <w:r>
        <w:rPr>
          <w:noProof/>
        </w:rPr>
        <w:drawing>
          <wp:inline distT="0" distB="0" distL="0" distR="0" wp14:anchorId="32732EC2" wp14:editId="68F23BE9">
            <wp:extent cx="5400000" cy="2880000"/>
            <wp:effectExtent l="0" t="0" r="10795" b="15875"/>
            <wp:docPr id="378923858" name="Gráfico 1">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DFA3B30" w14:textId="361E5750" w:rsidR="00467BD1" w:rsidRPr="00F24107" w:rsidRDefault="00F24107" w:rsidP="00587EEE">
      <w:pPr>
        <w:pStyle w:val="Textoindependiente"/>
        <w:spacing w:before="0"/>
        <w:ind w:left="1442" w:right="760" w:hanging="591"/>
        <w:rPr>
          <w:color w:val="auto"/>
          <w:sz w:val="16"/>
          <w:szCs w:val="16"/>
        </w:rPr>
      </w:pPr>
      <w:r w:rsidRPr="00F24107">
        <w:rPr>
          <w:color w:val="auto"/>
          <w:sz w:val="16"/>
          <w:szCs w:val="16"/>
        </w:rPr>
        <w:t>Fuente:</w:t>
      </w:r>
      <w:r w:rsidR="00BC0138">
        <w:rPr>
          <w:color w:val="auto"/>
          <w:sz w:val="16"/>
          <w:szCs w:val="16"/>
        </w:rPr>
        <w:tab/>
      </w:r>
      <w:r w:rsidRPr="00F24107">
        <w:rPr>
          <w:color w:val="auto"/>
          <w:sz w:val="16"/>
          <w:szCs w:val="16"/>
        </w:rPr>
        <w:t xml:space="preserve"> </w:t>
      </w:r>
      <w:r w:rsidRPr="00F24107">
        <w:rPr>
          <w:smallCaps/>
          <w:color w:val="auto"/>
          <w:sz w:val="16"/>
          <w:szCs w:val="16"/>
        </w:rPr>
        <w:t>inegi</w:t>
      </w:r>
      <w:r>
        <w:rPr>
          <w:color w:val="auto"/>
          <w:sz w:val="16"/>
          <w:szCs w:val="16"/>
        </w:rPr>
        <w:t xml:space="preserve">. </w:t>
      </w:r>
      <w:r w:rsidRPr="00F24107">
        <w:rPr>
          <w:color w:val="auto"/>
          <w:sz w:val="16"/>
          <w:szCs w:val="16"/>
        </w:rPr>
        <w:t>Encuesta Mensual sobre Empresas Comerciales (</w:t>
      </w:r>
      <w:r w:rsidRPr="00F24107">
        <w:rPr>
          <w:smallCaps/>
          <w:color w:val="auto"/>
          <w:sz w:val="16"/>
          <w:szCs w:val="16"/>
        </w:rPr>
        <w:t>emec</w:t>
      </w:r>
      <w:r w:rsidRPr="00F24107">
        <w:rPr>
          <w:color w:val="auto"/>
          <w:sz w:val="16"/>
          <w:szCs w:val="16"/>
        </w:rPr>
        <w:t>). Series elaboradas mediante métodos econométricos, 2023.</w:t>
      </w:r>
    </w:p>
    <w:p w14:paraId="73BD7537" w14:textId="141BB2A5" w:rsidR="00467BD1" w:rsidRPr="003D0BF3" w:rsidRDefault="00467BD1" w:rsidP="003F0296">
      <w:pPr>
        <w:pStyle w:val="bulnot"/>
        <w:widowControl w:val="0"/>
        <w:numPr>
          <w:ilvl w:val="0"/>
          <w:numId w:val="26"/>
        </w:numPr>
        <w:tabs>
          <w:tab w:val="clear" w:pos="851"/>
        </w:tabs>
        <w:spacing w:before="840"/>
        <w:ind w:left="357" w:right="0" w:hanging="357"/>
        <w:jc w:val="center"/>
        <w:rPr>
          <w:rFonts w:cs="Arial"/>
          <w:iCs/>
          <w:smallCaps/>
          <w:color w:val="auto"/>
          <w:spacing w:val="0"/>
          <w:sz w:val="24"/>
          <w:szCs w:val="24"/>
        </w:rPr>
      </w:pPr>
      <w:r w:rsidRPr="003D0BF3">
        <w:rPr>
          <w:rFonts w:cs="Arial"/>
          <w:iCs/>
          <w:smallCaps/>
          <w:color w:val="auto"/>
          <w:spacing w:val="0"/>
          <w:sz w:val="24"/>
          <w:szCs w:val="24"/>
        </w:rPr>
        <w:lastRenderedPageBreak/>
        <w:t>Cifras originales</w:t>
      </w:r>
    </w:p>
    <w:p w14:paraId="1238ACB9" w14:textId="4B9D3763" w:rsidR="00B04C48" w:rsidRPr="00F87E34" w:rsidRDefault="00B04C48" w:rsidP="00B04C48">
      <w:pPr>
        <w:widowControl w:val="0"/>
        <w:spacing w:before="360"/>
        <w:jc w:val="center"/>
        <w:rPr>
          <w:sz w:val="20"/>
          <w:szCs w:val="20"/>
        </w:rPr>
      </w:pPr>
      <w:r w:rsidRPr="00F87E34">
        <w:rPr>
          <w:sz w:val="20"/>
          <w:szCs w:val="20"/>
        </w:rPr>
        <w:t xml:space="preserve">Cuadro </w:t>
      </w:r>
      <w:r w:rsidR="009B6BBB">
        <w:rPr>
          <w:sz w:val="20"/>
          <w:szCs w:val="20"/>
        </w:rPr>
        <w:t>1</w:t>
      </w:r>
    </w:p>
    <w:p w14:paraId="2346EA09" w14:textId="05A4EA37" w:rsidR="00B04C48" w:rsidRPr="003D4A98" w:rsidRDefault="009B4817" w:rsidP="00B04C48">
      <w:pPr>
        <w:widowControl w:val="0"/>
        <w:jc w:val="center"/>
        <w:rPr>
          <w:bCs/>
          <w:sz w:val="20"/>
          <w:szCs w:val="20"/>
        </w:rPr>
      </w:pPr>
      <w:r w:rsidRPr="003D4A98">
        <w:rPr>
          <w:b/>
          <w:smallCaps/>
          <w:sz w:val="22"/>
          <w:szCs w:val="22"/>
        </w:rPr>
        <w:t>Variación de los i</w:t>
      </w:r>
      <w:r w:rsidR="008679CD" w:rsidRPr="003D4A98">
        <w:rPr>
          <w:b/>
          <w:smallCaps/>
          <w:sz w:val="22"/>
          <w:szCs w:val="22"/>
        </w:rPr>
        <w:t xml:space="preserve">ndicadores de empresas comerciales </w:t>
      </w:r>
      <w:r w:rsidR="008B4B23" w:rsidRPr="003D4A98">
        <w:rPr>
          <w:b/>
          <w:smallCaps/>
          <w:sz w:val="22"/>
          <w:szCs w:val="22"/>
        </w:rPr>
        <w:br/>
      </w:r>
      <w:r w:rsidR="00B04C48" w:rsidRPr="003D4A98">
        <w:rPr>
          <w:b/>
          <w:smallCaps/>
          <w:sz w:val="22"/>
          <w:szCs w:val="22"/>
        </w:rPr>
        <w:t>por sector y s</w:t>
      </w:r>
      <w:r w:rsidR="00E24EF0" w:rsidRPr="003D4A98">
        <w:rPr>
          <w:b/>
          <w:smallCaps/>
          <w:sz w:val="22"/>
          <w:szCs w:val="22"/>
        </w:rPr>
        <w:t>ubs</w:t>
      </w:r>
      <w:r w:rsidR="00B04C48" w:rsidRPr="003D4A98">
        <w:rPr>
          <w:b/>
          <w:smallCaps/>
          <w:sz w:val="22"/>
          <w:szCs w:val="22"/>
        </w:rPr>
        <w:t>ector de actividad</w:t>
      </w:r>
      <w:r w:rsidR="00B04C48" w:rsidRPr="003D4A98">
        <w:rPr>
          <w:b/>
          <w:smallCaps/>
          <w:sz w:val="22"/>
          <w:szCs w:val="22"/>
        </w:rPr>
        <w:br/>
      </w:r>
      <w:r w:rsidR="00C87826" w:rsidRPr="003D4A98">
        <w:rPr>
          <w:bCs/>
          <w:sz w:val="20"/>
          <w:szCs w:val="20"/>
        </w:rPr>
        <w:t>septiembre</w:t>
      </w:r>
      <w:r w:rsidR="00B04C48" w:rsidRPr="003D4A98">
        <w:rPr>
          <w:bCs/>
          <w:sz w:val="20"/>
          <w:szCs w:val="20"/>
          <w:vertAlign w:val="superscript"/>
        </w:rPr>
        <w:t>p</w:t>
      </w:r>
      <w:r w:rsidR="00B04C48" w:rsidRPr="003D4A98">
        <w:rPr>
          <w:bCs/>
          <w:smallCaps/>
          <w:sz w:val="20"/>
          <w:szCs w:val="20"/>
          <w:vertAlign w:val="superscript"/>
        </w:rPr>
        <w:t>/</w:t>
      </w:r>
      <w:r w:rsidR="00B04C48" w:rsidRPr="003D4A98">
        <w:rPr>
          <w:bCs/>
          <w:smallCaps/>
          <w:sz w:val="20"/>
          <w:szCs w:val="20"/>
        </w:rPr>
        <w:t xml:space="preserve"> </w:t>
      </w:r>
      <w:r w:rsidR="00B04C48" w:rsidRPr="003D4A98">
        <w:rPr>
          <w:bCs/>
          <w:sz w:val="20"/>
          <w:szCs w:val="20"/>
        </w:rPr>
        <w:t>de 202</w:t>
      </w:r>
      <w:r w:rsidR="00725B90" w:rsidRPr="003D4A98">
        <w:rPr>
          <w:bCs/>
          <w:sz w:val="20"/>
          <w:szCs w:val="20"/>
        </w:rPr>
        <w:t>3</w:t>
      </w:r>
    </w:p>
    <w:p w14:paraId="38CBB9EB" w14:textId="214EA776" w:rsidR="00C87826" w:rsidRPr="00C15DA7" w:rsidRDefault="00C87826" w:rsidP="00C87826">
      <w:pPr>
        <w:pStyle w:val="p0"/>
        <w:keepLines w:val="0"/>
        <w:widowControl/>
        <w:spacing w:before="0"/>
        <w:jc w:val="center"/>
        <w:rPr>
          <w:rFonts w:ascii="Arial" w:hAnsi="Arial"/>
          <w:bCs/>
          <w:color w:val="auto"/>
          <w:sz w:val="20"/>
          <w:szCs w:val="20"/>
        </w:rPr>
      </w:pPr>
      <w:r w:rsidRPr="003D4A98">
        <w:rPr>
          <w:rFonts w:ascii="Arial" w:hAnsi="Arial"/>
          <w:bCs/>
          <w:color w:val="auto"/>
          <w:sz w:val="18"/>
          <w:szCs w:val="18"/>
        </w:rPr>
        <w:t>(variación porcentual anual)</w:t>
      </w:r>
    </w:p>
    <w:tbl>
      <w:tblPr>
        <w:tblW w:w="5000" w:type="pct"/>
        <w:jc w:val="center"/>
        <w:tblCellMar>
          <w:left w:w="70" w:type="dxa"/>
          <w:right w:w="70" w:type="dxa"/>
        </w:tblCellMar>
        <w:tblLook w:val="04A0" w:firstRow="1" w:lastRow="0" w:firstColumn="1" w:lastColumn="0" w:noHBand="0" w:noVBand="1"/>
      </w:tblPr>
      <w:tblGrid>
        <w:gridCol w:w="460"/>
        <w:gridCol w:w="4533"/>
        <w:gridCol w:w="1217"/>
        <w:gridCol w:w="936"/>
        <w:gridCol w:w="936"/>
        <w:gridCol w:w="908"/>
        <w:gridCol w:w="968"/>
      </w:tblGrid>
      <w:tr w:rsidR="008D61B5" w:rsidRPr="00F87E34" w14:paraId="344B0139" w14:textId="77777777" w:rsidTr="00086525">
        <w:trPr>
          <w:trHeight w:val="397"/>
          <w:jc w:val="center"/>
        </w:trPr>
        <w:tc>
          <w:tcPr>
            <w:tcW w:w="2507" w:type="pct"/>
            <w:gridSpan w:val="2"/>
            <w:vMerge w:val="restart"/>
            <w:tcBorders>
              <w:top w:val="single" w:sz="6" w:space="0" w:color="404040"/>
              <w:left w:val="single" w:sz="6" w:space="0" w:color="404040"/>
              <w:bottom w:val="single" w:sz="4" w:space="0" w:color="404040"/>
              <w:right w:val="single" w:sz="4" w:space="0" w:color="404040"/>
            </w:tcBorders>
            <w:shd w:val="clear" w:color="auto" w:fill="D6E3BC" w:themeFill="accent3" w:themeFillTint="66"/>
            <w:vAlign w:val="center"/>
            <w:hideMark/>
          </w:tcPr>
          <w:p w14:paraId="728D10EA" w14:textId="4C8526AF" w:rsidR="008D61B5" w:rsidRPr="00F87E34" w:rsidRDefault="008D61B5" w:rsidP="00060F31">
            <w:pPr>
              <w:ind w:firstLine="345"/>
              <w:jc w:val="left"/>
              <w:rPr>
                <w:color w:val="000000"/>
                <w:sz w:val="16"/>
                <w:szCs w:val="16"/>
                <w:lang w:val="es-MX" w:eastAsia="es-MX"/>
              </w:rPr>
            </w:pPr>
            <w:r w:rsidRPr="00F87E34">
              <w:rPr>
                <w:color w:val="000000"/>
                <w:sz w:val="16"/>
                <w:szCs w:val="16"/>
                <w:lang w:val="es-MX" w:eastAsia="es-MX"/>
              </w:rPr>
              <w:t xml:space="preserve">Sector y </w:t>
            </w:r>
            <w:r w:rsidR="00F87AB7">
              <w:rPr>
                <w:color w:val="000000"/>
                <w:sz w:val="16"/>
                <w:szCs w:val="16"/>
                <w:lang w:val="es-MX" w:eastAsia="es-MX"/>
              </w:rPr>
              <w:t>s</w:t>
            </w:r>
            <w:r w:rsidR="00F87AB7" w:rsidRPr="00F87E34">
              <w:rPr>
                <w:color w:val="000000"/>
                <w:sz w:val="16"/>
                <w:szCs w:val="16"/>
                <w:lang w:val="es-MX" w:eastAsia="es-MX"/>
              </w:rPr>
              <w:t xml:space="preserve">ubsector </w:t>
            </w:r>
            <w:r w:rsidRPr="00F87E34">
              <w:rPr>
                <w:color w:val="000000"/>
                <w:sz w:val="16"/>
                <w:szCs w:val="16"/>
                <w:lang w:val="es-MX" w:eastAsia="es-MX"/>
              </w:rPr>
              <w:t>de actividad</w:t>
            </w:r>
          </w:p>
        </w:tc>
        <w:tc>
          <w:tcPr>
            <w:tcW w:w="611" w:type="pct"/>
            <w:vMerge w:val="restart"/>
            <w:tcBorders>
              <w:top w:val="single" w:sz="6" w:space="0" w:color="404040"/>
              <w:left w:val="single" w:sz="4" w:space="0" w:color="404040"/>
              <w:bottom w:val="single" w:sz="4" w:space="0" w:color="404040"/>
              <w:right w:val="single" w:sz="4" w:space="0" w:color="404040"/>
            </w:tcBorders>
            <w:shd w:val="clear" w:color="auto" w:fill="D6E3BC" w:themeFill="accent3" w:themeFillTint="66"/>
            <w:vAlign w:val="center"/>
            <w:hideMark/>
          </w:tcPr>
          <w:p w14:paraId="28CEE34F" w14:textId="77777777" w:rsidR="008D61B5" w:rsidRPr="00F87E34" w:rsidRDefault="008D61B5" w:rsidP="007562DF">
            <w:pPr>
              <w:jc w:val="center"/>
              <w:rPr>
                <w:sz w:val="16"/>
                <w:szCs w:val="16"/>
                <w:lang w:val="es-MX" w:eastAsia="es-MX"/>
              </w:rPr>
            </w:pPr>
            <w:r w:rsidRPr="00F87E34">
              <w:rPr>
                <w:sz w:val="16"/>
                <w:szCs w:val="16"/>
                <w:lang w:val="es-MX" w:eastAsia="es-MX"/>
              </w:rPr>
              <w:t xml:space="preserve">Ingresos por suministro de bienes y servicios </w:t>
            </w:r>
            <w:r w:rsidRPr="00F87E34">
              <w:rPr>
                <w:position w:val="-2"/>
                <w:sz w:val="18"/>
                <w:szCs w:val="16"/>
                <w:vertAlign w:val="superscript"/>
                <w:lang w:val="es-MX" w:eastAsia="es-MX"/>
              </w:rPr>
              <w:t>1/</w:t>
            </w:r>
          </w:p>
        </w:tc>
        <w:tc>
          <w:tcPr>
            <w:tcW w:w="1396" w:type="pct"/>
            <w:gridSpan w:val="3"/>
            <w:tcBorders>
              <w:top w:val="single" w:sz="6" w:space="0" w:color="404040"/>
              <w:left w:val="single" w:sz="4" w:space="0" w:color="404040"/>
              <w:bottom w:val="single" w:sz="4" w:space="0" w:color="404040"/>
              <w:right w:val="single" w:sz="4" w:space="0" w:color="404040"/>
            </w:tcBorders>
            <w:shd w:val="clear" w:color="auto" w:fill="D6E3BC" w:themeFill="accent3" w:themeFillTint="66"/>
            <w:vAlign w:val="center"/>
            <w:hideMark/>
          </w:tcPr>
          <w:p w14:paraId="23F322BF" w14:textId="33CC2CE9" w:rsidR="008D61B5" w:rsidRPr="00F87E34" w:rsidRDefault="008D61B5" w:rsidP="007562DF">
            <w:pPr>
              <w:jc w:val="center"/>
              <w:rPr>
                <w:sz w:val="16"/>
                <w:szCs w:val="16"/>
                <w:lang w:val="es-MX" w:eastAsia="es-MX"/>
              </w:rPr>
            </w:pPr>
            <w:r w:rsidRPr="00F87E34">
              <w:rPr>
                <w:sz w:val="16"/>
                <w:szCs w:val="16"/>
                <w:lang w:val="es-MX" w:eastAsia="es-MX"/>
              </w:rPr>
              <w:t>Personal ocupado</w:t>
            </w:r>
          </w:p>
        </w:tc>
        <w:tc>
          <w:tcPr>
            <w:tcW w:w="486" w:type="pct"/>
            <w:vMerge w:val="restart"/>
            <w:tcBorders>
              <w:top w:val="single" w:sz="6" w:space="0" w:color="404040"/>
              <w:left w:val="single" w:sz="4" w:space="0" w:color="404040"/>
              <w:bottom w:val="single" w:sz="4" w:space="0" w:color="404040"/>
              <w:right w:val="single" w:sz="6" w:space="0" w:color="404040"/>
            </w:tcBorders>
            <w:shd w:val="clear" w:color="auto" w:fill="D6E3BC" w:themeFill="accent3" w:themeFillTint="66"/>
            <w:vAlign w:val="center"/>
            <w:hideMark/>
          </w:tcPr>
          <w:p w14:paraId="4188B315" w14:textId="77777777" w:rsidR="008D61B5" w:rsidRPr="00F87E34" w:rsidRDefault="008D61B5" w:rsidP="007562DF">
            <w:pPr>
              <w:jc w:val="center"/>
              <w:rPr>
                <w:sz w:val="16"/>
                <w:szCs w:val="16"/>
                <w:lang w:val="es-MX" w:eastAsia="es-MX"/>
              </w:rPr>
            </w:pPr>
            <w:r w:rsidRPr="00F87E34">
              <w:rPr>
                <w:sz w:val="16"/>
                <w:szCs w:val="16"/>
                <w:lang w:val="es-MX" w:eastAsia="es-MX"/>
              </w:rPr>
              <w:t>Remune-raciones medias reales</w:t>
            </w:r>
          </w:p>
        </w:tc>
      </w:tr>
      <w:tr w:rsidR="008D61B5" w:rsidRPr="00F87E34" w14:paraId="38CD74B5" w14:textId="77777777" w:rsidTr="00086525">
        <w:trPr>
          <w:trHeight w:val="397"/>
          <w:jc w:val="center"/>
        </w:trPr>
        <w:tc>
          <w:tcPr>
            <w:tcW w:w="2507" w:type="pct"/>
            <w:gridSpan w:val="2"/>
            <w:vMerge/>
            <w:tcBorders>
              <w:left w:val="single" w:sz="6" w:space="0" w:color="404040"/>
              <w:bottom w:val="single" w:sz="4" w:space="0" w:color="404040"/>
              <w:right w:val="single" w:sz="4" w:space="0" w:color="404040"/>
            </w:tcBorders>
            <w:shd w:val="clear" w:color="auto" w:fill="D6E3BC" w:themeFill="accent3" w:themeFillTint="66"/>
            <w:vAlign w:val="center"/>
            <w:hideMark/>
          </w:tcPr>
          <w:p w14:paraId="3C7AC452" w14:textId="0F6F7BEB" w:rsidR="008D61B5" w:rsidRPr="00F87E34" w:rsidRDefault="008D61B5" w:rsidP="007562DF">
            <w:pPr>
              <w:jc w:val="left"/>
              <w:rPr>
                <w:color w:val="000000"/>
                <w:sz w:val="16"/>
                <w:szCs w:val="16"/>
                <w:lang w:val="es-MX" w:eastAsia="es-MX"/>
              </w:rPr>
            </w:pPr>
          </w:p>
        </w:tc>
        <w:tc>
          <w:tcPr>
            <w:tcW w:w="611" w:type="pct"/>
            <w:vMerge/>
            <w:tcBorders>
              <w:top w:val="single" w:sz="6" w:space="0" w:color="404040"/>
              <w:left w:val="single" w:sz="4" w:space="0" w:color="404040"/>
              <w:bottom w:val="single" w:sz="4" w:space="0" w:color="404040"/>
              <w:right w:val="single" w:sz="4" w:space="0" w:color="404040"/>
            </w:tcBorders>
            <w:shd w:val="clear" w:color="auto" w:fill="D6E3BC" w:themeFill="accent3" w:themeFillTint="66"/>
            <w:vAlign w:val="center"/>
            <w:hideMark/>
          </w:tcPr>
          <w:p w14:paraId="4CCA44BF" w14:textId="77777777" w:rsidR="008D61B5" w:rsidRPr="00F87E34" w:rsidRDefault="008D61B5" w:rsidP="007562DF">
            <w:pPr>
              <w:jc w:val="left"/>
              <w:rPr>
                <w:sz w:val="16"/>
                <w:szCs w:val="16"/>
                <w:lang w:val="es-MX" w:eastAsia="es-MX"/>
              </w:rPr>
            </w:pPr>
          </w:p>
        </w:tc>
        <w:tc>
          <w:tcPr>
            <w:tcW w:w="470" w:type="pct"/>
            <w:tcBorders>
              <w:top w:val="single" w:sz="4" w:space="0" w:color="404040"/>
              <w:left w:val="single" w:sz="4" w:space="0" w:color="404040"/>
              <w:bottom w:val="single" w:sz="4" w:space="0" w:color="404040"/>
              <w:right w:val="single" w:sz="4" w:space="0" w:color="404040"/>
            </w:tcBorders>
            <w:shd w:val="clear" w:color="auto" w:fill="D6E3BC" w:themeFill="accent3" w:themeFillTint="66"/>
            <w:vAlign w:val="center"/>
            <w:hideMark/>
          </w:tcPr>
          <w:p w14:paraId="06BC2DC1" w14:textId="75DD3E12" w:rsidR="008D61B5" w:rsidRPr="00F87E34" w:rsidRDefault="008D61B5" w:rsidP="007562DF">
            <w:pPr>
              <w:jc w:val="center"/>
              <w:rPr>
                <w:sz w:val="16"/>
                <w:szCs w:val="16"/>
                <w:lang w:val="es-MX" w:eastAsia="es-MX"/>
              </w:rPr>
            </w:pPr>
            <w:r>
              <w:rPr>
                <w:sz w:val="16"/>
                <w:szCs w:val="16"/>
                <w:lang w:val="es-MX" w:eastAsia="es-MX"/>
              </w:rPr>
              <w:t>t</w:t>
            </w:r>
            <w:r w:rsidRPr="00F87E34">
              <w:rPr>
                <w:sz w:val="16"/>
                <w:szCs w:val="16"/>
                <w:lang w:val="es-MX" w:eastAsia="es-MX"/>
              </w:rPr>
              <w:t>otal</w:t>
            </w:r>
          </w:p>
        </w:tc>
        <w:tc>
          <w:tcPr>
            <w:tcW w:w="470" w:type="pct"/>
            <w:tcBorders>
              <w:top w:val="single" w:sz="4" w:space="0" w:color="404040"/>
              <w:left w:val="single" w:sz="4" w:space="0" w:color="404040"/>
              <w:bottom w:val="single" w:sz="4" w:space="0" w:color="404040"/>
              <w:right w:val="single" w:sz="4" w:space="0" w:color="404040"/>
            </w:tcBorders>
            <w:shd w:val="clear" w:color="auto" w:fill="D6E3BC" w:themeFill="accent3" w:themeFillTint="66"/>
            <w:vAlign w:val="center"/>
            <w:hideMark/>
          </w:tcPr>
          <w:p w14:paraId="7C33FAD5" w14:textId="602693AF" w:rsidR="008D61B5" w:rsidRPr="00F87E34" w:rsidRDefault="008D61B5" w:rsidP="007562DF">
            <w:pPr>
              <w:ind w:left="-83" w:right="-83"/>
              <w:jc w:val="center"/>
              <w:rPr>
                <w:sz w:val="16"/>
                <w:szCs w:val="16"/>
                <w:lang w:val="es-MX" w:eastAsia="es-MX"/>
              </w:rPr>
            </w:pPr>
            <w:r>
              <w:rPr>
                <w:sz w:val="16"/>
                <w:szCs w:val="16"/>
                <w:lang w:val="es-MX" w:eastAsia="es-MX"/>
              </w:rPr>
              <w:t>d</w:t>
            </w:r>
            <w:r w:rsidRPr="00F87E34">
              <w:rPr>
                <w:sz w:val="16"/>
                <w:szCs w:val="16"/>
                <w:lang w:val="es-MX" w:eastAsia="es-MX"/>
              </w:rPr>
              <w:t>epen-</w:t>
            </w:r>
            <w:r w:rsidRPr="00F87E34">
              <w:rPr>
                <w:sz w:val="16"/>
                <w:szCs w:val="16"/>
                <w:lang w:val="es-MX" w:eastAsia="es-MX"/>
              </w:rPr>
              <w:br/>
              <w:t xml:space="preserve">diente </w:t>
            </w:r>
          </w:p>
        </w:tc>
        <w:tc>
          <w:tcPr>
            <w:tcW w:w="456" w:type="pct"/>
            <w:tcBorders>
              <w:top w:val="single" w:sz="4" w:space="0" w:color="404040"/>
              <w:left w:val="single" w:sz="4" w:space="0" w:color="404040"/>
              <w:bottom w:val="single" w:sz="4" w:space="0" w:color="404040"/>
              <w:right w:val="single" w:sz="4" w:space="0" w:color="404040"/>
            </w:tcBorders>
            <w:shd w:val="clear" w:color="auto" w:fill="D6E3BC" w:themeFill="accent3" w:themeFillTint="66"/>
            <w:vAlign w:val="center"/>
            <w:hideMark/>
          </w:tcPr>
          <w:p w14:paraId="712AC6A5" w14:textId="642A5CBC" w:rsidR="008D61B5" w:rsidRPr="00923F56" w:rsidRDefault="009946FB" w:rsidP="007562DF">
            <w:pPr>
              <w:jc w:val="center"/>
              <w:rPr>
                <w:sz w:val="16"/>
                <w:szCs w:val="16"/>
                <w:lang w:val="es-MX" w:eastAsia="es-MX"/>
              </w:rPr>
            </w:pPr>
            <w:r w:rsidRPr="00923F56">
              <w:rPr>
                <w:sz w:val="16"/>
                <w:szCs w:val="16"/>
                <w:lang w:val="es-MX" w:eastAsia="es-MX"/>
              </w:rPr>
              <w:t>no depen-diente</w:t>
            </w:r>
            <w:r w:rsidR="008D61B5" w:rsidRPr="00923F56">
              <w:rPr>
                <w:sz w:val="16"/>
                <w:szCs w:val="16"/>
                <w:lang w:val="es-MX" w:eastAsia="es-MX"/>
              </w:rPr>
              <w:t xml:space="preserve"> </w:t>
            </w:r>
            <w:r w:rsidR="008D61B5" w:rsidRPr="00923F56">
              <w:rPr>
                <w:position w:val="-2"/>
                <w:sz w:val="18"/>
                <w:szCs w:val="16"/>
                <w:vertAlign w:val="superscript"/>
                <w:lang w:val="es-MX" w:eastAsia="es-MX"/>
              </w:rPr>
              <w:t>2/</w:t>
            </w:r>
          </w:p>
        </w:tc>
        <w:tc>
          <w:tcPr>
            <w:tcW w:w="486" w:type="pct"/>
            <w:vMerge/>
            <w:tcBorders>
              <w:left w:val="single" w:sz="4" w:space="0" w:color="404040"/>
              <w:bottom w:val="single" w:sz="4" w:space="0" w:color="404040"/>
              <w:right w:val="single" w:sz="6" w:space="0" w:color="404040"/>
            </w:tcBorders>
            <w:shd w:val="clear" w:color="auto" w:fill="D6E3BC" w:themeFill="accent3" w:themeFillTint="66"/>
            <w:vAlign w:val="center"/>
            <w:hideMark/>
          </w:tcPr>
          <w:p w14:paraId="11139F28" w14:textId="77777777" w:rsidR="008D61B5" w:rsidRPr="00F87E34" w:rsidRDefault="008D61B5" w:rsidP="007562DF">
            <w:pPr>
              <w:jc w:val="left"/>
              <w:rPr>
                <w:sz w:val="16"/>
                <w:szCs w:val="16"/>
                <w:lang w:val="es-MX" w:eastAsia="es-MX"/>
              </w:rPr>
            </w:pPr>
          </w:p>
        </w:tc>
      </w:tr>
      <w:tr w:rsidR="00262FDC" w:rsidRPr="00F87E34" w14:paraId="4C8E3D86" w14:textId="77777777" w:rsidTr="00262FDC">
        <w:trPr>
          <w:trHeight w:val="283"/>
          <w:jc w:val="center"/>
        </w:trPr>
        <w:tc>
          <w:tcPr>
            <w:tcW w:w="231" w:type="pct"/>
            <w:tcBorders>
              <w:top w:val="single" w:sz="4" w:space="0" w:color="404040"/>
              <w:left w:val="single" w:sz="6" w:space="0" w:color="404040"/>
              <w:right w:val="single" w:sz="4" w:space="0" w:color="404040"/>
            </w:tcBorders>
            <w:shd w:val="clear" w:color="auto" w:fill="EAF1DD" w:themeFill="accent3" w:themeFillTint="33"/>
            <w:vAlign w:val="center"/>
            <w:hideMark/>
          </w:tcPr>
          <w:p w14:paraId="60E145DA" w14:textId="77777777" w:rsidR="00262FDC" w:rsidRPr="00F87E34" w:rsidRDefault="00262FDC" w:rsidP="00262FDC">
            <w:pPr>
              <w:ind w:leftChars="-12" w:right="-74" w:hangingChars="18" w:hanging="29"/>
              <w:jc w:val="center"/>
              <w:rPr>
                <w:b/>
                <w:bCs/>
                <w:color w:val="000000"/>
                <w:sz w:val="16"/>
                <w:szCs w:val="16"/>
                <w:lang w:val="es-MX" w:eastAsia="es-MX"/>
              </w:rPr>
            </w:pPr>
            <w:r w:rsidRPr="00F87E34">
              <w:rPr>
                <w:b/>
                <w:bCs/>
                <w:color w:val="000000"/>
                <w:sz w:val="16"/>
                <w:szCs w:val="16"/>
                <w:lang w:val="es-MX" w:eastAsia="es-MX"/>
              </w:rPr>
              <w:t>43</w:t>
            </w:r>
          </w:p>
        </w:tc>
        <w:tc>
          <w:tcPr>
            <w:tcW w:w="2276" w:type="pct"/>
            <w:tcBorders>
              <w:top w:val="single" w:sz="4" w:space="0" w:color="404040"/>
              <w:left w:val="single" w:sz="4" w:space="0" w:color="404040"/>
              <w:right w:val="single" w:sz="4" w:space="0" w:color="404040"/>
            </w:tcBorders>
            <w:shd w:val="clear" w:color="auto" w:fill="EAF1DD" w:themeFill="accent3" w:themeFillTint="33"/>
            <w:vAlign w:val="center"/>
            <w:hideMark/>
          </w:tcPr>
          <w:p w14:paraId="3D41B44E" w14:textId="787CBD1F" w:rsidR="00262FDC" w:rsidRPr="00F87E34" w:rsidRDefault="00262FDC" w:rsidP="00262FDC">
            <w:pPr>
              <w:jc w:val="left"/>
              <w:rPr>
                <w:b/>
                <w:bCs/>
                <w:color w:val="000000"/>
                <w:sz w:val="16"/>
                <w:szCs w:val="16"/>
                <w:lang w:val="es-MX" w:eastAsia="es-MX"/>
              </w:rPr>
            </w:pPr>
            <w:r w:rsidRPr="00F87E34">
              <w:rPr>
                <w:b/>
                <w:bCs/>
                <w:color w:val="000000"/>
                <w:sz w:val="16"/>
                <w:szCs w:val="16"/>
                <w:lang w:val="es-MX" w:eastAsia="es-MX"/>
              </w:rPr>
              <w:t>Comercio al por mayor de:</w:t>
            </w:r>
          </w:p>
        </w:tc>
        <w:tc>
          <w:tcPr>
            <w:tcW w:w="611" w:type="pct"/>
            <w:tcBorders>
              <w:top w:val="single" w:sz="4" w:space="0" w:color="404040"/>
              <w:left w:val="single" w:sz="4" w:space="0" w:color="404040"/>
              <w:right w:val="nil"/>
            </w:tcBorders>
            <w:shd w:val="clear" w:color="auto" w:fill="EAF1DD" w:themeFill="accent3" w:themeFillTint="33"/>
            <w:vAlign w:val="center"/>
            <w:hideMark/>
          </w:tcPr>
          <w:p w14:paraId="1CAEF4B2" w14:textId="543B01AA" w:rsidR="00262FDC" w:rsidRPr="001705B3" w:rsidRDefault="00262FDC" w:rsidP="00262FDC">
            <w:pPr>
              <w:tabs>
                <w:tab w:val="decimal" w:pos="514"/>
              </w:tabs>
              <w:jc w:val="left"/>
              <w:rPr>
                <w:b/>
                <w:bCs/>
                <w:sz w:val="16"/>
                <w:szCs w:val="16"/>
                <w:lang w:val="es-MX" w:eastAsia="es-MX"/>
              </w:rPr>
            </w:pPr>
            <w:r>
              <w:rPr>
                <w:b/>
                <w:bCs/>
                <w:color w:val="000000"/>
                <w:sz w:val="16"/>
                <w:szCs w:val="16"/>
              </w:rPr>
              <w:t>7.1</w:t>
            </w:r>
          </w:p>
        </w:tc>
        <w:tc>
          <w:tcPr>
            <w:tcW w:w="470" w:type="pct"/>
            <w:tcBorders>
              <w:top w:val="single" w:sz="4" w:space="0" w:color="404040"/>
              <w:left w:val="nil"/>
              <w:right w:val="nil"/>
            </w:tcBorders>
            <w:shd w:val="clear" w:color="auto" w:fill="EAF1DD" w:themeFill="accent3" w:themeFillTint="33"/>
            <w:vAlign w:val="center"/>
            <w:hideMark/>
          </w:tcPr>
          <w:p w14:paraId="7EEE1AC4" w14:textId="1A8982B6" w:rsidR="00262FDC" w:rsidRPr="001705B3" w:rsidRDefault="00262FDC" w:rsidP="00262FDC">
            <w:pPr>
              <w:tabs>
                <w:tab w:val="decimal" w:pos="376"/>
              </w:tabs>
              <w:jc w:val="left"/>
              <w:rPr>
                <w:b/>
                <w:bCs/>
                <w:sz w:val="16"/>
                <w:szCs w:val="16"/>
                <w:lang w:val="es-MX" w:eastAsia="es-MX"/>
              </w:rPr>
            </w:pPr>
            <w:r>
              <w:rPr>
                <w:b/>
                <w:bCs/>
                <w:color w:val="000000"/>
                <w:sz w:val="16"/>
                <w:szCs w:val="16"/>
              </w:rPr>
              <w:t>1.9</w:t>
            </w:r>
          </w:p>
        </w:tc>
        <w:tc>
          <w:tcPr>
            <w:tcW w:w="470" w:type="pct"/>
            <w:tcBorders>
              <w:top w:val="single" w:sz="4" w:space="0" w:color="404040"/>
              <w:left w:val="nil"/>
              <w:right w:val="nil"/>
            </w:tcBorders>
            <w:shd w:val="clear" w:color="auto" w:fill="EAF1DD" w:themeFill="accent3" w:themeFillTint="33"/>
            <w:vAlign w:val="center"/>
            <w:hideMark/>
          </w:tcPr>
          <w:p w14:paraId="0F85C3B2" w14:textId="43D77A21" w:rsidR="00262FDC" w:rsidRPr="001705B3" w:rsidRDefault="00262FDC" w:rsidP="00262FDC">
            <w:pPr>
              <w:tabs>
                <w:tab w:val="decimal" w:pos="389"/>
              </w:tabs>
              <w:jc w:val="left"/>
              <w:rPr>
                <w:b/>
                <w:bCs/>
                <w:sz w:val="16"/>
                <w:szCs w:val="16"/>
                <w:lang w:val="es-MX" w:eastAsia="es-MX"/>
              </w:rPr>
            </w:pPr>
            <w:r>
              <w:rPr>
                <w:b/>
                <w:bCs/>
                <w:color w:val="000000"/>
                <w:sz w:val="16"/>
                <w:szCs w:val="16"/>
              </w:rPr>
              <w:t>2.5</w:t>
            </w:r>
          </w:p>
        </w:tc>
        <w:tc>
          <w:tcPr>
            <w:tcW w:w="456" w:type="pct"/>
            <w:tcBorders>
              <w:top w:val="single" w:sz="4" w:space="0" w:color="404040"/>
              <w:left w:val="nil"/>
              <w:right w:val="nil"/>
            </w:tcBorders>
            <w:shd w:val="clear" w:color="auto" w:fill="EAF1DD" w:themeFill="accent3" w:themeFillTint="33"/>
            <w:vAlign w:val="center"/>
            <w:hideMark/>
          </w:tcPr>
          <w:p w14:paraId="19B14C1F" w14:textId="71D878C6" w:rsidR="00262FDC" w:rsidRPr="001705B3" w:rsidRDefault="00262FDC" w:rsidP="00262FDC">
            <w:pPr>
              <w:tabs>
                <w:tab w:val="decimal" w:pos="364"/>
              </w:tabs>
              <w:jc w:val="left"/>
              <w:rPr>
                <w:b/>
                <w:bCs/>
                <w:sz w:val="16"/>
                <w:szCs w:val="16"/>
                <w:lang w:val="es-MX" w:eastAsia="es-MX"/>
              </w:rPr>
            </w:pPr>
            <w:r>
              <w:rPr>
                <w:b/>
                <w:bCs/>
                <w:color w:val="000000"/>
                <w:sz w:val="16"/>
                <w:szCs w:val="16"/>
              </w:rPr>
              <w:t>-6.2</w:t>
            </w:r>
          </w:p>
        </w:tc>
        <w:tc>
          <w:tcPr>
            <w:tcW w:w="486" w:type="pct"/>
            <w:tcBorders>
              <w:top w:val="single" w:sz="4" w:space="0" w:color="404040"/>
              <w:left w:val="nil"/>
              <w:right w:val="single" w:sz="6" w:space="0" w:color="404040"/>
            </w:tcBorders>
            <w:shd w:val="clear" w:color="auto" w:fill="EAF1DD" w:themeFill="accent3" w:themeFillTint="33"/>
            <w:vAlign w:val="center"/>
            <w:hideMark/>
          </w:tcPr>
          <w:p w14:paraId="41C20D8A" w14:textId="09ABA97C" w:rsidR="00262FDC" w:rsidRPr="001705B3" w:rsidRDefault="00262FDC" w:rsidP="00262FDC">
            <w:pPr>
              <w:tabs>
                <w:tab w:val="decimal" w:pos="401"/>
              </w:tabs>
              <w:jc w:val="left"/>
              <w:rPr>
                <w:b/>
                <w:bCs/>
                <w:sz w:val="16"/>
                <w:szCs w:val="16"/>
                <w:lang w:val="es-MX" w:eastAsia="es-MX"/>
              </w:rPr>
            </w:pPr>
            <w:r>
              <w:rPr>
                <w:b/>
                <w:bCs/>
                <w:color w:val="000000"/>
                <w:sz w:val="16"/>
                <w:szCs w:val="16"/>
              </w:rPr>
              <w:t>8.4</w:t>
            </w:r>
          </w:p>
        </w:tc>
      </w:tr>
      <w:tr w:rsidR="00262FDC" w:rsidRPr="00F87E34" w14:paraId="04751D10" w14:textId="77777777" w:rsidTr="003F0296">
        <w:trPr>
          <w:trHeight w:val="283"/>
          <w:jc w:val="center"/>
        </w:trPr>
        <w:tc>
          <w:tcPr>
            <w:tcW w:w="231" w:type="pct"/>
            <w:tcBorders>
              <w:left w:val="single" w:sz="6" w:space="0" w:color="404040"/>
              <w:bottom w:val="dotted" w:sz="6" w:space="0" w:color="C2D69B" w:themeColor="accent3" w:themeTint="99"/>
              <w:right w:val="single" w:sz="4" w:space="0" w:color="404040"/>
            </w:tcBorders>
            <w:shd w:val="clear" w:color="auto" w:fill="auto"/>
            <w:vAlign w:val="center"/>
            <w:hideMark/>
          </w:tcPr>
          <w:p w14:paraId="07DB2815" w14:textId="77777777" w:rsidR="00262FDC" w:rsidRPr="00F87E34" w:rsidRDefault="00262FDC" w:rsidP="00262FDC">
            <w:pPr>
              <w:ind w:leftChars="-12" w:right="-74" w:hangingChars="18" w:hanging="29"/>
              <w:jc w:val="center"/>
              <w:rPr>
                <w:color w:val="000000"/>
                <w:sz w:val="16"/>
                <w:szCs w:val="16"/>
                <w:lang w:val="es-MX" w:eastAsia="es-MX"/>
              </w:rPr>
            </w:pPr>
            <w:r w:rsidRPr="00F87E34">
              <w:rPr>
                <w:color w:val="000000"/>
                <w:sz w:val="16"/>
                <w:szCs w:val="16"/>
                <w:lang w:val="es-MX" w:eastAsia="es-MX"/>
              </w:rPr>
              <w:t>431</w:t>
            </w:r>
          </w:p>
        </w:tc>
        <w:tc>
          <w:tcPr>
            <w:tcW w:w="2276" w:type="pct"/>
            <w:tcBorders>
              <w:left w:val="single" w:sz="4" w:space="0" w:color="404040"/>
              <w:bottom w:val="dotted" w:sz="6" w:space="0" w:color="C2D69B" w:themeColor="accent3" w:themeTint="99"/>
              <w:right w:val="single" w:sz="4" w:space="0" w:color="404040"/>
            </w:tcBorders>
            <w:shd w:val="clear" w:color="auto" w:fill="auto"/>
            <w:vAlign w:val="center"/>
            <w:hideMark/>
          </w:tcPr>
          <w:p w14:paraId="7D9D5E67" w14:textId="77777777" w:rsidR="00262FDC" w:rsidRPr="00F87E34" w:rsidRDefault="00262FDC" w:rsidP="00262FDC">
            <w:pPr>
              <w:jc w:val="left"/>
              <w:rPr>
                <w:color w:val="000000"/>
                <w:sz w:val="16"/>
                <w:szCs w:val="16"/>
                <w:lang w:val="es-MX" w:eastAsia="es-MX"/>
              </w:rPr>
            </w:pPr>
            <w:r w:rsidRPr="00F87E34">
              <w:rPr>
                <w:color w:val="000000"/>
                <w:sz w:val="16"/>
                <w:szCs w:val="16"/>
                <w:lang w:val="es-MX" w:eastAsia="es-MX"/>
              </w:rPr>
              <w:t>Abarrotes, alimentos, bebidas, hielo y tabaco</w:t>
            </w:r>
          </w:p>
        </w:tc>
        <w:tc>
          <w:tcPr>
            <w:tcW w:w="611" w:type="pct"/>
            <w:tcBorders>
              <w:left w:val="single" w:sz="4" w:space="0" w:color="404040"/>
              <w:bottom w:val="dotted" w:sz="6" w:space="0" w:color="C2D69B" w:themeColor="accent3" w:themeTint="99"/>
              <w:right w:val="nil"/>
            </w:tcBorders>
            <w:shd w:val="clear" w:color="auto" w:fill="auto"/>
            <w:vAlign w:val="center"/>
            <w:hideMark/>
          </w:tcPr>
          <w:p w14:paraId="193B9F24" w14:textId="028FF851" w:rsidR="00262FDC" w:rsidRPr="001705B3" w:rsidRDefault="00262FDC" w:rsidP="00262FDC">
            <w:pPr>
              <w:tabs>
                <w:tab w:val="decimal" w:pos="514"/>
              </w:tabs>
              <w:jc w:val="left"/>
              <w:rPr>
                <w:sz w:val="16"/>
                <w:szCs w:val="16"/>
              </w:rPr>
            </w:pPr>
            <w:r>
              <w:rPr>
                <w:color w:val="000000"/>
                <w:sz w:val="16"/>
                <w:szCs w:val="16"/>
              </w:rPr>
              <w:t>-3.8</w:t>
            </w:r>
          </w:p>
        </w:tc>
        <w:tc>
          <w:tcPr>
            <w:tcW w:w="470" w:type="pct"/>
            <w:tcBorders>
              <w:left w:val="nil"/>
              <w:bottom w:val="dotted" w:sz="6" w:space="0" w:color="C2D69B" w:themeColor="accent3" w:themeTint="99"/>
              <w:right w:val="nil"/>
            </w:tcBorders>
            <w:shd w:val="clear" w:color="auto" w:fill="auto"/>
            <w:vAlign w:val="center"/>
            <w:hideMark/>
          </w:tcPr>
          <w:p w14:paraId="1F54D629" w14:textId="767FD815" w:rsidR="00262FDC" w:rsidRPr="001705B3" w:rsidRDefault="00262FDC" w:rsidP="00262FDC">
            <w:pPr>
              <w:tabs>
                <w:tab w:val="decimal" w:pos="376"/>
              </w:tabs>
              <w:jc w:val="left"/>
              <w:rPr>
                <w:sz w:val="16"/>
                <w:szCs w:val="16"/>
                <w:lang w:val="es-MX" w:eastAsia="es-MX"/>
              </w:rPr>
            </w:pPr>
            <w:r>
              <w:rPr>
                <w:color w:val="000000"/>
                <w:sz w:val="16"/>
                <w:szCs w:val="16"/>
              </w:rPr>
              <w:t>-0.1</w:t>
            </w:r>
          </w:p>
        </w:tc>
        <w:tc>
          <w:tcPr>
            <w:tcW w:w="470" w:type="pct"/>
            <w:tcBorders>
              <w:left w:val="nil"/>
              <w:bottom w:val="dotted" w:sz="6" w:space="0" w:color="C2D69B" w:themeColor="accent3" w:themeTint="99"/>
              <w:right w:val="nil"/>
            </w:tcBorders>
            <w:shd w:val="clear" w:color="auto" w:fill="auto"/>
            <w:vAlign w:val="center"/>
            <w:hideMark/>
          </w:tcPr>
          <w:p w14:paraId="14A8B192" w14:textId="6A16097C" w:rsidR="00262FDC" w:rsidRPr="001705B3" w:rsidRDefault="00262FDC" w:rsidP="00262FDC">
            <w:pPr>
              <w:tabs>
                <w:tab w:val="decimal" w:pos="389"/>
              </w:tabs>
              <w:jc w:val="left"/>
              <w:rPr>
                <w:sz w:val="16"/>
                <w:szCs w:val="16"/>
                <w:lang w:val="es-MX" w:eastAsia="es-MX"/>
              </w:rPr>
            </w:pPr>
            <w:r>
              <w:rPr>
                <w:color w:val="000000"/>
                <w:sz w:val="16"/>
                <w:szCs w:val="16"/>
              </w:rPr>
              <w:t>0.4</w:t>
            </w:r>
          </w:p>
        </w:tc>
        <w:tc>
          <w:tcPr>
            <w:tcW w:w="456" w:type="pct"/>
            <w:tcBorders>
              <w:left w:val="nil"/>
              <w:bottom w:val="dotted" w:sz="6" w:space="0" w:color="C2D69B" w:themeColor="accent3" w:themeTint="99"/>
              <w:right w:val="nil"/>
            </w:tcBorders>
            <w:shd w:val="clear" w:color="auto" w:fill="auto"/>
            <w:vAlign w:val="center"/>
            <w:hideMark/>
          </w:tcPr>
          <w:p w14:paraId="26B0FD3D" w14:textId="6C68FD60" w:rsidR="00262FDC" w:rsidRPr="001705B3" w:rsidRDefault="00262FDC" w:rsidP="00262FDC">
            <w:pPr>
              <w:tabs>
                <w:tab w:val="decimal" w:pos="364"/>
              </w:tabs>
              <w:jc w:val="left"/>
              <w:rPr>
                <w:sz w:val="16"/>
                <w:szCs w:val="16"/>
                <w:lang w:val="es-MX" w:eastAsia="es-MX"/>
              </w:rPr>
            </w:pPr>
            <w:r>
              <w:rPr>
                <w:color w:val="000000"/>
                <w:sz w:val="16"/>
                <w:szCs w:val="16"/>
              </w:rPr>
              <w:t>1.5</w:t>
            </w:r>
          </w:p>
        </w:tc>
        <w:tc>
          <w:tcPr>
            <w:tcW w:w="486" w:type="pct"/>
            <w:tcBorders>
              <w:left w:val="nil"/>
              <w:bottom w:val="dotted" w:sz="6" w:space="0" w:color="C2D69B" w:themeColor="accent3" w:themeTint="99"/>
              <w:right w:val="single" w:sz="6" w:space="0" w:color="404040"/>
            </w:tcBorders>
            <w:shd w:val="clear" w:color="auto" w:fill="auto"/>
            <w:vAlign w:val="center"/>
            <w:hideMark/>
          </w:tcPr>
          <w:p w14:paraId="6EEFE6C6" w14:textId="69178B25" w:rsidR="00262FDC" w:rsidRPr="001705B3" w:rsidRDefault="00262FDC" w:rsidP="00262FDC">
            <w:pPr>
              <w:tabs>
                <w:tab w:val="decimal" w:pos="401"/>
              </w:tabs>
              <w:jc w:val="left"/>
              <w:rPr>
                <w:sz w:val="16"/>
                <w:szCs w:val="16"/>
                <w:lang w:val="es-MX" w:eastAsia="es-MX"/>
              </w:rPr>
            </w:pPr>
            <w:r>
              <w:rPr>
                <w:color w:val="000000"/>
                <w:sz w:val="16"/>
                <w:szCs w:val="16"/>
              </w:rPr>
              <w:t>7.3</w:t>
            </w:r>
          </w:p>
        </w:tc>
      </w:tr>
      <w:tr w:rsidR="00262FDC" w:rsidRPr="00F87E34" w14:paraId="452CD110" w14:textId="77777777" w:rsidTr="003F0296">
        <w:trPr>
          <w:trHeight w:val="283"/>
          <w:jc w:val="center"/>
        </w:trPr>
        <w:tc>
          <w:tcPr>
            <w:tcW w:w="231" w:type="pct"/>
            <w:tcBorders>
              <w:top w:val="dotted" w:sz="6" w:space="0" w:color="C2D69B" w:themeColor="accent3" w:themeTint="99"/>
              <w:left w:val="single" w:sz="6" w:space="0" w:color="404040"/>
              <w:bottom w:val="dotted" w:sz="6" w:space="0" w:color="C2D69B" w:themeColor="accent3" w:themeTint="99"/>
              <w:right w:val="single" w:sz="4" w:space="0" w:color="404040"/>
            </w:tcBorders>
            <w:shd w:val="clear" w:color="auto" w:fill="auto"/>
            <w:vAlign w:val="center"/>
            <w:hideMark/>
          </w:tcPr>
          <w:p w14:paraId="1BE8AE47" w14:textId="77777777" w:rsidR="00262FDC" w:rsidRPr="00F87E34" w:rsidRDefault="00262FDC" w:rsidP="00262FDC">
            <w:pPr>
              <w:ind w:leftChars="-12" w:right="-74" w:hangingChars="18" w:hanging="29"/>
              <w:jc w:val="center"/>
              <w:rPr>
                <w:color w:val="000000"/>
                <w:sz w:val="16"/>
                <w:szCs w:val="16"/>
                <w:lang w:val="es-MX" w:eastAsia="es-MX"/>
              </w:rPr>
            </w:pPr>
            <w:r w:rsidRPr="00F87E34">
              <w:rPr>
                <w:color w:val="000000"/>
                <w:sz w:val="16"/>
                <w:szCs w:val="16"/>
                <w:lang w:val="es-MX" w:eastAsia="es-MX"/>
              </w:rPr>
              <w:t>432</w:t>
            </w:r>
          </w:p>
        </w:tc>
        <w:tc>
          <w:tcPr>
            <w:tcW w:w="2276" w:type="pct"/>
            <w:tcBorders>
              <w:top w:val="dotted" w:sz="6" w:space="0" w:color="C2D69B" w:themeColor="accent3" w:themeTint="99"/>
              <w:left w:val="single" w:sz="4" w:space="0" w:color="404040"/>
              <w:bottom w:val="dotted" w:sz="6" w:space="0" w:color="C2D69B" w:themeColor="accent3" w:themeTint="99"/>
              <w:right w:val="single" w:sz="4" w:space="0" w:color="404040"/>
            </w:tcBorders>
            <w:shd w:val="clear" w:color="auto" w:fill="auto"/>
            <w:vAlign w:val="center"/>
            <w:hideMark/>
          </w:tcPr>
          <w:p w14:paraId="4872ADDD" w14:textId="77777777" w:rsidR="00262FDC" w:rsidRPr="00F87E34" w:rsidRDefault="00262FDC" w:rsidP="00262FDC">
            <w:pPr>
              <w:jc w:val="left"/>
              <w:rPr>
                <w:color w:val="000000"/>
                <w:sz w:val="16"/>
                <w:szCs w:val="16"/>
                <w:lang w:val="es-MX" w:eastAsia="es-MX"/>
              </w:rPr>
            </w:pPr>
            <w:r w:rsidRPr="00F87E34">
              <w:rPr>
                <w:color w:val="000000"/>
                <w:sz w:val="16"/>
                <w:szCs w:val="16"/>
                <w:lang w:val="es-MX" w:eastAsia="es-MX"/>
              </w:rPr>
              <w:t>Productos textiles y calzado</w:t>
            </w:r>
          </w:p>
        </w:tc>
        <w:tc>
          <w:tcPr>
            <w:tcW w:w="611" w:type="pct"/>
            <w:tcBorders>
              <w:top w:val="dotted" w:sz="6" w:space="0" w:color="C2D69B" w:themeColor="accent3" w:themeTint="99"/>
              <w:left w:val="single" w:sz="4" w:space="0" w:color="404040"/>
              <w:bottom w:val="dotted" w:sz="6" w:space="0" w:color="C2D69B" w:themeColor="accent3" w:themeTint="99"/>
              <w:right w:val="nil"/>
            </w:tcBorders>
            <w:shd w:val="clear" w:color="auto" w:fill="auto"/>
            <w:vAlign w:val="center"/>
            <w:hideMark/>
          </w:tcPr>
          <w:p w14:paraId="7284C97B" w14:textId="4A20DED0" w:rsidR="00262FDC" w:rsidRPr="001705B3" w:rsidRDefault="00262FDC" w:rsidP="00262FDC">
            <w:pPr>
              <w:tabs>
                <w:tab w:val="decimal" w:pos="514"/>
              </w:tabs>
              <w:jc w:val="left"/>
              <w:rPr>
                <w:sz w:val="16"/>
                <w:szCs w:val="16"/>
              </w:rPr>
            </w:pPr>
            <w:r>
              <w:rPr>
                <w:color w:val="000000"/>
                <w:sz w:val="16"/>
                <w:szCs w:val="16"/>
              </w:rPr>
              <w:t>-8.7</w:t>
            </w:r>
          </w:p>
        </w:tc>
        <w:tc>
          <w:tcPr>
            <w:tcW w:w="470" w:type="pct"/>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B32577C" w14:textId="1E21ADDB" w:rsidR="00262FDC" w:rsidRPr="001705B3" w:rsidRDefault="00262FDC" w:rsidP="00262FDC">
            <w:pPr>
              <w:tabs>
                <w:tab w:val="decimal" w:pos="376"/>
              </w:tabs>
              <w:jc w:val="left"/>
              <w:rPr>
                <w:sz w:val="16"/>
                <w:szCs w:val="16"/>
                <w:lang w:val="es-MX" w:eastAsia="es-MX"/>
              </w:rPr>
            </w:pPr>
            <w:r>
              <w:rPr>
                <w:color w:val="000000"/>
                <w:sz w:val="16"/>
                <w:szCs w:val="16"/>
              </w:rPr>
              <w:t>-1.9</w:t>
            </w:r>
          </w:p>
        </w:tc>
        <w:tc>
          <w:tcPr>
            <w:tcW w:w="470" w:type="pct"/>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05532E28" w14:textId="59563933" w:rsidR="00262FDC" w:rsidRPr="001705B3" w:rsidRDefault="00262FDC" w:rsidP="00262FDC">
            <w:pPr>
              <w:tabs>
                <w:tab w:val="decimal" w:pos="389"/>
              </w:tabs>
              <w:jc w:val="left"/>
              <w:rPr>
                <w:sz w:val="16"/>
                <w:szCs w:val="16"/>
                <w:lang w:val="es-MX" w:eastAsia="es-MX"/>
              </w:rPr>
            </w:pPr>
            <w:r>
              <w:rPr>
                <w:color w:val="000000"/>
                <w:sz w:val="16"/>
                <w:szCs w:val="16"/>
              </w:rPr>
              <w:t>-3.2</w:t>
            </w:r>
          </w:p>
        </w:tc>
        <w:tc>
          <w:tcPr>
            <w:tcW w:w="456" w:type="pct"/>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31E5C9E" w14:textId="53FF212B" w:rsidR="00262FDC" w:rsidRPr="001705B3" w:rsidRDefault="00262FDC" w:rsidP="00262FDC">
            <w:pPr>
              <w:tabs>
                <w:tab w:val="decimal" w:pos="364"/>
              </w:tabs>
              <w:jc w:val="left"/>
              <w:rPr>
                <w:sz w:val="16"/>
                <w:szCs w:val="16"/>
                <w:lang w:val="es-MX" w:eastAsia="es-MX"/>
              </w:rPr>
            </w:pPr>
            <w:r>
              <w:rPr>
                <w:color w:val="000000"/>
                <w:sz w:val="16"/>
                <w:szCs w:val="16"/>
              </w:rPr>
              <w:t>11.5</w:t>
            </w:r>
          </w:p>
        </w:tc>
        <w:tc>
          <w:tcPr>
            <w:tcW w:w="486" w:type="pct"/>
            <w:tcBorders>
              <w:top w:val="dotted" w:sz="6" w:space="0" w:color="C2D69B" w:themeColor="accent3" w:themeTint="99"/>
              <w:left w:val="nil"/>
              <w:bottom w:val="dotted" w:sz="6" w:space="0" w:color="C2D69B" w:themeColor="accent3" w:themeTint="99"/>
              <w:right w:val="single" w:sz="6" w:space="0" w:color="404040"/>
            </w:tcBorders>
            <w:shd w:val="clear" w:color="auto" w:fill="auto"/>
            <w:vAlign w:val="center"/>
            <w:hideMark/>
          </w:tcPr>
          <w:p w14:paraId="1ED3FA0F" w14:textId="3C554403" w:rsidR="00262FDC" w:rsidRPr="001705B3" w:rsidRDefault="00262FDC" w:rsidP="00262FDC">
            <w:pPr>
              <w:tabs>
                <w:tab w:val="decimal" w:pos="401"/>
              </w:tabs>
              <w:jc w:val="left"/>
              <w:rPr>
                <w:sz w:val="16"/>
                <w:szCs w:val="16"/>
                <w:lang w:val="es-MX" w:eastAsia="es-MX"/>
              </w:rPr>
            </w:pPr>
            <w:r>
              <w:rPr>
                <w:color w:val="000000"/>
                <w:sz w:val="16"/>
                <w:szCs w:val="16"/>
              </w:rPr>
              <w:t>5.1</w:t>
            </w:r>
          </w:p>
        </w:tc>
      </w:tr>
      <w:tr w:rsidR="00262FDC" w:rsidRPr="00F87E34" w14:paraId="498900B9" w14:textId="77777777" w:rsidTr="00262FDC">
        <w:trPr>
          <w:trHeight w:val="624"/>
          <w:jc w:val="center"/>
        </w:trPr>
        <w:tc>
          <w:tcPr>
            <w:tcW w:w="231" w:type="pct"/>
            <w:tcBorders>
              <w:top w:val="dotted" w:sz="6" w:space="0" w:color="C2D69B" w:themeColor="accent3" w:themeTint="99"/>
              <w:left w:val="single" w:sz="6" w:space="0" w:color="404040"/>
              <w:bottom w:val="dotted" w:sz="6" w:space="0" w:color="C2D69B" w:themeColor="accent3" w:themeTint="99"/>
              <w:right w:val="single" w:sz="4" w:space="0" w:color="404040"/>
            </w:tcBorders>
            <w:shd w:val="clear" w:color="auto" w:fill="auto"/>
            <w:vAlign w:val="center"/>
            <w:hideMark/>
          </w:tcPr>
          <w:p w14:paraId="635D34D1" w14:textId="77777777" w:rsidR="00262FDC" w:rsidRPr="00F87E34" w:rsidRDefault="00262FDC" w:rsidP="00262FDC">
            <w:pPr>
              <w:ind w:leftChars="-12" w:right="-74" w:hangingChars="18" w:hanging="29"/>
              <w:jc w:val="center"/>
              <w:rPr>
                <w:color w:val="000000"/>
                <w:sz w:val="16"/>
                <w:szCs w:val="16"/>
                <w:lang w:val="es-MX" w:eastAsia="es-MX"/>
              </w:rPr>
            </w:pPr>
            <w:r w:rsidRPr="00F87E34">
              <w:rPr>
                <w:color w:val="000000"/>
                <w:sz w:val="16"/>
                <w:szCs w:val="16"/>
                <w:lang w:val="es-MX" w:eastAsia="es-MX"/>
              </w:rPr>
              <w:t>433</w:t>
            </w:r>
          </w:p>
        </w:tc>
        <w:tc>
          <w:tcPr>
            <w:tcW w:w="2276" w:type="pct"/>
            <w:tcBorders>
              <w:top w:val="dotted" w:sz="6" w:space="0" w:color="C2D69B" w:themeColor="accent3" w:themeTint="99"/>
              <w:left w:val="single" w:sz="4" w:space="0" w:color="404040"/>
              <w:bottom w:val="dotted" w:sz="6" w:space="0" w:color="C2D69B" w:themeColor="accent3" w:themeTint="99"/>
              <w:right w:val="single" w:sz="4" w:space="0" w:color="404040"/>
            </w:tcBorders>
            <w:shd w:val="clear" w:color="auto" w:fill="auto"/>
            <w:vAlign w:val="center"/>
            <w:hideMark/>
          </w:tcPr>
          <w:p w14:paraId="09C0263F" w14:textId="77777777" w:rsidR="00262FDC" w:rsidRPr="00F87E34" w:rsidRDefault="00262FDC" w:rsidP="00262FDC">
            <w:pPr>
              <w:jc w:val="left"/>
              <w:rPr>
                <w:color w:val="000000"/>
                <w:sz w:val="16"/>
                <w:szCs w:val="16"/>
                <w:lang w:val="es-MX" w:eastAsia="es-MX"/>
              </w:rPr>
            </w:pPr>
            <w:r w:rsidRPr="00F87E34">
              <w:rPr>
                <w:color w:val="000000"/>
                <w:sz w:val="16"/>
                <w:szCs w:val="16"/>
                <w:lang w:val="es-MX" w:eastAsia="es-MX"/>
              </w:rPr>
              <w:t>Productos farmacéuticos, de perfumería, artículos para el esparcimiento, electrodomésticos menores y aparatos de línea blanca</w:t>
            </w:r>
          </w:p>
        </w:tc>
        <w:tc>
          <w:tcPr>
            <w:tcW w:w="611" w:type="pct"/>
            <w:tcBorders>
              <w:top w:val="dotted" w:sz="6" w:space="0" w:color="C2D69B" w:themeColor="accent3" w:themeTint="99"/>
              <w:left w:val="single" w:sz="4" w:space="0" w:color="404040"/>
              <w:bottom w:val="dotted" w:sz="6" w:space="0" w:color="C2D69B" w:themeColor="accent3" w:themeTint="99"/>
              <w:right w:val="nil"/>
            </w:tcBorders>
            <w:shd w:val="clear" w:color="auto" w:fill="auto"/>
            <w:vAlign w:val="center"/>
            <w:hideMark/>
          </w:tcPr>
          <w:p w14:paraId="2B87FD14" w14:textId="77C6ACDF" w:rsidR="00262FDC" w:rsidRPr="001705B3" w:rsidRDefault="00262FDC" w:rsidP="00262FDC">
            <w:pPr>
              <w:tabs>
                <w:tab w:val="decimal" w:pos="514"/>
              </w:tabs>
              <w:jc w:val="left"/>
              <w:rPr>
                <w:sz w:val="16"/>
                <w:szCs w:val="16"/>
              </w:rPr>
            </w:pPr>
            <w:r>
              <w:rPr>
                <w:color w:val="000000"/>
                <w:sz w:val="16"/>
                <w:szCs w:val="16"/>
              </w:rPr>
              <w:t>14.4</w:t>
            </w:r>
          </w:p>
        </w:tc>
        <w:tc>
          <w:tcPr>
            <w:tcW w:w="470" w:type="pct"/>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1B04B8F7" w14:textId="66D9283F" w:rsidR="00262FDC" w:rsidRPr="001705B3" w:rsidRDefault="00262FDC" w:rsidP="00262FDC">
            <w:pPr>
              <w:tabs>
                <w:tab w:val="decimal" w:pos="376"/>
              </w:tabs>
              <w:jc w:val="left"/>
              <w:rPr>
                <w:sz w:val="16"/>
                <w:szCs w:val="16"/>
                <w:lang w:val="es-MX" w:eastAsia="es-MX"/>
              </w:rPr>
            </w:pPr>
            <w:r>
              <w:rPr>
                <w:color w:val="000000"/>
                <w:sz w:val="16"/>
                <w:szCs w:val="16"/>
              </w:rPr>
              <w:t>0.6</w:t>
            </w:r>
          </w:p>
        </w:tc>
        <w:tc>
          <w:tcPr>
            <w:tcW w:w="470" w:type="pct"/>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1F38A743" w14:textId="31EBDA31" w:rsidR="00262FDC" w:rsidRPr="001705B3" w:rsidRDefault="00262FDC" w:rsidP="00262FDC">
            <w:pPr>
              <w:tabs>
                <w:tab w:val="decimal" w:pos="389"/>
              </w:tabs>
              <w:jc w:val="left"/>
              <w:rPr>
                <w:sz w:val="16"/>
                <w:szCs w:val="16"/>
                <w:lang w:val="es-MX" w:eastAsia="es-MX"/>
              </w:rPr>
            </w:pPr>
            <w:r>
              <w:rPr>
                <w:color w:val="000000"/>
                <w:sz w:val="16"/>
                <w:szCs w:val="16"/>
              </w:rPr>
              <w:t>1.1</w:t>
            </w:r>
          </w:p>
        </w:tc>
        <w:tc>
          <w:tcPr>
            <w:tcW w:w="456" w:type="pct"/>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5B756C69" w14:textId="689F3F39" w:rsidR="00262FDC" w:rsidRPr="001705B3" w:rsidRDefault="00262FDC" w:rsidP="00262FDC">
            <w:pPr>
              <w:tabs>
                <w:tab w:val="decimal" w:pos="364"/>
              </w:tabs>
              <w:jc w:val="left"/>
              <w:rPr>
                <w:sz w:val="16"/>
                <w:szCs w:val="16"/>
                <w:lang w:val="es-MX" w:eastAsia="es-MX"/>
              </w:rPr>
            </w:pPr>
            <w:r>
              <w:rPr>
                <w:color w:val="000000"/>
                <w:sz w:val="16"/>
                <w:szCs w:val="16"/>
              </w:rPr>
              <w:t>5.3</w:t>
            </w:r>
          </w:p>
        </w:tc>
        <w:tc>
          <w:tcPr>
            <w:tcW w:w="486" w:type="pct"/>
            <w:tcBorders>
              <w:top w:val="dotted" w:sz="6" w:space="0" w:color="C2D69B" w:themeColor="accent3" w:themeTint="99"/>
              <w:left w:val="nil"/>
              <w:bottom w:val="dotted" w:sz="6" w:space="0" w:color="C2D69B" w:themeColor="accent3" w:themeTint="99"/>
              <w:right w:val="single" w:sz="6" w:space="0" w:color="404040"/>
            </w:tcBorders>
            <w:shd w:val="clear" w:color="auto" w:fill="auto"/>
            <w:vAlign w:val="center"/>
            <w:hideMark/>
          </w:tcPr>
          <w:p w14:paraId="42CCE564" w14:textId="58EE1923" w:rsidR="00262FDC" w:rsidRPr="001705B3" w:rsidRDefault="00262FDC" w:rsidP="00262FDC">
            <w:pPr>
              <w:tabs>
                <w:tab w:val="decimal" w:pos="401"/>
              </w:tabs>
              <w:jc w:val="left"/>
              <w:rPr>
                <w:sz w:val="16"/>
                <w:szCs w:val="16"/>
                <w:lang w:val="es-MX" w:eastAsia="es-MX"/>
              </w:rPr>
            </w:pPr>
            <w:r>
              <w:rPr>
                <w:color w:val="000000"/>
                <w:sz w:val="16"/>
                <w:szCs w:val="16"/>
              </w:rPr>
              <w:t>4.0</w:t>
            </w:r>
          </w:p>
        </w:tc>
      </w:tr>
      <w:tr w:rsidR="00262FDC" w:rsidRPr="00F87E34" w14:paraId="4F025BDA" w14:textId="77777777" w:rsidTr="00262FDC">
        <w:trPr>
          <w:trHeight w:val="397"/>
          <w:jc w:val="center"/>
        </w:trPr>
        <w:tc>
          <w:tcPr>
            <w:tcW w:w="231" w:type="pct"/>
            <w:tcBorders>
              <w:top w:val="dotted" w:sz="6" w:space="0" w:color="C2D69B" w:themeColor="accent3" w:themeTint="99"/>
              <w:left w:val="single" w:sz="6" w:space="0" w:color="404040"/>
              <w:bottom w:val="dotted" w:sz="6" w:space="0" w:color="C2D69B" w:themeColor="accent3" w:themeTint="99"/>
              <w:right w:val="single" w:sz="4" w:space="0" w:color="404040"/>
            </w:tcBorders>
            <w:shd w:val="clear" w:color="auto" w:fill="auto"/>
            <w:vAlign w:val="center"/>
            <w:hideMark/>
          </w:tcPr>
          <w:p w14:paraId="27ED996B" w14:textId="77777777" w:rsidR="00262FDC" w:rsidRPr="00F87E34" w:rsidRDefault="00262FDC" w:rsidP="00262FDC">
            <w:pPr>
              <w:ind w:leftChars="-12" w:right="-74" w:hangingChars="18" w:hanging="29"/>
              <w:jc w:val="center"/>
              <w:rPr>
                <w:color w:val="000000"/>
                <w:sz w:val="16"/>
                <w:szCs w:val="16"/>
                <w:lang w:val="es-MX" w:eastAsia="es-MX"/>
              </w:rPr>
            </w:pPr>
            <w:r w:rsidRPr="00F87E34">
              <w:rPr>
                <w:color w:val="000000"/>
                <w:sz w:val="16"/>
                <w:szCs w:val="16"/>
                <w:lang w:val="es-MX" w:eastAsia="es-MX"/>
              </w:rPr>
              <w:t>434</w:t>
            </w:r>
          </w:p>
        </w:tc>
        <w:tc>
          <w:tcPr>
            <w:tcW w:w="2276" w:type="pct"/>
            <w:tcBorders>
              <w:top w:val="dotted" w:sz="6" w:space="0" w:color="C2D69B" w:themeColor="accent3" w:themeTint="99"/>
              <w:left w:val="single" w:sz="4" w:space="0" w:color="404040"/>
              <w:bottom w:val="dotted" w:sz="6" w:space="0" w:color="C2D69B" w:themeColor="accent3" w:themeTint="99"/>
              <w:right w:val="single" w:sz="4" w:space="0" w:color="404040"/>
            </w:tcBorders>
            <w:shd w:val="clear" w:color="auto" w:fill="auto"/>
            <w:vAlign w:val="center"/>
            <w:hideMark/>
          </w:tcPr>
          <w:p w14:paraId="61235A09" w14:textId="77777777" w:rsidR="00262FDC" w:rsidRPr="00F87E34" w:rsidRDefault="00262FDC" w:rsidP="00262FDC">
            <w:pPr>
              <w:jc w:val="left"/>
              <w:rPr>
                <w:color w:val="000000"/>
                <w:sz w:val="16"/>
                <w:szCs w:val="16"/>
                <w:lang w:val="es-MX" w:eastAsia="es-MX"/>
              </w:rPr>
            </w:pPr>
            <w:r w:rsidRPr="00F87E34">
              <w:rPr>
                <w:color w:val="000000"/>
                <w:sz w:val="16"/>
                <w:szCs w:val="16"/>
                <w:lang w:val="es-MX" w:eastAsia="es-MX"/>
              </w:rPr>
              <w:t>Materias primas agropecuarias y forestales, para la industria, y materiales de desecho</w:t>
            </w:r>
          </w:p>
        </w:tc>
        <w:tc>
          <w:tcPr>
            <w:tcW w:w="611" w:type="pct"/>
            <w:tcBorders>
              <w:top w:val="dotted" w:sz="6" w:space="0" w:color="C2D69B" w:themeColor="accent3" w:themeTint="99"/>
              <w:left w:val="single" w:sz="4" w:space="0" w:color="404040"/>
              <w:bottom w:val="dotted" w:sz="6" w:space="0" w:color="C2D69B" w:themeColor="accent3" w:themeTint="99"/>
              <w:right w:val="nil"/>
            </w:tcBorders>
            <w:shd w:val="clear" w:color="auto" w:fill="auto"/>
            <w:vAlign w:val="center"/>
            <w:hideMark/>
          </w:tcPr>
          <w:p w14:paraId="24420601" w14:textId="66F2A0FC" w:rsidR="00262FDC" w:rsidRPr="001705B3" w:rsidRDefault="00262FDC" w:rsidP="00262FDC">
            <w:pPr>
              <w:tabs>
                <w:tab w:val="decimal" w:pos="514"/>
              </w:tabs>
              <w:jc w:val="left"/>
              <w:rPr>
                <w:sz w:val="16"/>
                <w:szCs w:val="16"/>
              </w:rPr>
            </w:pPr>
            <w:r>
              <w:rPr>
                <w:color w:val="000000"/>
                <w:sz w:val="16"/>
                <w:szCs w:val="16"/>
              </w:rPr>
              <w:t>10.9</w:t>
            </w:r>
          </w:p>
        </w:tc>
        <w:tc>
          <w:tcPr>
            <w:tcW w:w="470" w:type="pct"/>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13ED1C13" w14:textId="54C56CA0" w:rsidR="00262FDC" w:rsidRPr="001705B3" w:rsidRDefault="00262FDC" w:rsidP="00262FDC">
            <w:pPr>
              <w:tabs>
                <w:tab w:val="decimal" w:pos="376"/>
              </w:tabs>
              <w:jc w:val="left"/>
              <w:rPr>
                <w:sz w:val="16"/>
                <w:szCs w:val="16"/>
                <w:lang w:val="es-MX" w:eastAsia="es-MX"/>
              </w:rPr>
            </w:pPr>
            <w:r>
              <w:rPr>
                <w:color w:val="000000"/>
                <w:sz w:val="16"/>
                <w:szCs w:val="16"/>
              </w:rPr>
              <w:t>5.6</w:t>
            </w:r>
          </w:p>
        </w:tc>
        <w:tc>
          <w:tcPr>
            <w:tcW w:w="470" w:type="pct"/>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0A5AB1DD" w14:textId="566AFCD2" w:rsidR="00262FDC" w:rsidRPr="001705B3" w:rsidRDefault="00262FDC" w:rsidP="00262FDC">
            <w:pPr>
              <w:tabs>
                <w:tab w:val="decimal" w:pos="389"/>
              </w:tabs>
              <w:jc w:val="left"/>
              <w:rPr>
                <w:sz w:val="16"/>
                <w:szCs w:val="16"/>
                <w:lang w:val="es-MX" w:eastAsia="es-MX"/>
              </w:rPr>
            </w:pPr>
            <w:r>
              <w:rPr>
                <w:color w:val="000000"/>
                <w:sz w:val="16"/>
                <w:szCs w:val="16"/>
              </w:rPr>
              <w:t>6.0</w:t>
            </w:r>
          </w:p>
        </w:tc>
        <w:tc>
          <w:tcPr>
            <w:tcW w:w="456" w:type="pct"/>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54661E29" w14:textId="672A17C1" w:rsidR="00262FDC" w:rsidRPr="001705B3" w:rsidRDefault="00262FDC" w:rsidP="00262FDC">
            <w:pPr>
              <w:tabs>
                <w:tab w:val="decimal" w:pos="364"/>
              </w:tabs>
              <w:jc w:val="left"/>
              <w:rPr>
                <w:sz w:val="16"/>
                <w:szCs w:val="16"/>
                <w:lang w:val="es-MX" w:eastAsia="es-MX"/>
              </w:rPr>
            </w:pPr>
            <w:r>
              <w:rPr>
                <w:color w:val="000000"/>
                <w:sz w:val="16"/>
                <w:szCs w:val="16"/>
              </w:rPr>
              <w:t>-6.2</w:t>
            </w:r>
          </w:p>
        </w:tc>
        <w:tc>
          <w:tcPr>
            <w:tcW w:w="486" w:type="pct"/>
            <w:tcBorders>
              <w:top w:val="dotted" w:sz="6" w:space="0" w:color="C2D69B" w:themeColor="accent3" w:themeTint="99"/>
              <w:left w:val="nil"/>
              <w:bottom w:val="dotted" w:sz="6" w:space="0" w:color="C2D69B" w:themeColor="accent3" w:themeTint="99"/>
              <w:right w:val="single" w:sz="6" w:space="0" w:color="404040"/>
            </w:tcBorders>
            <w:shd w:val="clear" w:color="auto" w:fill="auto"/>
            <w:vAlign w:val="center"/>
            <w:hideMark/>
          </w:tcPr>
          <w:p w14:paraId="6C9FF18B" w14:textId="6CA53424" w:rsidR="00262FDC" w:rsidRPr="001705B3" w:rsidRDefault="00262FDC" w:rsidP="00262FDC">
            <w:pPr>
              <w:tabs>
                <w:tab w:val="decimal" w:pos="401"/>
              </w:tabs>
              <w:jc w:val="left"/>
              <w:rPr>
                <w:sz w:val="16"/>
                <w:szCs w:val="16"/>
                <w:lang w:val="es-MX" w:eastAsia="es-MX"/>
              </w:rPr>
            </w:pPr>
            <w:r>
              <w:rPr>
                <w:color w:val="000000"/>
                <w:sz w:val="16"/>
                <w:szCs w:val="16"/>
              </w:rPr>
              <w:t>12.2</w:t>
            </w:r>
          </w:p>
        </w:tc>
      </w:tr>
      <w:tr w:rsidR="00262FDC" w:rsidRPr="00F87E34" w14:paraId="072391FF" w14:textId="77777777" w:rsidTr="00262FDC">
        <w:trPr>
          <w:trHeight w:val="624"/>
          <w:jc w:val="center"/>
        </w:trPr>
        <w:tc>
          <w:tcPr>
            <w:tcW w:w="231" w:type="pct"/>
            <w:tcBorders>
              <w:top w:val="dotted" w:sz="6" w:space="0" w:color="C2D69B" w:themeColor="accent3" w:themeTint="99"/>
              <w:left w:val="single" w:sz="6" w:space="0" w:color="404040"/>
              <w:bottom w:val="dotted" w:sz="6" w:space="0" w:color="C2D69B" w:themeColor="accent3" w:themeTint="99"/>
              <w:right w:val="single" w:sz="4" w:space="0" w:color="404040"/>
            </w:tcBorders>
            <w:shd w:val="clear" w:color="auto" w:fill="auto"/>
            <w:vAlign w:val="center"/>
            <w:hideMark/>
          </w:tcPr>
          <w:p w14:paraId="288AABDD" w14:textId="77777777" w:rsidR="00262FDC" w:rsidRPr="00F87E34" w:rsidRDefault="00262FDC" w:rsidP="00262FDC">
            <w:pPr>
              <w:ind w:leftChars="-12" w:right="-74" w:hangingChars="18" w:hanging="29"/>
              <w:jc w:val="center"/>
              <w:rPr>
                <w:color w:val="000000"/>
                <w:sz w:val="16"/>
                <w:szCs w:val="16"/>
                <w:lang w:val="es-MX" w:eastAsia="es-MX"/>
              </w:rPr>
            </w:pPr>
            <w:r w:rsidRPr="00F87E34">
              <w:rPr>
                <w:color w:val="000000"/>
                <w:sz w:val="16"/>
                <w:szCs w:val="16"/>
                <w:lang w:val="es-MX" w:eastAsia="es-MX"/>
              </w:rPr>
              <w:t>435</w:t>
            </w:r>
          </w:p>
        </w:tc>
        <w:tc>
          <w:tcPr>
            <w:tcW w:w="2276" w:type="pct"/>
            <w:tcBorders>
              <w:top w:val="dotted" w:sz="6" w:space="0" w:color="C2D69B" w:themeColor="accent3" w:themeTint="99"/>
              <w:left w:val="single" w:sz="4" w:space="0" w:color="404040"/>
              <w:bottom w:val="dotted" w:sz="6" w:space="0" w:color="C2D69B" w:themeColor="accent3" w:themeTint="99"/>
              <w:right w:val="single" w:sz="4" w:space="0" w:color="404040"/>
            </w:tcBorders>
            <w:shd w:val="clear" w:color="auto" w:fill="auto"/>
            <w:vAlign w:val="center"/>
            <w:hideMark/>
          </w:tcPr>
          <w:p w14:paraId="6AF005D0" w14:textId="77777777" w:rsidR="00262FDC" w:rsidRPr="00F87E34" w:rsidRDefault="00262FDC" w:rsidP="00262FDC">
            <w:pPr>
              <w:jc w:val="left"/>
              <w:rPr>
                <w:color w:val="000000"/>
                <w:sz w:val="16"/>
                <w:szCs w:val="16"/>
                <w:lang w:val="es-MX" w:eastAsia="es-MX"/>
              </w:rPr>
            </w:pPr>
            <w:r w:rsidRPr="00F87E34">
              <w:rPr>
                <w:color w:val="000000"/>
                <w:sz w:val="16"/>
                <w:szCs w:val="16"/>
                <w:lang w:val="es-MX" w:eastAsia="es-MX"/>
              </w:rPr>
              <w:t>Maquinaria, equipo y mobiliario para actividades agropecuarias, industriales, de servicios y comerciales, y de otra maquinaria y equipo de uso general</w:t>
            </w:r>
          </w:p>
        </w:tc>
        <w:tc>
          <w:tcPr>
            <w:tcW w:w="611" w:type="pct"/>
            <w:tcBorders>
              <w:top w:val="dotted" w:sz="6" w:space="0" w:color="C2D69B" w:themeColor="accent3" w:themeTint="99"/>
              <w:left w:val="single" w:sz="4" w:space="0" w:color="404040"/>
              <w:bottom w:val="dotted" w:sz="6" w:space="0" w:color="C2D69B" w:themeColor="accent3" w:themeTint="99"/>
              <w:right w:val="nil"/>
            </w:tcBorders>
            <w:shd w:val="clear" w:color="auto" w:fill="auto"/>
            <w:vAlign w:val="center"/>
            <w:hideMark/>
          </w:tcPr>
          <w:p w14:paraId="151BF62D" w14:textId="3ACA58E7" w:rsidR="00262FDC" w:rsidRPr="001705B3" w:rsidRDefault="00262FDC" w:rsidP="00262FDC">
            <w:pPr>
              <w:tabs>
                <w:tab w:val="decimal" w:pos="514"/>
              </w:tabs>
              <w:jc w:val="left"/>
              <w:rPr>
                <w:sz w:val="16"/>
                <w:szCs w:val="16"/>
              </w:rPr>
            </w:pPr>
            <w:r>
              <w:rPr>
                <w:color w:val="000000"/>
                <w:sz w:val="16"/>
                <w:szCs w:val="16"/>
              </w:rPr>
              <w:t>6.1</w:t>
            </w:r>
          </w:p>
        </w:tc>
        <w:tc>
          <w:tcPr>
            <w:tcW w:w="470" w:type="pct"/>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CBFC854" w14:textId="3C33C847" w:rsidR="00262FDC" w:rsidRPr="001705B3" w:rsidRDefault="00262FDC" w:rsidP="00262FDC">
            <w:pPr>
              <w:tabs>
                <w:tab w:val="decimal" w:pos="376"/>
              </w:tabs>
              <w:jc w:val="left"/>
              <w:rPr>
                <w:sz w:val="16"/>
                <w:szCs w:val="16"/>
                <w:lang w:val="es-MX" w:eastAsia="es-MX"/>
              </w:rPr>
            </w:pPr>
            <w:r>
              <w:rPr>
                <w:color w:val="000000"/>
                <w:sz w:val="16"/>
                <w:szCs w:val="16"/>
              </w:rPr>
              <w:t>-1.7</w:t>
            </w:r>
          </w:p>
        </w:tc>
        <w:tc>
          <w:tcPr>
            <w:tcW w:w="470" w:type="pct"/>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14753043" w14:textId="2474E194" w:rsidR="00262FDC" w:rsidRPr="001705B3" w:rsidRDefault="00262FDC" w:rsidP="00262FDC">
            <w:pPr>
              <w:tabs>
                <w:tab w:val="decimal" w:pos="389"/>
              </w:tabs>
              <w:jc w:val="left"/>
              <w:rPr>
                <w:sz w:val="16"/>
                <w:szCs w:val="16"/>
                <w:lang w:val="es-MX" w:eastAsia="es-MX"/>
              </w:rPr>
            </w:pPr>
            <w:r>
              <w:rPr>
                <w:color w:val="000000"/>
                <w:sz w:val="16"/>
                <w:szCs w:val="16"/>
              </w:rPr>
              <w:t>0.4</w:t>
            </w:r>
          </w:p>
        </w:tc>
        <w:tc>
          <w:tcPr>
            <w:tcW w:w="456" w:type="pct"/>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EC9239F" w14:textId="729B420C" w:rsidR="00262FDC" w:rsidRPr="001705B3" w:rsidRDefault="00262FDC" w:rsidP="00262FDC">
            <w:pPr>
              <w:tabs>
                <w:tab w:val="decimal" w:pos="364"/>
              </w:tabs>
              <w:jc w:val="left"/>
              <w:rPr>
                <w:sz w:val="16"/>
                <w:szCs w:val="16"/>
                <w:lang w:val="es-MX" w:eastAsia="es-MX"/>
              </w:rPr>
            </w:pPr>
            <w:r>
              <w:rPr>
                <w:color w:val="000000"/>
                <w:sz w:val="16"/>
                <w:szCs w:val="16"/>
              </w:rPr>
              <w:t>-33.4</w:t>
            </w:r>
          </w:p>
        </w:tc>
        <w:tc>
          <w:tcPr>
            <w:tcW w:w="486" w:type="pct"/>
            <w:tcBorders>
              <w:top w:val="dotted" w:sz="6" w:space="0" w:color="C2D69B" w:themeColor="accent3" w:themeTint="99"/>
              <w:left w:val="nil"/>
              <w:bottom w:val="dotted" w:sz="6" w:space="0" w:color="C2D69B" w:themeColor="accent3" w:themeTint="99"/>
              <w:right w:val="single" w:sz="6" w:space="0" w:color="404040"/>
            </w:tcBorders>
            <w:shd w:val="clear" w:color="auto" w:fill="auto"/>
            <w:vAlign w:val="center"/>
            <w:hideMark/>
          </w:tcPr>
          <w:p w14:paraId="35688E30" w14:textId="79BC2774" w:rsidR="00262FDC" w:rsidRPr="001705B3" w:rsidRDefault="00262FDC" w:rsidP="00262FDC">
            <w:pPr>
              <w:tabs>
                <w:tab w:val="decimal" w:pos="401"/>
              </w:tabs>
              <w:jc w:val="left"/>
              <w:rPr>
                <w:sz w:val="16"/>
                <w:szCs w:val="16"/>
                <w:lang w:val="es-MX" w:eastAsia="es-MX"/>
              </w:rPr>
            </w:pPr>
            <w:r>
              <w:rPr>
                <w:color w:val="000000"/>
                <w:sz w:val="16"/>
                <w:szCs w:val="16"/>
              </w:rPr>
              <w:t>6.6</w:t>
            </w:r>
          </w:p>
        </w:tc>
      </w:tr>
      <w:tr w:rsidR="00262FDC" w:rsidRPr="00F87E34" w14:paraId="72DBA81D" w14:textId="77777777" w:rsidTr="00262FDC">
        <w:trPr>
          <w:trHeight w:val="397"/>
          <w:jc w:val="center"/>
        </w:trPr>
        <w:tc>
          <w:tcPr>
            <w:tcW w:w="231" w:type="pct"/>
            <w:tcBorders>
              <w:top w:val="dotted" w:sz="6" w:space="0" w:color="C2D69B" w:themeColor="accent3" w:themeTint="99"/>
              <w:left w:val="single" w:sz="6" w:space="0" w:color="404040"/>
              <w:bottom w:val="dotted" w:sz="6" w:space="0" w:color="C2D69B" w:themeColor="accent3" w:themeTint="99"/>
              <w:right w:val="single" w:sz="4" w:space="0" w:color="404040"/>
            </w:tcBorders>
            <w:shd w:val="clear" w:color="auto" w:fill="auto"/>
            <w:vAlign w:val="center"/>
            <w:hideMark/>
          </w:tcPr>
          <w:p w14:paraId="7AA48CD8" w14:textId="77777777" w:rsidR="00262FDC" w:rsidRPr="00F87E34" w:rsidRDefault="00262FDC" w:rsidP="00262FDC">
            <w:pPr>
              <w:ind w:leftChars="-12" w:right="-74" w:hangingChars="18" w:hanging="29"/>
              <w:jc w:val="center"/>
              <w:rPr>
                <w:color w:val="000000"/>
                <w:sz w:val="16"/>
                <w:szCs w:val="16"/>
                <w:lang w:val="es-MX" w:eastAsia="es-MX"/>
              </w:rPr>
            </w:pPr>
            <w:r w:rsidRPr="00F87E34">
              <w:rPr>
                <w:color w:val="000000"/>
                <w:sz w:val="16"/>
                <w:szCs w:val="16"/>
                <w:lang w:val="es-MX" w:eastAsia="es-MX"/>
              </w:rPr>
              <w:t>436</w:t>
            </w:r>
          </w:p>
        </w:tc>
        <w:tc>
          <w:tcPr>
            <w:tcW w:w="2276" w:type="pct"/>
            <w:tcBorders>
              <w:top w:val="dotted" w:sz="6" w:space="0" w:color="C2D69B" w:themeColor="accent3" w:themeTint="99"/>
              <w:left w:val="single" w:sz="4" w:space="0" w:color="404040"/>
              <w:bottom w:val="dotted" w:sz="6" w:space="0" w:color="C2D69B" w:themeColor="accent3" w:themeTint="99"/>
              <w:right w:val="single" w:sz="4" w:space="0" w:color="404040"/>
            </w:tcBorders>
            <w:shd w:val="clear" w:color="auto" w:fill="auto"/>
            <w:vAlign w:val="center"/>
            <w:hideMark/>
          </w:tcPr>
          <w:p w14:paraId="15BC36ED" w14:textId="77777777" w:rsidR="00262FDC" w:rsidRPr="00F87E34" w:rsidRDefault="00262FDC" w:rsidP="00262FDC">
            <w:pPr>
              <w:jc w:val="left"/>
              <w:rPr>
                <w:color w:val="000000"/>
                <w:sz w:val="16"/>
                <w:szCs w:val="16"/>
                <w:lang w:val="es-MX" w:eastAsia="es-MX"/>
              </w:rPr>
            </w:pPr>
            <w:r w:rsidRPr="00F87E34">
              <w:rPr>
                <w:color w:val="000000"/>
                <w:sz w:val="16"/>
                <w:szCs w:val="16"/>
                <w:lang w:val="es-MX" w:eastAsia="es-MX"/>
              </w:rPr>
              <w:t>Camiones y de partes y refacciones nuevas para automóviles, camionetas y camiones</w:t>
            </w:r>
          </w:p>
        </w:tc>
        <w:tc>
          <w:tcPr>
            <w:tcW w:w="611" w:type="pct"/>
            <w:tcBorders>
              <w:top w:val="dotted" w:sz="6" w:space="0" w:color="C2D69B" w:themeColor="accent3" w:themeTint="99"/>
              <w:left w:val="single" w:sz="4" w:space="0" w:color="404040"/>
              <w:bottom w:val="dotted" w:sz="6" w:space="0" w:color="C2D69B" w:themeColor="accent3" w:themeTint="99"/>
              <w:right w:val="nil"/>
            </w:tcBorders>
            <w:shd w:val="clear" w:color="auto" w:fill="auto"/>
            <w:vAlign w:val="center"/>
            <w:hideMark/>
          </w:tcPr>
          <w:p w14:paraId="7093F0B2" w14:textId="0FD607E4" w:rsidR="00262FDC" w:rsidRPr="001705B3" w:rsidRDefault="00262FDC" w:rsidP="00262FDC">
            <w:pPr>
              <w:tabs>
                <w:tab w:val="decimal" w:pos="514"/>
              </w:tabs>
              <w:jc w:val="left"/>
              <w:rPr>
                <w:sz w:val="16"/>
                <w:szCs w:val="16"/>
              </w:rPr>
            </w:pPr>
            <w:r>
              <w:rPr>
                <w:color w:val="000000"/>
                <w:sz w:val="16"/>
                <w:szCs w:val="16"/>
              </w:rPr>
              <w:t>22.6</w:t>
            </w:r>
          </w:p>
        </w:tc>
        <w:tc>
          <w:tcPr>
            <w:tcW w:w="470" w:type="pct"/>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7685CB41" w14:textId="1DA82BB9" w:rsidR="00262FDC" w:rsidRPr="001705B3" w:rsidRDefault="00262FDC" w:rsidP="00262FDC">
            <w:pPr>
              <w:tabs>
                <w:tab w:val="decimal" w:pos="376"/>
              </w:tabs>
              <w:jc w:val="left"/>
              <w:rPr>
                <w:sz w:val="16"/>
                <w:szCs w:val="16"/>
                <w:lang w:val="es-MX" w:eastAsia="es-MX"/>
              </w:rPr>
            </w:pPr>
            <w:r>
              <w:rPr>
                <w:color w:val="000000"/>
                <w:sz w:val="16"/>
                <w:szCs w:val="16"/>
              </w:rPr>
              <w:t>10.5</w:t>
            </w:r>
          </w:p>
        </w:tc>
        <w:tc>
          <w:tcPr>
            <w:tcW w:w="470" w:type="pct"/>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05D380B7" w14:textId="008154E9" w:rsidR="00262FDC" w:rsidRPr="001705B3" w:rsidRDefault="00262FDC" w:rsidP="00262FDC">
            <w:pPr>
              <w:tabs>
                <w:tab w:val="decimal" w:pos="389"/>
              </w:tabs>
              <w:jc w:val="left"/>
              <w:rPr>
                <w:sz w:val="16"/>
                <w:szCs w:val="16"/>
                <w:lang w:val="es-MX" w:eastAsia="es-MX"/>
              </w:rPr>
            </w:pPr>
            <w:r>
              <w:rPr>
                <w:color w:val="000000"/>
                <w:sz w:val="16"/>
                <w:szCs w:val="16"/>
              </w:rPr>
              <w:t>12.5</w:t>
            </w:r>
          </w:p>
        </w:tc>
        <w:tc>
          <w:tcPr>
            <w:tcW w:w="456" w:type="pct"/>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1DFDA8F3" w14:textId="1AE4DF7A" w:rsidR="00262FDC" w:rsidRPr="001705B3" w:rsidRDefault="00262FDC" w:rsidP="00262FDC">
            <w:pPr>
              <w:tabs>
                <w:tab w:val="decimal" w:pos="364"/>
              </w:tabs>
              <w:jc w:val="left"/>
              <w:rPr>
                <w:sz w:val="16"/>
                <w:szCs w:val="16"/>
              </w:rPr>
            </w:pPr>
            <w:r>
              <w:rPr>
                <w:color w:val="000000"/>
                <w:sz w:val="16"/>
                <w:szCs w:val="16"/>
              </w:rPr>
              <w:t>-53.3</w:t>
            </w:r>
          </w:p>
        </w:tc>
        <w:tc>
          <w:tcPr>
            <w:tcW w:w="486" w:type="pct"/>
            <w:tcBorders>
              <w:top w:val="dotted" w:sz="6" w:space="0" w:color="C2D69B" w:themeColor="accent3" w:themeTint="99"/>
              <w:left w:val="nil"/>
              <w:bottom w:val="dotted" w:sz="6" w:space="0" w:color="C2D69B" w:themeColor="accent3" w:themeTint="99"/>
              <w:right w:val="single" w:sz="6" w:space="0" w:color="404040"/>
            </w:tcBorders>
            <w:shd w:val="clear" w:color="auto" w:fill="auto"/>
            <w:vAlign w:val="center"/>
            <w:hideMark/>
          </w:tcPr>
          <w:p w14:paraId="27473C29" w14:textId="0A8DF58A" w:rsidR="00262FDC" w:rsidRPr="001705B3" w:rsidRDefault="00262FDC" w:rsidP="00262FDC">
            <w:pPr>
              <w:tabs>
                <w:tab w:val="decimal" w:pos="401"/>
              </w:tabs>
              <w:jc w:val="left"/>
              <w:rPr>
                <w:sz w:val="16"/>
                <w:szCs w:val="16"/>
                <w:lang w:val="es-MX" w:eastAsia="es-MX"/>
              </w:rPr>
            </w:pPr>
            <w:r>
              <w:rPr>
                <w:color w:val="000000"/>
                <w:sz w:val="16"/>
                <w:szCs w:val="16"/>
              </w:rPr>
              <w:t>-12.6</w:t>
            </w:r>
          </w:p>
        </w:tc>
      </w:tr>
      <w:tr w:rsidR="00262FDC" w:rsidRPr="00F87E34" w14:paraId="2D6F710B" w14:textId="77777777" w:rsidTr="00262FDC">
        <w:trPr>
          <w:trHeight w:val="283"/>
          <w:jc w:val="center"/>
        </w:trPr>
        <w:tc>
          <w:tcPr>
            <w:tcW w:w="231" w:type="pct"/>
            <w:tcBorders>
              <w:top w:val="dotted" w:sz="6" w:space="0" w:color="C2D69B" w:themeColor="accent3" w:themeTint="99"/>
              <w:left w:val="single" w:sz="6" w:space="0" w:color="404040"/>
              <w:right w:val="single" w:sz="4" w:space="0" w:color="404040"/>
            </w:tcBorders>
            <w:shd w:val="clear" w:color="auto" w:fill="auto"/>
            <w:vAlign w:val="center"/>
            <w:hideMark/>
          </w:tcPr>
          <w:p w14:paraId="6FCD5BB7" w14:textId="77777777" w:rsidR="00262FDC" w:rsidRPr="00F87E34" w:rsidRDefault="00262FDC" w:rsidP="00262FDC">
            <w:pPr>
              <w:ind w:leftChars="-12" w:right="-74" w:hangingChars="18" w:hanging="29"/>
              <w:jc w:val="center"/>
              <w:rPr>
                <w:color w:val="000000"/>
                <w:sz w:val="16"/>
                <w:szCs w:val="16"/>
                <w:lang w:val="es-MX" w:eastAsia="es-MX"/>
              </w:rPr>
            </w:pPr>
            <w:r w:rsidRPr="00F87E34">
              <w:rPr>
                <w:color w:val="000000"/>
                <w:sz w:val="16"/>
                <w:szCs w:val="16"/>
                <w:lang w:val="es-MX" w:eastAsia="es-MX"/>
              </w:rPr>
              <w:t>437</w:t>
            </w:r>
          </w:p>
        </w:tc>
        <w:tc>
          <w:tcPr>
            <w:tcW w:w="2276" w:type="pct"/>
            <w:tcBorders>
              <w:top w:val="dotted" w:sz="6" w:space="0" w:color="C2D69B" w:themeColor="accent3" w:themeTint="99"/>
              <w:left w:val="single" w:sz="4" w:space="0" w:color="404040"/>
              <w:right w:val="single" w:sz="4" w:space="0" w:color="404040"/>
            </w:tcBorders>
            <w:shd w:val="clear" w:color="auto" w:fill="auto"/>
            <w:vAlign w:val="center"/>
            <w:hideMark/>
          </w:tcPr>
          <w:p w14:paraId="34446CFF" w14:textId="77777777" w:rsidR="00262FDC" w:rsidRPr="00F87E34" w:rsidRDefault="00262FDC" w:rsidP="00262FDC">
            <w:pPr>
              <w:jc w:val="left"/>
              <w:rPr>
                <w:color w:val="000000"/>
                <w:sz w:val="16"/>
                <w:szCs w:val="16"/>
                <w:lang w:val="es-MX" w:eastAsia="es-MX"/>
              </w:rPr>
            </w:pPr>
            <w:r w:rsidRPr="00F87E34">
              <w:rPr>
                <w:color w:val="000000"/>
                <w:sz w:val="16"/>
                <w:szCs w:val="16"/>
                <w:lang w:val="es-MX" w:eastAsia="es-MX"/>
              </w:rPr>
              <w:t>Intermediación de comercio al por mayor</w:t>
            </w:r>
          </w:p>
        </w:tc>
        <w:tc>
          <w:tcPr>
            <w:tcW w:w="611" w:type="pct"/>
            <w:tcBorders>
              <w:top w:val="dotted" w:sz="6" w:space="0" w:color="C2D69B" w:themeColor="accent3" w:themeTint="99"/>
              <w:left w:val="single" w:sz="4" w:space="0" w:color="404040"/>
              <w:right w:val="nil"/>
            </w:tcBorders>
            <w:shd w:val="clear" w:color="auto" w:fill="auto"/>
            <w:vAlign w:val="center"/>
            <w:hideMark/>
          </w:tcPr>
          <w:p w14:paraId="401653AB" w14:textId="4AA52780" w:rsidR="00262FDC" w:rsidRPr="001705B3" w:rsidRDefault="00262FDC" w:rsidP="00262FDC">
            <w:pPr>
              <w:tabs>
                <w:tab w:val="decimal" w:pos="514"/>
              </w:tabs>
              <w:jc w:val="left"/>
              <w:rPr>
                <w:sz w:val="16"/>
                <w:szCs w:val="16"/>
              </w:rPr>
            </w:pPr>
            <w:r>
              <w:rPr>
                <w:color w:val="000000"/>
                <w:sz w:val="16"/>
                <w:szCs w:val="16"/>
              </w:rPr>
              <w:t>46.9</w:t>
            </w:r>
          </w:p>
        </w:tc>
        <w:tc>
          <w:tcPr>
            <w:tcW w:w="470" w:type="pct"/>
            <w:tcBorders>
              <w:top w:val="dotted" w:sz="6" w:space="0" w:color="C2D69B" w:themeColor="accent3" w:themeTint="99"/>
              <w:left w:val="nil"/>
              <w:right w:val="nil"/>
            </w:tcBorders>
            <w:shd w:val="clear" w:color="auto" w:fill="auto"/>
            <w:vAlign w:val="center"/>
            <w:hideMark/>
          </w:tcPr>
          <w:p w14:paraId="3394A994" w14:textId="5C885511" w:rsidR="00262FDC" w:rsidRPr="001705B3" w:rsidRDefault="00262FDC" w:rsidP="00262FDC">
            <w:pPr>
              <w:tabs>
                <w:tab w:val="decimal" w:pos="376"/>
              </w:tabs>
              <w:jc w:val="left"/>
              <w:rPr>
                <w:sz w:val="16"/>
                <w:szCs w:val="16"/>
                <w:lang w:val="es-MX" w:eastAsia="es-MX"/>
              </w:rPr>
            </w:pPr>
            <w:r>
              <w:rPr>
                <w:color w:val="000000"/>
                <w:sz w:val="16"/>
                <w:szCs w:val="16"/>
              </w:rPr>
              <w:t>3.4</w:t>
            </w:r>
          </w:p>
        </w:tc>
        <w:tc>
          <w:tcPr>
            <w:tcW w:w="470" w:type="pct"/>
            <w:tcBorders>
              <w:top w:val="dotted" w:sz="6" w:space="0" w:color="C2D69B" w:themeColor="accent3" w:themeTint="99"/>
              <w:left w:val="nil"/>
              <w:right w:val="nil"/>
            </w:tcBorders>
            <w:shd w:val="clear" w:color="auto" w:fill="auto"/>
            <w:vAlign w:val="center"/>
            <w:hideMark/>
          </w:tcPr>
          <w:p w14:paraId="693A602A" w14:textId="7574E981" w:rsidR="00262FDC" w:rsidRPr="001705B3" w:rsidRDefault="00262FDC" w:rsidP="00262FDC">
            <w:pPr>
              <w:tabs>
                <w:tab w:val="decimal" w:pos="389"/>
              </w:tabs>
              <w:jc w:val="left"/>
              <w:rPr>
                <w:sz w:val="16"/>
                <w:szCs w:val="16"/>
                <w:lang w:val="es-MX" w:eastAsia="es-MX"/>
              </w:rPr>
            </w:pPr>
            <w:r>
              <w:rPr>
                <w:color w:val="000000"/>
                <w:sz w:val="16"/>
                <w:szCs w:val="16"/>
              </w:rPr>
              <w:t>4.2</w:t>
            </w:r>
          </w:p>
        </w:tc>
        <w:tc>
          <w:tcPr>
            <w:tcW w:w="456" w:type="pct"/>
            <w:tcBorders>
              <w:top w:val="dotted" w:sz="6" w:space="0" w:color="C2D69B" w:themeColor="accent3" w:themeTint="99"/>
              <w:left w:val="nil"/>
              <w:right w:val="nil"/>
            </w:tcBorders>
            <w:shd w:val="clear" w:color="auto" w:fill="auto"/>
            <w:vAlign w:val="center"/>
            <w:hideMark/>
          </w:tcPr>
          <w:p w14:paraId="7F881D72" w14:textId="21D4B495" w:rsidR="00262FDC" w:rsidRPr="001705B3" w:rsidRDefault="00262FDC" w:rsidP="00262FDC">
            <w:pPr>
              <w:tabs>
                <w:tab w:val="decimal" w:pos="364"/>
              </w:tabs>
              <w:jc w:val="left"/>
              <w:rPr>
                <w:sz w:val="16"/>
                <w:szCs w:val="16"/>
                <w:lang w:val="es-MX" w:eastAsia="es-MX"/>
              </w:rPr>
            </w:pPr>
            <w:r>
              <w:rPr>
                <w:color w:val="000000"/>
                <w:sz w:val="16"/>
                <w:szCs w:val="16"/>
              </w:rPr>
              <w:t>-2.8</w:t>
            </w:r>
          </w:p>
        </w:tc>
        <w:tc>
          <w:tcPr>
            <w:tcW w:w="486" w:type="pct"/>
            <w:tcBorders>
              <w:top w:val="dotted" w:sz="6" w:space="0" w:color="C2D69B" w:themeColor="accent3" w:themeTint="99"/>
              <w:left w:val="nil"/>
              <w:right w:val="single" w:sz="6" w:space="0" w:color="404040"/>
            </w:tcBorders>
            <w:shd w:val="clear" w:color="auto" w:fill="auto"/>
            <w:vAlign w:val="center"/>
            <w:hideMark/>
          </w:tcPr>
          <w:p w14:paraId="23DE97BA" w14:textId="0F038887" w:rsidR="00262FDC" w:rsidRPr="001705B3" w:rsidRDefault="00262FDC" w:rsidP="00262FDC">
            <w:pPr>
              <w:tabs>
                <w:tab w:val="decimal" w:pos="401"/>
              </w:tabs>
              <w:jc w:val="left"/>
              <w:rPr>
                <w:sz w:val="16"/>
                <w:szCs w:val="16"/>
                <w:lang w:val="es-MX" w:eastAsia="es-MX"/>
              </w:rPr>
            </w:pPr>
            <w:r>
              <w:rPr>
                <w:color w:val="000000"/>
                <w:sz w:val="16"/>
                <w:szCs w:val="16"/>
              </w:rPr>
              <w:t>-4.5</w:t>
            </w:r>
          </w:p>
        </w:tc>
      </w:tr>
      <w:tr w:rsidR="00262FDC" w:rsidRPr="00F87E34" w14:paraId="6735D5AA" w14:textId="77777777" w:rsidTr="00262FDC">
        <w:trPr>
          <w:trHeight w:val="283"/>
          <w:jc w:val="center"/>
        </w:trPr>
        <w:tc>
          <w:tcPr>
            <w:tcW w:w="231" w:type="pct"/>
            <w:tcBorders>
              <w:left w:val="single" w:sz="6" w:space="0" w:color="404040"/>
              <w:right w:val="single" w:sz="4" w:space="0" w:color="404040"/>
            </w:tcBorders>
            <w:shd w:val="clear" w:color="auto" w:fill="EAF1DD" w:themeFill="accent3" w:themeFillTint="33"/>
            <w:vAlign w:val="center"/>
            <w:hideMark/>
          </w:tcPr>
          <w:p w14:paraId="27508EDC" w14:textId="77777777" w:rsidR="00262FDC" w:rsidRPr="00F87E34" w:rsidRDefault="00262FDC" w:rsidP="00262FDC">
            <w:pPr>
              <w:ind w:leftChars="-12" w:right="-74" w:hangingChars="18" w:hanging="29"/>
              <w:jc w:val="center"/>
              <w:rPr>
                <w:b/>
                <w:bCs/>
                <w:color w:val="000000"/>
                <w:sz w:val="16"/>
                <w:szCs w:val="16"/>
                <w:lang w:val="es-MX" w:eastAsia="es-MX"/>
              </w:rPr>
            </w:pPr>
            <w:r w:rsidRPr="00F87E34">
              <w:rPr>
                <w:b/>
                <w:bCs/>
                <w:color w:val="000000"/>
                <w:sz w:val="16"/>
                <w:szCs w:val="16"/>
                <w:lang w:val="es-MX" w:eastAsia="es-MX"/>
              </w:rPr>
              <w:t>46</w:t>
            </w:r>
          </w:p>
        </w:tc>
        <w:tc>
          <w:tcPr>
            <w:tcW w:w="2276" w:type="pct"/>
            <w:tcBorders>
              <w:left w:val="single" w:sz="4" w:space="0" w:color="404040"/>
              <w:right w:val="single" w:sz="4" w:space="0" w:color="404040"/>
            </w:tcBorders>
            <w:shd w:val="clear" w:color="auto" w:fill="EAF1DD" w:themeFill="accent3" w:themeFillTint="33"/>
            <w:vAlign w:val="center"/>
            <w:hideMark/>
          </w:tcPr>
          <w:p w14:paraId="58855BEC" w14:textId="647050A3" w:rsidR="00262FDC" w:rsidRPr="00F87E34" w:rsidRDefault="00262FDC" w:rsidP="00262FDC">
            <w:pPr>
              <w:jc w:val="left"/>
              <w:rPr>
                <w:b/>
                <w:bCs/>
                <w:color w:val="000000"/>
                <w:sz w:val="16"/>
                <w:szCs w:val="16"/>
                <w:lang w:val="es-MX" w:eastAsia="es-MX"/>
              </w:rPr>
            </w:pPr>
            <w:r w:rsidRPr="00F87E34">
              <w:rPr>
                <w:b/>
                <w:bCs/>
                <w:color w:val="000000"/>
                <w:sz w:val="16"/>
                <w:szCs w:val="16"/>
                <w:lang w:val="es-MX" w:eastAsia="es-MX"/>
              </w:rPr>
              <w:t>Comercio al por menor de:</w:t>
            </w:r>
          </w:p>
        </w:tc>
        <w:tc>
          <w:tcPr>
            <w:tcW w:w="611" w:type="pct"/>
            <w:tcBorders>
              <w:left w:val="single" w:sz="4" w:space="0" w:color="404040"/>
              <w:right w:val="nil"/>
            </w:tcBorders>
            <w:shd w:val="clear" w:color="auto" w:fill="EAF1DD" w:themeFill="accent3" w:themeFillTint="33"/>
            <w:vAlign w:val="center"/>
            <w:hideMark/>
          </w:tcPr>
          <w:p w14:paraId="0F2449F3" w14:textId="4F373F6B" w:rsidR="00262FDC" w:rsidRPr="001705B3" w:rsidRDefault="00262FDC" w:rsidP="00262FDC">
            <w:pPr>
              <w:tabs>
                <w:tab w:val="decimal" w:pos="514"/>
              </w:tabs>
              <w:jc w:val="left"/>
              <w:rPr>
                <w:b/>
                <w:bCs/>
                <w:sz w:val="16"/>
                <w:szCs w:val="16"/>
                <w:lang w:val="es-MX" w:eastAsia="es-MX"/>
              </w:rPr>
            </w:pPr>
            <w:r>
              <w:rPr>
                <w:b/>
                <w:bCs/>
                <w:color w:val="000000"/>
                <w:sz w:val="16"/>
                <w:szCs w:val="16"/>
              </w:rPr>
              <w:t>2.3</w:t>
            </w:r>
          </w:p>
        </w:tc>
        <w:tc>
          <w:tcPr>
            <w:tcW w:w="470" w:type="pct"/>
            <w:tcBorders>
              <w:left w:val="nil"/>
              <w:right w:val="nil"/>
            </w:tcBorders>
            <w:shd w:val="clear" w:color="auto" w:fill="EAF1DD" w:themeFill="accent3" w:themeFillTint="33"/>
            <w:vAlign w:val="center"/>
            <w:hideMark/>
          </w:tcPr>
          <w:p w14:paraId="7E35A140" w14:textId="395DDC94" w:rsidR="00262FDC" w:rsidRPr="001705B3" w:rsidRDefault="00262FDC" w:rsidP="00262FDC">
            <w:pPr>
              <w:tabs>
                <w:tab w:val="decimal" w:pos="376"/>
              </w:tabs>
              <w:jc w:val="left"/>
              <w:rPr>
                <w:b/>
                <w:bCs/>
                <w:sz w:val="16"/>
                <w:szCs w:val="16"/>
                <w:lang w:val="es-MX" w:eastAsia="es-MX"/>
              </w:rPr>
            </w:pPr>
            <w:r>
              <w:rPr>
                <w:b/>
                <w:bCs/>
                <w:color w:val="000000"/>
                <w:sz w:val="16"/>
                <w:szCs w:val="16"/>
              </w:rPr>
              <w:t>0.7</w:t>
            </w:r>
          </w:p>
        </w:tc>
        <w:tc>
          <w:tcPr>
            <w:tcW w:w="470" w:type="pct"/>
            <w:tcBorders>
              <w:left w:val="nil"/>
              <w:right w:val="nil"/>
            </w:tcBorders>
            <w:shd w:val="clear" w:color="auto" w:fill="EAF1DD" w:themeFill="accent3" w:themeFillTint="33"/>
            <w:vAlign w:val="center"/>
            <w:hideMark/>
          </w:tcPr>
          <w:p w14:paraId="6A781A5F" w14:textId="20B55922" w:rsidR="00262FDC" w:rsidRPr="001705B3" w:rsidRDefault="00262FDC" w:rsidP="00262FDC">
            <w:pPr>
              <w:tabs>
                <w:tab w:val="decimal" w:pos="389"/>
              </w:tabs>
              <w:jc w:val="left"/>
              <w:rPr>
                <w:b/>
                <w:bCs/>
                <w:sz w:val="16"/>
                <w:szCs w:val="16"/>
                <w:lang w:val="es-MX" w:eastAsia="es-MX"/>
              </w:rPr>
            </w:pPr>
            <w:r>
              <w:rPr>
                <w:b/>
                <w:bCs/>
                <w:color w:val="000000"/>
                <w:sz w:val="16"/>
                <w:szCs w:val="16"/>
              </w:rPr>
              <w:t>2.2</w:t>
            </w:r>
          </w:p>
        </w:tc>
        <w:tc>
          <w:tcPr>
            <w:tcW w:w="456" w:type="pct"/>
            <w:tcBorders>
              <w:left w:val="nil"/>
              <w:right w:val="nil"/>
            </w:tcBorders>
            <w:shd w:val="clear" w:color="auto" w:fill="EAF1DD" w:themeFill="accent3" w:themeFillTint="33"/>
            <w:vAlign w:val="center"/>
            <w:hideMark/>
          </w:tcPr>
          <w:p w14:paraId="1C988DC0" w14:textId="10C2A9D1" w:rsidR="00262FDC" w:rsidRPr="001705B3" w:rsidRDefault="00262FDC" w:rsidP="00262FDC">
            <w:pPr>
              <w:tabs>
                <w:tab w:val="decimal" w:pos="364"/>
              </w:tabs>
              <w:jc w:val="left"/>
              <w:rPr>
                <w:b/>
                <w:bCs/>
                <w:sz w:val="16"/>
                <w:szCs w:val="16"/>
                <w:lang w:val="es-MX" w:eastAsia="es-MX"/>
              </w:rPr>
            </w:pPr>
            <w:r>
              <w:rPr>
                <w:b/>
                <w:bCs/>
                <w:color w:val="000000"/>
                <w:sz w:val="16"/>
                <w:szCs w:val="16"/>
              </w:rPr>
              <w:t>-24.5</w:t>
            </w:r>
          </w:p>
        </w:tc>
        <w:tc>
          <w:tcPr>
            <w:tcW w:w="486" w:type="pct"/>
            <w:tcBorders>
              <w:left w:val="nil"/>
              <w:right w:val="single" w:sz="6" w:space="0" w:color="404040"/>
            </w:tcBorders>
            <w:shd w:val="clear" w:color="auto" w:fill="EAF1DD" w:themeFill="accent3" w:themeFillTint="33"/>
            <w:vAlign w:val="center"/>
            <w:hideMark/>
          </w:tcPr>
          <w:p w14:paraId="2382AD0F" w14:textId="77CD3619" w:rsidR="00262FDC" w:rsidRPr="001705B3" w:rsidRDefault="00262FDC" w:rsidP="00262FDC">
            <w:pPr>
              <w:tabs>
                <w:tab w:val="decimal" w:pos="401"/>
              </w:tabs>
              <w:jc w:val="left"/>
              <w:rPr>
                <w:b/>
                <w:bCs/>
                <w:sz w:val="16"/>
                <w:szCs w:val="16"/>
                <w:lang w:val="es-MX" w:eastAsia="es-MX"/>
              </w:rPr>
            </w:pPr>
            <w:r>
              <w:rPr>
                <w:b/>
                <w:bCs/>
                <w:color w:val="000000"/>
                <w:sz w:val="16"/>
                <w:szCs w:val="16"/>
              </w:rPr>
              <w:t>10.0</w:t>
            </w:r>
          </w:p>
        </w:tc>
      </w:tr>
      <w:tr w:rsidR="00262FDC" w:rsidRPr="00F87E34" w14:paraId="32848E11" w14:textId="77777777" w:rsidTr="003F0296">
        <w:trPr>
          <w:trHeight w:val="283"/>
          <w:jc w:val="center"/>
        </w:trPr>
        <w:tc>
          <w:tcPr>
            <w:tcW w:w="231" w:type="pct"/>
            <w:tcBorders>
              <w:left w:val="single" w:sz="6" w:space="0" w:color="404040"/>
              <w:bottom w:val="dotted" w:sz="6" w:space="0" w:color="C2D69B" w:themeColor="accent3" w:themeTint="99"/>
              <w:right w:val="single" w:sz="4" w:space="0" w:color="404040"/>
            </w:tcBorders>
            <w:shd w:val="clear" w:color="auto" w:fill="auto"/>
            <w:vAlign w:val="center"/>
            <w:hideMark/>
          </w:tcPr>
          <w:p w14:paraId="1752C3F6" w14:textId="77777777" w:rsidR="00262FDC" w:rsidRPr="00F87E34" w:rsidRDefault="00262FDC" w:rsidP="00262FDC">
            <w:pPr>
              <w:ind w:leftChars="-12" w:right="-74" w:hangingChars="18" w:hanging="29"/>
              <w:jc w:val="center"/>
              <w:rPr>
                <w:color w:val="000000"/>
                <w:sz w:val="16"/>
                <w:szCs w:val="16"/>
                <w:lang w:val="es-MX" w:eastAsia="es-MX"/>
              </w:rPr>
            </w:pPr>
            <w:r w:rsidRPr="00F87E34">
              <w:rPr>
                <w:color w:val="000000"/>
                <w:sz w:val="16"/>
                <w:szCs w:val="16"/>
                <w:lang w:val="es-MX" w:eastAsia="es-MX"/>
              </w:rPr>
              <w:t>461</w:t>
            </w:r>
          </w:p>
        </w:tc>
        <w:tc>
          <w:tcPr>
            <w:tcW w:w="2276" w:type="pct"/>
            <w:tcBorders>
              <w:left w:val="single" w:sz="4" w:space="0" w:color="404040"/>
              <w:bottom w:val="dotted" w:sz="6" w:space="0" w:color="C2D69B" w:themeColor="accent3" w:themeTint="99"/>
              <w:right w:val="single" w:sz="4" w:space="0" w:color="404040"/>
            </w:tcBorders>
            <w:shd w:val="clear" w:color="auto" w:fill="auto"/>
            <w:vAlign w:val="center"/>
            <w:hideMark/>
          </w:tcPr>
          <w:p w14:paraId="5D3468BE" w14:textId="77777777" w:rsidR="00262FDC" w:rsidRPr="00F87E34" w:rsidRDefault="00262FDC" w:rsidP="00262FDC">
            <w:pPr>
              <w:jc w:val="left"/>
              <w:rPr>
                <w:color w:val="000000"/>
                <w:sz w:val="16"/>
                <w:szCs w:val="16"/>
                <w:lang w:val="es-MX" w:eastAsia="es-MX"/>
              </w:rPr>
            </w:pPr>
            <w:r w:rsidRPr="00F87E34">
              <w:rPr>
                <w:color w:val="000000"/>
                <w:sz w:val="16"/>
                <w:szCs w:val="16"/>
                <w:lang w:val="es-MX" w:eastAsia="es-MX"/>
              </w:rPr>
              <w:t>Abarrotes, alimentos, bebidas, hielo y tabaco</w:t>
            </w:r>
          </w:p>
        </w:tc>
        <w:tc>
          <w:tcPr>
            <w:tcW w:w="611" w:type="pct"/>
            <w:tcBorders>
              <w:left w:val="single" w:sz="4" w:space="0" w:color="404040"/>
              <w:bottom w:val="dotted" w:sz="6" w:space="0" w:color="C2D69B" w:themeColor="accent3" w:themeTint="99"/>
              <w:right w:val="nil"/>
            </w:tcBorders>
            <w:shd w:val="clear" w:color="auto" w:fill="auto"/>
            <w:vAlign w:val="center"/>
            <w:hideMark/>
          </w:tcPr>
          <w:p w14:paraId="3EA31997" w14:textId="463FB9F4" w:rsidR="00262FDC" w:rsidRPr="001705B3" w:rsidRDefault="00262FDC" w:rsidP="00262FDC">
            <w:pPr>
              <w:tabs>
                <w:tab w:val="decimal" w:pos="514"/>
              </w:tabs>
              <w:jc w:val="left"/>
              <w:rPr>
                <w:sz w:val="16"/>
                <w:szCs w:val="16"/>
                <w:lang w:val="es-MX" w:eastAsia="es-MX"/>
              </w:rPr>
            </w:pPr>
            <w:r>
              <w:rPr>
                <w:color w:val="000000"/>
                <w:sz w:val="16"/>
                <w:szCs w:val="16"/>
              </w:rPr>
              <w:t>2.8</w:t>
            </w:r>
          </w:p>
        </w:tc>
        <w:tc>
          <w:tcPr>
            <w:tcW w:w="470" w:type="pct"/>
            <w:tcBorders>
              <w:left w:val="nil"/>
              <w:bottom w:val="dotted" w:sz="6" w:space="0" w:color="C2D69B" w:themeColor="accent3" w:themeTint="99"/>
              <w:right w:val="nil"/>
            </w:tcBorders>
            <w:shd w:val="clear" w:color="auto" w:fill="auto"/>
            <w:vAlign w:val="center"/>
            <w:hideMark/>
          </w:tcPr>
          <w:p w14:paraId="12198429" w14:textId="0F3D82E6" w:rsidR="00262FDC" w:rsidRPr="001705B3" w:rsidRDefault="00262FDC" w:rsidP="00262FDC">
            <w:pPr>
              <w:tabs>
                <w:tab w:val="decimal" w:pos="376"/>
              </w:tabs>
              <w:jc w:val="left"/>
              <w:rPr>
                <w:sz w:val="16"/>
                <w:szCs w:val="16"/>
                <w:lang w:val="es-MX" w:eastAsia="es-MX"/>
              </w:rPr>
            </w:pPr>
            <w:r>
              <w:rPr>
                <w:color w:val="000000"/>
                <w:sz w:val="16"/>
                <w:szCs w:val="16"/>
              </w:rPr>
              <w:t>2.8</w:t>
            </w:r>
          </w:p>
        </w:tc>
        <w:tc>
          <w:tcPr>
            <w:tcW w:w="470" w:type="pct"/>
            <w:tcBorders>
              <w:left w:val="nil"/>
              <w:bottom w:val="dotted" w:sz="6" w:space="0" w:color="C2D69B" w:themeColor="accent3" w:themeTint="99"/>
              <w:right w:val="nil"/>
            </w:tcBorders>
            <w:shd w:val="clear" w:color="auto" w:fill="auto"/>
            <w:vAlign w:val="center"/>
            <w:hideMark/>
          </w:tcPr>
          <w:p w14:paraId="77EFC540" w14:textId="59FD13E5" w:rsidR="00262FDC" w:rsidRPr="001705B3" w:rsidRDefault="00262FDC" w:rsidP="00262FDC">
            <w:pPr>
              <w:tabs>
                <w:tab w:val="decimal" w:pos="389"/>
              </w:tabs>
              <w:jc w:val="left"/>
              <w:rPr>
                <w:sz w:val="16"/>
                <w:szCs w:val="16"/>
                <w:lang w:val="es-MX" w:eastAsia="es-MX"/>
              </w:rPr>
            </w:pPr>
            <w:r>
              <w:rPr>
                <w:color w:val="000000"/>
                <w:sz w:val="16"/>
                <w:szCs w:val="16"/>
              </w:rPr>
              <w:t>2.8</w:t>
            </w:r>
          </w:p>
        </w:tc>
        <w:tc>
          <w:tcPr>
            <w:tcW w:w="456" w:type="pct"/>
            <w:tcBorders>
              <w:left w:val="nil"/>
              <w:bottom w:val="dotted" w:sz="6" w:space="0" w:color="C2D69B" w:themeColor="accent3" w:themeTint="99"/>
              <w:right w:val="nil"/>
            </w:tcBorders>
            <w:shd w:val="clear" w:color="auto" w:fill="auto"/>
            <w:vAlign w:val="center"/>
            <w:hideMark/>
          </w:tcPr>
          <w:p w14:paraId="446F1678" w14:textId="2AB48765" w:rsidR="00262FDC" w:rsidRPr="001705B3" w:rsidRDefault="00262FDC" w:rsidP="00262FDC">
            <w:pPr>
              <w:tabs>
                <w:tab w:val="decimal" w:pos="364"/>
              </w:tabs>
              <w:jc w:val="left"/>
              <w:rPr>
                <w:sz w:val="16"/>
                <w:szCs w:val="16"/>
                <w:lang w:val="es-MX" w:eastAsia="es-MX"/>
              </w:rPr>
            </w:pPr>
            <w:r>
              <w:rPr>
                <w:color w:val="000000"/>
                <w:sz w:val="16"/>
                <w:szCs w:val="16"/>
              </w:rPr>
              <w:t>4.0</w:t>
            </w:r>
          </w:p>
        </w:tc>
        <w:tc>
          <w:tcPr>
            <w:tcW w:w="486" w:type="pct"/>
            <w:tcBorders>
              <w:left w:val="nil"/>
              <w:bottom w:val="dotted" w:sz="6" w:space="0" w:color="C2D69B" w:themeColor="accent3" w:themeTint="99"/>
              <w:right w:val="single" w:sz="6" w:space="0" w:color="404040"/>
            </w:tcBorders>
            <w:shd w:val="clear" w:color="auto" w:fill="auto"/>
            <w:vAlign w:val="center"/>
            <w:hideMark/>
          </w:tcPr>
          <w:p w14:paraId="74BDDAEC" w14:textId="20E3C332" w:rsidR="00262FDC" w:rsidRPr="001705B3" w:rsidRDefault="00262FDC" w:rsidP="00262FDC">
            <w:pPr>
              <w:tabs>
                <w:tab w:val="decimal" w:pos="401"/>
              </w:tabs>
              <w:jc w:val="left"/>
              <w:rPr>
                <w:sz w:val="16"/>
                <w:szCs w:val="16"/>
                <w:lang w:val="es-MX" w:eastAsia="es-MX"/>
              </w:rPr>
            </w:pPr>
            <w:r>
              <w:rPr>
                <w:color w:val="000000"/>
                <w:sz w:val="16"/>
                <w:szCs w:val="16"/>
              </w:rPr>
              <w:t>13.7</w:t>
            </w:r>
          </w:p>
        </w:tc>
      </w:tr>
      <w:tr w:rsidR="00262FDC" w:rsidRPr="00F87E34" w14:paraId="5C58B343" w14:textId="77777777" w:rsidTr="003F0296">
        <w:trPr>
          <w:trHeight w:val="283"/>
          <w:jc w:val="center"/>
        </w:trPr>
        <w:tc>
          <w:tcPr>
            <w:tcW w:w="231" w:type="pct"/>
            <w:tcBorders>
              <w:top w:val="dotted" w:sz="6" w:space="0" w:color="C2D69B" w:themeColor="accent3" w:themeTint="99"/>
              <w:left w:val="single" w:sz="6" w:space="0" w:color="404040"/>
              <w:bottom w:val="dotted" w:sz="6" w:space="0" w:color="C2D69B" w:themeColor="accent3" w:themeTint="99"/>
              <w:right w:val="single" w:sz="4" w:space="0" w:color="404040"/>
            </w:tcBorders>
            <w:shd w:val="clear" w:color="auto" w:fill="auto"/>
            <w:vAlign w:val="center"/>
            <w:hideMark/>
          </w:tcPr>
          <w:p w14:paraId="224ADF3F" w14:textId="77777777" w:rsidR="00262FDC" w:rsidRPr="00F87E34" w:rsidRDefault="00262FDC" w:rsidP="00262FDC">
            <w:pPr>
              <w:ind w:leftChars="-12" w:right="-74" w:hangingChars="18" w:hanging="29"/>
              <w:jc w:val="center"/>
              <w:rPr>
                <w:color w:val="000000"/>
                <w:sz w:val="16"/>
                <w:szCs w:val="16"/>
                <w:lang w:val="es-MX" w:eastAsia="es-MX"/>
              </w:rPr>
            </w:pPr>
            <w:r w:rsidRPr="00F87E34">
              <w:rPr>
                <w:color w:val="000000"/>
                <w:sz w:val="16"/>
                <w:szCs w:val="16"/>
                <w:lang w:val="es-MX" w:eastAsia="es-MX"/>
              </w:rPr>
              <w:t>462</w:t>
            </w:r>
          </w:p>
        </w:tc>
        <w:tc>
          <w:tcPr>
            <w:tcW w:w="2276" w:type="pct"/>
            <w:tcBorders>
              <w:top w:val="dotted" w:sz="6" w:space="0" w:color="C2D69B" w:themeColor="accent3" w:themeTint="99"/>
              <w:left w:val="single" w:sz="4" w:space="0" w:color="404040"/>
              <w:bottom w:val="dotted" w:sz="6" w:space="0" w:color="C2D69B" w:themeColor="accent3" w:themeTint="99"/>
              <w:right w:val="single" w:sz="4" w:space="0" w:color="404040"/>
            </w:tcBorders>
            <w:shd w:val="clear" w:color="auto" w:fill="auto"/>
            <w:vAlign w:val="center"/>
            <w:hideMark/>
          </w:tcPr>
          <w:p w14:paraId="2D6328CA" w14:textId="77777777" w:rsidR="00262FDC" w:rsidRPr="00F87E34" w:rsidRDefault="00262FDC" w:rsidP="00262FDC">
            <w:pPr>
              <w:jc w:val="left"/>
              <w:rPr>
                <w:color w:val="000000"/>
                <w:sz w:val="16"/>
                <w:szCs w:val="16"/>
                <w:lang w:val="es-MX" w:eastAsia="es-MX"/>
              </w:rPr>
            </w:pPr>
            <w:r w:rsidRPr="00F87E34">
              <w:rPr>
                <w:color w:val="000000"/>
                <w:sz w:val="16"/>
                <w:szCs w:val="16"/>
                <w:lang w:val="es-MX" w:eastAsia="es-MX"/>
              </w:rPr>
              <w:t>Tiendas de autoservicio y departamentales</w:t>
            </w:r>
          </w:p>
        </w:tc>
        <w:tc>
          <w:tcPr>
            <w:tcW w:w="611" w:type="pct"/>
            <w:tcBorders>
              <w:top w:val="dotted" w:sz="6" w:space="0" w:color="C2D69B" w:themeColor="accent3" w:themeTint="99"/>
              <w:left w:val="single" w:sz="4" w:space="0" w:color="404040"/>
              <w:bottom w:val="dotted" w:sz="6" w:space="0" w:color="C2D69B" w:themeColor="accent3" w:themeTint="99"/>
              <w:right w:val="nil"/>
            </w:tcBorders>
            <w:shd w:val="clear" w:color="auto" w:fill="auto"/>
            <w:vAlign w:val="center"/>
            <w:hideMark/>
          </w:tcPr>
          <w:p w14:paraId="50208A00" w14:textId="6C40B70F" w:rsidR="00262FDC" w:rsidRPr="001705B3" w:rsidRDefault="00262FDC" w:rsidP="00262FDC">
            <w:pPr>
              <w:tabs>
                <w:tab w:val="decimal" w:pos="514"/>
              </w:tabs>
              <w:jc w:val="left"/>
              <w:rPr>
                <w:sz w:val="16"/>
                <w:szCs w:val="16"/>
                <w:lang w:val="es-MX" w:eastAsia="es-MX"/>
              </w:rPr>
            </w:pPr>
            <w:r>
              <w:rPr>
                <w:color w:val="000000"/>
                <w:sz w:val="16"/>
                <w:szCs w:val="16"/>
              </w:rPr>
              <w:t>11.4</w:t>
            </w:r>
          </w:p>
        </w:tc>
        <w:tc>
          <w:tcPr>
            <w:tcW w:w="470" w:type="pct"/>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0B5AF9D2" w14:textId="01D4CBC4" w:rsidR="00262FDC" w:rsidRPr="001705B3" w:rsidRDefault="00262FDC" w:rsidP="00262FDC">
            <w:pPr>
              <w:tabs>
                <w:tab w:val="decimal" w:pos="376"/>
              </w:tabs>
              <w:jc w:val="left"/>
              <w:rPr>
                <w:sz w:val="16"/>
                <w:szCs w:val="16"/>
                <w:lang w:val="es-MX" w:eastAsia="es-MX"/>
              </w:rPr>
            </w:pPr>
            <w:r>
              <w:rPr>
                <w:color w:val="000000"/>
                <w:sz w:val="16"/>
                <w:szCs w:val="16"/>
              </w:rPr>
              <w:t>2.7</w:t>
            </w:r>
          </w:p>
        </w:tc>
        <w:tc>
          <w:tcPr>
            <w:tcW w:w="470" w:type="pct"/>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3C2E9C45" w14:textId="3807E6A2" w:rsidR="00262FDC" w:rsidRPr="001705B3" w:rsidRDefault="00262FDC" w:rsidP="00262FDC">
            <w:pPr>
              <w:tabs>
                <w:tab w:val="decimal" w:pos="389"/>
              </w:tabs>
              <w:jc w:val="left"/>
              <w:rPr>
                <w:sz w:val="16"/>
                <w:szCs w:val="16"/>
                <w:lang w:val="es-MX" w:eastAsia="es-MX"/>
              </w:rPr>
            </w:pPr>
            <w:r>
              <w:rPr>
                <w:color w:val="000000"/>
                <w:sz w:val="16"/>
                <w:szCs w:val="16"/>
              </w:rPr>
              <w:t>5.6</w:t>
            </w:r>
          </w:p>
        </w:tc>
        <w:tc>
          <w:tcPr>
            <w:tcW w:w="456" w:type="pct"/>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32DD8A2" w14:textId="68C9FDEF" w:rsidR="00262FDC" w:rsidRPr="001705B3" w:rsidRDefault="00262FDC" w:rsidP="00262FDC">
            <w:pPr>
              <w:tabs>
                <w:tab w:val="decimal" w:pos="364"/>
              </w:tabs>
              <w:jc w:val="left"/>
              <w:rPr>
                <w:sz w:val="16"/>
                <w:szCs w:val="16"/>
                <w:lang w:val="es-MX" w:eastAsia="es-MX"/>
              </w:rPr>
            </w:pPr>
            <w:r>
              <w:rPr>
                <w:color w:val="000000"/>
                <w:sz w:val="16"/>
                <w:szCs w:val="16"/>
              </w:rPr>
              <w:t>-17.2</w:t>
            </w:r>
          </w:p>
        </w:tc>
        <w:tc>
          <w:tcPr>
            <w:tcW w:w="486" w:type="pct"/>
            <w:tcBorders>
              <w:top w:val="dotted" w:sz="6" w:space="0" w:color="C2D69B" w:themeColor="accent3" w:themeTint="99"/>
              <w:left w:val="nil"/>
              <w:bottom w:val="dotted" w:sz="6" w:space="0" w:color="C2D69B" w:themeColor="accent3" w:themeTint="99"/>
              <w:right w:val="single" w:sz="6" w:space="0" w:color="404040"/>
            </w:tcBorders>
            <w:shd w:val="clear" w:color="auto" w:fill="auto"/>
            <w:vAlign w:val="center"/>
            <w:hideMark/>
          </w:tcPr>
          <w:p w14:paraId="70DCA952" w14:textId="6247C633" w:rsidR="00262FDC" w:rsidRPr="001705B3" w:rsidRDefault="00262FDC" w:rsidP="00262FDC">
            <w:pPr>
              <w:tabs>
                <w:tab w:val="decimal" w:pos="401"/>
              </w:tabs>
              <w:jc w:val="left"/>
              <w:rPr>
                <w:sz w:val="16"/>
                <w:szCs w:val="16"/>
                <w:lang w:val="es-MX" w:eastAsia="es-MX"/>
              </w:rPr>
            </w:pPr>
            <w:r>
              <w:rPr>
                <w:color w:val="000000"/>
                <w:sz w:val="16"/>
                <w:szCs w:val="16"/>
              </w:rPr>
              <w:t>13.4</w:t>
            </w:r>
          </w:p>
        </w:tc>
      </w:tr>
      <w:tr w:rsidR="00262FDC" w:rsidRPr="00F87E34" w14:paraId="5A744CB7" w14:textId="77777777" w:rsidTr="003F0296">
        <w:trPr>
          <w:trHeight w:val="283"/>
          <w:jc w:val="center"/>
        </w:trPr>
        <w:tc>
          <w:tcPr>
            <w:tcW w:w="231" w:type="pct"/>
            <w:tcBorders>
              <w:top w:val="dotted" w:sz="6" w:space="0" w:color="C2D69B" w:themeColor="accent3" w:themeTint="99"/>
              <w:left w:val="single" w:sz="6" w:space="0" w:color="404040"/>
              <w:bottom w:val="dotted" w:sz="6" w:space="0" w:color="C2D69B" w:themeColor="accent3" w:themeTint="99"/>
              <w:right w:val="single" w:sz="4" w:space="0" w:color="404040"/>
            </w:tcBorders>
            <w:shd w:val="clear" w:color="auto" w:fill="auto"/>
            <w:vAlign w:val="center"/>
            <w:hideMark/>
          </w:tcPr>
          <w:p w14:paraId="51E1F093" w14:textId="77777777" w:rsidR="00262FDC" w:rsidRPr="00F87E34" w:rsidRDefault="00262FDC" w:rsidP="00262FDC">
            <w:pPr>
              <w:ind w:leftChars="-12" w:right="-74" w:hangingChars="18" w:hanging="29"/>
              <w:jc w:val="center"/>
              <w:rPr>
                <w:color w:val="000000"/>
                <w:sz w:val="16"/>
                <w:szCs w:val="16"/>
                <w:lang w:val="es-MX" w:eastAsia="es-MX"/>
              </w:rPr>
            </w:pPr>
            <w:r w:rsidRPr="00F87E34">
              <w:rPr>
                <w:color w:val="000000"/>
                <w:sz w:val="16"/>
                <w:szCs w:val="16"/>
                <w:lang w:val="es-MX" w:eastAsia="es-MX"/>
              </w:rPr>
              <w:t>463</w:t>
            </w:r>
          </w:p>
        </w:tc>
        <w:tc>
          <w:tcPr>
            <w:tcW w:w="2276" w:type="pct"/>
            <w:tcBorders>
              <w:top w:val="dotted" w:sz="6" w:space="0" w:color="C2D69B" w:themeColor="accent3" w:themeTint="99"/>
              <w:left w:val="single" w:sz="4" w:space="0" w:color="404040"/>
              <w:bottom w:val="dotted" w:sz="6" w:space="0" w:color="C2D69B" w:themeColor="accent3" w:themeTint="99"/>
              <w:right w:val="single" w:sz="4" w:space="0" w:color="404040"/>
            </w:tcBorders>
            <w:shd w:val="clear" w:color="auto" w:fill="auto"/>
            <w:vAlign w:val="center"/>
            <w:hideMark/>
          </w:tcPr>
          <w:p w14:paraId="63D70C12" w14:textId="77777777" w:rsidR="00262FDC" w:rsidRPr="00F87E34" w:rsidRDefault="00262FDC" w:rsidP="00262FDC">
            <w:pPr>
              <w:jc w:val="left"/>
              <w:rPr>
                <w:color w:val="000000"/>
                <w:sz w:val="16"/>
                <w:szCs w:val="16"/>
                <w:lang w:val="es-MX" w:eastAsia="es-MX"/>
              </w:rPr>
            </w:pPr>
            <w:r w:rsidRPr="00F87E34">
              <w:rPr>
                <w:color w:val="000000"/>
                <w:sz w:val="16"/>
                <w:szCs w:val="16"/>
                <w:lang w:val="es-MX" w:eastAsia="es-MX"/>
              </w:rPr>
              <w:t>Productos textiles, bisutería, accesorios de vestir y calzado</w:t>
            </w:r>
          </w:p>
        </w:tc>
        <w:tc>
          <w:tcPr>
            <w:tcW w:w="611" w:type="pct"/>
            <w:tcBorders>
              <w:top w:val="dotted" w:sz="6" w:space="0" w:color="C2D69B" w:themeColor="accent3" w:themeTint="99"/>
              <w:left w:val="single" w:sz="4" w:space="0" w:color="404040"/>
              <w:bottom w:val="dotted" w:sz="6" w:space="0" w:color="C2D69B" w:themeColor="accent3" w:themeTint="99"/>
              <w:right w:val="nil"/>
            </w:tcBorders>
            <w:shd w:val="clear" w:color="auto" w:fill="auto"/>
            <w:vAlign w:val="center"/>
            <w:hideMark/>
          </w:tcPr>
          <w:p w14:paraId="4BF6F21E" w14:textId="5F391344" w:rsidR="00262FDC" w:rsidRPr="001705B3" w:rsidRDefault="00262FDC" w:rsidP="00262FDC">
            <w:pPr>
              <w:tabs>
                <w:tab w:val="decimal" w:pos="514"/>
              </w:tabs>
              <w:jc w:val="left"/>
              <w:rPr>
                <w:sz w:val="16"/>
                <w:szCs w:val="16"/>
                <w:lang w:val="es-MX" w:eastAsia="es-MX"/>
              </w:rPr>
            </w:pPr>
            <w:r>
              <w:rPr>
                <w:color w:val="000000"/>
                <w:sz w:val="16"/>
                <w:szCs w:val="16"/>
              </w:rPr>
              <w:t>4.1</w:t>
            </w:r>
          </w:p>
        </w:tc>
        <w:tc>
          <w:tcPr>
            <w:tcW w:w="470" w:type="pct"/>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5BB35219" w14:textId="7337A321" w:rsidR="00262FDC" w:rsidRPr="001705B3" w:rsidRDefault="00262FDC" w:rsidP="00262FDC">
            <w:pPr>
              <w:tabs>
                <w:tab w:val="decimal" w:pos="376"/>
              </w:tabs>
              <w:jc w:val="left"/>
              <w:rPr>
                <w:sz w:val="16"/>
                <w:szCs w:val="16"/>
                <w:lang w:val="es-MX" w:eastAsia="es-MX"/>
              </w:rPr>
            </w:pPr>
            <w:r>
              <w:rPr>
                <w:color w:val="000000"/>
                <w:sz w:val="16"/>
                <w:szCs w:val="16"/>
              </w:rPr>
              <w:t>-4.0</w:t>
            </w:r>
          </w:p>
        </w:tc>
        <w:tc>
          <w:tcPr>
            <w:tcW w:w="470" w:type="pct"/>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096163D3" w14:textId="3FA26489" w:rsidR="00262FDC" w:rsidRPr="001705B3" w:rsidRDefault="00262FDC" w:rsidP="00262FDC">
            <w:pPr>
              <w:tabs>
                <w:tab w:val="decimal" w:pos="389"/>
              </w:tabs>
              <w:jc w:val="left"/>
              <w:rPr>
                <w:sz w:val="16"/>
                <w:szCs w:val="16"/>
                <w:lang w:val="es-MX" w:eastAsia="es-MX"/>
              </w:rPr>
            </w:pPr>
            <w:r>
              <w:rPr>
                <w:color w:val="000000"/>
                <w:sz w:val="16"/>
                <w:szCs w:val="16"/>
              </w:rPr>
              <w:t>-1.5</w:t>
            </w:r>
          </w:p>
        </w:tc>
        <w:tc>
          <w:tcPr>
            <w:tcW w:w="456" w:type="pct"/>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783F47DA" w14:textId="5DBA78FA" w:rsidR="00262FDC" w:rsidRPr="001705B3" w:rsidRDefault="00262FDC" w:rsidP="00262FDC">
            <w:pPr>
              <w:tabs>
                <w:tab w:val="decimal" w:pos="364"/>
              </w:tabs>
              <w:jc w:val="left"/>
              <w:rPr>
                <w:sz w:val="16"/>
                <w:szCs w:val="16"/>
                <w:lang w:val="es-MX" w:eastAsia="es-MX"/>
              </w:rPr>
            </w:pPr>
            <w:r>
              <w:rPr>
                <w:color w:val="000000"/>
                <w:sz w:val="16"/>
                <w:szCs w:val="16"/>
              </w:rPr>
              <w:t>-73.4</w:t>
            </w:r>
          </w:p>
        </w:tc>
        <w:tc>
          <w:tcPr>
            <w:tcW w:w="486" w:type="pct"/>
            <w:tcBorders>
              <w:top w:val="dotted" w:sz="6" w:space="0" w:color="C2D69B" w:themeColor="accent3" w:themeTint="99"/>
              <w:left w:val="nil"/>
              <w:bottom w:val="dotted" w:sz="6" w:space="0" w:color="C2D69B" w:themeColor="accent3" w:themeTint="99"/>
              <w:right w:val="single" w:sz="6" w:space="0" w:color="404040"/>
            </w:tcBorders>
            <w:shd w:val="clear" w:color="auto" w:fill="auto"/>
            <w:vAlign w:val="center"/>
            <w:hideMark/>
          </w:tcPr>
          <w:p w14:paraId="2EB46ADC" w14:textId="3FBA7CA4" w:rsidR="00262FDC" w:rsidRPr="001705B3" w:rsidRDefault="00262FDC" w:rsidP="00262FDC">
            <w:pPr>
              <w:tabs>
                <w:tab w:val="decimal" w:pos="401"/>
              </w:tabs>
              <w:jc w:val="left"/>
              <w:rPr>
                <w:sz w:val="16"/>
                <w:szCs w:val="16"/>
                <w:lang w:val="es-MX" w:eastAsia="es-MX"/>
              </w:rPr>
            </w:pPr>
            <w:r>
              <w:rPr>
                <w:color w:val="000000"/>
                <w:sz w:val="16"/>
                <w:szCs w:val="16"/>
              </w:rPr>
              <w:t>8.4</w:t>
            </w:r>
          </w:p>
        </w:tc>
      </w:tr>
      <w:tr w:rsidR="00262FDC" w:rsidRPr="00F87E34" w14:paraId="33215329" w14:textId="77777777" w:rsidTr="003F0296">
        <w:trPr>
          <w:trHeight w:val="283"/>
          <w:jc w:val="center"/>
        </w:trPr>
        <w:tc>
          <w:tcPr>
            <w:tcW w:w="231" w:type="pct"/>
            <w:tcBorders>
              <w:top w:val="dotted" w:sz="6" w:space="0" w:color="C2D69B" w:themeColor="accent3" w:themeTint="99"/>
              <w:left w:val="single" w:sz="6" w:space="0" w:color="404040"/>
              <w:bottom w:val="dotted" w:sz="6" w:space="0" w:color="C2D69B" w:themeColor="accent3" w:themeTint="99"/>
              <w:right w:val="single" w:sz="4" w:space="0" w:color="404040"/>
            </w:tcBorders>
            <w:shd w:val="clear" w:color="auto" w:fill="auto"/>
            <w:vAlign w:val="center"/>
            <w:hideMark/>
          </w:tcPr>
          <w:p w14:paraId="3AAFFDAB" w14:textId="77777777" w:rsidR="00262FDC" w:rsidRPr="00F87E34" w:rsidRDefault="00262FDC" w:rsidP="00262FDC">
            <w:pPr>
              <w:ind w:leftChars="-12" w:right="-74" w:hangingChars="18" w:hanging="29"/>
              <w:jc w:val="center"/>
              <w:rPr>
                <w:color w:val="000000"/>
                <w:sz w:val="16"/>
                <w:szCs w:val="16"/>
                <w:lang w:val="es-MX" w:eastAsia="es-MX"/>
              </w:rPr>
            </w:pPr>
            <w:r w:rsidRPr="00F87E34">
              <w:rPr>
                <w:color w:val="000000"/>
                <w:sz w:val="16"/>
                <w:szCs w:val="16"/>
                <w:lang w:val="es-MX" w:eastAsia="es-MX"/>
              </w:rPr>
              <w:t>464</w:t>
            </w:r>
          </w:p>
        </w:tc>
        <w:tc>
          <w:tcPr>
            <w:tcW w:w="2276" w:type="pct"/>
            <w:tcBorders>
              <w:top w:val="dotted" w:sz="6" w:space="0" w:color="C2D69B" w:themeColor="accent3" w:themeTint="99"/>
              <w:left w:val="single" w:sz="4" w:space="0" w:color="404040"/>
              <w:bottom w:val="dotted" w:sz="6" w:space="0" w:color="C2D69B" w:themeColor="accent3" w:themeTint="99"/>
              <w:right w:val="single" w:sz="4" w:space="0" w:color="404040"/>
            </w:tcBorders>
            <w:shd w:val="clear" w:color="auto" w:fill="auto"/>
            <w:vAlign w:val="center"/>
            <w:hideMark/>
          </w:tcPr>
          <w:p w14:paraId="0CA36643" w14:textId="77777777" w:rsidR="00262FDC" w:rsidRPr="00F87E34" w:rsidRDefault="00262FDC" w:rsidP="00262FDC">
            <w:pPr>
              <w:jc w:val="left"/>
              <w:rPr>
                <w:color w:val="000000"/>
                <w:sz w:val="16"/>
                <w:szCs w:val="16"/>
                <w:lang w:val="es-MX" w:eastAsia="es-MX"/>
              </w:rPr>
            </w:pPr>
            <w:r w:rsidRPr="00F87E34">
              <w:rPr>
                <w:color w:val="000000"/>
                <w:sz w:val="16"/>
                <w:szCs w:val="16"/>
                <w:lang w:val="es-MX" w:eastAsia="es-MX"/>
              </w:rPr>
              <w:t>Artículos para el cuidado de la salud</w:t>
            </w:r>
          </w:p>
        </w:tc>
        <w:tc>
          <w:tcPr>
            <w:tcW w:w="611" w:type="pct"/>
            <w:tcBorders>
              <w:top w:val="dotted" w:sz="6" w:space="0" w:color="C2D69B" w:themeColor="accent3" w:themeTint="99"/>
              <w:left w:val="single" w:sz="4" w:space="0" w:color="404040"/>
              <w:bottom w:val="dotted" w:sz="6" w:space="0" w:color="C2D69B" w:themeColor="accent3" w:themeTint="99"/>
              <w:right w:val="nil"/>
            </w:tcBorders>
            <w:shd w:val="clear" w:color="auto" w:fill="auto"/>
            <w:vAlign w:val="center"/>
            <w:hideMark/>
          </w:tcPr>
          <w:p w14:paraId="7396C359" w14:textId="42D798A7" w:rsidR="00262FDC" w:rsidRPr="001705B3" w:rsidRDefault="00262FDC" w:rsidP="00262FDC">
            <w:pPr>
              <w:tabs>
                <w:tab w:val="decimal" w:pos="514"/>
              </w:tabs>
              <w:jc w:val="left"/>
              <w:rPr>
                <w:sz w:val="16"/>
                <w:szCs w:val="16"/>
                <w:lang w:val="es-MX" w:eastAsia="es-MX"/>
              </w:rPr>
            </w:pPr>
            <w:r>
              <w:rPr>
                <w:color w:val="000000"/>
                <w:sz w:val="16"/>
                <w:szCs w:val="16"/>
              </w:rPr>
              <w:t>1.2</w:t>
            </w:r>
          </w:p>
        </w:tc>
        <w:tc>
          <w:tcPr>
            <w:tcW w:w="470" w:type="pct"/>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79D11135" w14:textId="257E8674" w:rsidR="00262FDC" w:rsidRPr="001705B3" w:rsidRDefault="00262FDC" w:rsidP="00262FDC">
            <w:pPr>
              <w:tabs>
                <w:tab w:val="decimal" w:pos="376"/>
              </w:tabs>
              <w:jc w:val="left"/>
              <w:rPr>
                <w:sz w:val="16"/>
                <w:szCs w:val="16"/>
                <w:lang w:val="es-MX" w:eastAsia="es-MX"/>
              </w:rPr>
            </w:pPr>
            <w:r>
              <w:rPr>
                <w:color w:val="000000"/>
                <w:sz w:val="16"/>
                <w:szCs w:val="16"/>
              </w:rPr>
              <w:t>-4.8</w:t>
            </w:r>
          </w:p>
        </w:tc>
        <w:tc>
          <w:tcPr>
            <w:tcW w:w="470" w:type="pct"/>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48E2366" w14:textId="410D83B5" w:rsidR="00262FDC" w:rsidRPr="001705B3" w:rsidRDefault="00262FDC" w:rsidP="00262FDC">
            <w:pPr>
              <w:tabs>
                <w:tab w:val="decimal" w:pos="389"/>
              </w:tabs>
              <w:jc w:val="left"/>
              <w:rPr>
                <w:sz w:val="16"/>
                <w:szCs w:val="16"/>
                <w:lang w:val="es-MX" w:eastAsia="es-MX"/>
              </w:rPr>
            </w:pPr>
            <w:r>
              <w:rPr>
                <w:color w:val="000000"/>
                <w:sz w:val="16"/>
                <w:szCs w:val="16"/>
              </w:rPr>
              <w:t>-3.3</w:t>
            </w:r>
          </w:p>
        </w:tc>
        <w:tc>
          <w:tcPr>
            <w:tcW w:w="456" w:type="pct"/>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3BF0F7B7" w14:textId="306B117C" w:rsidR="00262FDC" w:rsidRPr="001705B3" w:rsidRDefault="00262FDC" w:rsidP="00262FDC">
            <w:pPr>
              <w:tabs>
                <w:tab w:val="decimal" w:pos="364"/>
              </w:tabs>
              <w:jc w:val="left"/>
              <w:rPr>
                <w:sz w:val="16"/>
                <w:szCs w:val="16"/>
                <w:lang w:val="es-MX" w:eastAsia="es-MX"/>
              </w:rPr>
            </w:pPr>
            <w:r>
              <w:rPr>
                <w:color w:val="000000"/>
                <w:sz w:val="16"/>
                <w:szCs w:val="16"/>
              </w:rPr>
              <w:t>-37.7</w:t>
            </w:r>
          </w:p>
        </w:tc>
        <w:tc>
          <w:tcPr>
            <w:tcW w:w="486" w:type="pct"/>
            <w:tcBorders>
              <w:top w:val="dotted" w:sz="6" w:space="0" w:color="C2D69B" w:themeColor="accent3" w:themeTint="99"/>
              <w:left w:val="nil"/>
              <w:bottom w:val="dotted" w:sz="6" w:space="0" w:color="C2D69B" w:themeColor="accent3" w:themeTint="99"/>
              <w:right w:val="single" w:sz="6" w:space="0" w:color="404040"/>
            </w:tcBorders>
            <w:shd w:val="clear" w:color="auto" w:fill="auto"/>
            <w:vAlign w:val="center"/>
            <w:hideMark/>
          </w:tcPr>
          <w:p w14:paraId="265C0465" w14:textId="5ADF2F6D" w:rsidR="00262FDC" w:rsidRPr="001705B3" w:rsidRDefault="00262FDC" w:rsidP="00262FDC">
            <w:pPr>
              <w:tabs>
                <w:tab w:val="decimal" w:pos="401"/>
              </w:tabs>
              <w:jc w:val="left"/>
              <w:rPr>
                <w:sz w:val="16"/>
                <w:szCs w:val="16"/>
                <w:lang w:val="es-MX" w:eastAsia="es-MX"/>
              </w:rPr>
            </w:pPr>
            <w:r>
              <w:rPr>
                <w:color w:val="000000"/>
                <w:sz w:val="16"/>
                <w:szCs w:val="16"/>
              </w:rPr>
              <w:t>8.2</w:t>
            </w:r>
          </w:p>
        </w:tc>
      </w:tr>
      <w:tr w:rsidR="00262FDC" w:rsidRPr="00F87E34" w14:paraId="160D6936" w14:textId="77777777" w:rsidTr="00262FDC">
        <w:trPr>
          <w:trHeight w:val="397"/>
          <w:jc w:val="center"/>
        </w:trPr>
        <w:tc>
          <w:tcPr>
            <w:tcW w:w="231" w:type="pct"/>
            <w:tcBorders>
              <w:top w:val="dotted" w:sz="6" w:space="0" w:color="C2D69B" w:themeColor="accent3" w:themeTint="99"/>
              <w:left w:val="single" w:sz="6" w:space="0" w:color="404040"/>
              <w:bottom w:val="dotted" w:sz="6" w:space="0" w:color="C2D69B" w:themeColor="accent3" w:themeTint="99"/>
              <w:right w:val="single" w:sz="4" w:space="0" w:color="404040"/>
            </w:tcBorders>
            <w:shd w:val="clear" w:color="auto" w:fill="auto"/>
            <w:vAlign w:val="center"/>
            <w:hideMark/>
          </w:tcPr>
          <w:p w14:paraId="208015C7" w14:textId="77777777" w:rsidR="00262FDC" w:rsidRPr="00F87E34" w:rsidRDefault="00262FDC" w:rsidP="00262FDC">
            <w:pPr>
              <w:ind w:leftChars="-12" w:right="-74" w:hangingChars="18" w:hanging="29"/>
              <w:jc w:val="center"/>
              <w:rPr>
                <w:color w:val="000000"/>
                <w:sz w:val="16"/>
                <w:szCs w:val="16"/>
                <w:lang w:val="es-MX" w:eastAsia="es-MX"/>
              </w:rPr>
            </w:pPr>
            <w:r w:rsidRPr="00F87E34">
              <w:rPr>
                <w:color w:val="000000"/>
                <w:sz w:val="16"/>
                <w:szCs w:val="16"/>
                <w:lang w:val="es-MX" w:eastAsia="es-MX"/>
              </w:rPr>
              <w:t>465</w:t>
            </w:r>
          </w:p>
        </w:tc>
        <w:tc>
          <w:tcPr>
            <w:tcW w:w="2276" w:type="pct"/>
            <w:tcBorders>
              <w:top w:val="dotted" w:sz="6" w:space="0" w:color="C2D69B" w:themeColor="accent3" w:themeTint="99"/>
              <w:left w:val="single" w:sz="4" w:space="0" w:color="404040"/>
              <w:bottom w:val="dotted" w:sz="6" w:space="0" w:color="C2D69B" w:themeColor="accent3" w:themeTint="99"/>
              <w:right w:val="single" w:sz="4" w:space="0" w:color="404040"/>
            </w:tcBorders>
            <w:shd w:val="clear" w:color="auto" w:fill="auto"/>
            <w:vAlign w:val="center"/>
            <w:hideMark/>
          </w:tcPr>
          <w:p w14:paraId="6CD02A83" w14:textId="77777777" w:rsidR="00262FDC" w:rsidRPr="00F87E34" w:rsidRDefault="00262FDC" w:rsidP="00262FDC">
            <w:pPr>
              <w:jc w:val="left"/>
              <w:rPr>
                <w:color w:val="000000"/>
                <w:sz w:val="16"/>
                <w:szCs w:val="16"/>
                <w:lang w:val="es-MX" w:eastAsia="es-MX"/>
              </w:rPr>
            </w:pPr>
            <w:r w:rsidRPr="00F87E34">
              <w:rPr>
                <w:color w:val="000000"/>
                <w:sz w:val="16"/>
                <w:szCs w:val="16"/>
                <w:lang w:val="es-MX" w:eastAsia="es-MX"/>
              </w:rPr>
              <w:t>Artículos de papelería, para el esparcimiento y otros artículos de uso personal</w:t>
            </w:r>
          </w:p>
        </w:tc>
        <w:tc>
          <w:tcPr>
            <w:tcW w:w="611" w:type="pct"/>
            <w:tcBorders>
              <w:top w:val="dotted" w:sz="6" w:space="0" w:color="C2D69B" w:themeColor="accent3" w:themeTint="99"/>
              <w:left w:val="single" w:sz="4" w:space="0" w:color="404040"/>
              <w:bottom w:val="dotted" w:sz="6" w:space="0" w:color="C2D69B" w:themeColor="accent3" w:themeTint="99"/>
              <w:right w:val="nil"/>
            </w:tcBorders>
            <w:shd w:val="clear" w:color="auto" w:fill="auto"/>
            <w:vAlign w:val="center"/>
            <w:hideMark/>
          </w:tcPr>
          <w:p w14:paraId="08FBDEC7" w14:textId="7A4A2CBA" w:rsidR="00262FDC" w:rsidRPr="001705B3" w:rsidRDefault="00262FDC" w:rsidP="00262FDC">
            <w:pPr>
              <w:tabs>
                <w:tab w:val="decimal" w:pos="514"/>
              </w:tabs>
              <w:jc w:val="left"/>
              <w:rPr>
                <w:sz w:val="16"/>
                <w:szCs w:val="16"/>
                <w:lang w:val="es-MX" w:eastAsia="es-MX"/>
              </w:rPr>
            </w:pPr>
            <w:r>
              <w:rPr>
                <w:color w:val="000000"/>
                <w:sz w:val="16"/>
                <w:szCs w:val="16"/>
              </w:rPr>
              <w:t>-11.5</w:t>
            </w:r>
          </w:p>
        </w:tc>
        <w:tc>
          <w:tcPr>
            <w:tcW w:w="470" w:type="pct"/>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419E1D15" w14:textId="22D383C1" w:rsidR="00262FDC" w:rsidRPr="001705B3" w:rsidRDefault="00262FDC" w:rsidP="00262FDC">
            <w:pPr>
              <w:tabs>
                <w:tab w:val="decimal" w:pos="376"/>
              </w:tabs>
              <w:jc w:val="left"/>
              <w:rPr>
                <w:sz w:val="16"/>
                <w:szCs w:val="16"/>
                <w:lang w:val="es-MX" w:eastAsia="es-MX"/>
              </w:rPr>
            </w:pPr>
            <w:r>
              <w:rPr>
                <w:color w:val="000000"/>
                <w:sz w:val="16"/>
                <w:szCs w:val="16"/>
              </w:rPr>
              <w:t>1.1</w:t>
            </w:r>
          </w:p>
        </w:tc>
        <w:tc>
          <w:tcPr>
            <w:tcW w:w="470" w:type="pct"/>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9CE8F95" w14:textId="64E4222C" w:rsidR="00262FDC" w:rsidRPr="001705B3" w:rsidRDefault="00262FDC" w:rsidP="00262FDC">
            <w:pPr>
              <w:tabs>
                <w:tab w:val="decimal" w:pos="389"/>
              </w:tabs>
              <w:jc w:val="left"/>
              <w:rPr>
                <w:sz w:val="16"/>
                <w:szCs w:val="16"/>
                <w:lang w:val="es-MX" w:eastAsia="es-MX"/>
              </w:rPr>
            </w:pPr>
            <w:r>
              <w:rPr>
                <w:color w:val="000000"/>
                <w:sz w:val="16"/>
                <w:szCs w:val="16"/>
              </w:rPr>
              <w:t>1.6</w:t>
            </w:r>
          </w:p>
        </w:tc>
        <w:tc>
          <w:tcPr>
            <w:tcW w:w="456" w:type="pct"/>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346748FB" w14:textId="569A0B0E" w:rsidR="00262FDC" w:rsidRPr="001705B3" w:rsidRDefault="00262FDC" w:rsidP="00262FDC">
            <w:pPr>
              <w:tabs>
                <w:tab w:val="decimal" w:pos="364"/>
              </w:tabs>
              <w:jc w:val="left"/>
              <w:rPr>
                <w:sz w:val="16"/>
                <w:szCs w:val="16"/>
                <w:lang w:val="es-MX" w:eastAsia="es-MX"/>
              </w:rPr>
            </w:pPr>
            <w:r>
              <w:rPr>
                <w:color w:val="000000"/>
                <w:sz w:val="16"/>
                <w:szCs w:val="16"/>
              </w:rPr>
              <w:t>-14.1</w:t>
            </w:r>
          </w:p>
        </w:tc>
        <w:tc>
          <w:tcPr>
            <w:tcW w:w="486" w:type="pct"/>
            <w:tcBorders>
              <w:top w:val="dotted" w:sz="6" w:space="0" w:color="C2D69B" w:themeColor="accent3" w:themeTint="99"/>
              <w:left w:val="nil"/>
              <w:bottom w:val="dotted" w:sz="6" w:space="0" w:color="C2D69B" w:themeColor="accent3" w:themeTint="99"/>
              <w:right w:val="single" w:sz="6" w:space="0" w:color="404040"/>
            </w:tcBorders>
            <w:shd w:val="clear" w:color="auto" w:fill="auto"/>
            <w:vAlign w:val="center"/>
            <w:hideMark/>
          </w:tcPr>
          <w:p w14:paraId="796796B4" w14:textId="1828656A" w:rsidR="00262FDC" w:rsidRPr="001705B3" w:rsidRDefault="00262FDC" w:rsidP="00262FDC">
            <w:pPr>
              <w:tabs>
                <w:tab w:val="decimal" w:pos="401"/>
              </w:tabs>
              <w:jc w:val="left"/>
              <w:rPr>
                <w:sz w:val="16"/>
                <w:szCs w:val="16"/>
                <w:lang w:val="es-MX" w:eastAsia="es-MX"/>
              </w:rPr>
            </w:pPr>
            <w:r>
              <w:rPr>
                <w:color w:val="000000"/>
                <w:sz w:val="16"/>
                <w:szCs w:val="16"/>
              </w:rPr>
              <w:t>11.9</w:t>
            </w:r>
          </w:p>
        </w:tc>
      </w:tr>
      <w:tr w:rsidR="00262FDC" w:rsidRPr="00F87E34" w14:paraId="2AA68ED6" w14:textId="77777777" w:rsidTr="00262FDC">
        <w:trPr>
          <w:trHeight w:val="397"/>
          <w:jc w:val="center"/>
        </w:trPr>
        <w:tc>
          <w:tcPr>
            <w:tcW w:w="231" w:type="pct"/>
            <w:tcBorders>
              <w:top w:val="dotted" w:sz="6" w:space="0" w:color="C2D69B" w:themeColor="accent3" w:themeTint="99"/>
              <w:left w:val="single" w:sz="6" w:space="0" w:color="404040"/>
              <w:bottom w:val="dotted" w:sz="6" w:space="0" w:color="C2D69B" w:themeColor="accent3" w:themeTint="99"/>
              <w:right w:val="single" w:sz="4" w:space="0" w:color="404040"/>
            </w:tcBorders>
            <w:shd w:val="clear" w:color="auto" w:fill="auto"/>
            <w:vAlign w:val="center"/>
            <w:hideMark/>
          </w:tcPr>
          <w:p w14:paraId="1B89ECCC" w14:textId="77777777" w:rsidR="00262FDC" w:rsidRPr="00F87E34" w:rsidRDefault="00262FDC" w:rsidP="00262FDC">
            <w:pPr>
              <w:ind w:leftChars="-12" w:right="-74" w:hangingChars="18" w:hanging="29"/>
              <w:jc w:val="center"/>
              <w:rPr>
                <w:color w:val="000000"/>
                <w:sz w:val="16"/>
                <w:szCs w:val="16"/>
                <w:lang w:val="es-MX" w:eastAsia="es-MX"/>
              </w:rPr>
            </w:pPr>
            <w:r w:rsidRPr="00F87E34">
              <w:rPr>
                <w:color w:val="000000"/>
                <w:sz w:val="16"/>
                <w:szCs w:val="16"/>
                <w:lang w:val="es-MX" w:eastAsia="es-MX"/>
              </w:rPr>
              <w:t>466</w:t>
            </w:r>
          </w:p>
        </w:tc>
        <w:tc>
          <w:tcPr>
            <w:tcW w:w="2276" w:type="pct"/>
            <w:tcBorders>
              <w:top w:val="dotted" w:sz="6" w:space="0" w:color="C2D69B" w:themeColor="accent3" w:themeTint="99"/>
              <w:left w:val="single" w:sz="4" w:space="0" w:color="404040"/>
              <w:bottom w:val="dotted" w:sz="6" w:space="0" w:color="C2D69B" w:themeColor="accent3" w:themeTint="99"/>
              <w:right w:val="single" w:sz="4" w:space="0" w:color="404040"/>
            </w:tcBorders>
            <w:shd w:val="clear" w:color="auto" w:fill="auto"/>
            <w:vAlign w:val="center"/>
            <w:hideMark/>
          </w:tcPr>
          <w:p w14:paraId="154E2015" w14:textId="77777777" w:rsidR="00262FDC" w:rsidRPr="00F87E34" w:rsidRDefault="00262FDC" w:rsidP="00262FDC">
            <w:pPr>
              <w:jc w:val="left"/>
              <w:rPr>
                <w:color w:val="000000"/>
                <w:sz w:val="16"/>
                <w:szCs w:val="16"/>
                <w:lang w:val="es-MX" w:eastAsia="es-MX"/>
              </w:rPr>
            </w:pPr>
            <w:r w:rsidRPr="00F87E34">
              <w:rPr>
                <w:color w:val="000000"/>
                <w:sz w:val="16"/>
                <w:szCs w:val="16"/>
                <w:lang w:val="es-MX" w:eastAsia="es-MX"/>
              </w:rPr>
              <w:t>Enseres domésticos, computadoras, artículos para la decoración de interiores y artículos usados</w:t>
            </w:r>
          </w:p>
        </w:tc>
        <w:tc>
          <w:tcPr>
            <w:tcW w:w="611" w:type="pct"/>
            <w:tcBorders>
              <w:top w:val="dotted" w:sz="6" w:space="0" w:color="C2D69B" w:themeColor="accent3" w:themeTint="99"/>
              <w:left w:val="single" w:sz="4" w:space="0" w:color="404040"/>
              <w:bottom w:val="dotted" w:sz="6" w:space="0" w:color="C2D69B" w:themeColor="accent3" w:themeTint="99"/>
              <w:right w:val="nil"/>
            </w:tcBorders>
            <w:shd w:val="clear" w:color="auto" w:fill="auto"/>
            <w:vAlign w:val="center"/>
            <w:hideMark/>
          </w:tcPr>
          <w:p w14:paraId="71319487" w14:textId="5B761B20" w:rsidR="00262FDC" w:rsidRPr="001705B3" w:rsidRDefault="00262FDC" w:rsidP="00262FDC">
            <w:pPr>
              <w:tabs>
                <w:tab w:val="decimal" w:pos="514"/>
              </w:tabs>
              <w:jc w:val="left"/>
              <w:rPr>
                <w:sz w:val="16"/>
                <w:szCs w:val="16"/>
                <w:lang w:val="es-MX" w:eastAsia="es-MX"/>
              </w:rPr>
            </w:pPr>
            <w:r>
              <w:rPr>
                <w:color w:val="000000"/>
                <w:sz w:val="16"/>
                <w:szCs w:val="16"/>
              </w:rPr>
              <w:t>3.6</w:t>
            </w:r>
          </w:p>
        </w:tc>
        <w:tc>
          <w:tcPr>
            <w:tcW w:w="470" w:type="pct"/>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161BE326" w14:textId="39A39D61" w:rsidR="00262FDC" w:rsidRPr="001705B3" w:rsidRDefault="00262FDC" w:rsidP="00262FDC">
            <w:pPr>
              <w:tabs>
                <w:tab w:val="decimal" w:pos="376"/>
              </w:tabs>
              <w:jc w:val="left"/>
              <w:rPr>
                <w:sz w:val="16"/>
                <w:szCs w:val="16"/>
                <w:lang w:val="es-MX" w:eastAsia="es-MX"/>
              </w:rPr>
            </w:pPr>
            <w:r>
              <w:rPr>
                <w:color w:val="000000"/>
                <w:sz w:val="16"/>
                <w:szCs w:val="16"/>
              </w:rPr>
              <w:t>-1.7</w:t>
            </w:r>
          </w:p>
        </w:tc>
        <w:tc>
          <w:tcPr>
            <w:tcW w:w="470" w:type="pct"/>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46E5F60E" w14:textId="3516C14D" w:rsidR="00262FDC" w:rsidRPr="001705B3" w:rsidRDefault="00262FDC" w:rsidP="00262FDC">
            <w:pPr>
              <w:tabs>
                <w:tab w:val="decimal" w:pos="389"/>
              </w:tabs>
              <w:jc w:val="left"/>
              <w:rPr>
                <w:sz w:val="16"/>
                <w:szCs w:val="16"/>
                <w:lang w:val="es-MX" w:eastAsia="es-MX"/>
              </w:rPr>
            </w:pPr>
            <w:r>
              <w:rPr>
                <w:color w:val="000000"/>
                <w:sz w:val="16"/>
                <w:szCs w:val="16"/>
              </w:rPr>
              <w:t>-1.7</w:t>
            </w:r>
          </w:p>
        </w:tc>
        <w:tc>
          <w:tcPr>
            <w:tcW w:w="456" w:type="pct"/>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7F1D5B56" w14:textId="082C2A3E" w:rsidR="00262FDC" w:rsidRPr="001705B3" w:rsidRDefault="00262FDC" w:rsidP="00262FDC">
            <w:pPr>
              <w:tabs>
                <w:tab w:val="decimal" w:pos="364"/>
              </w:tabs>
              <w:jc w:val="left"/>
              <w:rPr>
                <w:sz w:val="16"/>
                <w:szCs w:val="16"/>
                <w:lang w:val="es-MX" w:eastAsia="es-MX"/>
              </w:rPr>
            </w:pPr>
            <w:r>
              <w:rPr>
                <w:color w:val="000000"/>
                <w:sz w:val="16"/>
                <w:szCs w:val="16"/>
              </w:rPr>
              <w:t>4.9</w:t>
            </w:r>
          </w:p>
        </w:tc>
        <w:tc>
          <w:tcPr>
            <w:tcW w:w="486" w:type="pct"/>
            <w:tcBorders>
              <w:top w:val="dotted" w:sz="6" w:space="0" w:color="C2D69B" w:themeColor="accent3" w:themeTint="99"/>
              <w:left w:val="nil"/>
              <w:bottom w:val="dotted" w:sz="6" w:space="0" w:color="C2D69B" w:themeColor="accent3" w:themeTint="99"/>
              <w:right w:val="single" w:sz="6" w:space="0" w:color="404040"/>
            </w:tcBorders>
            <w:shd w:val="clear" w:color="auto" w:fill="auto"/>
            <w:vAlign w:val="center"/>
            <w:hideMark/>
          </w:tcPr>
          <w:p w14:paraId="2445F3CC" w14:textId="138F391A" w:rsidR="00262FDC" w:rsidRPr="001705B3" w:rsidRDefault="00262FDC" w:rsidP="00262FDC">
            <w:pPr>
              <w:tabs>
                <w:tab w:val="decimal" w:pos="401"/>
              </w:tabs>
              <w:jc w:val="left"/>
              <w:rPr>
                <w:sz w:val="16"/>
                <w:szCs w:val="16"/>
                <w:lang w:val="es-MX" w:eastAsia="es-MX"/>
              </w:rPr>
            </w:pPr>
            <w:r>
              <w:rPr>
                <w:color w:val="000000"/>
                <w:sz w:val="16"/>
                <w:szCs w:val="16"/>
              </w:rPr>
              <w:t>9.8</w:t>
            </w:r>
          </w:p>
        </w:tc>
      </w:tr>
      <w:tr w:rsidR="00262FDC" w:rsidRPr="00F87E34" w14:paraId="2C70ACB2" w14:textId="77777777" w:rsidTr="003F0296">
        <w:trPr>
          <w:trHeight w:val="283"/>
          <w:jc w:val="center"/>
        </w:trPr>
        <w:tc>
          <w:tcPr>
            <w:tcW w:w="231" w:type="pct"/>
            <w:tcBorders>
              <w:top w:val="dotted" w:sz="6" w:space="0" w:color="C2D69B" w:themeColor="accent3" w:themeTint="99"/>
              <w:left w:val="single" w:sz="6" w:space="0" w:color="404040"/>
              <w:bottom w:val="dotted" w:sz="6" w:space="0" w:color="C2D69B" w:themeColor="accent3" w:themeTint="99"/>
              <w:right w:val="single" w:sz="4" w:space="0" w:color="404040"/>
            </w:tcBorders>
            <w:shd w:val="clear" w:color="auto" w:fill="auto"/>
            <w:vAlign w:val="center"/>
            <w:hideMark/>
          </w:tcPr>
          <w:p w14:paraId="52C26449" w14:textId="77777777" w:rsidR="00262FDC" w:rsidRPr="00F87E34" w:rsidRDefault="00262FDC" w:rsidP="00262FDC">
            <w:pPr>
              <w:ind w:leftChars="-12" w:right="-74" w:hangingChars="18" w:hanging="29"/>
              <w:jc w:val="center"/>
              <w:rPr>
                <w:color w:val="000000"/>
                <w:sz w:val="16"/>
                <w:szCs w:val="16"/>
                <w:lang w:val="es-MX" w:eastAsia="es-MX"/>
              </w:rPr>
            </w:pPr>
            <w:r w:rsidRPr="00F87E34">
              <w:rPr>
                <w:color w:val="000000"/>
                <w:sz w:val="16"/>
                <w:szCs w:val="16"/>
                <w:lang w:val="es-MX" w:eastAsia="es-MX"/>
              </w:rPr>
              <w:t>467</w:t>
            </w:r>
          </w:p>
        </w:tc>
        <w:tc>
          <w:tcPr>
            <w:tcW w:w="2276" w:type="pct"/>
            <w:tcBorders>
              <w:top w:val="dotted" w:sz="6" w:space="0" w:color="C2D69B" w:themeColor="accent3" w:themeTint="99"/>
              <w:left w:val="single" w:sz="4" w:space="0" w:color="404040"/>
              <w:bottom w:val="dotted" w:sz="6" w:space="0" w:color="C2D69B" w:themeColor="accent3" w:themeTint="99"/>
              <w:right w:val="single" w:sz="4" w:space="0" w:color="404040"/>
            </w:tcBorders>
            <w:shd w:val="clear" w:color="auto" w:fill="auto"/>
            <w:vAlign w:val="center"/>
            <w:hideMark/>
          </w:tcPr>
          <w:p w14:paraId="068E155F" w14:textId="77777777" w:rsidR="00262FDC" w:rsidRPr="00F87E34" w:rsidRDefault="00262FDC" w:rsidP="00262FDC">
            <w:pPr>
              <w:jc w:val="left"/>
              <w:rPr>
                <w:color w:val="000000"/>
                <w:sz w:val="16"/>
                <w:szCs w:val="16"/>
                <w:lang w:val="es-MX" w:eastAsia="es-MX"/>
              </w:rPr>
            </w:pPr>
            <w:r w:rsidRPr="00F87E34">
              <w:rPr>
                <w:color w:val="000000"/>
                <w:sz w:val="16"/>
                <w:szCs w:val="16"/>
                <w:lang w:val="es-MX" w:eastAsia="es-MX"/>
              </w:rPr>
              <w:t>Artículos de ferretería, tlapalería y vidrios</w:t>
            </w:r>
          </w:p>
        </w:tc>
        <w:tc>
          <w:tcPr>
            <w:tcW w:w="611" w:type="pct"/>
            <w:tcBorders>
              <w:top w:val="dotted" w:sz="6" w:space="0" w:color="C2D69B" w:themeColor="accent3" w:themeTint="99"/>
              <w:left w:val="single" w:sz="4" w:space="0" w:color="404040"/>
              <w:bottom w:val="dotted" w:sz="6" w:space="0" w:color="C2D69B" w:themeColor="accent3" w:themeTint="99"/>
              <w:right w:val="nil"/>
            </w:tcBorders>
            <w:shd w:val="clear" w:color="auto" w:fill="auto"/>
            <w:vAlign w:val="center"/>
            <w:hideMark/>
          </w:tcPr>
          <w:p w14:paraId="13D6909E" w14:textId="09A30221" w:rsidR="00262FDC" w:rsidRPr="001705B3" w:rsidRDefault="00262FDC" w:rsidP="00262FDC">
            <w:pPr>
              <w:tabs>
                <w:tab w:val="decimal" w:pos="514"/>
              </w:tabs>
              <w:jc w:val="left"/>
              <w:rPr>
                <w:sz w:val="16"/>
                <w:szCs w:val="16"/>
                <w:lang w:val="es-MX" w:eastAsia="es-MX"/>
              </w:rPr>
            </w:pPr>
            <w:r>
              <w:rPr>
                <w:color w:val="000000"/>
                <w:sz w:val="16"/>
                <w:szCs w:val="16"/>
              </w:rPr>
              <w:t>-0.1</w:t>
            </w:r>
          </w:p>
        </w:tc>
        <w:tc>
          <w:tcPr>
            <w:tcW w:w="470" w:type="pct"/>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2976AC3B" w14:textId="779B9CF7" w:rsidR="00262FDC" w:rsidRPr="001705B3" w:rsidRDefault="00262FDC" w:rsidP="00262FDC">
            <w:pPr>
              <w:tabs>
                <w:tab w:val="decimal" w:pos="376"/>
              </w:tabs>
              <w:jc w:val="left"/>
              <w:rPr>
                <w:sz w:val="16"/>
                <w:szCs w:val="16"/>
                <w:lang w:val="es-MX" w:eastAsia="es-MX"/>
              </w:rPr>
            </w:pPr>
            <w:r>
              <w:rPr>
                <w:color w:val="000000"/>
                <w:sz w:val="16"/>
                <w:szCs w:val="16"/>
              </w:rPr>
              <w:t>-2.9</w:t>
            </w:r>
          </w:p>
        </w:tc>
        <w:tc>
          <w:tcPr>
            <w:tcW w:w="470" w:type="pct"/>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48BA1B11" w14:textId="19916547" w:rsidR="00262FDC" w:rsidRPr="001705B3" w:rsidRDefault="00262FDC" w:rsidP="00262FDC">
            <w:pPr>
              <w:tabs>
                <w:tab w:val="decimal" w:pos="389"/>
              </w:tabs>
              <w:jc w:val="left"/>
              <w:rPr>
                <w:sz w:val="16"/>
                <w:szCs w:val="16"/>
                <w:lang w:val="es-MX" w:eastAsia="es-MX"/>
              </w:rPr>
            </w:pPr>
            <w:r>
              <w:rPr>
                <w:color w:val="000000"/>
                <w:sz w:val="16"/>
                <w:szCs w:val="16"/>
              </w:rPr>
              <w:t>2.6</w:t>
            </w:r>
          </w:p>
        </w:tc>
        <w:tc>
          <w:tcPr>
            <w:tcW w:w="456" w:type="pct"/>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26AD2788" w14:textId="32DB46B5" w:rsidR="00262FDC" w:rsidRPr="001705B3" w:rsidRDefault="00262FDC" w:rsidP="00262FDC">
            <w:pPr>
              <w:tabs>
                <w:tab w:val="decimal" w:pos="364"/>
              </w:tabs>
              <w:jc w:val="left"/>
              <w:rPr>
                <w:sz w:val="16"/>
                <w:szCs w:val="16"/>
                <w:lang w:val="es-MX" w:eastAsia="es-MX"/>
              </w:rPr>
            </w:pPr>
            <w:r>
              <w:rPr>
                <w:color w:val="000000"/>
                <w:sz w:val="16"/>
                <w:szCs w:val="16"/>
              </w:rPr>
              <w:t>-78.7</w:t>
            </w:r>
          </w:p>
        </w:tc>
        <w:tc>
          <w:tcPr>
            <w:tcW w:w="486" w:type="pct"/>
            <w:tcBorders>
              <w:top w:val="dotted" w:sz="6" w:space="0" w:color="C2D69B" w:themeColor="accent3" w:themeTint="99"/>
              <w:left w:val="nil"/>
              <w:bottom w:val="dotted" w:sz="6" w:space="0" w:color="C2D69B" w:themeColor="accent3" w:themeTint="99"/>
              <w:right w:val="single" w:sz="6" w:space="0" w:color="404040"/>
            </w:tcBorders>
            <w:shd w:val="clear" w:color="auto" w:fill="auto"/>
            <w:vAlign w:val="center"/>
            <w:hideMark/>
          </w:tcPr>
          <w:p w14:paraId="5BD24367" w14:textId="72E9FEB7" w:rsidR="00262FDC" w:rsidRPr="001705B3" w:rsidRDefault="00262FDC" w:rsidP="00262FDC">
            <w:pPr>
              <w:tabs>
                <w:tab w:val="decimal" w:pos="401"/>
              </w:tabs>
              <w:jc w:val="left"/>
              <w:rPr>
                <w:sz w:val="16"/>
                <w:szCs w:val="16"/>
                <w:lang w:val="es-MX" w:eastAsia="es-MX"/>
              </w:rPr>
            </w:pPr>
            <w:r>
              <w:rPr>
                <w:color w:val="000000"/>
                <w:sz w:val="16"/>
                <w:szCs w:val="16"/>
              </w:rPr>
              <w:t>7.8</w:t>
            </w:r>
          </w:p>
        </w:tc>
      </w:tr>
      <w:tr w:rsidR="00262FDC" w:rsidRPr="00F87E34" w14:paraId="31AC8348" w14:textId="77777777" w:rsidTr="003F0296">
        <w:trPr>
          <w:trHeight w:val="283"/>
          <w:jc w:val="center"/>
        </w:trPr>
        <w:tc>
          <w:tcPr>
            <w:tcW w:w="231" w:type="pct"/>
            <w:tcBorders>
              <w:top w:val="dotted" w:sz="6" w:space="0" w:color="C2D69B" w:themeColor="accent3" w:themeTint="99"/>
              <w:left w:val="single" w:sz="6" w:space="0" w:color="404040"/>
              <w:bottom w:val="dotted" w:sz="6" w:space="0" w:color="C2D69B" w:themeColor="accent3" w:themeTint="99"/>
              <w:right w:val="single" w:sz="4" w:space="0" w:color="404040"/>
            </w:tcBorders>
            <w:shd w:val="clear" w:color="auto" w:fill="auto"/>
            <w:vAlign w:val="center"/>
            <w:hideMark/>
          </w:tcPr>
          <w:p w14:paraId="799E002D" w14:textId="77777777" w:rsidR="00262FDC" w:rsidRPr="00F87E34" w:rsidRDefault="00262FDC" w:rsidP="00262FDC">
            <w:pPr>
              <w:ind w:leftChars="-12" w:right="-74" w:hangingChars="18" w:hanging="29"/>
              <w:jc w:val="center"/>
              <w:rPr>
                <w:color w:val="000000"/>
                <w:sz w:val="16"/>
                <w:szCs w:val="16"/>
                <w:lang w:val="es-MX" w:eastAsia="es-MX"/>
              </w:rPr>
            </w:pPr>
            <w:r w:rsidRPr="00F87E34">
              <w:rPr>
                <w:color w:val="000000"/>
                <w:sz w:val="16"/>
                <w:szCs w:val="16"/>
                <w:lang w:val="es-MX" w:eastAsia="es-MX"/>
              </w:rPr>
              <w:t>468</w:t>
            </w:r>
          </w:p>
        </w:tc>
        <w:tc>
          <w:tcPr>
            <w:tcW w:w="2276" w:type="pct"/>
            <w:tcBorders>
              <w:top w:val="dotted" w:sz="6" w:space="0" w:color="C2D69B" w:themeColor="accent3" w:themeTint="99"/>
              <w:left w:val="single" w:sz="4" w:space="0" w:color="404040"/>
              <w:bottom w:val="dotted" w:sz="6" w:space="0" w:color="C2D69B" w:themeColor="accent3" w:themeTint="99"/>
              <w:right w:val="single" w:sz="4" w:space="0" w:color="404040"/>
            </w:tcBorders>
            <w:shd w:val="clear" w:color="auto" w:fill="auto"/>
            <w:vAlign w:val="center"/>
            <w:hideMark/>
          </w:tcPr>
          <w:p w14:paraId="3D79C48B" w14:textId="77777777" w:rsidR="00262FDC" w:rsidRPr="00F87E34" w:rsidRDefault="00262FDC" w:rsidP="00262FDC">
            <w:pPr>
              <w:jc w:val="left"/>
              <w:rPr>
                <w:color w:val="000000"/>
                <w:sz w:val="16"/>
                <w:szCs w:val="16"/>
                <w:lang w:val="es-MX" w:eastAsia="es-MX"/>
              </w:rPr>
            </w:pPr>
            <w:r w:rsidRPr="00F87E34">
              <w:rPr>
                <w:color w:val="000000"/>
                <w:sz w:val="16"/>
                <w:szCs w:val="16"/>
                <w:lang w:val="es-MX" w:eastAsia="es-MX"/>
              </w:rPr>
              <w:t>Vehículos de motor, refacciones, combustibles y lubricantes</w:t>
            </w:r>
          </w:p>
        </w:tc>
        <w:tc>
          <w:tcPr>
            <w:tcW w:w="611" w:type="pct"/>
            <w:tcBorders>
              <w:top w:val="dotted" w:sz="6" w:space="0" w:color="C2D69B" w:themeColor="accent3" w:themeTint="99"/>
              <w:left w:val="single" w:sz="4" w:space="0" w:color="404040"/>
              <w:bottom w:val="dotted" w:sz="6" w:space="0" w:color="C2D69B" w:themeColor="accent3" w:themeTint="99"/>
              <w:right w:val="nil"/>
            </w:tcBorders>
            <w:shd w:val="clear" w:color="auto" w:fill="auto"/>
            <w:vAlign w:val="center"/>
            <w:hideMark/>
          </w:tcPr>
          <w:p w14:paraId="0375EEA1" w14:textId="735689C0" w:rsidR="00262FDC" w:rsidRPr="001705B3" w:rsidRDefault="00262FDC" w:rsidP="00262FDC">
            <w:pPr>
              <w:tabs>
                <w:tab w:val="decimal" w:pos="514"/>
              </w:tabs>
              <w:jc w:val="left"/>
              <w:rPr>
                <w:sz w:val="16"/>
                <w:szCs w:val="16"/>
                <w:lang w:val="es-MX" w:eastAsia="es-MX"/>
              </w:rPr>
            </w:pPr>
            <w:r>
              <w:rPr>
                <w:color w:val="000000"/>
                <w:sz w:val="16"/>
                <w:szCs w:val="16"/>
              </w:rPr>
              <w:t>-4.9</w:t>
            </w:r>
          </w:p>
        </w:tc>
        <w:tc>
          <w:tcPr>
            <w:tcW w:w="470" w:type="pct"/>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5E5039B4" w14:textId="56845ADF" w:rsidR="00262FDC" w:rsidRPr="001705B3" w:rsidRDefault="00262FDC" w:rsidP="00262FDC">
            <w:pPr>
              <w:tabs>
                <w:tab w:val="decimal" w:pos="376"/>
              </w:tabs>
              <w:jc w:val="left"/>
              <w:rPr>
                <w:sz w:val="16"/>
                <w:szCs w:val="16"/>
                <w:lang w:val="es-MX" w:eastAsia="es-MX"/>
              </w:rPr>
            </w:pPr>
            <w:r>
              <w:rPr>
                <w:color w:val="000000"/>
                <w:sz w:val="16"/>
                <w:szCs w:val="16"/>
              </w:rPr>
              <w:t>0.4</w:t>
            </w:r>
          </w:p>
        </w:tc>
        <w:tc>
          <w:tcPr>
            <w:tcW w:w="470" w:type="pct"/>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46C29677" w14:textId="2448712B" w:rsidR="00262FDC" w:rsidRPr="001705B3" w:rsidRDefault="00262FDC" w:rsidP="00262FDC">
            <w:pPr>
              <w:tabs>
                <w:tab w:val="decimal" w:pos="389"/>
              </w:tabs>
              <w:jc w:val="left"/>
              <w:rPr>
                <w:sz w:val="16"/>
                <w:szCs w:val="16"/>
                <w:lang w:val="es-MX" w:eastAsia="es-MX"/>
              </w:rPr>
            </w:pPr>
            <w:r>
              <w:rPr>
                <w:color w:val="000000"/>
                <w:sz w:val="16"/>
                <w:szCs w:val="16"/>
              </w:rPr>
              <w:t>2.1</w:t>
            </w:r>
          </w:p>
        </w:tc>
        <w:tc>
          <w:tcPr>
            <w:tcW w:w="456" w:type="pct"/>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32133889" w14:textId="152BDD12" w:rsidR="00262FDC" w:rsidRPr="001705B3" w:rsidRDefault="00262FDC" w:rsidP="00262FDC">
            <w:pPr>
              <w:tabs>
                <w:tab w:val="decimal" w:pos="364"/>
              </w:tabs>
              <w:jc w:val="left"/>
              <w:rPr>
                <w:sz w:val="16"/>
                <w:szCs w:val="16"/>
                <w:lang w:val="es-MX" w:eastAsia="es-MX"/>
              </w:rPr>
            </w:pPr>
            <w:r>
              <w:rPr>
                <w:color w:val="000000"/>
                <w:sz w:val="16"/>
                <w:szCs w:val="16"/>
              </w:rPr>
              <w:t>-18.9</w:t>
            </w:r>
          </w:p>
        </w:tc>
        <w:tc>
          <w:tcPr>
            <w:tcW w:w="486" w:type="pct"/>
            <w:tcBorders>
              <w:top w:val="dotted" w:sz="6" w:space="0" w:color="C2D69B" w:themeColor="accent3" w:themeTint="99"/>
              <w:left w:val="nil"/>
              <w:bottom w:val="dotted" w:sz="6" w:space="0" w:color="C2D69B" w:themeColor="accent3" w:themeTint="99"/>
              <w:right w:val="single" w:sz="6" w:space="0" w:color="404040"/>
            </w:tcBorders>
            <w:shd w:val="clear" w:color="auto" w:fill="auto"/>
            <w:vAlign w:val="center"/>
            <w:hideMark/>
          </w:tcPr>
          <w:p w14:paraId="266CA96D" w14:textId="1BF02ECF" w:rsidR="00262FDC" w:rsidRPr="001705B3" w:rsidRDefault="00262FDC" w:rsidP="00262FDC">
            <w:pPr>
              <w:tabs>
                <w:tab w:val="decimal" w:pos="401"/>
              </w:tabs>
              <w:jc w:val="left"/>
              <w:rPr>
                <w:sz w:val="16"/>
                <w:szCs w:val="16"/>
                <w:lang w:val="es-MX" w:eastAsia="es-MX"/>
              </w:rPr>
            </w:pPr>
            <w:r>
              <w:rPr>
                <w:color w:val="000000"/>
                <w:sz w:val="16"/>
                <w:szCs w:val="16"/>
              </w:rPr>
              <w:t>8.3</w:t>
            </w:r>
          </w:p>
        </w:tc>
      </w:tr>
      <w:tr w:rsidR="00262FDC" w:rsidRPr="00F87E34" w14:paraId="16EF790E" w14:textId="77777777" w:rsidTr="00262FDC">
        <w:trPr>
          <w:trHeight w:val="397"/>
          <w:jc w:val="center"/>
        </w:trPr>
        <w:tc>
          <w:tcPr>
            <w:tcW w:w="231" w:type="pct"/>
            <w:tcBorders>
              <w:top w:val="dotted" w:sz="6" w:space="0" w:color="C2D69B" w:themeColor="accent3" w:themeTint="99"/>
              <w:left w:val="single" w:sz="6" w:space="0" w:color="404040"/>
              <w:bottom w:val="single" w:sz="6" w:space="0" w:color="404040"/>
              <w:right w:val="single" w:sz="4" w:space="0" w:color="404040"/>
            </w:tcBorders>
            <w:shd w:val="clear" w:color="auto" w:fill="auto"/>
            <w:vAlign w:val="center"/>
            <w:hideMark/>
          </w:tcPr>
          <w:p w14:paraId="42351BFA" w14:textId="77777777" w:rsidR="00262FDC" w:rsidRPr="00F87E34" w:rsidRDefault="00262FDC" w:rsidP="00262FDC">
            <w:pPr>
              <w:ind w:leftChars="-12" w:right="-74" w:hangingChars="18" w:hanging="29"/>
              <w:jc w:val="center"/>
              <w:rPr>
                <w:color w:val="000000"/>
                <w:sz w:val="16"/>
                <w:szCs w:val="16"/>
                <w:lang w:val="es-MX" w:eastAsia="es-MX"/>
              </w:rPr>
            </w:pPr>
            <w:r w:rsidRPr="00F87E34">
              <w:rPr>
                <w:color w:val="000000"/>
                <w:sz w:val="16"/>
                <w:szCs w:val="16"/>
                <w:lang w:val="es-MX" w:eastAsia="es-MX"/>
              </w:rPr>
              <w:t>469</w:t>
            </w:r>
          </w:p>
        </w:tc>
        <w:tc>
          <w:tcPr>
            <w:tcW w:w="2276" w:type="pct"/>
            <w:tcBorders>
              <w:top w:val="dotted" w:sz="6" w:space="0" w:color="C2D69B" w:themeColor="accent3" w:themeTint="99"/>
              <w:left w:val="single" w:sz="4" w:space="0" w:color="404040"/>
              <w:bottom w:val="single" w:sz="6" w:space="0" w:color="404040"/>
              <w:right w:val="single" w:sz="4" w:space="0" w:color="404040"/>
            </w:tcBorders>
            <w:shd w:val="clear" w:color="auto" w:fill="auto"/>
            <w:vAlign w:val="center"/>
            <w:hideMark/>
          </w:tcPr>
          <w:p w14:paraId="0A7F0FDA" w14:textId="7C65F00D" w:rsidR="00262FDC" w:rsidRPr="00F87E34" w:rsidRDefault="00262FDC" w:rsidP="00262FDC">
            <w:pPr>
              <w:jc w:val="left"/>
              <w:rPr>
                <w:color w:val="000000"/>
                <w:sz w:val="16"/>
                <w:szCs w:val="16"/>
                <w:lang w:val="es-MX" w:eastAsia="es-MX"/>
              </w:rPr>
            </w:pPr>
            <w:r w:rsidRPr="00F87E34">
              <w:rPr>
                <w:color w:val="000000"/>
                <w:sz w:val="16"/>
                <w:szCs w:val="16"/>
                <w:lang w:val="es-MX" w:eastAsia="es-MX"/>
              </w:rPr>
              <w:t xml:space="preserve">Exclusivamente a través de </w:t>
            </w:r>
            <w:r>
              <w:rPr>
                <w:color w:val="000000"/>
                <w:sz w:val="16"/>
                <w:szCs w:val="16"/>
                <w:lang w:val="es-MX" w:eastAsia="es-MX"/>
              </w:rPr>
              <w:t>i</w:t>
            </w:r>
            <w:r w:rsidRPr="00F87E34">
              <w:rPr>
                <w:color w:val="000000"/>
                <w:sz w:val="16"/>
                <w:szCs w:val="16"/>
                <w:lang w:val="es-MX" w:eastAsia="es-MX"/>
              </w:rPr>
              <w:t>nternet, y catálogos impresos, televisión y similares</w:t>
            </w:r>
          </w:p>
        </w:tc>
        <w:tc>
          <w:tcPr>
            <w:tcW w:w="611" w:type="pct"/>
            <w:tcBorders>
              <w:top w:val="dotted" w:sz="6" w:space="0" w:color="C2D69B" w:themeColor="accent3" w:themeTint="99"/>
              <w:left w:val="single" w:sz="4" w:space="0" w:color="404040"/>
              <w:bottom w:val="single" w:sz="6" w:space="0" w:color="404040"/>
              <w:right w:val="nil"/>
            </w:tcBorders>
            <w:shd w:val="clear" w:color="auto" w:fill="auto"/>
            <w:vAlign w:val="center"/>
            <w:hideMark/>
          </w:tcPr>
          <w:p w14:paraId="478FE35B" w14:textId="0FBF5C86" w:rsidR="00262FDC" w:rsidRPr="001705B3" w:rsidRDefault="00262FDC" w:rsidP="00262FDC">
            <w:pPr>
              <w:tabs>
                <w:tab w:val="decimal" w:pos="514"/>
              </w:tabs>
              <w:jc w:val="left"/>
              <w:rPr>
                <w:sz w:val="16"/>
                <w:szCs w:val="16"/>
                <w:lang w:val="es-MX" w:eastAsia="es-MX"/>
              </w:rPr>
            </w:pPr>
            <w:r>
              <w:rPr>
                <w:color w:val="000000"/>
                <w:sz w:val="16"/>
                <w:szCs w:val="16"/>
              </w:rPr>
              <w:t>15.7</w:t>
            </w:r>
          </w:p>
        </w:tc>
        <w:tc>
          <w:tcPr>
            <w:tcW w:w="470" w:type="pct"/>
            <w:tcBorders>
              <w:top w:val="dotted" w:sz="6" w:space="0" w:color="C2D69B" w:themeColor="accent3" w:themeTint="99"/>
              <w:left w:val="nil"/>
              <w:bottom w:val="single" w:sz="6" w:space="0" w:color="404040"/>
              <w:right w:val="nil"/>
            </w:tcBorders>
            <w:shd w:val="clear" w:color="auto" w:fill="auto"/>
            <w:vAlign w:val="center"/>
            <w:hideMark/>
          </w:tcPr>
          <w:p w14:paraId="7611E6A2" w14:textId="1E9134C7" w:rsidR="00262FDC" w:rsidRPr="001705B3" w:rsidRDefault="00262FDC" w:rsidP="00262FDC">
            <w:pPr>
              <w:tabs>
                <w:tab w:val="decimal" w:pos="376"/>
              </w:tabs>
              <w:jc w:val="left"/>
              <w:rPr>
                <w:sz w:val="16"/>
                <w:szCs w:val="16"/>
                <w:lang w:val="es-MX" w:eastAsia="es-MX"/>
              </w:rPr>
            </w:pPr>
            <w:r>
              <w:rPr>
                <w:color w:val="000000"/>
                <w:sz w:val="16"/>
                <w:szCs w:val="16"/>
              </w:rPr>
              <w:t>12.7</w:t>
            </w:r>
          </w:p>
        </w:tc>
        <w:tc>
          <w:tcPr>
            <w:tcW w:w="470" w:type="pct"/>
            <w:tcBorders>
              <w:top w:val="dotted" w:sz="6" w:space="0" w:color="C2D69B" w:themeColor="accent3" w:themeTint="99"/>
              <w:left w:val="nil"/>
              <w:bottom w:val="single" w:sz="6" w:space="0" w:color="404040"/>
              <w:right w:val="nil"/>
            </w:tcBorders>
            <w:shd w:val="clear" w:color="auto" w:fill="auto"/>
            <w:vAlign w:val="center"/>
            <w:hideMark/>
          </w:tcPr>
          <w:p w14:paraId="27C9C71E" w14:textId="4DD6A1A7" w:rsidR="00262FDC" w:rsidRPr="001705B3" w:rsidRDefault="00262FDC" w:rsidP="00262FDC">
            <w:pPr>
              <w:tabs>
                <w:tab w:val="decimal" w:pos="389"/>
              </w:tabs>
              <w:jc w:val="left"/>
              <w:rPr>
                <w:sz w:val="16"/>
                <w:szCs w:val="16"/>
                <w:lang w:val="es-MX" w:eastAsia="es-MX"/>
              </w:rPr>
            </w:pPr>
            <w:r>
              <w:rPr>
                <w:color w:val="000000"/>
                <w:sz w:val="16"/>
                <w:szCs w:val="16"/>
              </w:rPr>
              <w:t>16.1</w:t>
            </w:r>
          </w:p>
        </w:tc>
        <w:tc>
          <w:tcPr>
            <w:tcW w:w="456" w:type="pct"/>
            <w:tcBorders>
              <w:top w:val="dotted" w:sz="6" w:space="0" w:color="C2D69B" w:themeColor="accent3" w:themeTint="99"/>
              <w:left w:val="nil"/>
              <w:bottom w:val="single" w:sz="6" w:space="0" w:color="404040"/>
              <w:right w:val="nil"/>
            </w:tcBorders>
            <w:shd w:val="clear" w:color="auto" w:fill="auto"/>
            <w:vAlign w:val="center"/>
            <w:hideMark/>
          </w:tcPr>
          <w:p w14:paraId="02E8A3E4" w14:textId="4A64204D" w:rsidR="00262FDC" w:rsidRPr="001705B3" w:rsidRDefault="00262FDC" w:rsidP="00262FDC">
            <w:pPr>
              <w:tabs>
                <w:tab w:val="decimal" w:pos="364"/>
              </w:tabs>
              <w:jc w:val="left"/>
              <w:rPr>
                <w:sz w:val="16"/>
                <w:szCs w:val="16"/>
                <w:lang w:val="es-MX" w:eastAsia="es-MX"/>
              </w:rPr>
            </w:pPr>
            <w:r>
              <w:rPr>
                <w:color w:val="000000"/>
                <w:sz w:val="16"/>
                <w:szCs w:val="16"/>
              </w:rPr>
              <w:t>-39.7</w:t>
            </w:r>
          </w:p>
        </w:tc>
        <w:tc>
          <w:tcPr>
            <w:tcW w:w="486" w:type="pct"/>
            <w:tcBorders>
              <w:top w:val="dotted" w:sz="6" w:space="0" w:color="C2D69B" w:themeColor="accent3" w:themeTint="99"/>
              <w:left w:val="nil"/>
              <w:bottom w:val="single" w:sz="6" w:space="0" w:color="404040"/>
              <w:right w:val="single" w:sz="6" w:space="0" w:color="404040"/>
            </w:tcBorders>
            <w:shd w:val="clear" w:color="auto" w:fill="auto"/>
            <w:vAlign w:val="center"/>
            <w:hideMark/>
          </w:tcPr>
          <w:p w14:paraId="31E41B13" w14:textId="463EF100" w:rsidR="00262FDC" w:rsidRPr="001705B3" w:rsidRDefault="00262FDC" w:rsidP="00262FDC">
            <w:pPr>
              <w:tabs>
                <w:tab w:val="decimal" w:pos="401"/>
              </w:tabs>
              <w:jc w:val="left"/>
              <w:rPr>
                <w:sz w:val="16"/>
                <w:szCs w:val="16"/>
                <w:lang w:val="es-MX" w:eastAsia="es-MX"/>
              </w:rPr>
            </w:pPr>
            <w:r>
              <w:rPr>
                <w:color w:val="000000"/>
                <w:sz w:val="16"/>
                <w:szCs w:val="16"/>
              </w:rPr>
              <w:t>22.1</w:t>
            </w:r>
          </w:p>
        </w:tc>
      </w:tr>
    </w:tbl>
    <w:p w14:paraId="5F97FDE6" w14:textId="1BA45234" w:rsidR="00B04C48" w:rsidRPr="00F87E34" w:rsidRDefault="00B04C48" w:rsidP="00A22233">
      <w:pPr>
        <w:pStyle w:val="Textoindependiente"/>
        <w:widowControl w:val="0"/>
        <w:tabs>
          <w:tab w:val="left" w:pos="709"/>
        </w:tabs>
        <w:spacing w:before="0"/>
        <w:ind w:left="1134" w:hanging="992"/>
        <w:rPr>
          <w:color w:val="auto"/>
          <w:sz w:val="16"/>
          <w:szCs w:val="16"/>
        </w:rPr>
      </w:pPr>
      <w:r w:rsidRPr="00F87E34">
        <w:rPr>
          <w:color w:val="auto"/>
          <w:sz w:val="18"/>
          <w:szCs w:val="18"/>
          <w:vertAlign w:val="superscript"/>
        </w:rPr>
        <w:t>p/</w:t>
      </w:r>
      <w:r w:rsidRPr="00F87E34">
        <w:rPr>
          <w:color w:val="auto"/>
          <w:sz w:val="18"/>
          <w:szCs w:val="18"/>
          <w:vertAlign w:val="superscript"/>
        </w:rPr>
        <w:tab/>
      </w:r>
      <w:r w:rsidRPr="00F87E34">
        <w:rPr>
          <w:color w:val="auto"/>
          <w:sz w:val="16"/>
          <w:szCs w:val="16"/>
        </w:rPr>
        <w:t>Cifras preliminares</w:t>
      </w:r>
      <w:r w:rsidR="005F6822">
        <w:rPr>
          <w:color w:val="auto"/>
          <w:sz w:val="16"/>
          <w:szCs w:val="16"/>
        </w:rPr>
        <w:t>.</w:t>
      </w:r>
    </w:p>
    <w:p w14:paraId="64F45C1C" w14:textId="09F24B5E" w:rsidR="00B04C48" w:rsidRPr="00F87E34" w:rsidRDefault="00B04C48" w:rsidP="00A22233">
      <w:pPr>
        <w:pStyle w:val="Textoindependiente"/>
        <w:widowControl w:val="0"/>
        <w:tabs>
          <w:tab w:val="left" w:pos="709"/>
        </w:tabs>
        <w:spacing w:before="0"/>
        <w:ind w:left="1134" w:hanging="992"/>
        <w:rPr>
          <w:color w:val="auto"/>
          <w:sz w:val="16"/>
          <w:szCs w:val="16"/>
        </w:rPr>
      </w:pPr>
      <w:r w:rsidRPr="00F87E34">
        <w:rPr>
          <w:color w:val="auto"/>
          <w:position w:val="-2"/>
          <w:sz w:val="18"/>
          <w:szCs w:val="16"/>
          <w:vertAlign w:val="superscript"/>
        </w:rPr>
        <w:t>1/</w:t>
      </w:r>
      <w:r w:rsidRPr="00F87E34">
        <w:rPr>
          <w:color w:val="auto"/>
          <w:sz w:val="16"/>
          <w:szCs w:val="16"/>
        </w:rPr>
        <w:tab/>
        <w:t>En términos reales</w:t>
      </w:r>
      <w:r w:rsidR="005F6822">
        <w:rPr>
          <w:color w:val="auto"/>
          <w:sz w:val="16"/>
          <w:szCs w:val="16"/>
        </w:rPr>
        <w:t>.</w:t>
      </w:r>
    </w:p>
    <w:p w14:paraId="463B45BC" w14:textId="1F42A13C" w:rsidR="00B04C48" w:rsidRPr="00F87E34" w:rsidRDefault="00B04C48" w:rsidP="00A22233">
      <w:pPr>
        <w:pStyle w:val="Textoindependiente"/>
        <w:widowControl w:val="0"/>
        <w:tabs>
          <w:tab w:val="left" w:pos="709"/>
        </w:tabs>
        <w:spacing w:before="0"/>
        <w:ind w:left="1134" w:hanging="992"/>
        <w:rPr>
          <w:color w:val="auto"/>
          <w:sz w:val="16"/>
          <w:szCs w:val="16"/>
        </w:rPr>
      </w:pPr>
      <w:r w:rsidRPr="00923F56">
        <w:rPr>
          <w:color w:val="auto"/>
          <w:position w:val="-2"/>
          <w:sz w:val="18"/>
          <w:szCs w:val="16"/>
          <w:vertAlign w:val="superscript"/>
        </w:rPr>
        <w:t>2/</w:t>
      </w:r>
      <w:r w:rsidRPr="00923F56">
        <w:rPr>
          <w:color w:val="auto"/>
          <w:sz w:val="16"/>
          <w:szCs w:val="16"/>
        </w:rPr>
        <w:tab/>
        <w:t xml:space="preserve">Personal </w:t>
      </w:r>
      <w:r w:rsidR="009946FB" w:rsidRPr="00923F56">
        <w:rPr>
          <w:color w:val="auto"/>
          <w:sz w:val="16"/>
          <w:szCs w:val="16"/>
        </w:rPr>
        <w:t>contrata</w:t>
      </w:r>
      <w:r w:rsidR="00923F56" w:rsidRPr="00923F56">
        <w:rPr>
          <w:color w:val="auto"/>
          <w:sz w:val="16"/>
          <w:szCs w:val="16"/>
        </w:rPr>
        <w:t>do y proporcionado por</w:t>
      </w:r>
      <w:r w:rsidRPr="00923F56">
        <w:rPr>
          <w:color w:val="auto"/>
          <w:sz w:val="16"/>
          <w:szCs w:val="16"/>
        </w:rPr>
        <w:t xml:space="preserve"> otra razón social</w:t>
      </w:r>
      <w:r w:rsidR="00923F56" w:rsidRPr="00923F56">
        <w:rPr>
          <w:color w:val="auto"/>
          <w:sz w:val="16"/>
          <w:szCs w:val="16"/>
        </w:rPr>
        <w:t xml:space="preserve"> y por </w:t>
      </w:r>
      <w:r w:rsidR="009946FB" w:rsidRPr="00923F56">
        <w:rPr>
          <w:color w:val="auto"/>
          <w:sz w:val="16"/>
          <w:szCs w:val="16"/>
        </w:rPr>
        <w:t>honorarios</w:t>
      </w:r>
      <w:r w:rsidR="00923F56" w:rsidRPr="00923F56">
        <w:rPr>
          <w:color w:val="auto"/>
          <w:sz w:val="16"/>
          <w:szCs w:val="16"/>
        </w:rPr>
        <w:t xml:space="preserve"> o comisiones sin sueldo o salario fijo</w:t>
      </w:r>
      <w:r w:rsidR="009946FB" w:rsidRPr="00923F56">
        <w:rPr>
          <w:color w:val="auto"/>
          <w:sz w:val="16"/>
          <w:szCs w:val="16"/>
        </w:rPr>
        <w:t>.</w:t>
      </w:r>
    </w:p>
    <w:p w14:paraId="0D7E8C2C" w14:textId="6E545C5E" w:rsidR="00B04C48" w:rsidRPr="00F87E34" w:rsidRDefault="00B04C48" w:rsidP="00A22233">
      <w:pPr>
        <w:pStyle w:val="Textoindependiente"/>
        <w:widowControl w:val="0"/>
        <w:tabs>
          <w:tab w:val="left" w:pos="709"/>
        </w:tabs>
        <w:spacing w:before="0"/>
        <w:ind w:left="1134" w:hanging="992"/>
        <w:rPr>
          <w:color w:val="auto"/>
          <w:sz w:val="16"/>
          <w:szCs w:val="16"/>
        </w:rPr>
      </w:pPr>
      <w:r w:rsidRPr="00F87E34">
        <w:rPr>
          <w:color w:val="auto"/>
          <w:sz w:val="16"/>
          <w:szCs w:val="16"/>
        </w:rPr>
        <w:t>Fuente:</w:t>
      </w:r>
      <w:r w:rsidRPr="00F87E34">
        <w:rPr>
          <w:color w:val="auto"/>
          <w:sz w:val="16"/>
          <w:szCs w:val="16"/>
        </w:rPr>
        <w:tab/>
      </w:r>
      <w:r w:rsidR="00F24107" w:rsidRPr="00F24107">
        <w:rPr>
          <w:smallCaps/>
          <w:color w:val="auto"/>
          <w:sz w:val="16"/>
          <w:szCs w:val="16"/>
        </w:rPr>
        <w:t>inegi</w:t>
      </w:r>
      <w:r w:rsidR="00F24107">
        <w:rPr>
          <w:color w:val="auto"/>
          <w:sz w:val="16"/>
          <w:szCs w:val="16"/>
        </w:rPr>
        <w:t xml:space="preserve">. </w:t>
      </w:r>
      <w:r w:rsidR="00F24107" w:rsidRPr="00F24107">
        <w:rPr>
          <w:color w:val="auto"/>
          <w:sz w:val="16"/>
          <w:szCs w:val="16"/>
        </w:rPr>
        <w:t>Encuesta Mensual sobre Empresas Comerciales (</w:t>
      </w:r>
      <w:r w:rsidR="00F24107" w:rsidRPr="00F24107">
        <w:rPr>
          <w:smallCaps/>
          <w:color w:val="auto"/>
          <w:sz w:val="16"/>
          <w:szCs w:val="16"/>
        </w:rPr>
        <w:t>emec</w:t>
      </w:r>
      <w:r w:rsidR="00F24107" w:rsidRPr="00F24107">
        <w:rPr>
          <w:color w:val="auto"/>
          <w:sz w:val="16"/>
          <w:szCs w:val="16"/>
        </w:rPr>
        <w:t>)</w:t>
      </w:r>
      <w:r w:rsidR="00F24107">
        <w:rPr>
          <w:color w:val="auto"/>
          <w:sz w:val="16"/>
          <w:szCs w:val="16"/>
        </w:rPr>
        <w:t>, 2023.</w:t>
      </w:r>
    </w:p>
    <w:p w14:paraId="38F72E09" w14:textId="77777777" w:rsidR="00B04C48" w:rsidRPr="00F87E34" w:rsidRDefault="00B04C48">
      <w:pPr>
        <w:jc w:val="left"/>
        <w:rPr>
          <w:sz w:val="20"/>
          <w:szCs w:val="20"/>
        </w:rPr>
      </w:pPr>
      <w:r w:rsidRPr="00F87E34">
        <w:rPr>
          <w:sz w:val="20"/>
          <w:szCs w:val="20"/>
        </w:rPr>
        <w:br w:type="page"/>
      </w:r>
    </w:p>
    <w:p w14:paraId="4646C032" w14:textId="0745A047" w:rsidR="00467BD1" w:rsidRPr="00F87E34" w:rsidRDefault="00467BD1" w:rsidP="00CA2057">
      <w:pPr>
        <w:widowControl w:val="0"/>
        <w:spacing w:before="360"/>
        <w:jc w:val="center"/>
        <w:rPr>
          <w:sz w:val="20"/>
          <w:szCs w:val="20"/>
        </w:rPr>
      </w:pPr>
      <w:r w:rsidRPr="00F87E34">
        <w:rPr>
          <w:sz w:val="20"/>
          <w:szCs w:val="20"/>
        </w:rPr>
        <w:lastRenderedPageBreak/>
        <w:t xml:space="preserve">Cuadro </w:t>
      </w:r>
      <w:r w:rsidR="009B6BBB">
        <w:rPr>
          <w:sz w:val="20"/>
          <w:szCs w:val="20"/>
        </w:rPr>
        <w:t>2</w:t>
      </w:r>
    </w:p>
    <w:p w14:paraId="3B286955" w14:textId="5259F4B3" w:rsidR="00B36B9B" w:rsidRPr="003D4A98" w:rsidRDefault="005F6822" w:rsidP="005F6822">
      <w:pPr>
        <w:widowControl w:val="0"/>
        <w:jc w:val="center"/>
        <w:rPr>
          <w:bCs/>
          <w:sz w:val="20"/>
          <w:szCs w:val="20"/>
        </w:rPr>
      </w:pPr>
      <w:r w:rsidRPr="003D4A98">
        <w:rPr>
          <w:b/>
          <w:smallCaps/>
          <w:sz w:val="22"/>
          <w:szCs w:val="22"/>
        </w:rPr>
        <w:t>Variación de los i</w:t>
      </w:r>
      <w:r w:rsidR="008679CD" w:rsidRPr="003D4A98">
        <w:rPr>
          <w:b/>
          <w:smallCaps/>
          <w:sz w:val="22"/>
          <w:szCs w:val="22"/>
        </w:rPr>
        <w:t xml:space="preserve">ndicadores de empresas comerciales </w:t>
      </w:r>
      <w:r w:rsidR="00467BD1" w:rsidRPr="003D4A98">
        <w:rPr>
          <w:b/>
          <w:smallCaps/>
          <w:sz w:val="22"/>
          <w:szCs w:val="22"/>
        </w:rPr>
        <w:br/>
        <w:t>por entidad federativa</w:t>
      </w:r>
      <w:r w:rsidR="00BD4BEF" w:rsidRPr="003D4A98">
        <w:rPr>
          <w:b/>
          <w:smallCaps/>
          <w:sz w:val="22"/>
          <w:szCs w:val="22"/>
        </w:rPr>
        <w:t xml:space="preserve"> </w:t>
      </w:r>
      <w:r w:rsidR="00467BD1" w:rsidRPr="003D4A98">
        <w:rPr>
          <w:b/>
          <w:smallCaps/>
          <w:sz w:val="22"/>
          <w:szCs w:val="22"/>
        </w:rPr>
        <w:t xml:space="preserve">según sector de actividad </w:t>
      </w:r>
      <w:r w:rsidR="00467BD1" w:rsidRPr="003D4A98">
        <w:rPr>
          <w:b/>
          <w:smallCaps/>
          <w:sz w:val="22"/>
          <w:szCs w:val="22"/>
        </w:rPr>
        <w:br/>
      </w:r>
      <w:r w:rsidR="00C87826" w:rsidRPr="003D4A98">
        <w:rPr>
          <w:bCs/>
          <w:sz w:val="20"/>
          <w:szCs w:val="20"/>
        </w:rPr>
        <w:t>septiembre</w:t>
      </w:r>
      <w:r w:rsidR="00467BD1" w:rsidRPr="003D4A98">
        <w:rPr>
          <w:bCs/>
          <w:sz w:val="20"/>
          <w:szCs w:val="20"/>
          <w:vertAlign w:val="superscript"/>
        </w:rPr>
        <w:t>p</w:t>
      </w:r>
      <w:r w:rsidR="00467BD1" w:rsidRPr="003D4A98">
        <w:rPr>
          <w:bCs/>
          <w:smallCaps/>
          <w:sz w:val="20"/>
          <w:szCs w:val="20"/>
          <w:vertAlign w:val="superscript"/>
        </w:rPr>
        <w:t>/</w:t>
      </w:r>
      <w:r w:rsidR="00467BD1" w:rsidRPr="003D4A98">
        <w:rPr>
          <w:bCs/>
          <w:smallCaps/>
          <w:sz w:val="20"/>
          <w:szCs w:val="20"/>
        </w:rPr>
        <w:t xml:space="preserve"> </w:t>
      </w:r>
      <w:r w:rsidR="00467BD1" w:rsidRPr="003D4A98">
        <w:rPr>
          <w:bCs/>
          <w:sz w:val="20"/>
          <w:szCs w:val="20"/>
        </w:rPr>
        <w:t xml:space="preserve">de </w:t>
      </w:r>
      <w:r w:rsidR="00DF5A6D" w:rsidRPr="003D4A98">
        <w:rPr>
          <w:bCs/>
          <w:sz w:val="20"/>
          <w:szCs w:val="20"/>
        </w:rPr>
        <w:t>202</w:t>
      </w:r>
      <w:r w:rsidR="00725B90" w:rsidRPr="003D4A98">
        <w:rPr>
          <w:bCs/>
          <w:sz w:val="20"/>
          <w:szCs w:val="20"/>
        </w:rPr>
        <w:t>3</w:t>
      </w:r>
    </w:p>
    <w:p w14:paraId="483A3173" w14:textId="77777777" w:rsidR="00C87826" w:rsidRPr="00C15DA7" w:rsidRDefault="00C87826" w:rsidP="00C87826">
      <w:pPr>
        <w:pStyle w:val="p0"/>
        <w:keepLines w:val="0"/>
        <w:widowControl/>
        <w:spacing w:before="0"/>
        <w:jc w:val="center"/>
        <w:rPr>
          <w:rFonts w:ascii="Arial" w:hAnsi="Arial"/>
          <w:bCs/>
          <w:color w:val="auto"/>
          <w:sz w:val="20"/>
          <w:szCs w:val="20"/>
        </w:rPr>
      </w:pPr>
      <w:r w:rsidRPr="003D4A98">
        <w:rPr>
          <w:rFonts w:ascii="Arial" w:hAnsi="Arial"/>
          <w:bCs/>
          <w:color w:val="auto"/>
          <w:sz w:val="18"/>
          <w:szCs w:val="18"/>
        </w:rPr>
        <w:t>(variación porcentual anual)</w:t>
      </w:r>
    </w:p>
    <w:tbl>
      <w:tblPr>
        <w:tblW w:w="5000" w:type="pct"/>
        <w:jc w:val="center"/>
        <w:tblBorders>
          <w:top w:val="single" w:sz="12" w:space="0" w:color="4F6228" w:themeColor="accent3" w:themeShade="80"/>
          <w:left w:val="single" w:sz="12" w:space="0" w:color="4F6228" w:themeColor="accent3" w:themeShade="80"/>
          <w:bottom w:val="single" w:sz="12" w:space="0" w:color="4F6228" w:themeColor="accent3" w:themeShade="80"/>
          <w:right w:val="single" w:sz="12" w:space="0" w:color="4F6228" w:themeColor="accent3" w:themeShade="80"/>
          <w:insideH w:val="single" w:sz="8" w:space="0" w:color="FFFFFF" w:themeColor="background1"/>
          <w:insideV w:val="single" w:sz="8" w:space="0" w:color="FFFFFF" w:themeColor="background1"/>
        </w:tblBorders>
        <w:tblCellMar>
          <w:left w:w="0" w:type="dxa"/>
          <w:right w:w="0" w:type="dxa"/>
        </w:tblCellMar>
        <w:tblLook w:val="0000" w:firstRow="0" w:lastRow="0" w:firstColumn="0" w:lastColumn="0" w:noHBand="0" w:noVBand="0"/>
      </w:tblPr>
      <w:tblGrid>
        <w:gridCol w:w="2653"/>
        <w:gridCol w:w="1239"/>
        <w:gridCol w:w="1168"/>
        <w:gridCol w:w="1246"/>
        <w:gridCol w:w="1323"/>
        <w:gridCol w:w="1169"/>
        <w:gridCol w:w="1160"/>
      </w:tblGrid>
      <w:tr w:rsidR="00B36B9B" w:rsidRPr="00F87E34" w14:paraId="1D8941CF" w14:textId="77777777" w:rsidTr="00262FDC">
        <w:trPr>
          <w:trHeight w:val="20"/>
          <w:jc w:val="center"/>
        </w:trPr>
        <w:tc>
          <w:tcPr>
            <w:tcW w:w="2675" w:type="dxa"/>
            <w:vMerge w:val="restart"/>
            <w:tcBorders>
              <w:top w:val="single" w:sz="6" w:space="0" w:color="404040"/>
              <w:left w:val="single" w:sz="6" w:space="0" w:color="404040"/>
              <w:bottom w:val="single" w:sz="4" w:space="0" w:color="404040"/>
              <w:right w:val="single" w:sz="4" w:space="0" w:color="404040"/>
            </w:tcBorders>
            <w:shd w:val="clear" w:color="auto" w:fill="D7E4BD"/>
            <w:vAlign w:val="center"/>
          </w:tcPr>
          <w:p w14:paraId="1E52411C" w14:textId="0A10A042" w:rsidR="00B36B9B" w:rsidRPr="00F87E34" w:rsidRDefault="00B36B9B" w:rsidP="00060F31">
            <w:pPr>
              <w:spacing w:before="20" w:after="20"/>
              <w:ind w:firstLine="125"/>
              <w:jc w:val="left"/>
              <w:rPr>
                <w:bCs/>
                <w:sz w:val="16"/>
                <w:szCs w:val="16"/>
              </w:rPr>
            </w:pPr>
            <w:r w:rsidRPr="00F87E34">
              <w:rPr>
                <w:bCs/>
                <w:sz w:val="16"/>
                <w:szCs w:val="16"/>
              </w:rPr>
              <w:t>Entidad</w:t>
            </w:r>
          </w:p>
        </w:tc>
        <w:tc>
          <w:tcPr>
            <w:tcW w:w="3642" w:type="dxa"/>
            <w:gridSpan w:val="3"/>
            <w:tcBorders>
              <w:top w:val="single" w:sz="6" w:space="0" w:color="404040"/>
              <w:left w:val="single" w:sz="4" w:space="0" w:color="404040"/>
              <w:bottom w:val="single" w:sz="4" w:space="0" w:color="404040"/>
              <w:right w:val="single" w:sz="4" w:space="0" w:color="404040"/>
            </w:tcBorders>
            <w:shd w:val="clear" w:color="auto" w:fill="D7E4BD"/>
            <w:vAlign w:val="center"/>
          </w:tcPr>
          <w:p w14:paraId="54988917" w14:textId="77B30222" w:rsidR="00B36B9B" w:rsidRPr="00F87E34" w:rsidRDefault="00B36B9B" w:rsidP="00FB4F25">
            <w:pPr>
              <w:spacing w:before="40" w:after="40"/>
              <w:jc w:val="center"/>
              <w:rPr>
                <w:color w:val="000000"/>
                <w:sz w:val="16"/>
                <w:szCs w:val="18"/>
              </w:rPr>
            </w:pPr>
            <w:r w:rsidRPr="00F87E34">
              <w:rPr>
                <w:color w:val="000000"/>
                <w:sz w:val="16"/>
                <w:szCs w:val="18"/>
              </w:rPr>
              <w:t xml:space="preserve">Empresas comerciales </w:t>
            </w:r>
            <w:r w:rsidRPr="00F87E34">
              <w:rPr>
                <w:color w:val="000000"/>
                <w:sz w:val="16"/>
                <w:szCs w:val="18"/>
              </w:rPr>
              <w:br/>
              <w:t>al por mayor</w:t>
            </w:r>
          </w:p>
        </w:tc>
        <w:tc>
          <w:tcPr>
            <w:tcW w:w="3641" w:type="dxa"/>
            <w:gridSpan w:val="3"/>
            <w:tcBorders>
              <w:top w:val="single" w:sz="6" w:space="0" w:color="404040"/>
              <w:left w:val="single" w:sz="4" w:space="0" w:color="404040"/>
              <w:bottom w:val="single" w:sz="4" w:space="0" w:color="404040"/>
              <w:right w:val="single" w:sz="6" w:space="0" w:color="404040"/>
            </w:tcBorders>
            <w:shd w:val="clear" w:color="auto" w:fill="D7E4BD"/>
            <w:vAlign w:val="center"/>
          </w:tcPr>
          <w:p w14:paraId="7AD020DA" w14:textId="422EA4A0" w:rsidR="00B36B9B" w:rsidRPr="00F87E34" w:rsidRDefault="00B36B9B" w:rsidP="00FB4F25">
            <w:pPr>
              <w:spacing w:before="40" w:after="40"/>
              <w:jc w:val="center"/>
              <w:rPr>
                <w:color w:val="000000"/>
                <w:sz w:val="16"/>
                <w:szCs w:val="18"/>
              </w:rPr>
            </w:pPr>
            <w:r w:rsidRPr="00F87E34">
              <w:rPr>
                <w:color w:val="000000"/>
                <w:sz w:val="16"/>
                <w:szCs w:val="18"/>
              </w:rPr>
              <w:t xml:space="preserve">Empresas comerciales </w:t>
            </w:r>
            <w:r w:rsidRPr="00F87E34">
              <w:rPr>
                <w:color w:val="000000"/>
                <w:sz w:val="16"/>
                <w:szCs w:val="18"/>
              </w:rPr>
              <w:br/>
              <w:t>al por menor</w:t>
            </w:r>
          </w:p>
        </w:tc>
      </w:tr>
      <w:tr w:rsidR="00F87AB7" w:rsidRPr="00F87E34" w14:paraId="0CB4F4C0" w14:textId="77777777" w:rsidTr="00262FDC">
        <w:trPr>
          <w:trHeight w:val="20"/>
          <w:jc w:val="center"/>
        </w:trPr>
        <w:tc>
          <w:tcPr>
            <w:tcW w:w="2675" w:type="dxa"/>
            <w:vMerge/>
            <w:tcBorders>
              <w:top w:val="single" w:sz="4" w:space="0" w:color="404040"/>
              <w:left w:val="single" w:sz="6" w:space="0" w:color="404040"/>
              <w:bottom w:val="single" w:sz="4" w:space="0" w:color="404040"/>
              <w:right w:val="single" w:sz="4" w:space="0" w:color="404040"/>
            </w:tcBorders>
            <w:shd w:val="clear" w:color="auto" w:fill="D7E4BD"/>
            <w:vAlign w:val="center"/>
          </w:tcPr>
          <w:p w14:paraId="35AE6A5B" w14:textId="1983D289" w:rsidR="00B36B9B" w:rsidRPr="00F87E34" w:rsidRDefault="00B36B9B" w:rsidP="00AA2115">
            <w:pPr>
              <w:rPr>
                <w:b/>
                <w:bCs/>
              </w:rPr>
            </w:pPr>
          </w:p>
        </w:tc>
        <w:tc>
          <w:tcPr>
            <w:tcW w:w="1241" w:type="dxa"/>
            <w:tcBorders>
              <w:top w:val="single" w:sz="4" w:space="0" w:color="404040"/>
              <w:left w:val="single" w:sz="4" w:space="0" w:color="404040"/>
              <w:bottom w:val="single" w:sz="4" w:space="0" w:color="404040"/>
              <w:right w:val="single" w:sz="4" w:space="0" w:color="404040"/>
            </w:tcBorders>
            <w:shd w:val="clear" w:color="auto" w:fill="D7E4BD"/>
          </w:tcPr>
          <w:p w14:paraId="7F32FBD2" w14:textId="43B77E07" w:rsidR="00B36B9B" w:rsidRPr="00F87E34" w:rsidRDefault="0098208F" w:rsidP="00457A06">
            <w:pPr>
              <w:spacing w:before="40" w:after="40"/>
              <w:ind w:left="-57" w:right="-40"/>
              <w:jc w:val="center"/>
              <w:rPr>
                <w:bCs/>
                <w:sz w:val="16"/>
                <w:szCs w:val="16"/>
              </w:rPr>
            </w:pPr>
            <w:r>
              <w:rPr>
                <w:bCs/>
                <w:sz w:val="16"/>
                <w:szCs w:val="16"/>
              </w:rPr>
              <w:t>I</w:t>
            </w:r>
            <w:r w:rsidR="00B36B9B" w:rsidRPr="00F87E34">
              <w:rPr>
                <w:bCs/>
                <w:sz w:val="16"/>
                <w:szCs w:val="16"/>
              </w:rPr>
              <w:t xml:space="preserve">ngresos por suministro </w:t>
            </w:r>
            <w:r w:rsidR="00B36B9B" w:rsidRPr="00F87E34">
              <w:rPr>
                <w:bCs/>
                <w:sz w:val="16"/>
                <w:szCs w:val="16"/>
              </w:rPr>
              <w:br/>
              <w:t xml:space="preserve">de bienes y servicios </w:t>
            </w:r>
            <w:r w:rsidR="00B36B9B" w:rsidRPr="00F87E34">
              <w:rPr>
                <w:bCs/>
                <w:position w:val="-2"/>
                <w:sz w:val="18"/>
                <w:szCs w:val="16"/>
                <w:vertAlign w:val="superscript"/>
              </w:rPr>
              <w:t>1/</w:t>
            </w:r>
          </w:p>
        </w:tc>
        <w:tc>
          <w:tcPr>
            <w:tcW w:w="1161" w:type="dxa"/>
            <w:tcBorders>
              <w:top w:val="single" w:sz="4" w:space="0" w:color="404040"/>
              <w:left w:val="single" w:sz="4" w:space="0" w:color="404040"/>
              <w:bottom w:val="single" w:sz="4" w:space="0" w:color="404040"/>
              <w:right w:val="single" w:sz="4" w:space="0" w:color="404040"/>
            </w:tcBorders>
            <w:shd w:val="clear" w:color="auto" w:fill="D7E4BD"/>
          </w:tcPr>
          <w:p w14:paraId="61F3B487" w14:textId="1B237783" w:rsidR="00B36B9B" w:rsidRPr="00F87E34" w:rsidRDefault="0098208F" w:rsidP="00770BFA">
            <w:pPr>
              <w:spacing w:before="40" w:after="40"/>
              <w:ind w:left="-39" w:right="-35"/>
              <w:jc w:val="center"/>
              <w:rPr>
                <w:bCs/>
                <w:sz w:val="16"/>
                <w:szCs w:val="16"/>
              </w:rPr>
            </w:pPr>
            <w:r>
              <w:rPr>
                <w:bCs/>
                <w:color w:val="000000"/>
                <w:sz w:val="16"/>
                <w:szCs w:val="16"/>
              </w:rPr>
              <w:t>P</w:t>
            </w:r>
            <w:r w:rsidR="00B36B9B" w:rsidRPr="00F87E34">
              <w:rPr>
                <w:bCs/>
                <w:color w:val="000000"/>
                <w:sz w:val="16"/>
                <w:szCs w:val="16"/>
              </w:rPr>
              <w:t>ersonal ocupado</w:t>
            </w:r>
            <w:r w:rsidR="00B36B9B" w:rsidRPr="00F87E34">
              <w:rPr>
                <w:bCs/>
                <w:color w:val="000000"/>
                <w:sz w:val="16"/>
                <w:szCs w:val="16"/>
              </w:rPr>
              <w:br/>
              <w:t>total</w:t>
            </w:r>
          </w:p>
        </w:tc>
        <w:tc>
          <w:tcPr>
            <w:tcW w:w="1240" w:type="dxa"/>
            <w:tcBorders>
              <w:top w:val="single" w:sz="4" w:space="0" w:color="404040"/>
              <w:left w:val="single" w:sz="4" w:space="0" w:color="404040"/>
              <w:bottom w:val="single" w:sz="4" w:space="0" w:color="404040"/>
              <w:right w:val="single" w:sz="4" w:space="0" w:color="404040"/>
            </w:tcBorders>
            <w:shd w:val="clear" w:color="auto" w:fill="D7E4BD"/>
          </w:tcPr>
          <w:p w14:paraId="5D618804" w14:textId="5E3CAF14" w:rsidR="00B36B9B" w:rsidRPr="00F87E34" w:rsidRDefault="0098208F" w:rsidP="00876DC6">
            <w:pPr>
              <w:spacing w:before="40" w:after="40"/>
              <w:jc w:val="center"/>
              <w:rPr>
                <w:bCs/>
                <w:sz w:val="16"/>
                <w:szCs w:val="16"/>
              </w:rPr>
            </w:pPr>
            <w:r>
              <w:rPr>
                <w:bCs/>
                <w:color w:val="000000"/>
                <w:sz w:val="16"/>
                <w:szCs w:val="16"/>
              </w:rPr>
              <w:t>R</w:t>
            </w:r>
            <w:r w:rsidR="00B36B9B" w:rsidRPr="00F87E34">
              <w:rPr>
                <w:bCs/>
                <w:color w:val="000000"/>
                <w:sz w:val="16"/>
                <w:szCs w:val="16"/>
              </w:rPr>
              <w:t>emunera-</w:t>
            </w:r>
            <w:r w:rsidR="00B36B9B" w:rsidRPr="00F87E34">
              <w:rPr>
                <w:b/>
                <w:smallCaps/>
                <w:sz w:val="22"/>
              </w:rPr>
              <w:br/>
            </w:r>
            <w:r w:rsidR="00B36B9B" w:rsidRPr="00F87E34">
              <w:rPr>
                <w:bCs/>
                <w:color w:val="000000"/>
                <w:sz w:val="16"/>
                <w:szCs w:val="16"/>
              </w:rPr>
              <w:t xml:space="preserve">ciones </w:t>
            </w:r>
            <w:r w:rsidR="00B36B9B" w:rsidRPr="00F87E34">
              <w:rPr>
                <w:bCs/>
                <w:color w:val="000000"/>
                <w:sz w:val="16"/>
                <w:szCs w:val="16"/>
              </w:rPr>
              <w:br/>
              <w:t xml:space="preserve">medias </w:t>
            </w:r>
            <w:r w:rsidR="00B36B9B" w:rsidRPr="00F87E34">
              <w:rPr>
                <w:bCs/>
                <w:color w:val="000000"/>
                <w:sz w:val="16"/>
                <w:szCs w:val="16"/>
              </w:rPr>
              <w:br/>
              <w:t>reales</w:t>
            </w:r>
          </w:p>
        </w:tc>
        <w:tc>
          <w:tcPr>
            <w:tcW w:w="1318" w:type="dxa"/>
            <w:tcBorders>
              <w:top w:val="single" w:sz="4" w:space="0" w:color="404040"/>
              <w:left w:val="single" w:sz="4" w:space="0" w:color="404040"/>
              <w:bottom w:val="single" w:sz="4" w:space="0" w:color="404040"/>
              <w:right w:val="single" w:sz="4" w:space="0" w:color="404040"/>
            </w:tcBorders>
            <w:shd w:val="clear" w:color="auto" w:fill="D7E4BD"/>
          </w:tcPr>
          <w:p w14:paraId="01ABEDA7" w14:textId="749095DA" w:rsidR="00B36B9B" w:rsidRPr="00F87E34" w:rsidRDefault="0098208F" w:rsidP="00FB4F25">
            <w:pPr>
              <w:spacing w:before="40" w:after="40"/>
              <w:ind w:left="-56" w:right="-39"/>
              <w:jc w:val="center"/>
              <w:rPr>
                <w:bCs/>
                <w:sz w:val="16"/>
                <w:szCs w:val="16"/>
              </w:rPr>
            </w:pPr>
            <w:r>
              <w:rPr>
                <w:bCs/>
                <w:sz w:val="16"/>
                <w:szCs w:val="16"/>
              </w:rPr>
              <w:t>I</w:t>
            </w:r>
            <w:r w:rsidR="00B36B9B" w:rsidRPr="00F87E34">
              <w:rPr>
                <w:bCs/>
                <w:sz w:val="16"/>
                <w:szCs w:val="16"/>
              </w:rPr>
              <w:t xml:space="preserve">ngresos por suministro </w:t>
            </w:r>
            <w:r w:rsidR="00B36B9B" w:rsidRPr="00F87E34">
              <w:rPr>
                <w:bCs/>
                <w:sz w:val="16"/>
                <w:szCs w:val="16"/>
              </w:rPr>
              <w:br/>
              <w:t xml:space="preserve">de bienes y servicios </w:t>
            </w:r>
            <w:r w:rsidR="00B36B9B" w:rsidRPr="00F87E34">
              <w:rPr>
                <w:bCs/>
                <w:position w:val="-2"/>
                <w:sz w:val="18"/>
                <w:szCs w:val="16"/>
                <w:vertAlign w:val="superscript"/>
              </w:rPr>
              <w:t>1/</w:t>
            </w:r>
          </w:p>
        </w:tc>
        <w:tc>
          <w:tcPr>
            <w:tcW w:w="1162" w:type="dxa"/>
            <w:tcBorders>
              <w:top w:val="single" w:sz="4" w:space="0" w:color="404040"/>
              <w:left w:val="single" w:sz="4" w:space="0" w:color="404040"/>
              <w:bottom w:val="single" w:sz="4" w:space="0" w:color="404040"/>
              <w:right w:val="single" w:sz="4" w:space="0" w:color="404040"/>
            </w:tcBorders>
            <w:shd w:val="clear" w:color="auto" w:fill="D7E4BD"/>
          </w:tcPr>
          <w:p w14:paraId="3BC8DE3C" w14:textId="37B3F8F4" w:rsidR="00B36B9B" w:rsidRPr="00F87E34" w:rsidRDefault="0098208F" w:rsidP="00FB4F25">
            <w:pPr>
              <w:spacing w:before="40" w:after="40"/>
              <w:ind w:left="-39" w:right="-35"/>
              <w:jc w:val="center"/>
              <w:rPr>
                <w:bCs/>
                <w:sz w:val="16"/>
                <w:szCs w:val="16"/>
              </w:rPr>
            </w:pPr>
            <w:r>
              <w:rPr>
                <w:bCs/>
                <w:color w:val="000000"/>
                <w:sz w:val="16"/>
                <w:szCs w:val="16"/>
              </w:rPr>
              <w:t>P</w:t>
            </w:r>
            <w:r w:rsidR="00B36B9B" w:rsidRPr="00F87E34">
              <w:rPr>
                <w:bCs/>
                <w:color w:val="000000"/>
                <w:sz w:val="16"/>
                <w:szCs w:val="16"/>
              </w:rPr>
              <w:t>ersonal ocupado</w:t>
            </w:r>
            <w:r w:rsidR="00B36B9B" w:rsidRPr="00F87E34">
              <w:rPr>
                <w:bCs/>
                <w:color w:val="000000"/>
                <w:sz w:val="16"/>
                <w:szCs w:val="16"/>
              </w:rPr>
              <w:br/>
              <w:t>total</w:t>
            </w:r>
          </w:p>
        </w:tc>
        <w:tc>
          <w:tcPr>
            <w:tcW w:w="1161" w:type="dxa"/>
            <w:tcBorders>
              <w:top w:val="single" w:sz="4" w:space="0" w:color="404040"/>
              <w:left w:val="single" w:sz="4" w:space="0" w:color="404040"/>
              <w:bottom w:val="single" w:sz="4" w:space="0" w:color="404040"/>
              <w:right w:val="single" w:sz="6" w:space="0" w:color="404040"/>
            </w:tcBorders>
            <w:shd w:val="clear" w:color="auto" w:fill="D7E4BD"/>
          </w:tcPr>
          <w:p w14:paraId="240270FA" w14:textId="02DFB0EE" w:rsidR="00B36B9B" w:rsidRPr="00F87E34" w:rsidRDefault="0098208F" w:rsidP="00876DC6">
            <w:pPr>
              <w:spacing w:before="40" w:after="40"/>
              <w:jc w:val="center"/>
              <w:rPr>
                <w:bCs/>
                <w:sz w:val="16"/>
                <w:szCs w:val="16"/>
              </w:rPr>
            </w:pPr>
            <w:r>
              <w:rPr>
                <w:bCs/>
                <w:color w:val="000000"/>
                <w:sz w:val="16"/>
                <w:szCs w:val="16"/>
              </w:rPr>
              <w:t>R</w:t>
            </w:r>
            <w:r w:rsidR="00B36B9B" w:rsidRPr="00F87E34">
              <w:rPr>
                <w:bCs/>
                <w:color w:val="000000"/>
                <w:sz w:val="16"/>
                <w:szCs w:val="16"/>
              </w:rPr>
              <w:t>emunera-</w:t>
            </w:r>
            <w:r w:rsidR="00B36B9B" w:rsidRPr="00F87E34">
              <w:rPr>
                <w:b/>
                <w:smallCaps/>
                <w:sz w:val="22"/>
              </w:rPr>
              <w:br/>
            </w:r>
            <w:r w:rsidR="00B36B9B" w:rsidRPr="00F87E34">
              <w:rPr>
                <w:bCs/>
                <w:color w:val="000000"/>
                <w:sz w:val="16"/>
                <w:szCs w:val="16"/>
              </w:rPr>
              <w:t xml:space="preserve">ciones </w:t>
            </w:r>
            <w:r w:rsidR="00B36B9B" w:rsidRPr="00F87E34">
              <w:rPr>
                <w:bCs/>
                <w:color w:val="000000"/>
                <w:sz w:val="16"/>
                <w:szCs w:val="16"/>
              </w:rPr>
              <w:br/>
              <w:t xml:space="preserve">medias </w:t>
            </w:r>
            <w:r w:rsidR="00B36B9B" w:rsidRPr="00F87E34">
              <w:rPr>
                <w:bCs/>
                <w:color w:val="000000"/>
                <w:sz w:val="16"/>
                <w:szCs w:val="16"/>
              </w:rPr>
              <w:br/>
              <w:t>reales</w:t>
            </w:r>
          </w:p>
        </w:tc>
      </w:tr>
      <w:tr w:rsidR="00262FDC" w:rsidRPr="00F87E34" w14:paraId="6191BF9B" w14:textId="77777777" w:rsidTr="003F0296">
        <w:trPr>
          <w:trHeight w:val="227"/>
          <w:jc w:val="center"/>
        </w:trPr>
        <w:tc>
          <w:tcPr>
            <w:tcW w:w="2675" w:type="dxa"/>
            <w:tcBorders>
              <w:top w:val="single" w:sz="4" w:space="0" w:color="404040"/>
              <w:left w:val="single" w:sz="6" w:space="0" w:color="404040"/>
              <w:bottom w:val="nil"/>
              <w:right w:val="single" w:sz="4" w:space="0" w:color="404040"/>
            </w:tcBorders>
            <w:shd w:val="clear" w:color="auto" w:fill="auto"/>
            <w:noWrap/>
            <w:vAlign w:val="center"/>
          </w:tcPr>
          <w:p w14:paraId="771813FF" w14:textId="77777777" w:rsidR="00262FDC" w:rsidRPr="00F87E34" w:rsidRDefault="00262FDC" w:rsidP="00262FDC">
            <w:pPr>
              <w:ind w:left="97"/>
              <w:jc w:val="left"/>
              <w:rPr>
                <w:b/>
                <w:bCs/>
                <w:sz w:val="16"/>
                <w:szCs w:val="16"/>
              </w:rPr>
            </w:pPr>
            <w:r w:rsidRPr="00F87E34">
              <w:rPr>
                <w:b/>
                <w:bCs/>
                <w:sz w:val="16"/>
                <w:szCs w:val="16"/>
              </w:rPr>
              <w:t>Nacional</w:t>
            </w:r>
          </w:p>
        </w:tc>
        <w:tc>
          <w:tcPr>
            <w:tcW w:w="1241" w:type="dxa"/>
            <w:tcBorders>
              <w:top w:val="single" w:sz="4" w:space="0" w:color="404040"/>
              <w:left w:val="single" w:sz="4" w:space="0" w:color="404040"/>
              <w:bottom w:val="nil"/>
              <w:right w:val="nil"/>
            </w:tcBorders>
            <w:shd w:val="clear" w:color="auto" w:fill="auto"/>
            <w:noWrap/>
            <w:vAlign w:val="center"/>
          </w:tcPr>
          <w:p w14:paraId="71C41F56" w14:textId="394B32D8" w:rsidR="00262FDC" w:rsidRPr="000402DA" w:rsidRDefault="00262FDC" w:rsidP="00262FDC">
            <w:pPr>
              <w:tabs>
                <w:tab w:val="decimal" w:pos="564"/>
              </w:tabs>
              <w:jc w:val="left"/>
              <w:rPr>
                <w:b/>
                <w:bCs/>
                <w:sz w:val="16"/>
                <w:szCs w:val="16"/>
              </w:rPr>
            </w:pPr>
            <w:r>
              <w:rPr>
                <w:b/>
                <w:bCs/>
                <w:color w:val="000000"/>
                <w:sz w:val="16"/>
                <w:szCs w:val="16"/>
              </w:rPr>
              <w:t>7.1</w:t>
            </w:r>
          </w:p>
        </w:tc>
        <w:tc>
          <w:tcPr>
            <w:tcW w:w="1161" w:type="dxa"/>
            <w:tcBorders>
              <w:top w:val="single" w:sz="4" w:space="0" w:color="404040"/>
              <w:left w:val="nil"/>
              <w:bottom w:val="nil"/>
              <w:right w:val="nil"/>
            </w:tcBorders>
            <w:shd w:val="clear" w:color="auto" w:fill="auto"/>
            <w:noWrap/>
            <w:vAlign w:val="center"/>
          </w:tcPr>
          <w:p w14:paraId="0BF31045" w14:textId="7EC1A2C1" w:rsidR="00262FDC" w:rsidRPr="000402DA" w:rsidRDefault="00262FDC" w:rsidP="00262FDC">
            <w:pPr>
              <w:tabs>
                <w:tab w:val="decimal" w:pos="564"/>
              </w:tabs>
              <w:jc w:val="left"/>
              <w:rPr>
                <w:b/>
                <w:bCs/>
                <w:sz w:val="16"/>
                <w:szCs w:val="16"/>
              </w:rPr>
            </w:pPr>
            <w:r>
              <w:rPr>
                <w:b/>
                <w:bCs/>
                <w:color w:val="000000"/>
                <w:sz w:val="16"/>
                <w:szCs w:val="16"/>
              </w:rPr>
              <w:t>1.9</w:t>
            </w:r>
          </w:p>
        </w:tc>
        <w:tc>
          <w:tcPr>
            <w:tcW w:w="1240" w:type="dxa"/>
            <w:tcBorders>
              <w:top w:val="single" w:sz="4" w:space="0" w:color="404040"/>
              <w:left w:val="nil"/>
              <w:bottom w:val="nil"/>
              <w:right w:val="nil"/>
            </w:tcBorders>
            <w:shd w:val="clear" w:color="auto" w:fill="auto"/>
            <w:noWrap/>
            <w:vAlign w:val="center"/>
          </w:tcPr>
          <w:p w14:paraId="06C3DB72" w14:textId="0CC6EEB0" w:rsidR="00262FDC" w:rsidRPr="000402DA" w:rsidRDefault="00262FDC" w:rsidP="00262FDC">
            <w:pPr>
              <w:tabs>
                <w:tab w:val="decimal" w:pos="626"/>
              </w:tabs>
              <w:jc w:val="left"/>
              <w:rPr>
                <w:b/>
                <w:bCs/>
                <w:sz w:val="16"/>
                <w:szCs w:val="16"/>
              </w:rPr>
            </w:pPr>
            <w:r>
              <w:rPr>
                <w:b/>
                <w:bCs/>
                <w:color w:val="000000"/>
                <w:sz w:val="16"/>
                <w:szCs w:val="16"/>
              </w:rPr>
              <w:t>8.4</w:t>
            </w:r>
          </w:p>
        </w:tc>
        <w:tc>
          <w:tcPr>
            <w:tcW w:w="1318" w:type="dxa"/>
            <w:tcBorders>
              <w:top w:val="single" w:sz="4" w:space="0" w:color="404040"/>
              <w:left w:val="nil"/>
              <w:bottom w:val="nil"/>
              <w:right w:val="nil"/>
            </w:tcBorders>
            <w:shd w:val="clear" w:color="auto" w:fill="auto"/>
            <w:noWrap/>
            <w:vAlign w:val="center"/>
          </w:tcPr>
          <w:p w14:paraId="22C6569E" w14:textId="708E7C81" w:rsidR="00262FDC" w:rsidRPr="000402DA" w:rsidRDefault="00262FDC" w:rsidP="00262FDC">
            <w:pPr>
              <w:tabs>
                <w:tab w:val="decimal" w:pos="564"/>
              </w:tabs>
              <w:jc w:val="left"/>
              <w:rPr>
                <w:b/>
                <w:bCs/>
                <w:sz w:val="16"/>
                <w:szCs w:val="16"/>
              </w:rPr>
            </w:pPr>
            <w:r>
              <w:rPr>
                <w:b/>
                <w:bCs/>
                <w:color w:val="000000"/>
                <w:sz w:val="16"/>
                <w:szCs w:val="16"/>
              </w:rPr>
              <w:t>2.3</w:t>
            </w:r>
          </w:p>
        </w:tc>
        <w:tc>
          <w:tcPr>
            <w:tcW w:w="1162" w:type="dxa"/>
            <w:tcBorders>
              <w:top w:val="single" w:sz="4" w:space="0" w:color="404040"/>
              <w:left w:val="nil"/>
              <w:bottom w:val="nil"/>
              <w:right w:val="nil"/>
            </w:tcBorders>
            <w:shd w:val="clear" w:color="auto" w:fill="auto"/>
            <w:noWrap/>
            <w:vAlign w:val="center"/>
          </w:tcPr>
          <w:p w14:paraId="2DF5B9B3" w14:textId="53D5692A" w:rsidR="00262FDC" w:rsidRPr="000402DA" w:rsidRDefault="00262FDC" w:rsidP="00262FDC">
            <w:pPr>
              <w:tabs>
                <w:tab w:val="decimal" w:pos="539"/>
              </w:tabs>
              <w:jc w:val="left"/>
              <w:rPr>
                <w:b/>
                <w:bCs/>
                <w:sz w:val="16"/>
                <w:szCs w:val="16"/>
              </w:rPr>
            </w:pPr>
            <w:r>
              <w:rPr>
                <w:b/>
                <w:bCs/>
                <w:color w:val="000000"/>
                <w:sz w:val="16"/>
                <w:szCs w:val="16"/>
              </w:rPr>
              <w:t>0.7</w:t>
            </w:r>
          </w:p>
        </w:tc>
        <w:tc>
          <w:tcPr>
            <w:tcW w:w="1161" w:type="dxa"/>
            <w:tcBorders>
              <w:top w:val="single" w:sz="4" w:space="0" w:color="404040"/>
              <w:left w:val="nil"/>
              <w:bottom w:val="nil"/>
              <w:right w:val="single" w:sz="6" w:space="0" w:color="404040"/>
            </w:tcBorders>
            <w:shd w:val="clear" w:color="auto" w:fill="auto"/>
            <w:noWrap/>
            <w:vAlign w:val="center"/>
          </w:tcPr>
          <w:p w14:paraId="46E1DAC0" w14:textId="049F6454" w:rsidR="00262FDC" w:rsidRPr="000402DA" w:rsidRDefault="00262FDC" w:rsidP="00262FDC">
            <w:pPr>
              <w:tabs>
                <w:tab w:val="decimal" w:pos="589"/>
              </w:tabs>
              <w:jc w:val="left"/>
              <w:rPr>
                <w:b/>
                <w:bCs/>
                <w:sz w:val="16"/>
                <w:szCs w:val="16"/>
              </w:rPr>
            </w:pPr>
            <w:r>
              <w:rPr>
                <w:b/>
                <w:bCs/>
                <w:color w:val="000000"/>
                <w:sz w:val="16"/>
                <w:szCs w:val="16"/>
              </w:rPr>
              <w:t>10.0</w:t>
            </w:r>
          </w:p>
        </w:tc>
      </w:tr>
      <w:tr w:rsidR="00262FDC" w:rsidRPr="00F87E34" w14:paraId="22FE8CEA" w14:textId="77777777" w:rsidTr="003F0296">
        <w:trPr>
          <w:trHeight w:val="227"/>
          <w:jc w:val="center"/>
        </w:trPr>
        <w:tc>
          <w:tcPr>
            <w:tcW w:w="2675" w:type="dxa"/>
            <w:tcBorders>
              <w:top w:val="nil"/>
              <w:left w:val="single" w:sz="6" w:space="0" w:color="404040"/>
              <w:bottom w:val="nil"/>
              <w:right w:val="single" w:sz="4" w:space="0" w:color="404040"/>
            </w:tcBorders>
            <w:shd w:val="clear" w:color="auto" w:fill="auto"/>
            <w:noWrap/>
            <w:vAlign w:val="center"/>
          </w:tcPr>
          <w:p w14:paraId="2F707E91" w14:textId="77777777" w:rsidR="00262FDC" w:rsidRPr="00F87E34" w:rsidRDefault="00262FDC" w:rsidP="00262FDC">
            <w:pPr>
              <w:ind w:left="96"/>
              <w:jc w:val="left"/>
              <w:rPr>
                <w:bCs/>
                <w:sz w:val="16"/>
                <w:szCs w:val="16"/>
              </w:rPr>
            </w:pPr>
            <w:r w:rsidRPr="00F87E34">
              <w:rPr>
                <w:bCs/>
                <w:sz w:val="16"/>
                <w:szCs w:val="16"/>
              </w:rPr>
              <w:t>Aguascalientes</w:t>
            </w:r>
          </w:p>
        </w:tc>
        <w:tc>
          <w:tcPr>
            <w:tcW w:w="1241" w:type="dxa"/>
            <w:tcBorders>
              <w:top w:val="nil"/>
              <w:left w:val="single" w:sz="4" w:space="0" w:color="404040"/>
              <w:bottom w:val="nil"/>
              <w:right w:val="nil"/>
            </w:tcBorders>
            <w:shd w:val="clear" w:color="auto" w:fill="auto"/>
            <w:noWrap/>
            <w:vAlign w:val="center"/>
          </w:tcPr>
          <w:p w14:paraId="09B451AD" w14:textId="3E970734" w:rsidR="00262FDC" w:rsidRPr="000402DA" w:rsidRDefault="00262FDC" w:rsidP="00262FDC">
            <w:pPr>
              <w:tabs>
                <w:tab w:val="decimal" w:pos="564"/>
              </w:tabs>
              <w:jc w:val="left"/>
              <w:rPr>
                <w:sz w:val="16"/>
                <w:szCs w:val="16"/>
              </w:rPr>
            </w:pPr>
            <w:r>
              <w:rPr>
                <w:color w:val="000000"/>
                <w:sz w:val="16"/>
                <w:szCs w:val="16"/>
              </w:rPr>
              <w:t>5.7</w:t>
            </w:r>
          </w:p>
        </w:tc>
        <w:tc>
          <w:tcPr>
            <w:tcW w:w="1161" w:type="dxa"/>
            <w:tcBorders>
              <w:top w:val="nil"/>
              <w:left w:val="nil"/>
              <w:bottom w:val="nil"/>
              <w:right w:val="nil"/>
            </w:tcBorders>
            <w:shd w:val="clear" w:color="auto" w:fill="auto"/>
            <w:noWrap/>
            <w:vAlign w:val="center"/>
          </w:tcPr>
          <w:p w14:paraId="65AE1AE2" w14:textId="601346DA" w:rsidR="00262FDC" w:rsidRPr="000402DA" w:rsidRDefault="00262FDC" w:rsidP="00262FDC">
            <w:pPr>
              <w:tabs>
                <w:tab w:val="decimal" w:pos="564"/>
              </w:tabs>
              <w:jc w:val="left"/>
              <w:rPr>
                <w:sz w:val="16"/>
                <w:szCs w:val="16"/>
              </w:rPr>
            </w:pPr>
            <w:r>
              <w:rPr>
                <w:color w:val="000000"/>
                <w:sz w:val="16"/>
                <w:szCs w:val="16"/>
              </w:rPr>
              <w:t>2.1</w:t>
            </w:r>
          </w:p>
        </w:tc>
        <w:tc>
          <w:tcPr>
            <w:tcW w:w="1240" w:type="dxa"/>
            <w:tcBorders>
              <w:top w:val="nil"/>
              <w:left w:val="nil"/>
              <w:bottom w:val="nil"/>
              <w:right w:val="nil"/>
            </w:tcBorders>
            <w:shd w:val="clear" w:color="auto" w:fill="auto"/>
            <w:noWrap/>
            <w:vAlign w:val="center"/>
          </w:tcPr>
          <w:p w14:paraId="634A436A" w14:textId="252A5822" w:rsidR="00262FDC" w:rsidRPr="000402DA" w:rsidRDefault="00262FDC" w:rsidP="00262FDC">
            <w:pPr>
              <w:tabs>
                <w:tab w:val="decimal" w:pos="626"/>
              </w:tabs>
              <w:jc w:val="left"/>
              <w:rPr>
                <w:sz w:val="16"/>
                <w:szCs w:val="16"/>
              </w:rPr>
            </w:pPr>
            <w:r>
              <w:rPr>
                <w:color w:val="000000"/>
                <w:sz w:val="16"/>
                <w:szCs w:val="16"/>
              </w:rPr>
              <w:t>6.9</w:t>
            </w:r>
          </w:p>
        </w:tc>
        <w:tc>
          <w:tcPr>
            <w:tcW w:w="1318" w:type="dxa"/>
            <w:tcBorders>
              <w:top w:val="nil"/>
              <w:left w:val="nil"/>
              <w:bottom w:val="nil"/>
              <w:right w:val="nil"/>
            </w:tcBorders>
            <w:shd w:val="clear" w:color="auto" w:fill="auto"/>
            <w:noWrap/>
            <w:vAlign w:val="center"/>
          </w:tcPr>
          <w:p w14:paraId="33092841" w14:textId="20A1AEE2" w:rsidR="00262FDC" w:rsidRPr="000402DA" w:rsidRDefault="00262FDC" w:rsidP="00262FDC">
            <w:pPr>
              <w:tabs>
                <w:tab w:val="decimal" w:pos="564"/>
              </w:tabs>
              <w:jc w:val="left"/>
              <w:rPr>
                <w:sz w:val="16"/>
                <w:szCs w:val="16"/>
              </w:rPr>
            </w:pPr>
            <w:r>
              <w:rPr>
                <w:color w:val="000000"/>
                <w:sz w:val="16"/>
                <w:szCs w:val="16"/>
              </w:rPr>
              <w:t>0.4</w:t>
            </w:r>
          </w:p>
        </w:tc>
        <w:tc>
          <w:tcPr>
            <w:tcW w:w="1162" w:type="dxa"/>
            <w:tcBorders>
              <w:top w:val="nil"/>
              <w:left w:val="nil"/>
              <w:bottom w:val="nil"/>
              <w:right w:val="nil"/>
            </w:tcBorders>
            <w:shd w:val="clear" w:color="auto" w:fill="auto"/>
            <w:noWrap/>
            <w:vAlign w:val="center"/>
          </w:tcPr>
          <w:p w14:paraId="015A0AED" w14:textId="36E39D6F" w:rsidR="00262FDC" w:rsidRPr="000402DA" w:rsidRDefault="00262FDC" w:rsidP="00262FDC">
            <w:pPr>
              <w:tabs>
                <w:tab w:val="decimal" w:pos="539"/>
              </w:tabs>
              <w:jc w:val="left"/>
              <w:rPr>
                <w:sz w:val="16"/>
                <w:szCs w:val="16"/>
              </w:rPr>
            </w:pPr>
            <w:r>
              <w:rPr>
                <w:color w:val="000000"/>
                <w:sz w:val="16"/>
                <w:szCs w:val="16"/>
              </w:rPr>
              <w:t>0.2</w:t>
            </w:r>
          </w:p>
        </w:tc>
        <w:tc>
          <w:tcPr>
            <w:tcW w:w="1161" w:type="dxa"/>
            <w:tcBorders>
              <w:top w:val="nil"/>
              <w:left w:val="nil"/>
              <w:bottom w:val="nil"/>
              <w:right w:val="single" w:sz="6" w:space="0" w:color="404040"/>
            </w:tcBorders>
            <w:shd w:val="clear" w:color="auto" w:fill="auto"/>
            <w:noWrap/>
            <w:vAlign w:val="center"/>
          </w:tcPr>
          <w:p w14:paraId="7661DA3F" w14:textId="199187CC" w:rsidR="00262FDC" w:rsidRPr="000402DA" w:rsidRDefault="00262FDC" w:rsidP="00262FDC">
            <w:pPr>
              <w:tabs>
                <w:tab w:val="decimal" w:pos="589"/>
              </w:tabs>
              <w:jc w:val="left"/>
              <w:rPr>
                <w:sz w:val="16"/>
                <w:szCs w:val="16"/>
              </w:rPr>
            </w:pPr>
            <w:r>
              <w:rPr>
                <w:color w:val="000000"/>
                <w:sz w:val="16"/>
                <w:szCs w:val="16"/>
              </w:rPr>
              <w:t>10.8</w:t>
            </w:r>
          </w:p>
        </w:tc>
      </w:tr>
      <w:tr w:rsidR="00262FDC" w:rsidRPr="00F87E34" w14:paraId="137E942F" w14:textId="77777777" w:rsidTr="003F0296">
        <w:trPr>
          <w:trHeight w:val="227"/>
          <w:jc w:val="center"/>
        </w:trPr>
        <w:tc>
          <w:tcPr>
            <w:tcW w:w="2675" w:type="dxa"/>
            <w:tcBorders>
              <w:top w:val="nil"/>
              <w:left w:val="single" w:sz="6" w:space="0" w:color="404040"/>
              <w:bottom w:val="nil"/>
              <w:right w:val="single" w:sz="4" w:space="0" w:color="404040"/>
            </w:tcBorders>
            <w:shd w:val="clear" w:color="auto" w:fill="auto"/>
            <w:noWrap/>
            <w:vAlign w:val="center"/>
          </w:tcPr>
          <w:p w14:paraId="1A70ACED" w14:textId="77777777" w:rsidR="00262FDC" w:rsidRPr="00F87E34" w:rsidRDefault="00262FDC" w:rsidP="00262FDC">
            <w:pPr>
              <w:spacing w:before="20" w:after="20"/>
              <w:ind w:left="97"/>
              <w:jc w:val="left"/>
              <w:rPr>
                <w:bCs/>
                <w:sz w:val="16"/>
                <w:szCs w:val="16"/>
              </w:rPr>
            </w:pPr>
            <w:r w:rsidRPr="00F87E34">
              <w:rPr>
                <w:bCs/>
                <w:sz w:val="16"/>
                <w:szCs w:val="16"/>
              </w:rPr>
              <w:t>Baja California</w:t>
            </w:r>
          </w:p>
        </w:tc>
        <w:tc>
          <w:tcPr>
            <w:tcW w:w="1241" w:type="dxa"/>
            <w:tcBorders>
              <w:top w:val="nil"/>
              <w:left w:val="single" w:sz="4" w:space="0" w:color="404040"/>
              <w:bottom w:val="nil"/>
              <w:right w:val="nil"/>
            </w:tcBorders>
            <w:shd w:val="clear" w:color="auto" w:fill="auto"/>
            <w:noWrap/>
            <w:vAlign w:val="center"/>
          </w:tcPr>
          <w:p w14:paraId="6FA6B13F" w14:textId="33910D6A" w:rsidR="00262FDC" w:rsidRPr="000402DA" w:rsidRDefault="00262FDC" w:rsidP="00262FDC">
            <w:pPr>
              <w:tabs>
                <w:tab w:val="decimal" w:pos="564"/>
              </w:tabs>
              <w:jc w:val="left"/>
              <w:rPr>
                <w:sz w:val="16"/>
                <w:szCs w:val="16"/>
              </w:rPr>
            </w:pPr>
            <w:r>
              <w:rPr>
                <w:color w:val="000000"/>
                <w:sz w:val="16"/>
                <w:szCs w:val="16"/>
              </w:rPr>
              <w:t>4.4</w:t>
            </w:r>
          </w:p>
        </w:tc>
        <w:tc>
          <w:tcPr>
            <w:tcW w:w="1161" w:type="dxa"/>
            <w:tcBorders>
              <w:top w:val="nil"/>
              <w:left w:val="nil"/>
              <w:bottom w:val="nil"/>
              <w:right w:val="nil"/>
            </w:tcBorders>
            <w:shd w:val="clear" w:color="auto" w:fill="auto"/>
            <w:noWrap/>
            <w:vAlign w:val="center"/>
          </w:tcPr>
          <w:p w14:paraId="68EAC415" w14:textId="7CA16383" w:rsidR="00262FDC" w:rsidRPr="000402DA" w:rsidRDefault="00262FDC" w:rsidP="00262FDC">
            <w:pPr>
              <w:tabs>
                <w:tab w:val="decimal" w:pos="564"/>
              </w:tabs>
              <w:jc w:val="left"/>
              <w:rPr>
                <w:sz w:val="16"/>
                <w:szCs w:val="16"/>
              </w:rPr>
            </w:pPr>
            <w:r>
              <w:rPr>
                <w:color w:val="000000"/>
                <w:sz w:val="16"/>
                <w:szCs w:val="16"/>
              </w:rPr>
              <w:t>1.8</w:t>
            </w:r>
          </w:p>
        </w:tc>
        <w:tc>
          <w:tcPr>
            <w:tcW w:w="1240" w:type="dxa"/>
            <w:tcBorders>
              <w:top w:val="nil"/>
              <w:left w:val="nil"/>
              <w:bottom w:val="nil"/>
              <w:right w:val="nil"/>
            </w:tcBorders>
            <w:shd w:val="clear" w:color="auto" w:fill="auto"/>
            <w:noWrap/>
            <w:vAlign w:val="center"/>
          </w:tcPr>
          <w:p w14:paraId="11713FC2" w14:textId="2BC7D4C6" w:rsidR="00262FDC" w:rsidRPr="000402DA" w:rsidRDefault="00262FDC" w:rsidP="00262FDC">
            <w:pPr>
              <w:tabs>
                <w:tab w:val="decimal" w:pos="626"/>
              </w:tabs>
              <w:jc w:val="left"/>
              <w:rPr>
                <w:sz w:val="16"/>
                <w:szCs w:val="16"/>
              </w:rPr>
            </w:pPr>
            <w:r>
              <w:rPr>
                <w:color w:val="000000"/>
                <w:sz w:val="16"/>
                <w:szCs w:val="16"/>
              </w:rPr>
              <w:t>7.0</w:t>
            </w:r>
          </w:p>
        </w:tc>
        <w:tc>
          <w:tcPr>
            <w:tcW w:w="1318" w:type="dxa"/>
            <w:tcBorders>
              <w:top w:val="nil"/>
              <w:left w:val="nil"/>
              <w:bottom w:val="nil"/>
              <w:right w:val="nil"/>
            </w:tcBorders>
            <w:shd w:val="clear" w:color="auto" w:fill="auto"/>
            <w:noWrap/>
            <w:vAlign w:val="center"/>
          </w:tcPr>
          <w:p w14:paraId="40A7BF0E" w14:textId="25BEFCDE" w:rsidR="00262FDC" w:rsidRPr="000402DA" w:rsidRDefault="00262FDC" w:rsidP="00262FDC">
            <w:pPr>
              <w:tabs>
                <w:tab w:val="decimal" w:pos="564"/>
              </w:tabs>
              <w:jc w:val="left"/>
              <w:rPr>
                <w:sz w:val="16"/>
                <w:szCs w:val="16"/>
              </w:rPr>
            </w:pPr>
            <w:r>
              <w:rPr>
                <w:color w:val="000000"/>
                <w:sz w:val="16"/>
                <w:szCs w:val="16"/>
              </w:rPr>
              <w:t>2.2</w:t>
            </w:r>
          </w:p>
        </w:tc>
        <w:tc>
          <w:tcPr>
            <w:tcW w:w="1162" w:type="dxa"/>
            <w:tcBorders>
              <w:top w:val="nil"/>
              <w:left w:val="nil"/>
              <w:bottom w:val="nil"/>
              <w:right w:val="nil"/>
            </w:tcBorders>
            <w:shd w:val="clear" w:color="auto" w:fill="auto"/>
            <w:noWrap/>
            <w:vAlign w:val="center"/>
          </w:tcPr>
          <w:p w14:paraId="7E596428" w14:textId="7A48CF99" w:rsidR="00262FDC" w:rsidRPr="000402DA" w:rsidRDefault="00262FDC" w:rsidP="00262FDC">
            <w:pPr>
              <w:tabs>
                <w:tab w:val="decimal" w:pos="539"/>
              </w:tabs>
              <w:jc w:val="left"/>
              <w:rPr>
                <w:sz w:val="16"/>
                <w:szCs w:val="16"/>
              </w:rPr>
            </w:pPr>
            <w:r>
              <w:rPr>
                <w:color w:val="000000"/>
                <w:sz w:val="16"/>
                <w:szCs w:val="16"/>
              </w:rPr>
              <w:t>0.4</w:t>
            </w:r>
          </w:p>
        </w:tc>
        <w:tc>
          <w:tcPr>
            <w:tcW w:w="1161" w:type="dxa"/>
            <w:tcBorders>
              <w:top w:val="nil"/>
              <w:left w:val="nil"/>
              <w:bottom w:val="nil"/>
              <w:right w:val="single" w:sz="6" w:space="0" w:color="404040"/>
            </w:tcBorders>
            <w:shd w:val="clear" w:color="auto" w:fill="auto"/>
            <w:noWrap/>
            <w:vAlign w:val="center"/>
          </w:tcPr>
          <w:p w14:paraId="46645E33" w14:textId="7E0AF74D" w:rsidR="00262FDC" w:rsidRPr="000402DA" w:rsidRDefault="00262FDC" w:rsidP="00262FDC">
            <w:pPr>
              <w:tabs>
                <w:tab w:val="decimal" w:pos="589"/>
              </w:tabs>
              <w:jc w:val="left"/>
              <w:rPr>
                <w:sz w:val="16"/>
                <w:szCs w:val="16"/>
              </w:rPr>
            </w:pPr>
            <w:r>
              <w:rPr>
                <w:color w:val="000000"/>
                <w:sz w:val="16"/>
                <w:szCs w:val="16"/>
              </w:rPr>
              <w:t>12.1</w:t>
            </w:r>
          </w:p>
        </w:tc>
      </w:tr>
      <w:tr w:rsidR="00262FDC" w:rsidRPr="00F87E34" w14:paraId="3A583C28" w14:textId="77777777" w:rsidTr="003F0296">
        <w:trPr>
          <w:trHeight w:val="227"/>
          <w:jc w:val="center"/>
        </w:trPr>
        <w:tc>
          <w:tcPr>
            <w:tcW w:w="2675" w:type="dxa"/>
            <w:tcBorders>
              <w:top w:val="nil"/>
              <w:left w:val="single" w:sz="6" w:space="0" w:color="404040"/>
              <w:bottom w:val="nil"/>
              <w:right w:val="single" w:sz="4" w:space="0" w:color="404040"/>
            </w:tcBorders>
            <w:shd w:val="clear" w:color="auto" w:fill="auto"/>
            <w:noWrap/>
            <w:vAlign w:val="center"/>
          </w:tcPr>
          <w:p w14:paraId="7A0797C0" w14:textId="77777777" w:rsidR="00262FDC" w:rsidRPr="00F87E34" w:rsidRDefault="00262FDC" w:rsidP="00262FDC">
            <w:pPr>
              <w:spacing w:before="20" w:after="20"/>
              <w:ind w:left="97"/>
              <w:jc w:val="left"/>
              <w:rPr>
                <w:bCs/>
                <w:sz w:val="16"/>
                <w:szCs w:val="16"/>
              </w:rPr>
            </w:pPr>
            <w:r w:rsidRPr="00F87E34">
              <w:rPr>
                <w:bCs/>
                <w:sz w:val="16"/>
                <w:szCs w:val="16"/>
              </w:rPr>
              <w:t>Baja California Sur</w:t>
            </w:r>
          </w:p>
        </w:tc>
        <w:tc>
          <w:tcPr>
            <w:tcW w:w="1241" w:type="dxa"/>
            <w:tcBorders>
              <w:top w:val="nil"/>
              <w:left w:val="single" w:sz="4" w:space="0" w:color="404040"/>
              <w:bottom w:val="nil"/>
              <w:right w:val="nil"/>
            </w:tcBorders>
            <w:shd w:val="clear" w:color="auto" w:fill="auto"/>
            <w:noWrap/>
            <w:vAlign w:val="center"/>
          </w:tcPr>
          <w:p w14:paraId="1055A84C" w14:textId="599C6094" w:rsidR="00262FDC" w:rsidRPr="000402DA" w:rsidRDefault="00262FDC" w:rsidP="00262FDC">
            <w:pPr>
              <w:tabs>
                <w:tab w:val="decimal" w:pos="564"/>
              </w:tabs>
              <w:jc w:val="left"/>
              <w:rPr>
                <w:sz w:val="16"/>
                <w:szCs w:val="16"/>
              </w:rPr>
            </w:pPr>
            <w:r>
              <w:rPr>
                <w:color w:val="000000"/>
                <w:sz w:val="16"/>
                <w:szCs w:val="16"/>
              </w:rPr>
              <w:t>7.9</w:t>
            </w:r>
          </w:p>
        </w:tc>
        <w:tc>
          <w:tcPr>
            <w:tcW w:w="1161" w:type="dxa"/>
            <w:tcBorders>
              <w:top w:val="nil"/>
              <w:left w:val="nil"/>
              <w:bottom w:val="nil"/>
              <w:right w:val="nil"/>
            </w:tcBorders>
            <w:shd w:val="clear" w:color="auto" w:fill="auto"/>
            <w:noWrap/>
            <w:vAlign w:val="center"/>
          </w:tcPr>
          <w:p w14:paraId="412635B7" w14:textId="198ECB79" w:rsidR="00262FDC" w:rsidRPr="000402DA" w:rsidRDefault="00262FDC" w:rsidP="00262FDC">
            <w:pPr>
              <w:tabs>
                <w:tab w:val="decimal" w:pos="564"/>
              </w:tabs>
              <w:jc w:val="left"/>
              <w:rPr>
                <w:sz w:val="16"/>
                <w:szCs w:val="16"/>
              </w:rPr>
            </w:pPr>
            <w:r>
              <w:rPr>
                <w:color w:val="000000"/>
                <w:sz w:val="16"/>
                <w:szCs w:val="16"/>
              </w:rPr>
              <w:t>1.6</w:t>
            </w:r>
          </w:p>
        </w:tc>
        <w:tc>
          <w:tcPr>
            <w:tcW w:w="1240" w:type="dxa"/>
            <w:tcBorders>
              <w:top w:val="nil"/>
              <w:left w:val="nil"/>
              <w:bottom w:val="nil"/>
              <w:right w:val="nil"/>
            </w:tcBorders>
            <w:shd w:val="clear" w:color="auto" w:fill="auto"/>
            <w:noWrap/>
            <w:vAlign w:val="center"/>
          </w:tcPr>
          <w:p w14:paraId="71E7799B" w14:textId="7D60BBAC" w:rsidR="00262FDC" w:rsidRPr="000402DA" w:rsidRDefault="00262FDC" w:rsidP="00262FDC">
            <w:pPr>
              <w:tabs>
                <w:tab w:val="decimal" w:pos="626"/>
              </w:tabs>
              <w:jc w:val="left"/>
              <w:rPr>
                <w:sz w:val="16"/>
                <w:szCs w:val="16"/>
              </w:rPr>
            </w:pPr>
            <w:r>
              <w:rPr>
                <w:color w:val="000000"/>
                <w:sz w:val="16"/>
                <w:szCs w:val="16"/>
              </w:rPr>
              <w:t>9.5</w:t>
            </w:r>
          </w:p>
        </w:tc>
        <w:tc>
          <w:tcPr>
            <w:tcW w:w="1318" w:type="dxa"/>
            <w:tcBorders>
              <w:top w:val="nil"/>
              <w:left w:val="nil"/>
              <w:bottom w:val="nil"/>
              <w:right w:val="nil"/>
            </w:tcBorders>
            <w:shd w:val="clear" w:color="auto" w:fill="auto"/>
            <w:noWrap/>
            <w:vAlign w:val="center"/>
          </w:tcPr>
          <w:p w14:paraId="58311E20" w14:textId="707BF4FD" w:rsidR="00262FDC" w:rsidRPr="000402DA" w:rsidRDefault="00262FDC" w:rsidP="00262FDC">
            <w:pPr>
              <w:tabs>
                <w:tab w:val="decimal" w:pos="564"/>
              </w:tabs>
              <w:jc w:val="left"/>
              <w:rPr>
                <w:sz w:val="16"/>
                <w:szCs w:val="16"/>
              </w:rPr>
            </w:pPr>
            <w:r>
              <w:rPr>
                <w:color w:val="000000"/>
                <w:sz w:val="16"/>
                <w:szCs w:val="16"/>
              </w:rPr>
              <w:t>2.7</w:t>
            </w:r>
          </w:p>
        </w:tc>
        <w:tc>
          <w:tcPr>
            <w:tcW w:w="1162" w:type="dxa"/>
            <w:tcBorders>
              <w:top w:val="nil"/>
              <w:left w:val="nil"/>
              <w:bottom w:val="nil"/>
              <w:right w:val="nil"/>
            </w:tcBorders>
            <w:shd w:val="clear" w:color="auto" w:fill="auto"/>
            <w:noWrap/>
            <w:vAlign w:val="center"/>
          </w:tcPr>
          <w:p w14:paraId="6F5DA456" w14:textId="6BBFE07C" w:rsidR="00262FDC" w:rsidRPr="000402DA" w:rsidRDefault="00262FDC" w:rsidP="00262FDC">
            <w:pPr>
              <w:tabs>
                <w:tab w:val="decimal" w:pos="539"/>
              </w:tabs>
              <w:jc w:val="left"/>
              <w:rPr>
                <w:sz w:val="16"/>
                <w:szCs w:val="16"/>
              </w:rPr>
            </w:pPr>
            <w:r>
              <w:rPr>
                <w:color w:val="000000"/>
                <w:sz w:val="16"/>
                <w:szCs w:val="16"/>
              </w:rPr>
              <w:t>0.8</w:t>
            </w:r>
          </w:p>
        </w:tc>
        <w:tc>
          <w:tcPr>
            <w:tcW w:w="1161" w:type="dxa"/>
            <w:tcBorders>
              <w:top w:val="nil"/>
              <w:left w:val="nil"/>
              <w:bottom w:val="nil"/>
              <w:right w:val="single" w:sz="6" w:space="0" w:color="404040"/>
            </w:tcBorders>
            <w:shd w:val="clear" w:color="auto" w:fill="auto"/>
            <w:noWrap/>
            <w:vAlign w:val="center"/>
          </w:tcPr>
          <w:p w14:paraId="76767AF7" w14:textId="04982DE6" w:rsidR="00262FDC" w:rsidRPr="000402DA" w:rsidRDefault="00262FDC" w:rsidP="00262FDC">
            <w:pPr>
              <w:tabs>
                <w:tab w:val="decimal" w:pos="589"/>
              </w:tabs>
              <w:jc w:val="left"/>
              <w:rPr>
                <w:sz w:val="16"/>
                <w:szCs w:val="16"/>
              </w:rPr>
            </w:pPr>
            <w:r>
              <w:rPr>
                <w:color w:val="000000"/>
                <w:sz w:val="16"/>
                <w:szCs w:val="16"/>
              </w:rPr>
              <w:t>12.0</w:t>
            </w:r>
          </w:p>
        </w:tc>
      </w:tr>
      <w:tr w:rsidR="00262FDC" w:rsidRPr="00F87E34" w14:paraId="0E0D3193" w14:textId="77777777" w:rsidTr="003F0296">
        <w:trPr>
          <w:trHeight w:val="227"/>
          <w:jc w:val="center"/>
        </w:trPr>
        <w:tc>
          <w:tcPr>
            <w:tcW w:w="2675" w:type="dxa"/>
            <w:tcBorders>
              <w:top w:val="nil"/>
              <w:left w:val="single" w:sz="6" w:space="0" w:color="404040"/>
              <w:bottom w:val="nil"/>
              <w:right w:val="single" w:sz="4" w:space="0" w:color="404040"/>
            </w:tcBorders>
            <w:shd w:val="clear" w:color="auto" w:fill="auto"/>
            <w:noWrap/>
            <w:vAlign w:val="center"/>
          </w:tcPr>
          <w:p w14:paraId="6608B00F" w14:textId="77777777" w:rsidR="00262FDC" w:rsidRPr="00F87E34" w:rsidRDefault="00262FDC" w:rsidP="00262FDC">
            <w:pPr>
              <w:spacing w:before="20" w:after="20"/>
              <w:ind w:left="97"/>
              <w:jc w:val="left"/>
              <w:rPr>
                <w:bCs/>
                <w:sz w:val="16"/>
                <w:szCs w:val="16"/>
              </w:rPr>
            </w:pPr>
            <w:r w:rsidRPr="00F87E34">
              <w:rPr>
                <w:bCs/>
                <w:sz w:val="16"/>
                <w:szCs w:val="16"/>
              </w:rPr>
              <w:t>Campeche</w:t>
            </w:r>
          </w:p>
        </w:tc>
        <w:tc>
          <w:tcPr>
            <w:tcW w:w="1241" w:type="dxa"/>
            <w:tcBorders>
              <w:top w:val="nil"/>
              <w:left w:val="single" w:sz="4" w:space="0" w:color="404040"/>
              <w:bottom w:val="nil"/>
              <w:right w:val="nil"/>
            </w:tcBorders>
            <w:shd w:val="clear" w:color="auto" w:fill="auto"/>
            <w:noWrap/>
            <w:vAlign w:val="center"/>
          </w:tcPr>
          <w:p w14:paraId="76570E01" w14:textId="168C762D" w:rsidR="00262FDC" w:rsidRPr="000402DA" w:rsidRDefault="00262FDC" w:rsidP="00262FDC">
            <w:pPr>
              <w:tabs>
                <w:tab w:val="decimal" w:pos="564"/>
              </w:tabs>
              <w:jc w:val="left"/>
              <w:rPr>
                <w:sz w:val="16"/>
                <w:szCs w:val="16"/>
              </w:rPr>
            </w:pPr>
            <w:r>
              <w:rPr>
                <w:color w:val="000000"/>
                <w:sz w:val="16"/>
                <w:szCs w:val="16"/>
              </w:rPr>
              <w:t>6.5</w:t>
            </w:r>
          </w:p>
        </w:tc>
        <w:tc>
          <w:tcPr>
            <w:tcW w:w="1161" w:type="dxa"/>
            <w:tcBorders>
              <w:top w:val="nil"/>
              <w:left w:val="nil"/>
              <w:bottom w:val="nil"/>
              <w:right w:val="nil"/>
            </w:tcBorders>
            <w:shd w:val="clear" w:color="auto" w:fill="auto"/>
            <w:noWrap/>
            <w:vAlign w:val="center"/>
          </w:tcPr>
          <w:p w14:paraId="04C14569" w14:textId="48743748" w:rsidR="00262FDC" w:rsidRPr="000402DA" w:rsidRDefault="00262FDC" w:rsidP="00262FDC">
            <w:pPr>
              <w:tabs>
                <w:tab w:val="decimal" w:pos="564"/>
              </w:tabs>
              <w:jc w:val="left"/>
              <w:rPr>
                <w:sz w:val="16"/>
                <w:szCs w:val="16"/>
              </w:rPr>
            </w:pPr>
            <w:r>
              <w:rPr>
                <w:color w:val="000000"/>
                <w:sz w:val="16"/>
                <w:szCs w:val="16"/>
              </w:rPr>
              <w:t>2.3</w:t>
            </w:r>
          </w:p>
        </w:tc>
        <w:tc>
          <w:tcPr>
            <w:tcW w:w="1240" w:type="dxa"/>
            <w:tcBorders>
              <w:top w:val="nil"/>
              <w:left w:val="nil"/>
              <w:bottom w:val="nil"/>
              <w:right w:val="nil"/>
            </w:tcBorders>
            <w:shd w:val="clear" w:color="auto" w:fill="auto"/>
            <w:noWrap/>
            <w:vAlign w:val="center"/>
          </w:tcPr>
          <w:p w14:paraId="0590892A" w14:textId="2BC4861B" w:rsidR="00262FDC" w:rsidRPr="000402DA" w:rsidRDefault="00262FDC" w:rsidP="00262FDC">
            <w:pPr>
              <w:tabs>
                <w:tab w:val="decimal" w:pos="626"/>
              </w:tabs>
              <w:jc w:val="left"/>
              <w:rPr>
                <w:sz w:val="16"/>
                <w:szCs w:val="16"/>
              </w:rPr>
            </w:pPr>
            <w:r>
              <w:rPr>
                <w:color w:val="000000"/>
                <w:sz w:val="16"/>
                <w:szCs w:val="16"/>
              </w:rPr>
              <w:t>7.8</w:t>
            </w:r>
          </w:p>
        </w:tc>
        <w:tc>
          <w:tcPr>
            <w:tcW w:w="1318" w:type="dxa"/>
            <w:tcBorders>
              <w:top w:val="nil"/>
              <w:left w:val="nil"/>
              <w:bottom w:val="nil"/>
              <w:right w:val="nil"/>
            </w:tcBorders>
            <w:shd w:val="clear" w:color="auto" w:fill="auto"/>
            <w:noWrap/>
            <w:vAlign w:val="center"/>
          </w:tcPr>
          <w:p w14:paraId="14EAD6B2" w14:textId="03E51178" w:rsidR="00262FDC" w:rsidRPr="000402DA" w:rsidRDefault="00262FDC" w:rsidP="00262FDC">
            <w:pPr>
              <w:tabs>
                <w:tab w:val="decimal" w:pos="564"/>
              </w:tabs>
              <w:jc w:val="left"/>
              <w:rPr>
                <w:sz w:val="16"/>
                <w:szCs w:val="16"/>
              </w:rPr>
            </w:pPr>
            <w:r>
              <w:rPr>
                <w:color w:val="000000"/>
                <w:sz w:val="16"/>
                <w:szCs w:val="16"/>
              </w:rPr>
              <w:t>2.7</w:t>
            </w:r>
          </w:p>
        </w:tc>
        <w:tc>
          <w:tcPr>
            <w:tcW w:w="1162" w:type="dxa"/>
            <w:tcBorders>
              <w:top w:val="nil"/>
              <w:left w:val="nil"/>
              <w:bottom w:val="nil"/>
              <w:right w:val="nil"/>
            </w:tcBorders>
            <w:shd w:val="clear" w:color="auto" w:fill="auto"/>
            <w:noWrap/>
            <w:vAlign w:val="center"/>
          </w:tcPr>
          <w:p w14:paraId="103B1441" w14:textId="5F0C4AE8" w:rsidR="00262FDC" w:rsidRPr="000402DA" w:rsidRDefault="00262FDC" w:rsidP="00262FDC">
            <w:pPr>
              <w:tabs>
                <w:tab w:val="decimal" w:pos="539"/>
              </w:tabs>
              <w:jc w:val="left"/>
              <w:rPr>
                <w:sz w:val="16"/>
                <w:szCs w:val="16"/>
              </w:rPr>
            </w:pPr>
            <w:r>
              <w:rPr>
                <w:color w:val="000000"/>
                <w:sz w:val="16"/>
                <w:szCs w:val="16"/>
              </w:rPr>
              <w:t>1.0</w:t>
            </w:r>
          </w:p>
        </w:tc>
        <w:tc>
          <w:tcPr>
            <w:tcW w:w="1161" w:type="dxa"/>
            <w:tcBorders>
              <w:top w:val="nil"/>
              <w:left w:val="nil"/>
              <w:bottom w:val="nil"/>
              <w:right w:val="single" w:sz="6" w:space="0" w:color="404040"/>
            </w:tcBorders>
            <w:shd w:val="clear" w:color="auto" w:fill="auto"/>
            <w:noWrap/>
            <w:vAlign w:val="center"/>
          </w:tcPr>
          <w:p w14:paraId="4584ADD2" w14:textId="79757043" w:rsidR="00262FDC" w:rsidRPr="000402DA" w:rsidRDefault="00262FDC" w:rsidP="00262FDC">
            <w:pPr>
              <w:tabs>
                <w:tab w:val="decimal" w:pos="589"/>
              </w:tabs>
              <w:jc w:val="left"/>
              <w:rPr>
                <w:sz w:val="16"/>
                <w:szCs w:val="16"/>
              </w:rPr>
            </w:pPr>
            <w:r>
              <w:rPr>
                <w:color w:val="000000"/>
                <w:sz w:val="16"/>
                <w:szCs w:val="16"/>
              </w:rPr>
              <w:t>11.9</w:t>
            </w:r>
          </w:p>
        </w:tc>
      </w:tr>
      <w:tr w:rsidR="00262FDC" w:rsidRPr="00F87E34" w14:paraId="1AA69D88" w14:textId="77777777" w:rsidTr="003F0296">
        <w:trPr>
          <w:trHeight w:val="227"/>
          <w:jc w:val="center"/>
        </w:trPr>
        <w:tc>
          <w:tcPr>
            <w:tcW w:w="2675" w:type="dxa"/>
            <w:tcBorders>
              <w:top w:val="nil"/>
              <w:left w:val="single" w:sz="6" w:space="0" w:color="404040"/>
              <w:bottom w:val="nil"/>
              <w:right w:val="single" w:sz="4" w:space="0" w:color="404040"/>
            </w:tcBorders>
            <w:shd w:val="clear" w:color="auto" w:fill="auto"/>
            <w:noWrap/>
            <w:vAlign w:val="center"/>
          </w:tcPr>
          <w:p w14:paraId="2B33978A" w14:textId="77777777" w:rsidR="00262FDC" w:rsidRPr="00F87E34" w:rsidRDefault="00262FDC" w:rsidP="00262FDC">
            <w:pPr>
              <w:spacing w:before="20" w:after="20"/>
              <w:ind w:left="97"/>
              <w:jc w:val="left"/>
              <w:rPr>
                <w:bCs/>
                <w:sz w:val="16"/>
                <w:szCs w:val="16"/>
              </w:rPr>
            </w:pPr>
            <w:r w:rsidRPr="00F87E34">
              <w:rPr>
                <w:bCs/>
                <w:sz w:val="16"/>
                <w:szCs w:val="16"/>
              </w:rPr>
              <w:t>Coahuila de Zaragoza</w:t>
            </w:r>
          </w:p>
        </w:tc>
        <w:tc>
          <w:tcPr>
            <w:tcW w:w="1241" w:type="dxa"/>
            <w:tcBorders>
              <w:top w:val="nil"/>
              <w:left w:val="single" w:sz="4" w:space="0" w:color="404040"/>
              <w:bottom w:val="nil"/>
              <w:right w:val="nil"/>
            </w:tcBorders>
            <w:shd w:val="clear" w:color="auto" w:fill="auto"/>
            <w:noWrap/>
            <w:vAlign w:val="center"/>
          </w:tcPr>
          <w:p w14:paraId="75495961" w14:textId="5F17E945" w:rsidR="00262FDC" w:rsidRPr="000402DA" w:rsidRDefault="00262FDC" w:rsidP="00262FDC">
            <w:pPr>
              <w:tabs>
                <w:tab w:val="decimal" w:pos="564"/>
              </w:tabs>
              <w:jc w:val="left"/>
              <w:rPr>
                <w:sz w:val="16"/>
                <w:szCs w:val="16"/>
              </w:rPr>
            </w:pPr>
            <w:r>
              <w:rPr>
                <w:color w:val="000000"/>
                <w:sz w:val="16"/>
                <w:szCs w:val="16"/>
              </w:rPr>
              <w:t>7.5</w:t>
            </w:r>
          </w:p>
        </w:tc>
        <w:tc>
          <w:tcPr>
            <w:tcW w:w="1161" w:type="dxa"/>
            <w:tcBorders>
              <w:top w:val="nil"/>
              <w:left w:val="nil"/>
              <w:bottom w:val="nil"/>
              <w:right w:val="nil"/>
            </w:tcBorders>
            <w:shd w:val="clear" w:color="auto" w:fill="auto"/>
            <w:noWrap/>
            <w:vAlign w:val="center"/>
          </w:tcPr>
          <w:p w14:paraId="19F6CCAF" w14:textId="0E89544C" w:rsidR="00262FDC" w:rsidRPr="000402DA" w:rsidRDefault="00262FDC" w:rsidP="00262FDC">
            <w:pPr>
              <w:tabs>
                <w:tab w:val="decimal" w:pos="564"/>
              </w:tabs>
              <w:jc w:val="left"/>
              <w:rPr>
                <w:sz w:val="16"/>
                <w:szCs w:val="16"/>
              </w:rPr>
            </w:pPr>
            <w:r>
              <w:rPr>
                <w:color w:val="000000"/>
                <w:sz w:val="16"/>
                <w:szCs w:val="16"/>
              </w:rPr>
              <w:t>2.7</w:t>
            </w:r>
          </w:p>
        </w:tc>
        <w:tc>
          <w:tcPr>
            <w:tcW w:w="1240" w:type="dxa"/>
            <w:tcBorders>
              <w:top w:val="nil"/>
              <w:left w:val="nil"/>
              <w:bottom w:val="nil"/>
              <w:right w:val="nil"/>
            </w:tcBorders>
            <w:shd w:val="clear" w:color="auto" w:fill="auto"/>
            <w:noWrap/>
            <w:vAlign w:val="center"/>
          </w:tcPr>
          <w:p w14:paraId="2C172586" w14:textId="00369F7A" w:rsidR="00262FDC" w:rsidRPr="000402DA" w:rsidRDefault="00262FDC" w:rsidP="00262FDC">
            <w:pPr>
              <w:tabs>
                <w:tab w:val="decimal" w:pos="626"/>
              </w:tabs>
              <w:jc w:val="left"/>
              <w:rPr>
                <w:sz w:val="16"/>
                <w:szCs w:val="16"/>
              </w:rPr>
            </w:pPr>
            <w:r>
              <w:rPr>
                <w:color w:val="000000"/>
                <w:sz w:val="16"/>
                <w:szCs w:val="16"/>
              </w:rPr>
              <w:t>6.2</w:t>
            </w:r>
          </w:p>
        </w:tc>
        <w:tc>
          <w:tcPr>
            <w:tcW w:w="1318" w:type="dxa"/>
            <w:tcBorders>
              <w:top w:val="nil"/>
              <w:left w:val="nil"/>
              <w:bottom w:val="nil"/>
              <w:right w:val="nil"/>
            </w:tcBorders>
            <w:shd w:val="clear" w:color="auto" w:fill="auto"/>
            <w:noWrap/>
            <w:vAlign w:val="center"/>
          </w:tcPr>
          <w:p w14:paraId="0F075841" w14:textId="7E2380C6" w:rsidR="00262FDC" w:rsidRPr="000402DA" w:rsidRDefault="00262FDC" w:rsidP="00262FDC">
            <w:pPr>
              <w:tabs>
                <w:tab w:val="decimal" w:pos="564"/>
              </w:tabs>
              <w:jc w:val="left"/>
              <w:rPr>
                <w:sz w:val="16"/>
                <w:szCs w:val="16"/>
              </w:rPr>
            </w:pPr>
            <w:r>
              <w:rPr>
                <w:color w:val="000000"/>
                <w:sz w:val="16"/>
                <w:szCs w:val="16"/>
              </w:rPr>
              <w:t>2.5</w:t>
            </w:r>
          </w:p>
        </w:tc>
        <w:tc>
          <w:tcPr>
            <w:tcW w:w="1162" w:type="dxa"/>
            <w:tcBorders>
              <w:top w:val="nil"/>
              <w:left w:val="nil"/>
              <w:bottom w:val="nil"/>
              <w:right w:val="nil"/>
            </w:tcBorders>
            <w:shd w:val="clear" w:color="auto" w:fill="auto"/>
            <w:noWrap/>
            <w:vAlign w:val="center"/>
          </w:tcPr>
          <w:p w14:paraId="27D16F89" w14:textId="0FF834D4" w:rsidR="00262FDC" w:rsidRPr="000402DA" w:rsidRDefault="00262FDC" w:rsidP="00262FDC">
            <w:pPr>
              <w:tabs>
                <w:tab w:val="decimal" w:pos="539"/>
              </w:tabs>
              <w:jc w:val="left"/>
              <w:rPr>
                <w:sz w:val="16"/>
                <w:szCs w:val="16"/>
              </w:rPr>
            </w:pPr>
            <w:r>
              <w:rPr>
                <w:color w:val="000000"/>
                <w:sz w:val="16"/>
                <w:szCs w:val="16"/>
              </w:rPr>
              <w:t>0.8</w:t>
            </w:r>
          </w:p>
        </w:tc>
        <w:tc>
          <w:tcPr>
            <w:tcW w:w="1161" w:type="dxa"/>
            <w:tcBorders>
              <w:top w:val="nil"/>
              <w:left w:val="nil"/>
              <w:bottom w:val="nil"/>
              <w:right w:val="single" w:sz="6" w:space="0" w:color="404040"/>
            </w:tcBorders>
            <w:shd w:val="clear" w:color="auto" w:fill="auto"/>
            <w:noWrap/>
            <w:vAlign w:val="center"/>
          </w:tcPr>
          <w:p w14:paraId="28B09DE8" w14:textId="26A4533C" w:rsidR="00262FDC" w:rsidRPr="000402DA" w:rsidRDefault="00262FDC" w:rsidP="00262FDC">
            <w:pPr>
              <w:tabs>
                <w:tab w:val="decimal" w:pos="589"/>
              </w:tabs>
              <w:jc w:val="left"/>
              <w:rPr>
                <w:sz w:val="16"/>
                <w:szCs w:val="16"/>
              </w:rPr>
            </w:pPr>
            <w:r>
              <w:rPr>
                <w:color w:val="000000"/>
                <w:sz w:val="16"/>
                <w:szCs w:val="16"/>
              </w:rPr>
              <w:t>11.8</w:t>
            </w:r>
          </w:p>
        </w:tc>
      </w:tr>
      <w:tr w:rsidR="00262FDC" w:rsidRPr="00F87E34" w14:paraId="56BCF494" w14:textId="77777777" w:rsidTr="003F0296">
        <w:trPr>
          <w:trHeight w:val="227"/>
          <w:jc w:val="center"/>
        </w:trPr>
        <w:tc>
          <w:tcPr>
            <w:tcW w:w="2675" w:type="dxa"/>
            <w:tcBorders>
              <w:top w:val="nil"/>
              <w:left w:val="single" w:sz="6" w:space="0" w:color="404040"/>
              <w:bottom w:val="nil"/>
              <w:right w:val="single" w:sz="4" w:space="0" w:color="404040"/>
            </w:tcBorders>
            <w:shd w:val="clear" w:color="auto" w:fill="auto"/>
            <w:noWrap/>
            <w:vAlign w:val="center"/>
          </w:tcPr>
          <w:p w14:paraId="04F6327E" w14:textId="77777777" w:rsidR="00262FDC" w:rsidRPr="00F87E34" w:rsidRDefault="00262FDC" w:rsidP="00262FDC">
            <w:pPr>
              <w:spacing w:before="20" w:after="20"/>
              <w:ind w:left="97"/>
              <w:jc w:val="left"/>
              <w:rPr>
                <w:bCs/>
                <w:sz w:val="16"/>
                <w:szCs w:val="16"/>
              </w:rPr>
            </w:pPr>
            <w:r w:rsidRPr="00F87E34">
              <w:rPr>
                <w:bCs/>
                <w:sz w:val="16"/>
                <w:szCs w:val="16"/>
              </w:rPr>
              <w:t>Colima</w:t>
            </w:r>
          </w:p>
        </w:tc>
        <w:tc>
          <w:tcPr>
            <w:tcW w:w="1241" w:type="dxa"/>
            <w:tcBorders>
              <w:top w:val="nil"/>
              <w:left w:val="single" w:sz="4" w:space="0" w:color="404040"/>
              <w:bottom w:val="nil"/>
              <w:right w:val="nil"/>
            </w:tcBorders>
            <w:shd w:val="clear" w:color="auto" w:fill="auto"/>
            <w:noWrap/>
            <w:vAlign w:val="center"/>
          </w:tcPr>
          <w:p w14:paraId="73FBB535" w14:textId="2E2267B7" w:rsidR="00262FDC" w:rsidRPr="000402DA" w:rsidRDefault="00262FDC" w:rsidP="00262FDC">
            <w:pPr>
              <w:tabs>
                <w:tab w:val="decimal" w:pos="564"/>
              </w:tabs>
              <w:jc w:val="left"/>
              <w:rPr>
                <w:sz w:val="16"/>
                <w:szCs w:val="16"/>
              </w:rPr>
            </w:pPr>
            <w:r>
              <w:rPr>
                <w:color w:val="000000"/>
                <w:sz w:val="16"/>
                <w:szCs w:val="16"/>
              </w:rPr>
              <w:t>8.6</w:t>
            </w:r>
          </w:p>
        </w:tc>
        <w:tc>
          <w:tcPr>
            <w:tcW w:w="1161" w:type="dxa"/>
            <w:tcBorders>
              <w:top w:val="nil"/>
              <w:left w:val="nil"/>
              <w:bottom w:val="nil"/>
              <w:right w:val="nil"/>
            </w:tcBorders>
            <w:shd w:val="clear" w:color="auto" w:fill="auto"/>
            <w:noWrap/>
            <w:vAlign w:val="center"/>
          </w:tcPr>
          <w:p w14:paraId="1A639D41" w14:textId="69213FFF" w:rsidR="00262FDC" w:rsidRPr="000402DA" w:rsidRDefault="00262FDC" w:rsidP="00262FDC">
            <w:pPr>
              <w:tabs>
                <w:tab w:val="decimal" w:pos="564"/>
              </w:tabs>
              <w:jc w:val="left"/>
              <w:rPr>
                <w:sz w:val="16"/>
                <w:szCs w:val="16"/>
              </w:rPr>
            </w:pPr>
            <w:r>
              <w:rPr>
                <w:color w:val="000000"/>
                <w:sz w:val="16"/>
                <w:szCs w:val="16"/>
              </w:rPr>
              <w:t>2.2</w:t>
            </w:r>
          </w:p>
        </w:tc>
        <w:tc>
          <w:tcPr>
            <w:tcW w:w="1240" w:type="dxa"/>
            <w:tcBorders>
              <w:top w:val="nil"/>
              <w:left w:val="nil"/>
              <w:bottom w:val="nil"/>
              <w:right w:val="nil"/>
            </w:tcBorders>
            <w:shd w:val="clear" w:color="auto" w:fill="auto"/>
            <w:noWrap/>
            <w:vAlign w:val="center"/>
          </w:tcPr>
          <w:p w14:paraId="7A9488C6" w14:textId="2BC2BD4D" w:rsidR="00262FDC" w:rsidRPr="000402DA" w:rsidRDefault="00262FDC" w:rsidP="00262FDC">
            <w:pPr>
              <w:tabs>
                <w:tab w:val="decimal" w:pos="626"/>
              </w:tabs>
              <w:jc w:val="left"/>
              <w:rPr>
                <w:sz w:val="16"/>
                <w:szCs w:val="16"/>
              </w:rPr>
            </w:pPr>
            <w:r>
              <w:rPr>
                <w:color w:val="000000"/>
                <w:sz w:val="16"/>
                <w:szCs w:val="16"/>
              </w:rPr>
              <w:t>11.1</w:t>
            </w:r>
          </w:p>
        </w:tc>
        <w:tc>
          <w:tcPr>
            <w:tcW w:w="1318" w:type="dxa"/>
            <w:tcBorders>
              <w:top w:val="nil"/>
              <w:left w:val="nil"/>
              <w:bottom w:val="nil"/>
              <w:right w:val="nil"/>
            </w:tcBorders>
            <w:shd w:val="clear" w:color="auto" w:fill="auto"/>
            <w:noWrap/>
            <w:vAlign w:val="center"/>
          </w:tcPr>
          <w:p w14:paraId="2F4FFCAE" w14:textId="41FA8B0A" w:rsidR="00262FDC" w:rsidRPr="000402DA" w:rsidRDefault="00262FDC" w:rsidP="00262FDC">
            <w:pPr>
              <w:tabs>
                <w:tab w:val="decimal" w:pos="564"/>
              </w:tabs>
              <w:jc w:val="left"/>
              <w:rPr>
                <w:sz w:val="16"/>
                <w:szCs w:val="16"/>
              </w:rPr>
            </w:pPr>
            <w:r>
              <w:rPr>
                <w:color w:val="000000"/>
                <w:sz w:val="16"/>
                <w:szCs w:val="16"/>
              </w:rPr>
              <w:t>1.5</w:t>
            </w:r>
          </w:p>
        </w:tc>
        <w:tc>
          <w:tcPr>
            <w:tcW w:w="1162" w:type="dxa"/>
            <w:tcBorders>
              <w:top w:val="nil"/>
              <w:left w:val="nil"/>
              <w:bottom w:val="nil"/>
              <w:right w:val="nil"/>
            </w:tcBorders>
            <w:shd w:val="clear" w:color="auto" w:fill="auto"/>
            <w:noWrap/>
            <w:vAlign w:val="center"/>
          </w:tcPr>
          <w:p w14:paraId="2A9D76A7" w14:textId="0A0720F9" w:rsidR="00262FDC" w:rsidRPr="000402DA" w:rsidRDefault="00262FDC" w:rsidP="00262FDC">
            <w:pPr>
              <w:tabs>
                <w:tab w:val="decimal" w:pos="539"/>
              </w:tabs>
              <w:jc w:val="left"/>
              <w:rPr>
                <w:sz w:val="16"/>
                <w:szCs w:val="16"/>
              </w:rPr>
            </w:pPr>
            <w:r>
              <w:rPr>
                <w:color w:val="000000"/>
                <w:sz w:val="16"/>
                <w:szCs w:val="16"/>
              </w:rPr>
              <w:t>0.7</w:t>
            </w:r>
          </w:p>
        </w:tc>
        <w:tc>
          <w:tcPr>
            <w:tcW w:w="1161" w:type="dxa"/>
            <w:tcBorders>
              <w:top w:val="nil"/>
              <w:left w:val="nil"/>
              <w:bottom w:val="nil"/>
              <w:right w:val="single" w:sz="6" w:space="0" w:color="404040"/>
            </w:tcBorders>
            <w:shd w:val="clear" w:color="auto" w:fill="auto"/>
            <w:noWrap/>
            <w:vAlign w:val="center"/>
          </w:tcPr>
          <w:p w14:paraId="75DDBD88" w14:textId="695F4C81" w:rsidR="00262FDC" w:rsidRPr="000402DA" w:rsidRDefault="00262FDC" w:rsidP="00262FDC">
            <w:pPr>
              <w:tabs>
                <w:tab w:val="decimal" w:pos="589"/>
              </w:tabs>
              <w:jc w:val="left"/>
              <w:rPr>
                <w:sz w:val="16"/>
                <w:szCs w:val="16"/>
              </w:rPr>
            </w:pPr>
            <w:r>
              <w:rPr>
                <w:color w:val="000000"/>
                <w:sz w:val="16"/>
                <w:szCs w:val="16"/>
              </w:rPr>
              <w:t>11.0</w:t>
            </w:r>
          </w:p>
        </w:tc>
      </w:tr>
      <w:tr w:rsidR="00262FDC" w:rsidRPr="00F87E34" w14:paraId="67167560" w14:textId="77777777" w:rsidTr="003F0296">
        <w:trPr>
          <w:trHeight w:val="227"/>
          <w:jc w:val="center"/>
        </w:trPr>
        <w:tc>
          <w:tcPr>
            <w:tcW w:w="2675" w:type="dxa"/>
            <w:tcBorders>
              <w:top w:val="nil"/>
              <w:left w:val="single" w:sz="6" w:space="0" w:color="404040"/>
              <w:bottom w:val="nil"/>
              <w:right w:val="single" w:sz="4" w:space="0" w:color="404040"/>
            </w:tcBorders>
            <w:shd w:val="clear" w:color="auto" w:fill="auto"/>
            <w:noWrap/>
            <w:vAlign w:val="center"/>
          </w:tcPr>
          <w:p w14:paraId="29FFBA71" w14:textId="77777777" w:rsidR="00262FDC" w:rsidRPr="00F87E34" w:rsidRDefault="00262FDC" w:rsidP="00262FDC">
            <w:pPr>
              <w:spacing w:before="20" w:after="20"/>
              <w:ind w:left="97"/>
              <w:jc w:val="left"/>
              <w:rPr>
                <w:bCs/>
                <w:sz w:val="16"/>
                <w:szCs w:val="16"/>
              </w:rPr>
            </w:pPr>
            <w:r w:rsidRPr="00F87E34">
              <w:rPr>
                <w:bCs/>
                <w:sz w:val="16"/>
                <w:szCs w:val="16"/>
              </w:rPr>
              <w:t>Chiapas</w:t>
            </w:r>
          </w:p>
        </w:tc>
        <w:tc>
          <w:tcPr>
            <w:tcW w:w="1241" w:type="dxa"/>
            <w:tcBorders>
              <w:top w:val="nil"/>
              <w:left w:val="single" w:sz="4" w:space="0" w:color="404040"/>
              <w:bottom w:val="nil"/>
              <w:right w:val="nil"/>
            </w:tcBorders>
            <w:shd w:val="clear" w:color="auto" w:fill="auto"/>
            <w:noWrap/>
            <w:vAlign w:val="center"/>
          </w:tcPr>
          <w:p w14:paraId="52A05160" w14:textId="325DC4F3" w:rsidR="00262FDC" w:rsidRPr="000402DA" w:rsidRDefault="00262FDC" w:rsidP="00262FDC">
            <w:pPr>
              <w:tabs>
                <w:tab w:val="decimal" w:pos="564"/>
              </w:tabs>
              <w:jc w:val="left"/>
              <w:rPr>
                <w:sz w:val="16"/>
                <w:szCs w:val="16"/>
              </w:rPr>
            </w:pPr>
            <w:r>
              <w:rPr>
                <w:color w:val="000000"/>
                <w:sz w:val="16"/>
                <w:szCs w:val="16"/>
              </w:rPr>
              <w:t>4.7</w:t>
            </w:r>
          </w:p>
        </w:tc>
        <w:tc>
          <w:tcPr>
            <w:tcW w:w="1161" w:type="dxa"/>
            <w:tcBorders>
              <w:top w:val="nil"/>
              <w:left w:val="nil"/>
              <w:bottom w:val="nil"/>
              <w:right w:val="nil"/>
            </w:tcBorders>
            <w:shd w:val="clear" w:color="auto" w:fill="auto"/>
            <w:noWrap/>
            <w:vAlign w:val="center"/>
          </w:tcPr>
          <w:p w14:paraId="6B5E9EEC" w14:textId="49571721" w:rsidR="00262FDC" w:rsidRPr="000402DA" w:rsidRDefault="00262FDC" w:rsidP="00262FDC">
            <w:pPr>
              <w:tabs>
                <w:tab w:val="decimal" w:pos="564"/>
              </w:tabs>
              <w:jc w:val="left"/>
              <w:rPr>
                <w:sz w:val="16"/>
                <w:szCs w:val="16"/>
              </w:rPr>
            </w:pPr>
            <w:r>
              <w:rPr>
                <w:color w:val="000000"/>
                <w:sz w:val="16"/>
                <w:szCs w:val="16"/>
              </w:rPr>
              <w:t>3.0</w:t>
            </w:r>
          </w:p>
        </w:tc>
        <w:tc>
          <w:tcPr>
            <w:tcW w:w="1240" w:type="dxa"/>
            <w:tcBorders>
              <w:top w:val="nil"/>
              <w:left w:val="nil"/>
              <w:bottom w:val="nil"/>
              <w:right w:val="nil"/>
            </w:tcBorders>
            <w:shd w:val="clear" w:color="auto" w:fill="auto"/>
            <w:noWrap/>
            <w:vAlign w:val="center"/>
          </w:tcPr>
          <w:p w14:paraId="2803B5C7" w14:textId="1D2D3B31" w:rsidR="00262FDC" w:rsidRPr="000402DA" w:rsidRDefault="00262FDC" w:rsidP="00262FDC">
            <w:pPr>
              <w:tabs>
                <w:tab w:val="decimal" w:pos="626"/>
              </w:tabs>
              <w:jc w:val="left"/>
              <w:rPr>
                <w:sz w:val="16"/>
                <w:szCs w:val="16"/>
              </w:rPr>
            </w:pPr>
            <w:r>
              <w:rPr>
                <w:color w:val="000000"/>
                <w:sz w:val="16"/>
                <w:szCs w:val="16"/>
              </w:rPr>
              <w:t>6.5</w:t>
            </w:r>
          </w:p>
        </w:tc>
        <w:tc>
          <w:tcPr>
            <w:tcW w:w="1318" w:type="dxa"/>
            <w:tcBorders>
              <w:top w:val="nil"/>
              <w:left w:val="nil"/>
              <w:bottom w:val="nil"/>
              <w:right w:val="nil"/>
            </w:tcBorders>
            <w:shd w:val="clear" w:color="auto" w:fill="auto"/>
            <w:noWrap/>
            <w:vAlign w:val="center"/>
          </w:tcPr>
          <w:p w14:paraId="31615874" w14:textId="0C161977" w:rsidR="00262FDC" w:rsidRPr="000402DA" w:rsidRDefault="00262FDC" w:rsidP="00262FDC">
            <w:pPr>
              <w:tabs>
                <w:tab w:val="decimal" w:pos="564"/>
              </w:tabs>
              <w:jc w:val="left"/>
              <w:rPr>
                <w:sz w:val="16"/>
                <w:szCs w:val="16"/>
              </w:rPr>
            </w:pPr>
            <w:r>
              <w:rPr>
                <w:color w:val="000000"/>
                <w:sz w:val="16"/>
                <w:szCs w:val="16"/>
              </w:rPr>
              <w:t>1.9</w:t>
            </w:r>
          </w:p>
        </w:tc>
        <w:tc>
          <w:tcPr>
            <w:tcW w:w="1162" w:type="dxa"/>
            <w:tcBorders>
              <w:top w:val="nil"/>
              <w:left w:val="nil"/>
              <w:bottom w:val="nil"/>
              <w:right w:val="nil"/>
            </w:tcBorders>
            <w:shd w:val="clear" w:color="auto" w:fill="auto"/>
            <w:noWrap/>
            <w:vAlign w:val="center"/>
          </w:tcPr>
          <w:p w14:paraId="7E8B26B7" w14:textId="72F8D204" w:rsidR="00262FDC" w:rsidRPr="000402DA" w:rsidRDefault="00262FDC" w:rsidP="00262FDC">
            <w:pPr>
              <w:tabs>
                <w:tab w:val="decimal" w:pos="539"/>
              </w:tabs>
              <w:jc w:val="left"/>
              <w:rPr>
                <w:sz w:val="16"/>
                <w:szCs w:val="16"/>
              </w:rPr>
            </w:pPr>
            <w:r>
              <w:rPr>
                <w:color w:val="000000"/>
                <w:sz w:val="16"/>
                <w:szCs w:val="16"/>
              </w:rPr>
              <w:t>0.6</w:t>
            </w:r>
          </w:p>
        </w:tc>
        <w:tc>
          <w:tcPr>
            <w:tcW w:w="1161" w:type="dxa"/>
            <w:tcBorders>
              <w:top w:val="nil"/>
              <w:left w:val="nil"/>
              <w:bottom w:val="nil"/>
              <w:right w:val="single" w:sz="6" w:space="0" w:color="404040"/>
            </w:tcBorders>
            <w:shd w:val="clear" w:color="auto" w:fill="auto"/>
            <w:noWrap/>
            <w:vAlign w:val="center"/>
          </w:tcPr>
          <w:p w14:paraId="3B592CBF" w14:textId="1A3C1578" w:rsidR="00262FDC" w:rsidRPr="000402DA" w:rsidRDefault="00262FDC" w:rsidP="00262FDC">
            <w:pPr>
              <w:tabs>
                <w:tab w:val="decimal" w:pos="589"/>
              </w:tabs>
              <w:jc w:val="left"/>
              <w:rPr>
                <w:sz w:val="16"/>
                <w:szCs w:val="16"/>
              </w:rPr>
            </w:pPr>
            <w:r>
              <w:rPr>
                <w:color w:val="000000"/>
                <w:sz w:val="16"/>
                <w:szCs w:val="16"/>
              </w:rPr>
              <w:t>11.3</w:t>
            </w:r>
          </w:p>
        </w:tc>
      </w:tr>
      <w:tr w:rsidR="00262FDC" w:rsidRPr="00F87E34" w14:paraId="2DF7397F" w14:textId="77777777" w:rsidTr="003F0296">
        <w:trPr>
          <w:trHeight w:val="227"/>
          <w:jc w:val="center"/>
        </w:trPr>
        <w:tc>
          <w:tcPr>
            <w:tcW w:w="2675" w:type="dxa"/>
            <w:tcBorders>
              <w:top w:val="nil"/>
              <w:left w:val="single" w:sz="6" w:space="0" w:color="404040"/>
              <w:bottom w:val="nil"/>
              <w:right w:val="single" w:sz="4" w:space="0" w:color="404040"/>
            </w:tcBorders>
            <w:shd w:val="clear" w:color="auto" w:fill="auto"/>
            <w:noWrap/>
            <w:vAlign w:val="center"/>
          </w:tcPr>
          <w:p w14:paraId="63A1C37B" w14:textId="77777777" w:rsidR="00262FDC" w:rsidRPr="00F87E34" w:rsidRDefault="00262FDC" w:rsidP="00262FDC">
            <w:pPr>
              <w:spacing w:before="20" w:after="20"/>
              <w:ind w:left="97"/>
              <w:jc w:val="left"/>
              <w:rPr>
                <w:bCs/>
                <w:sz w:val="16"/>
                <w:szCs w:val="16"/>
              </w:rPr>
            </w:pPr>
            <w:r w:rsidRPr="00F87E34">
              <w:rPr>
                <w:bCs/>
                <w:sz w:val="16"/>
                <w:szCs w:val="16"/>
              </w:rPr>
              <w:t>Chihuahua</w:t>
            </w:r>
          </w:p>
        </w:tc>
        <w:tc>
          <w:tcPr>
            <w:tcW w:w="1241" w:type="dxa"/>
            <w:tcBorders>
              <w:top w:val="nil"/>
              <w:left w:val="single" w:sz="4" w:space="0" w:color="404040"/>
              <w:bottom w:val="nil"/>
              <w:right w:val="nil"/>
            </w:tcBorders>
            <w:shd w:val="clear" w:color="auto" w:fill="auto"/>
            <w:noWrap/>
            <w:vAlign w:val="center"/>
          </w:tcPr>
          <w:p w14:paraId="4FD53D32" w14:textId="40FC1A76" w:rsidR="00262FDC" w:rsidRPr="000402DA" w:rsidRDefault="00262FDC" w:rsidP="00262FDC">
            <w:pPr>
              <w:tabs>
                <w:tab w:val="decimal" w:pos="564"/>
              </w:tabs>
              <w:jc w:val="left"/>
              <w:rPr>
                <w:sz w:val="16"/>
                <w:szCs w:val="16"/>
              </w:rPr>
            </w:pPr>
            <w:r>
              <w:rPr>
                <w:color w:val="000000"/>
                <w:sz w:val="16"/>
                <w:szCs w:val="16"/>
              </w:rPr>
              <w:t>4.3</w:t>
            </w:r>
          </w:p>
        </w:tc>
        <w:tc>
          <w:tcPr>
            <w:tcW w:w="1161" w:type="dxa"/>
            <w:tcBorders>
              <w:top w:val="nil"/>
              <w:left w:val="nil"/>
              <w:bottom w:val="nil"/>
              <w:right w:val="nil"/>
            </w:tcBorders>
            <w:shd w:val="clear" w:color="auto" w:fill="auto"/>
            <w:noWrap/>
            <w:vAlign w:val="center"/>
          </w:tcPr>
          <w:p w14:paraId="42997623" w14:textId="0652DD4B" w:rsidR="00262FDC" w:rsidRPr="000402DA" w:rsidRDefault="00262FDC" w:rsidP="00262FDC">
            <w:pPr>
              <w:tabs>
                <w:tab w:val="decimal" w:pos="564"/>
              </w:tabs>
              <w:jc w:val="left"/>
              <w:rPr>
                <w:sz w:val="16"/>
                <w:szCs w:val="16"/>
              </w:rPr>
            </w:pPr>
            <w:r>
              <w:rPr>
                <w:color w:val="000000"/>
                <w:sz w:val="16"/>
                <w:szCs w:val="16"/>
              </w:rPr>
              <w:t>1.8</w:t>
            </w:r>
          </w:p>
        </w:tc>
        <w:tc>
          <w:tcPr>
            <w:tcW w:w="1240" w:type="dxa"/>
            <w:tcBorders>
              <w:top w:val="nil"/>
              <w:left w:val="nil"/>
              <w:bottom w:val="nil"/>
              <w:right w:val="nil"/>
            </w:tcBorders>
            <w:shd w:val="clear" w:color="auto" w:fill="auto"/>
            <w:noWrap/>
            <w:vAlign w:val="center"/>
          </w:tcPr>
          <w:p w14:paraId="145607CA" w14:textId="0A6AE096" w:rsidR="00262FDC" w:rsidRPr="000402DA" w:rsidRDefault="00262FDC" w:rsidP="00262FDC">
            <w:pPr>
              <w:tabs>
                <w:tab w:val="decimal" w:pos="626"/>
              </w:tabs>
              <w:jc w:val="left"/>
              <w:rPr>
                <w:sz w:val="16"/>
                <w:szCs w:val="16"/>
              </w:rPr>
            </w:pPr>
            <w:r>
              <w:rPr>
                <w:color w:val="000000"/>
                <w:sz w:val="16"/>
                <w:szCs w:val="16"/>
              </w:rPr>
              <w:t>6.9</w:t>
            </w:r>
          </w:p>
        </w:tc>
        <w:tc>
          <w:tcPr>
            <w:tcW w:w="1318" w:type="dxa"/>
            <w:tcBorders>
              <w:top w:val="nil"/>
              <w:left w:val="nil"/>
              <w:bottom w:val="nil"/>
              <w:right w:val="nil"/>
            </w:tcBorders>
            <w:shd w:val="clear" w:color="auto" w:fill="auto"/>
            <w:noWrap/>
            <w:vAlign w:val="center"/>
          </w:tcPr>
          <w:p w14:paraId="43759983" w14:textId="2307B246" w:rsidR="00262FDC" w:rsidRPr="000402DA" w:rsidRDefault="00262FDC" w:rsidP="00262FDC">
            <w:pPr>
              <w:tabs>
                <w:tab w:val="decimal" w:pos="564"/>
              </w:tabs>
              <w:jc w:val="left"/>
              <w:rPr>
                <w:sz w:val="16"/>
                <w:szCs w:val="16"/>
              </w:rPr>
            </w:pPr>
            <w:r>
              <w:rPr>
                <w:color w:val="000000"/>
                <w:sz w:val="16"/>
                <w:szCs w:val="16"/>
              </w:rPr>
              <w:t>1.6</w:t>
            </w:r>
          </w:p>
        </w:tc>
        <w:tc>
          <w:tcPr>
            <w:tcW w:w="1162" w:type="dxa"/>
            <w:tcBorders>
              <w:top w:val="nil"/>
              <w:left w:val="nil"/>
              <w:bottom w:val="nil"/>
              <w:right w:val="nil"/>
            </w:tcBorders>
            <w:shd w:val="clear" w:color="auto" w:fill="auto"/>
            <w:noWrap/>
            <w:vAlign w:val="center"/>
          </w:tcPr>
          <w:p w14:paraId="118F1B39" w14:textId="635B8EFE" w:rsidR="00262FDC" w:rsidRPr="000402DA" w:rsidRDefault="00262FDC" w:rsidP="00262FDC">
            <w:pPr>
              <w:tabs>
                <w:tab w:val="decimal" w:pos="539"/>
              </w:tabs>
              <w:jc w:val="left"/>
              <w:rPr>
                <w:sz w:val="16"/>
                <w:szCs w:val="16"/>
              </w:rPr>
            </w:pPr>
            <w:r>
              <w:rPr>
                <w:color w:val="000000"/>
                <w:sz w:val="16"/>
                <w:szCs w:val="16"/>
              </w:rPr>
              <w:t>0.7</w:t>
            </w:r>
          </w:p>
        </w:tc>
        <w:tc>
          <w:tcPr>
            <w:tcW w:w="1161" w:type="dxa"/>
            <w:tcBorders>
              <w:top w:val="nil"/>
              <w:left w:val="nil"/>
              <w:bottom w:val="nil"/>
              <w:right w:val="single" w:sz="6" w:space="0" w:color="404040"/>
            </w:tcBorders>
            <w:shd w:val="clear" w:color="auto" w:fill="auto"/>
            <w:noWrap/>
            <w:vAlign w:val="center"/>
          </w:tcPr>
          <w:p w14:paraId="3A140B03" w14:textId="19801923" w:rsidR="00262FDC" w:rsidRPr="000402DA" w:rsidRDefault="00262FDC" w:rsidP="00262FDC">
            <w:pPr>
              <w:tabs>
                <w:tab w:val="decimal" w:pos="589"/>
              </w:tabs>
              <w:jc w:val="left"/>
              <w:rPr>
                <w:sz w:val="16"/>
                <w:szCs w:val="16"/>
              </w:rPr>
            </w:pPr>
            <w:r>
              <w:rPr>
                <w:color w:val="000000"/>
                <w:sz w:val="16"/>
                <w:szCs w:val="16"/>
              </w:rPr>
              <w:t>12.0</w:t>
            </w:r>
          </w:p>
        </w:tc>
      </w:tr>
      <w:tr w:rsidR="00262FDC" w:rsidRPr="00F87E34" w14:paraId="64F59367" w14:textId="77777777" w:rsidTr="003F0296">
        <w:trPr>
          <w:trHeight w:val="227"/>
          <w:jc w:val="center"/>
        </w:trPr>
        <w:tc>
          <w:tcPr>
            <w:tcW w:w="2675" w:type="dxa"/>
            <w:tcBorders>
              <w:top w:val="nil"/>
              <w:left w:val="single" w:sz="6" w:space="0" w:color="404040"/>
              <w:bottom w:val="nil"/>
              <w:right w:val="single" w:sz="4" w:space="0" w:color="404040"/>
            </w:tcBorders>
            <w:shd w:val="clear" w:color="auto" w:fill="auto"/>
            <w:noWrap/>
            <w:vAlign w:val="center"/>
          </w:tcPr>
          <w:p w14:paraId="00659AF3" w14:textId="77777777" w:rsidR="00262FDC" w:rsidRPr="00F87E34" w:rsidRDefault="00262FDC" w:rsidP="00262FDC">
            <w:pPr>
              <w:spacing w:before="20" w:after="20"/>
              <w:ind w:left="97"/>
              <w:jc w:val="left"/>
              <w:rPr>
                <w:bCs/>
                <w:sz w:val="16"/>
                <w:szCs w:val="16"/>
              </w:rPr>
            </w:pPr>
            <w:r w:rsidRPr="00F87E34">
              <w:rPr>
                <w:bCs/>
                <w:sz w:val="16"/>
                <w:szCs w:val="16"/>
              </w:rPr>
              <w:t>Ciudad de México</w:t>
            </w:r>
          </w:p>
        </w:tc>
        <w:tc>
          <w:tcPr>
            <w:tcW w:w="1241" w:type="dxa"/>
            <w:tcBorders>
              <w:top w:val="nil"/>
              <w:left w:val="single" w:sz="4" w:space="0" w:color="404040"/>
              <w:bottom w:val="nil"/>
              <w:right w:val="nil"/>
            </w:tcBorders>
            <w:shd w:val="clear" w:color="auto" w:fill="auto"/>
            <w:noWrap/>
            <w:vAlign w:val="center"/>
          </w:tcPr>
          <w:p w14:paraId="54F61FA3" w14:textId="64E5B548" w:rsidR="00262FDC" w:rsidRPr="000402DA" w:rsidRDefault="00262FDC" w:rsidP="00262FDC">
            <w:pPr>
              <w:tabs>
                <w:tab w:val="decimal" w:pos="564"/>
              </w:tabs>
              <w:jc w:val="left"/>
              <w:rPr>
                <w:sz w:val="16"/>
                <w:szCs w:val="16"/>
              </w:rPr>
            </w:pPr>
            <w:r>
              <w:rPr>
                <w:color w:val="000000"/>
                <w:sz w:val="16"/>
                <w:szCs w:val="16"/>
              </w:rPr>
              <w:t>11.3</w:t>
            </w:r>
          </w:p>
        </w:tc>
        <w:tc>
          <w:tcPr>
            <w:tcW w:w="1161" w:type="dxa"/>
            <w:tcBorders>
              <w:top w:val="nil"/>
              <w:left w:val="nil"/>
              <w:bottom w:val="nil"/>
              <w:right w:val="nil"/>
            </w:tcBorders>
            <w:shd w:val="clear" w:color="auto" w:fill="auto"/>
            <w:noWrap/>
            <w:vAlign w:val="center"/>
          </w:tcPr>
          <w:p w14:paraId="01289560" w14:textId="515E80A2" w:rsidR="00262FDC" w:rsidRPr="000402DA" w:rsidRDefault="00262FDC" w:rsidP="00262FDC">
            <w:pPr>
              <w:tabs>
                <w:tab w:val="decimal" w:pos="564"/>
              </w:tabs>
              <w:jc w:val="left"/>
              <w:rPr>
                <w:sz w:val="16"/>
                <w:szCs w:val="16"/>
              </w:rPr>
            </w:pPr>
            <w:r>
              <w:rPr>
                <w:color w:val="000000"/>
                <w:sz w:val="16"/>
                <w:szCs w:val="16"/>
              </w:rPr>
              <w:t>0.8</w:t>
            </w:r>
          </w:p>
        </w:tc>
        <w:tc>
          <w:tcPr>
            <w:tcW w:w="1240" w:type="dxa"/>
            <w:tcBorders>
              <w:top w:val="nil"/>
              <w:left w:val="nil"/>
              <w:bottom w:val="nil"/>
              <w:right w:val="nil"/>
            </w:tcBorders>
            <w:shd w:val="clear" w:color="auto" w:fill="auto"/>
            <w:noWrap/>
            <w:vAlign w:val="center"/>
          </w:tcPr>
          <w:p w14:paraId="0CF7279F" w14:textId="221677FA" w:rsidR="00262FDC" w:rsidRPr="000402DA" w:rsidRDefault="00262FDC" w:rsidP="00262FDC">
            <w:pPr>
              <w:tabs>
                <w:tab w:val="decimal" w:pos="626"/>
              </w:tabs>
              <w:jc w:val="left"/>
              <w:rPr>
                <w:sz w:val="16"/>
                <w:szCs w:val="16"/>
              </w:rPr>
            </w:pPr>
            <w:r>
              <w:rPr>
                <w:color w:val="000000"/>
                <w:sz w:val="16"/>
                <w:szCs w:val="16"/>
              </w:rPr>
              <w:t>11.7</w:t>
            </w:r>
          </w:p>
        </w:tc>
        <w:tc>
          <w:tcPr>
            <w:tcW w:w="1318" w:type="dxa"/>
            <w:tcBorders>
              <w:top w:val="nil"/>
              <w:left w:val="nil"/>
              <w:bottom w:val="nil"/>
              <w:right w:val="nil"/>
            </w:tcBorders>
            <w:shd w:val="clear" w:color="auto" w:fill="auto"/>
            <w:noWrap/>
            <w:vAlign w:val="center"/>
          </w:tcPr>
          <w:p w14:paraId="00B7A488" w14:textId="5E33BEEE" w:rsidR="00262FDC" w:rsidRPr="000402DA" w:rsidRDefault="00262FDC" w:rsidP="00262FDC">
            <w:pPr>
              <w:tabs>
                <w:tab w:val="decimal" w:pos="564"/>
              </w:tabs>
              <w:jc w:val="left"/>
              <w:rPr>
                <w:sz w:val="16"/>
                <w:szCs w:val="16"/>
              </w:rPr>
            </w:pPr>
            <w:r>
              <w:rPr>
                <w:color w:val="000000"/>
                <w:sz w:val="16"/>
                <w:szCs w:val="16"/>
              </w:rPr>
              <w:t>1.4</w:t>
            </w:r>
          </w:p>
        </w:tc>
        <w:tc>
          <w:tcPr>
            <w:tcW w:w="1162" w:type="dxa"/>
            <w:tcBorders>
              <w:top w:val="nil"/>
              <w:left w:val="nil"/>
              <w:bottom w:val="nil"/>
              <w:right w:val="nil"/>
            </w:tcBorders>
            <w:shd w:val="clear" w:color="auto" w:fill="auto"/>
            <w:noWrap/>
            <w:vAlign w:val="center"/>
          </w:tcPr>
          <w:p w14:paraId="202FA301" w14:textId="1E2D5B81" w:rsidR="00262FDC" w:rsidRPr="000402DA" w:rsidRDefault="00262FDC" w:rsidP="00262FDC">
            <w:pPr>
              <w:tabs>
                <w:tab w:val="decimal" w:pos="539"/>
              </w:tabs>
              <w:jc w:val="left"/>
              <w:rPr>
                <w:sz w:val="16"/>
                <w:szCs w:val="16"/>
              </w:rPr>
            </w:pPr>
            <w:r>
              <w:rPr>
                <w:color w:val="000000"/>
                <w:sz w:val="16"/>
                <w:szCs w:val="16"/>
              </w:rPr>
              <w:t>0.3</w:t>
            </w:r>
          </w:p>
        </w:tc>
        <w:tc>
          <w:tcPr>
            <w:tcW w:w="1161" w:type="dxa"/>
            <w:tcBorders>
              <w:top w:val="nil"/>
              <w:left w:val="nil"/>
              <w:bottom w:val="nil"/>
              <w:right w:val="single" w:sz="6" w:space="0" w:color="404040"/>
            </w:tcBorders>
            <w:shd w:val="clear" w:color="auto" w:fill="auto"/>
            <w:noWrap/>
            <w:vAlign w:val="center"/>
          </w:tcPr>
          <w:p w14:paraId="5E8D11ED" w14:textId="4D55E3A3" w:rsidR="00262FDC" w:rsidRPr="000402DA" w:rsidRDefault="00262FDC" w:rsidP="00262FDC">
            <w:pPr>
              <w:tabs>
                <w:tab w:val="decimal" w:pos="589"/>
              </w:tabs>
              <w:jc w:val="left"/>
              <w:rPr>
                <w:sz w:val="16"/>
                <w:szCs w:val="16"/>
              </w:rPr>
            </w:pPr>
            <w:r>
              <w:rPr>
                <w:color w:val="000000"/>
                <w:sz w:val="16"/>
                <w:szCs w:val="16"/>
              </w:rPr>
              <w:t>11.8</w:t>
            </w:r>
          </w:p>
        </w:tc>
      </w:tr>
      <w:tr w:rsidR="00262FDC" w:rsidRPr="00F87E34" w14:paraId="3828D442" w14:textId="77777777" w:rsidTr="003F0296">
        <w:trPr>
          <w:trHeight w:val="227"/>
          <w:jc w:val="center"/>
        </w:trPr>
        <w:tc>
          <w:tcPr>
            <w:tcW w:w="2675" w:type="dxa"/>
            <w:tcBorders>
              <w:top w:val="nil"/>
              <w:left w:val="single" w:sz="6" w:space="0" w:color="404040"/>
              <w:bottom w:val="nil"/>
              <w:right w:val="single" w:sz="4" w:space="0" w:color="404040"/>
            </w:tcBorders>
            <w:shd w:val="clear" w:color="auto" w:fill="auto"/>
            <w:noWrap/>
            <w:vAlign w:val="center"/>
          </w:tcPr>
          <w:p w14:paraId="3C24BC3F" w14:textId="77777777" w:rsidR="00262FDC" w:rsidRPr="00F87E34" w:rsidRDefault="00262FDC" w:rsidP="00262FDC">
            <w:pPr>
              <w:spacing w:before="20" w:after="20"/>
              <w:ind w:left="97"/>
              <w:jc w:val="left"/>
              <w:rPr>
                <w:bCs/>
                <w:sz w:val="16"/>
                <w:szCs w:val="16"/>
              </w:rPr>
            </w:pPr>
            <w:r w:rsidRPr="00F87E34">
              <w:rPr>
                <w:bCs/>
                <w:sz w:val="16"/>
                <w:szCs w:val="16"/>
              </w:rPr>
              <w:t>Durango</w:t>
            </w:r>
          </w:p>
        </w:tc>
        <w:tc>
          <w:tcPr>
            <w:tcW w:w="1241" w:type="dxa"/>
            <w:tcBorders>
              <w:top w:val="nil"/>
              <w:left w:val="single" w:sz="4" w:space="0" w:color="404040"/>
              <w:bottom w:val="nil"/>
              <w:right w:val="nil"/>
            </w:tcBorders>
            <w:shd w:val="clear" w:color="auto" w:fill="auto"/>
            <w:noWrap/>
            <w:vAlign w:val="center"/>
          </w:tcPr>
          <w:p w14:paraId="685690F4" w14:textId="10FAA70F" w:rsidR="00262FDC" w:rsidRPr="000402DA" w:rsidRDefault="00262FDC" w:rsidP="00262FDC">
            <w:pPr>
              <w:tabs>
                <w:tab w:val="decimal" w:pos="564"/>
              </w:tabs>
              <w:jc w:val="left"/>
              <w:rPr>
                <w:sz w:val="16"/>
                <w:szCs w:val="16"/>
              </w:rPr>
            </w:pPr>
            <w:r>
              <w:rPr>
                <w:color w:val="000000"/>
                <w:sz w:val="16"/>
                <w:szCs w:val="16"/>
              </w:rPr>
              <w:t>7.8</w:t>
            </w:r>
          </w:p>
        </w:tc>
        <w:tc>
          <w:tcPr>
            <w:tcW w:w="1161" w:type="dxa"/>
            <w:tcBorders>
              <w:top w:val="nil"/>
              <w:left w:val="nil"/>
              <w:bottom w:val="nil"/>
              <w:right w:val="nil"/>
            </w:tcBorders>
            <w:shd w:val="clear" w:color="auto" w:fill="auto"/>
            <w:noWrap/>
            <w:vAlign w:val="center"/>
          </w:tcPr>
          <w:p w14:paraId="5C03D933" w14:textId="2645B4DF" w:rsidR="00262FDC" w:rsidRPr="000402DA" w:rsidRDefault="00262FDC" w:rsidP="00262FDC">
            <w:pPr>
              <w:tabs>
                <w:tab w:val="decimal" w:pos="564"/>
              </w:tabs>
              <w:jc w:val="left"/>
              <w:rPr>
                <w:sz w:val="16"/>
                <w:szCs w:val="16"/>
              </w:rPr>
            </w:pPr>
            <w:r>
              <w:rPr>
                <w:color w:val="000000"/>
                <w:sz w:val="16"/>
                <w:szCs w:val="16"/>
              </w:rPr>
              <w:t>2.7</w:t>
            </w:r>
          </w:p>
        </w:tc>
        <w:tc>
          <w:tcPr>
            <w:tcW w:w="1240" w:type="dxa"/>
            <w:tcBorders>
              <w:top w:val="nil"/>
              <w:left w:val="nil"/>
              <w:bottom w:val="nil"/>
              <w:right w:val="nil"/>
            </w:tcBorders>
            <w:shd w:val="clear" w:color="auto" w:fill="auto"/>
            <w:noWrap/>
            <w:vAlign w:val="center"/>
          </w:tcPr>
          <w:p w14:paraId="1AB05D56" w14:textId="2306BAAB" w:rsidR="00262FDC" w:rsidRPr="000402DA" w:rsidRDefault="00262FDC" w:rsidP="00262FDC">
            <w:pPr>
              <w:tabs>
                <w:tab w:val="decimal" w:pos="626"/>
              </w:tabs>
              <w:jc w:val="left"/>
              <w:rPr>
                <w:sz w:val="16"/>
                <w:szCs w:val="16"/>
              </w:rPr>
            </w:pPr>
            <w:r>
              <w:rPr>
                <w:color w:val="000000"/>
                <w:sz w:val="16"/>
                <w:szCs w:val="16"/>
              </w:rPr>
              <w:t>8.2</w:t>
            </w:r>
          </w:p>
        </w:tc>
        <w:tc>
          <w:tcPr>
            <w:tcW w:w="1318" w:type="dxa"/>
            <w:tcBorders>
              <w:top w:val="nil"/>
              <w:left w:val="nil"/>
              <w:bottom w:val="nil"/>
              <w:right w:val="nil"/>
            </w:tcBorders>
            <w:shd w:val="clear" w:color="auto" w:fill="auto"/>
            <w:noWrap/>
            <w:vAlign w:val="center"/>
          </w:tcPr>
          <w:p w14:paraId="7AF95D9E" w14:textId="7F188605" w:rsidR="00262FDC" w:rsidRPr="000402DA" w:rsidRDefault="00262FDC" w:rsidP="00262FDC">
            <w:pPr>
              <w:tabs>
                <w:tab w:val="decimal" w:pos="564"/>
              </w:tabs>
              <w:jc w:val="left"/>
              <w:rPr>
                <w:sz w:val="16"/>
                <w:szCs w:val="16"/>
              </w:rPr>
            </w:pPr>
            <w:r>
              <w:rPr>
                <w:color w:val="000000"/>
                <w:sz w:val="16"/>
                <w:szCs w:val="16"/>
              </w:rPr>
              <w:t>1.6</w:t>
            </w:r>
          </w:p>
        </w:tc>
        <w:tc>
          <w:tcPr>
            <w:tcW w:w="1162" w:type="dxa"/>
            <w:tcBorders>
              <w:top w:val="nil"/>
              <w:left w:val="nil"/>
              <w:bottom w:val="nil"/>
              <w:right w:val="nil"/>
            </w:tcBorders>
            <w:shd w:val="clear" w:color="auto" w:fill="auto"/>
            <w:noWrap/>
            <w:vAlign w:val="center"/>
          </w:tcPr>
          <w:p w14:paraId="4B896B23" w14:textId="5928C2A6" w:rsidR="00262FDC" w:rsidRPr="000402DA" w:rsidRDefault="00262FDC" w:rsidP="00262FDC">
            <w:pPr>
              <w:tabs>
                <w:tab w:val="decimal" w:pos="539"/>
              </w:tabs>
              <w:jc w:val="left"/>
              <w:rPr>
                <w:sz w:val="16"/>
                <w:szCs w:val="16"/>
              </w:rPr>
            </w:pPr>
            <w:r>
              <w:rPr>
                <w:color w:val="000000"/>
                <w:sz w:val="16"/>
                <w:szCs w:val="16"/>
              </w:rPr>
              <w:t>0.7</w:t>
            </w:r>
          </w:p>
        </w:tc>
        <w:tc>
          <w:tcPr>
            <w:tcW w:w="1161" w:type="dxa"/>
            <w:tcBorders>
              <w:top w:val="nil"/>
              <w:left w:val="nil"/>
              <w:bottom w:val="nil"/>
              <w:right w:val="single" w:sz="6" w:space="0" w:color="404040"/>
            </w:tcBorders>
            <w:shd w:val="clear" w:color="auto" w:fill="auto"/>
            <w:noWrap/>
            <w:vAlign w:val="center"/>
          </w:tcPr>
          <w:p w14:paraId="71DFF78D" w14:textId="68217B2A" w:rsidR="00262FDC" w:rsidRPr="000402DA" w:rsidRDefault="00262FDC" w:rsidP="00262FDC">
            <w:pPr>
              <w:tabs>
                <w:tab w:val="decimal" w:pos="589"/>
              </w:tabs>
              <w:jc w:val="left"/>
              <w:rPr>
                <w:sz w:val="16"/>
                <w:szCs w:val="16"/>
              </w:rPr>
            </w:pPr>
            <w:r>
              <w:rPr>
                <w:color w:val="000000"/>
                <w:sz w:val="16"/>
                <w:szCs w:val="16"/>
              </w:rPr>
              <w:t>11.4</w:t>
            </w:r>
          </w:p>
        </w:tc>
      </w:tr>
      <w:tr w:rsidR="00262FDC" w:rsidRPr="00F87E34" w14:paraId="452FDEDC" w14:textId="77777777" w:rsidTr="003F0296">
        <w:trPr>
          <w:trHeight w:val="227"/>
          <w:jc w:val="center"/>
        </w:trPr>
        <w:tc>
          <w:tcPr>
            <w:tcW w:w="2675" w:type="dxa"/>
            <w:tcBorders>
              <w:top w:val="nil"/>
              <w:left w:val="single" w:sz="6" w:space="0" w:color="404040"/>
              <w:bottom w:val="nil"/>
              <w:right w:val="single" w:sz="4" w:space="0" w:color="404040"/>
            </w:tcBorders>
            <w:shd w:val="clear" w:color="auto" w:fill="auto"/>
            <w:noWrap/>
            <w:vAlign w:val="center"/>
          </w:tcPr>
          <w:p w14:paraId="1163C185" w14:textId="77777777" w:rsidR="00262FDC" w:rsidRPr="00F87E34" w:rsidRDefault="00262FDC" w:rsidP="00262FDC">
            <w:pPr>
              <w:spacing w:before="20" w:after="20"/>
              <w:ind w:left="97"/>
              <w:jc w:val="left"/>
              <w:rPr>
                <w:bCs/>
                <w:sz w:val="16"/>
                <w:szCs w:val="16"/>
              </w:rPr>
            </w:pPr>
            <w:r w:rsidRPr="00F87E34">
              <w:rPr>
                <w:bCs/>
                <w:sz w:val="16"/>
                <w:szCs w:val="16"/>
              </w:rPr>
              <w:t>Guanajuato</w:t>
            </w:r>
          </w:p>
        </w:tc>
        <w:tc>
          <w:tcPr>
            <w:tcW w:w="1241" w:type="dxa"/>
            <w:tcBorders>
              <w:top w:val="nil"/>
              <w:left w:val="single" w:sz="4" w:space="0" w:color="404040"/>
              <w:bottom w:val="nil"/>
              <w:right w:val="nil"/>
            </w:tcBorders>
            <w:shd w:val="clear" w:color="auto" w:fill="auto"/>
            <w:noWrap/>
            <w:vAlign w:val="center"/>
          </w:tcPr>
          <w:p w14:paraId="3B03C11E" w14:textId="69DE8381" w:rsidR="00262FDC" w:rsidRPr="000402DA" w:rsidRDefault="00262FDC" w:rsidP="00262FDC">
            <w:pPr>
              <w:tabs>
                <w:tab w:val="decimal" w:pos="564"/>
              </w:tabs>
              <w:jc w:val="left"/>
              <w:rPr>
                <w:sz w:val="16"/>
                <w:szCs w:val="16"/>
              </w:rPr>
            </w:pPr>
            <w:r>
              <w:rPr>
                <w:color w:val="000000"/>
                <w:sz w:val="16"/>
                <w:szCs w:val="16"/>
              </w:rPr>
              <w:t>4.9</w:t>
            </w:r>
          </w:p>
        </w:tc>
        <w:tc>
          <w:tcPr>
            <w:tcW w:w="1161" w:type="dxa"/>
            <w:tcBorders>
              <w:top w:val="nil"/>
              <w:left w:val="nil"/>
              <w:bottom w:val="nil"/>
              <w:right w:val="nil"/>
            </w:tcBorders>
            <w:shd w:val="clear" w:color="auto" w:fill="auto"/>
            <w:noWrap/>
            <w:vAlign w:val="center"/>
          </w:tcPr>
          <w:p w14:paraId="1A145F69" w14:textId="64CFA5BE" w:rsidR="00262FDC" w:rsidRPr="000402DA" w:rsidRDefault="00262FDC" w:rsidP="00262FDC">
            <w:pPr>
              <w:tabs>
                <w:tab w:val="decimal" w:pos="564"/>
              </w:tabs>
              <w:jc w:val="left"/>
              <w:rPr>
                <w:sz w:val="16"/>
                <w:szCs w:val="16"/>
              </w:rPr>
            </w:pPr>
            <w:r>
              <w:rPr>
                <w:color w:val="000000"/>
                <w:sz w:val="16"/>
                <w:szCs w:val="16"/>
              </w:rPr>
              <w:t>2.2</w:t>
            </w:r>
          </w:p>
        </w:tc>
        <w:tc>
          <w:tcPr>
            <w:tcW w:w="1240" w:type="dxa"/>
            <w:tcBorders>
              <w:top w:val="nil"/>
              <w:left w:val="nil"/>
              <w:bottom w:val="nil"/>
              <w:right w:val="nil"/>
            </w:tcBorders>
            <w:shd w:val="clear" w:color="auto" w:fill="auto"/>
            <w:noWrap/>
            <w:vAlign w:val="center"/>
          </w:tcPr>
          <w:p w14:paraId="1A9D0BE0" w14:textId="2F384D47" w:rsidR="00262FDC" w:rsidRPr="000402DA" w:rsidRDefault="00262FDC" w:rsidP="00262FDC">
            <w:pPr>
              <w:tabs>
                <w:tab w:val="decimal" w:pos="626"/>
              </w:tabs>
              <w:jc w:val="left"/>
              <w:rPr>
                <w:sz w:val="16"/>
                <w:szCs w:val="16"/>
              </w:rPr>
            </w:pPr>
            <w:r>
              <w:rPr>
                <w:color w:val="000000"/>
                <w:sz w:val="16"/>
                <w:szCs w:val="16"/>
              </w:rPr>
              <w:t>6.8</w:t>
            </w:r>
          </w:p>
        </w:tc>
        <w:tc>
          <w:tcPr>
            <w:tcW w:w="1318" w:type="dxa"/>
            <w:tcBorders>
              <w:top w:val="nil"/>
              <w:left w:val="nil"/>
              <w:bottom w:val="nil"/>
              <w:right w:val="nil"/>
            </w:tcBorders>
            <w:shd w:val="clear" w:color="auto" w:fill="auto"/>
            <w:noWrap/>
            <w:vAlign w:val="center"/>
          </w:tcPr>
          <w:p w14:paraId="15DD43DB" w14:textId="07E091A7" w:rsidR="00262FDC" w:rsidRPr="000402DA" w:rsidRDefault="00262FDC" w:rsidP="00262FDC">
            <w:pPr>
              <w:tabs>
                <w:tab w:val="decimal" w:pos="564"/>
              </w:tabs>
              <w:jc w:val="left"/>
              <w:rPr>
                <w:sz w:val="16"/>
                <w:szCs w:val="16"/>
              </w:rPr>
            </w:pPr>
            <w:r>
              <w:rPr>
                <w:color w:val="000000"/>
                <w:sz w:val="16"/>
                <w:szCs w:val="16"/>
              </w:rPr>
              <w:t>0.6</w:t>
            </w:r>
          </w:p>
        </w:tc>
        <w:tc>
          <w:tcPr>
            <w:tcW w:w="1162" w:type="dxa"/>
            <w:tcBorders>
              <w:top w:val="nil"/>
              <w:left w:val="nil"/>
              <w:bottom w:val="nil"/>
              <w:right w:val="nil"/>
            </w:tcBorders>
            <w:shd w:val="clear" w:color="auto" w:fill="auto"/>
            <w:noWrap/>
            <w:vAlign w:val="center"/>
          </w:tcPr>
          <w:p w14:paraId="6480D3DE" w14:textId="3D1D6CF5" w:rsidR="00262FDC" w:rsidRPr="000402DA" w:rsidRDefault="00262FDC" w:rsidP="00262FDC">
            <w:pPr>
              <w:tabs>
                <w:tab w:val="decimal" w:pos="539"/>
              </w:tabs>
              <w:jc w:val="left"/>
              <w:rPr>
                <w:sz w:val="16"/>
                <w:szCs w:val="16"/>
              </w:rPr>
            </w:pPr>
            <w:r>
              <w:rPr>
                <w:color w:val="000000"/>
                <w:sz w:val="16"/>
                <w:szCs w:val="16"/>
              </w:rPr>
              <w:t>0.2</w:t>
            </w:r>
          </w:p>
        </w:tc>
        <w:tc>
          <w:tcPr>
            <w:tcW w:w="1161" w:type="dxa"/>
            <w:tcBorders>
              <w:top w:val="nil"/>
              <w:left w:val="nil"/>
              <w:bottom w:val="nil"/>
              <w:right w:val="single" w:sz="6" w:space="0" w:color="404040"/>
            </w:tcBorders>
            <w:shd w:val="clear" w:color="auto" w:fill="auto"/>
            <w:noWrap/>
            <w:vAlign w:val="center"/>
          </w:tcPr>
          <w:p w14:paraId="3D4CC50A" w14:textId="1D1CF1E8" w:rsidR="00262FDC" w:rsidRPr="000402DA" w:rsidRDefault="00262FDC" w:rsidP="00262FDC">
            <w:pPr>
              <w:tabs>
                <w:tab w:val="decimal" w:pos="589"/>
              </w:tabs>
              <w:jc w:val="left"/>
              <w:rPr>
                <w:sz w:val="16"/>
                <w:szCs w:val="16"/>
              </w:rPr>
            </w:pPr>
            <w:r>
              <w:rPr>
                <w:color w:val="000000"/>
                <w:sz w:val="16"/>
                <w:szCs w:val="16"/>
              </w:rPr>
              <w:t>10.3</w:t>
            </w:r>
          </w:p>
        </w:tc>
      </w:tr>
      <w:tr w:rsidR="00262FDC" w:rsidRPr="00F87E34" w14:paraId="49D52FDC" w14:textId="77777777" w:rsidTr="003F0296">
        <w:trPr>
          <w:trHeight w:val="227"/>
          <w:jc w:val="center"/>
        </w:trPr>
        <w:tc>
          <w:tcPr>
            <w:tcW w:w="2675" w:type="dxa"/>
            <w:tcBorders>
              <w:top w:val="nil"/>
              <w:left w:val="single" w:sz="6" w:space="0" w:color="404040"/>
              <w:bottom w:val="nil"/>
              <w:right w:val="single" w:sz="4" w:space="0" w:color="404040"/>
            </w:tcBorders>
            <w:shd w:val="clear" w:color="auto" w:fill="auto"/>
            <w:noWrap/>
            <w:vAlign w:val="center"/>
          </w:tcPr>
          <w:p w14:paraId="588569AC" w14:textId="77777777" w:rsidR="00262FDC" w:rsidRPr="00F87E34" w:rsidRDefault="00262FDC" w:rsidP="00262FDC">
            <w:pPr>
              <w:spacing w:before="20" w:after="20"/>
              <w:ind w:left="97"/>
              <w:jc w:val="left"/>
              <w:rPr>
                <w:bCs/>
                <w:sz w:val="16"/>
                <w:szCs w:val="16"/>
              </w:rPr>
            </w:pPr>
            <w:r w:rsidRPr="00F87E34">
              <w:rPr>
                <w:bCs/>
                <w:sz w:val="16"/>
                <w:szCs w:val="16"/>
              </w:rPr>
              <w:t>Guerrero</w:t>
            </w:r>
          </w:p>
        </w:tc>
        <w:tc>
          <w:tcPr>
            <w:tcW w:w="1241" w:type="dxa"/>
            <w:tcBorders>
              <w:top w:val="nil"/>
              <w:left w:val="single" w:sz="4" w:space="0" w:color="404040"/>
              <w:bottom w:val="nil"/>
              <w:right w:val="nil"/>
            </w:tcBorders>
            <w:shd w:val="clear" w:color="auto" w:fill="auto"/>
            <w:noWrap/>
            <w:vAlign w:val="center"/>
          </w:tcPr>
          <w:p w14:paraId="1133DDD4" w14:textId="06BBF15B" w:rsidR="00262FDC" w:rsidRPr="000402DA" w:rsidRDefault="00262FDC" w:rsidP="00262FDC">
            <w:pPr>
              <w:tabs>
                <w:tab w:val="decimal" w:pos="564"/>
              </w:tabs>
              <w:jc w:val="left"/>
              <w:rPr>
                <w:sz w:val="16"/>
                <w:szCs w:val="16"/>
              </w:rPr>
            </w:pPr>
            <w:r>
              <w:rPr>
                <w:color w:val="000000"/>
                <w:sz w:val="16"/>
                <w:szCs w:val="16"/>
              </w:rPr>
              <w:t>6.0</w:t>
            </w:r>
          </w:p>
        </w:tc>
        <w:tc>
          <w:tcPr>
            <w:tcW w:w="1161" w:type="dxa"/>
            <w:tcBorders>
              <w:top w:val="nil"/>
              <w:left w:val="nil"/>
              <w:bottom w:val="nil"/>
              <w:right w:val="nil"/>
            </w:tcBorders>
            <w:shd w:val="clear" w:color="auto" w:fill="auto"/>
            <w:noWrap/>
            <w:vAlign w:val="center"/>
          </w:tcPr>
          <w:p w14:paraId="0DD1C88A" w14:textId="342DA4E0" w:rsidR="00262FDC" w:rsidRPr="000402DA" w:rsidRDefault="00262FDC" w:rsidP="00262FDC">
            <w:pPr>
              <w:tabs>
                <w:tab w:val="decimal" w:pos="564"/>
              </w:tabs>
              <w:jc w:val="left"/>
              <w:rPr>
                <w:sz w:val="16"/>
                <w:szCs w:val="16"/>
              </w:rPr>
            </w:pPr>
            <w:r>
              <w:rPr>
                <w:color w:val="000000"/>
                <w:sz w:val="16"/>
                <w:szCs w:val="16"/>
              </w:rPr>
              <w:t>3.5</w:t>
            </w:r>
          </w:p>
        </w:tc>
        <w:tc>
          <w:tcPr>
            <w:tcW w:w="1240" w:type="dxa"/>
            <w:tcBorders>
              <w:top w:val="nil"/>
              <w:left w:val="nil"/>
              <w:bottom w:val="nil"/>
              <w:right w:val="nil"/>
            </w:tcBorders>
            <w:shd w:val="clear" w:color="auto" w:fill="auto"/>
            <w:noWrap/>
            <w:vAlign w:val="center"/>
          </w:tcPr>
          <w:p w14:paraId="4407044A" w14:textId="6484353D" w:rsidR="00262FDC" w:rsidRPr="000402DA" w:rsidRDefault="00262FDC" w:rsidP="00262FDC">
            <w:pPr>
              <w:tabs>
                <w:tab w:val="decimal" w:pos="626"/>
              </w:tabs>
              <w:jc w:val="left"/>
              <w:rPr>
                <w:sz w:val="16"/>
                <w:szCs w:val="16"/>
              </w:rPr>
            </w:pPr>
            <w:r>
              <w:rPr>
                <w:color w:val="000000"/>
                <w:sz w:val="16"/>
                <w:szCs w:val="16"/>
              </w:rPr>
              <w:t>6.4</w:t>
            </w:r>
          </w:p>
        </w:tc>
        <w:tc>
          <w:tcPr>
            <w:tcW w:w="1318" w:type="dxa"/>
            <w:tcBorders>
              <w:top w:val="nil"/>
              <w:left w:val="nil"/>
              <w:bottom w:val="nil"/>
              <w:right w:val="nil"/>
            </w:tcBorders>
            <w:shd w:val="clear" w:color="auto" w:fill="auto"/>
            <w:noWrap/>
            <w:vAlign w:val="center"/>
          </w:tcPr>
          <w:p w14:paraId="5C3C6086" w14:textId="11C3809D" w:rsidR="00262FDC" w:rsidRPr="000402DA" w:rsidRDefault="00262FDC" w:rsidP="00262FDC">
            <w:pPr>
              <w:tabs>
                <w:tab w:val="decimal" w:pos="564"/>
              </w:tabs>
              <w:jc w:val="left"/>
              <w:rPr>
                <w:sz w:val="16"/>
                <w:szCs w:val="16"/>
              </w:rPr>
            </w:pPr>
            <w:r>
              <w:rPr>
                <w:color w:val="000000"/>
                <w:sz w:val="16"/>
                <w:szCs w:val="16"/>
              </w:rPr>
              <w:t>2.2</w:t>
            </w:r>
          </w:p>
        </w:tc>
        <w:tc>
          <w:tcPr>
            <w:tcW w:w="1162" w:type="dxa"/>
            <w:tcBorders>
              <w:top w:val="nil"/>
              <w:left w:val="nil"/>
              <w:bottom w:val="nil"/>
              <w:right w:val="nil"/>
            </w:tcBorders>
            <w:shd w:val="clear" w:color="auto" w:fill="auto"/>
            <w:noWrap/>
            <w:vAlign w:val="center"/>
          </w:tcPr>
          <w:p w14:paraId="134FE620" w14:textId="2268E84B" w:rsidR="00262FDC" w:rsidRPr="000402DA" w:rsidRDefault="00262FDC" w:rsidP="00262FDC">
            <w:pPr>
              <w:tabs>
                <w:tab w:val="decimal" w:pos="539"/>
              </w:tabs>
              <w:jc w:val="left"/>
              <w:rPr>
                <w:sz w:val="16"/>
                <w:szCs w:val="16"/>
              </w:rPr>
            </w:pPr>
            <w:r>
              <w:rPr>
                <w:color w:val="000000"/>
                <w:sz w:val="16"/>
                <w:szCs w:val="16"/>
              </w:rPr>
              <w:t>0.6</w:t>
            </w:r>
          </w:p>
        </w:tc>
        <w:tc>
          <w:tcPr>
            <w:tcW w:w="1161" w:type="dxa"/>
            <w:tcBorders>
              <w:top w:val="nil"/>
              <w:left w:val="nil"/>
              <w:bottom w:val="nil"/>
              <w:right w:val="single" w:sz="6" w:space="0" w:color="404040"/>
            </w:tcBorders>
            <w:shd w:val="clear" w:color="auto" w:fill="auto"/>
            <w:noWrap/>
            <w:vAlign w:val="center"/>
          </w:tcPr>
          <w:p w14:paraId="7B3C0D3F" w14:textId="15736595" w:rsidR="00262FDC" w:rsidRPr="000402DA" w:rsidRDefault="00262FDC" w:rsidP="00262FDC">
            <w:pPr>
              <w:tabs>
                <w:tab w:val="decimal" w:pos="589"/>
              </w:tabs>
              <w:jc w:val="left"/>
              <w:rPr>
                <w:sz w:val="16"/>
                <w:szCs w:val="16"/>
              </w:rPr>
            </w:pPr>
            <w:r>
              <w:rPr>
                <w:color w:val="000000"/>
                <w:sz w:val="16"/>
                <w:szCs w:val="16"/>
              </w:rPr>
              <w:t>11.5</w:t>
            </w:r>
          </w:p>
        </w:tc>
      </w:tr>
      <w:tr w:rsidR="00262FDC" w:rsidRPr="00F87E34" w14:paraId="7793830F" w14:textId="77777777" w:rsidTr="003F0296">
        <w:trPr>
          <w:trHeight w:val="227"/>
          <w:jc w:val="center"/>
        </w:trPr>
        <w:tc>
          <w:tcPr>
            <w:tcW w:w="2675" w:type="dxa"/>
            <w:tcBorders>
              <w:top w:val="nil"/>
              <w:left w:val="single" w:sz="6" w:space="0" w:color="404040"/>
              <w:bottom w:val="nil"/>
              <w:right w:val="single" w:sz="4" w:space="0" w:color="404040"/>
            </w:tcBorders>
            <w:shd w:val="clear" w:color="auto" w:fill="auto"/>
            <w:noWrap/>
            <w:vAlign w:val="center"/>
          </w:tcPr>
          <w:p w14:paraId="1299DC13" w14:textId="77777777" w:rsidR="00262FDC" w:rsidRPr="00F87E34" w:rsidRDefault="00262FDC" w:rsidP="00262FDC">
            <w:pPr>
              <w:spacing w:before="20" w:after="20"/>
              <w:ind w:left="96"/>
              <w:jc w:val="left"/>
              <w:rPr>
                <w:bCs/>
                <w:sz w:val="16"/>
                <w:szCs w:val="16"/>
              </w:rPr>
            </w:pPr>
            <w:r w:rsidRPr="00F87E34">
              <w:rPr>
                <w:bCs/>
                <w:sz w:val="16"/>
                <w:szCs w:val="16"/>
              </w:rPr>
              <w:t>Hidalgo</w:t>
            </w:r>
          </w:p>
        </w:tc>
        <w:tc>
          <w:tcPr>
            <w:tcW w:w="1241" w:type="dxa"/>
            <w:tcBorders>
              <w:top w:val="nil"/>
              <w:left w:val="single" w:sz="4" w:space="0" w:color="404040"/>
              <w:bottom w:val="nil"/>
              <w:right w:val="nil"/>
            </w:tcBorders>
            <w:shd w:val="clear" w:color="auto" w:fill="auto"/>
            <w:noWrap/>
            <w:vAlign w:val="center"/>
          </w:tcPr>
          <w:p w14:paraId="339C6D84" w14:textId="4875EB9E" w:rsidR="00262FDC" w:rsidRPr="000402DA" w:rsidRDefault="00262FDC" w:rsidP="00262FDC">
            <w:pPr>
              <w:tabs>
                <w:tab w:val="decimal" w:pos="564"/>
              </w:tabs>
              <w:jc w:val="left"/>
              <w:rPr>
                <w:sz w:val="16"/>
                <w:szCs w:val="16"/>
              </w:rPr>
            </w:pPr>
            <w:r>
              <w:rPr>
                <w:color w:val="000000"/>
                <w:sz w:val="16"/>
                <w:szCs w:val="16"/>
              </w:rPr>
              <w:t>8.5</w:t>
            </w:r>
          </w:p>
        </w:tc>
        <w:tc>
          <w:tcPr>
            <w:tcW w:w="1161" w:type="dxa"/>
            <w:tcBorders>
              <w:top w:val="nil"/>
              <w:left w:val="nil"/>
              <w:bottom w:val="nil"/>
              <w:right w:val="nil"/>
            </w:tcBorders>
            <w:shd w:val="clear" w:color="auto" w:fill="auto"/>
            <w:noWrap/>
            <w:vAlign w:val="center"/>
          </w:tcPr>
          <w:p w14:paraId="132225AA" w14:textId="2E2B64CC" w:rsidR="00262FDC" w:rsidRPr="000402DA" w:rsidRDefault="00262FDC" w:rsidP="00262FDC">
            <w:pPr>
              <w:tabs>
                <w:tab w:val="decimal" w:pos="564"/>
              </w:tabs>
              <w:jc w:val="left"/>
              <w:rPr>
                <w:sz w:val="16"/>
                <w:szCs w:val="16"/>
              </w:rPr>
            </w:pPr>
            <w:r>
              <w:rPr>
                <w:color w:val="000000"/>
                <w:sz w:val="16"/>
                <w:szCs w:val="16"/>
              </w:rPr>
              <w:t>2.8</w:t>
            </w:r>
          </w:p>
        </w:tc>
        <w:tc>
          <w:tcPr>
            <w:tcW w:w="1240" w:type="dxa"/>
            <w:tcBorders>
              <w:top w:val="nil"/>
              <w:left w:val="nil"/>
              <w:bottom w:val="nil"/>
              <w:right w:val="nil"/>
            </w:tcBorders>
            <w:shd w:val="clear" w:color="auto" w:fill="auto"/>
            <w:noWrap/>
            <w:vAlign w:val="center"/>
          </w:tcPr>
          <w:p w14:paraId="200BB3E4" w14:textId="4C355332" w:rsidR="00262FDC" w:rsidRPr="000402DA" w:rsidRDefault="00262FDC" w:rsidP="00262FDC">
            <w:pPr>
              <w:tabs>
                <w:tab w:val="decimal" w:pos="626"/>
              </w:tabs>
              <w:jc w:val="left"/>
              <w:rPr>
                <w:sz w:val="16"/>
                <w:szCs w:val="16"/>
              </w:rPr>
            </w:pPr>
            <w:r>
              <w:rPr>
                <w:color w:val="000000"/>
                <w:sz w:val="16"/>
                <w:szCs w:val="16"/>
              </w:rPr>
              <w:t>9.1</w:t>
            </w:r>
          </w:p>
        </w:tc>
        <w:tc>
          <w:tcPr>
            <w:tcW w:w="1318" w:type="dxa"/>
            <w:tcBorders>
              <w:top w:val="nil"/>
              <w:left w:val="nil"/>
              <w:bottom w:val="nil"/>
              <w:right w:val="nil"/>
            </w:tcBorders>
            <w:shd w:val="clear" w:color="auto" w:fill="auto"/>
            <w:noWrap/>
            <w:vAlign w:val="center"/>
          </w:tcPr>
          <w:p w14:paraId="7C00F017" w14:textId="0E7A5F54" w:rsidR="00262FDC" w:rsidRPr="000402DA" w:rsidRDefault="00262FDC" w:rsidP="00262FDC">
            <w:pPr>
              <w:tabs>
                <w:tab w:val="decimal" w:pos="564"/>
              </w:tabs>
              <w:jc w:val="left"/>
              <w:rPr>
                <w:sz w:val="16"/>
                <w:szCs w:val="16"/>
              </w:rPr>
            </w:pPr>
            <w:r>
              <w:rPr>
                <w:color w:val="000000"/>
                <w:sz w:val="16"/>
                <w:szCs w:val="16"/>
              </w:rPr>
              <w:t>0.9</w:t>
            </w:r>
          </w:p>
        </w:tc>
        <w:tc>
          <w:tcPr>
            <w:tcW w:w="1162" w:type="dxa"/>
            <w:tcBorders>
              <w:top w:val="nil"/>
              <w:left w:val="nil"/>
              <w:bottom w:val="nil"/>
              <w:right w:val="nil"/>
            </w:tcBorders>
            <w:shd w:val="clear" w:color="auto" w:fill="auto"/>
            <w:noWrap/>
            <w:vAlign w:val="center"/>
          </w:tcPr>
          <w:p w14:paraId="4B07A062" w14:textId="4C2235ED" w:rsidR="00262FDC" w:rsidRPr="000402DA" w:rsidRDefault="00262FDC" w:rsidP="00262FDC">
            <w:pPr>
              <w:tabs>
                <w:tab w:val="decimal" w:pos="539"/>
              </w:tabs>
              <w:jc w:val="left"/>
              <w:rPr>
                <w:sz w:val="16"/>
                <w:szCs w:val="16"/>
              </w:rPr>
            </w:pPr>
            <w:r>
              <w:rPr>
                <w:color w:val="000000"/>
                <w:sz w:val="16"/>
                <w:szCs w:val="16"/>
              </w:rPr>
              <w:t>0.3</w:t>
            </w:r>
          </w:p>
        </w:tc>
        <w:tc>
          <w:tcPr>
            <w:tcW w:w="1161" w:type="dxa"/>
            <w:tcBorders>
              <w:top w:val="nil"/>
              <w:left w:val="nil"/>
              <w:bottom w:val="nil"/>
              <w:right w:val="single" w:sz="6" w:space="0" w:color="404040"/>
            </w:tcBorders>
            <w:shd w:val="clear" w:color="auto" w:fill="auto"/>
            <w:noWrap/>
            <w:vAlign w:val="center"/>
          </w:tcPr>
          <w:p w14:paraId="7EA0BD85" w14:textId="3E701922" w:rsidR="00262FDC" w:rsidRPr="000402DA" w:rsidRDefault="00262FDC" w:rsidP="00262FDC">
            <w:pPr>
              <w:tabs>
                <w:tab w:val="decimal" w:pos="589"/>
              </w:tabs>
              <w:jc w:val="left"/>
              <w:rPr>
                <w:sz w:val="16"/>
                <w:szCs w:val="16"/>
              </w:rPr>
            </w:pPr>
            <w:r>
              <w:rPr>
                <w:color w:val="000000"/>
                <w:sz w:val="16"/>
                <w:szCs w:val="16"/>
              </w:rPr>
              <w:t>11.4</w:t>
            </w:r>
          </w:p>
        </w:tc>
      </w:tr>
      <w:tr w:rsidR="00262FDC" w:rsidRPr="00F87E34" w14:paraId="5719F551" w14:textId="77777777" w:rsidTr="003F0296">
        <w:trPr>
          <w:trHeight w:val="227"/>
          <w:jc w:val="center"/>
        </w:trPr>
        <w:tc>
          <w:tcPr>
            <w:tcW w:w="2675" w:type="dxa"/>
            <w:tcBorders>
              <w:top w:val="nil"/>
              <w:left w:val="single" w:sz="6" w:space="0" w:color="404040"/>
              <w:bottom w:val="nil"/>
              <w:right w:val="single" w:sz="4" w:space="0" w:color="404040"/>
            </w:tcBorders>
            <w:shd w:val="clear" w:color="auto" w:fill="auto"/>
            <w:noWrap/>
            <w:vAlign w:val="center"/>
          </w:tcPr>
          <w:p w14:paraId="7117DE71" w14:textId="77777777" w:rsidR="00262FDC" w:rsidRPr="00F87E34" w:rsidRDefault="00262FDC" w:rsidP="00262FDC">
            <w:pPr>
              <w:spacing w:before="20" w:after="20"/>
              <w:ind w:left="97"/>
              <w:jc w:val="left"/>
              <w:rPr>
                <w:bCs/>
                <w:sz w:val="16"/>
                <w:szCs w:val="16"/>
              </w:rPr>
            </w:pPr>
            <w:r w:rsidRPr="00F87E34">
              <w:rPr>
                <w:bCs/>
                <w:sz w:val="16"/>
                <w:szCs w:val="16"/>
              </w:rPr>
              <w:t>Jalisco</w:t>
            </w:r>
          </w:p>
        </w:tc>
        <w:tc>
          <w:tcPr>
            <w:tcW w:w="1241" w:type="dxa"/>
            <w:tcBorders>
              <w:top w:val="nil"/>
              <w:left w:val="single" w:sz="4" w:space="0" w:color="404040"/>
              <w:bottom w:val="nil"/>
              <w:right w:val="nil"/>
            </w:tcBorders>
            <w:shd w:val="clear" w:color="auto" w:fill="auto"/>
            <w:noWrap/>
            <w:vAlign w:val="center"/>
          </w:tcPr>
          <w:p w14:paraId="3BBD88F7" w14:textId="19DF416E" w:rsidR="00262FDC" w:rsidRPr="000402DA" w:rsidRDefault="00262FDC" w:rsidP="00262FDC">
            <w:pPr>
              <w:tabs>
                <w:tab w:val="decimal" w:pos="564"/>
              </w:tabs>
              <w:jc w:val="left"/>
              <w:rPr>
                <w:sz w:val="16"/>
                <w:szCs w:val="16"/>
              </w:rPr>
            </w:pPr>
            <w:r>
              <w:rPr>
                <w:color w:val="000000"/>
                <w:sz w:val="16"/>
                <w:szCs w:val="16"/>
              </w:rPr>
              <w:t>4.4</w:t>
            </w:r>
          </w:p>
        </w:tc>
        <w:tc>
          <w:tcPr>
            <w:tcW w:w="1161" w:type="dxa"/>
            <w:tcBorders>
              <w:top w:val="nil"/>
              <w:left w:val="nil"/>
              <w:bottom w:val="nil"/>
              <w:right w:val="nil"/>
            </w:tcBorders>
            <w:shd w:val="clear" w:color="auto" w:fill="auto"/>
            <w:noWrap/>
            <w:vAlign w:val="center"/>
          </w:tcPr>
          <w:p w14:paraId="713C4591" w14:textId="701A86C4" w:rsidR="00262FDC" w:rsidRPr="000402DA" w:rsidRDefault="00262FDC" w:rsidP="00262FDC">
            <w:pPr>
              <w:tabs>
                <w:tab w:val="decimal" w:pos="564"/>
              </w:tabs>
              <w:jc w:val="left"/>
              <w:rPr>
                <w:sz w:val="16"/>
                <w:szCs w:val="16"/>
              </w:rPr>
            </w:pPr>
            <w:r>
              <w:rPr>
                <w:color w:val="000000"/>
                <w:sz w:val="16"/>
                <w:szCs w:val="16"/>
              </w:rPr>
              <w:t>2.3</w:t>
            </w:r>
          </w:p>
        </w:tc>
        <w:tc>
          <w:tcPr>
            <w:tcW w:w="1240" w:type="dxa"/>
            <w:tcBorders>
              <w:top w:val="nil"/>
              <w:left w:val="nil"/>
              <w:bottom w:val="nil"/>
              <w:right w:val="nil"/>
            </w:tcBorders>
            <w:shd w:val="clear" w:color="auto" w:fill="auto"/>
            <w:noWrap/>
            <w:vAlign w:val="center"/>
          </w:tcPr>
          <w:p w14:paraId="3045C3B6" w14:textId="543D047B" w:rsidR="00262FDC" w:rsidRPr="000402DA" w:rsidRDefault="00262FDC" w:rsidP="00262FDC">
            <w:pPr>
              <w:tabs>
                <w:tab w:val="decimal" w:pos="626"/>
              </w:tabs>
              <w:jc w:val="left"/>
              <w:rPr>
                <w:sz w:val="16"/>
                <w:szCs w:val="16"/>
              </w:rPr>
            </w:pPr>
            <w:r>
              <w:rPr>
                <w:color w:val="000000"/>
                <w:sz w:val="16"/>
                <w:szCs w:val="16"/>
              </w:rPr>
              <w:t>5.8</w:t>
            </w:r>
          </w:p>
        </w:tc>
        <w:tc>
          <w:tcPr>
            <w:tcW w:w="1318" w:type="dxa"/>
            <w:tcBorders>
              <w:top w:val="nil"/>
              <w:left w:val="nil"/>
              <w:bottom w:val="nil"/>
              <w:right w:val="nil"/>
            </w:tcBorders>
            <w:shd w:val="clear" w:color="auto" w:fill="auto"/>
            <w:noWrap/>
            <w:vAlign w:val="center"/>
          </w:tcPr>
          <w:p w14:paraId="7F71F6A7" w14:textId="09A7785B" w:rsidR="00262FDC" w:rsidRPr="000402DA" w:rsidRDefault="00262FDC" w:rsidP="00262FDC">
            <w:pPr>
              <w:tabs>
                <w:tab w:val="decimal" w:pos="564"/>
              </w:tabs>
              <w:jc w:val="left"/>
              <w:rPr>
                <w:sz w:val="16"/>
                <w:szCs w:val="16"/>
              </w:rPr>
            </w:pPr>
            <w:r>
              <w:rPr>
                <w:color w:val="000000"/>
                <w:sz w:val="16"/>
                <w:szCs w:val="16"/>
              </w:rPr>
              <w:t>0.8</w:t>
            </w:r>
          </w:p>
        </w:tc>
        <w:tc>
          <w:tcPr>
            <w:tcW w:w="1162" w:type="dxa"/>
            <w:tcBorders>
              <w:top w:val="nil"/>
              <w:left w:val="nil"/>
              <w:bottom w:val="nil"/>
              <w:right w:val="nil"/>
            </w:tcBorders>
            <w:shd w:val="clear" w:color="auto" w:fill="auto"/>
            <w:noWrap/>
            <w:vAlign w:val="center"/>
          </w:tcPr>
          <w:p w14:paraId="52106731" w14:textId="1DC2417A" w:rsidR="00262FDC" w:rsidRPr="000402DA" w:rsidRDefault="00262FDC" w:rsidP="00262FDC">
            <w:pPr>
              <w:tabs>
                <w:tab w:val="decimal" w:pos="539"/>
              </w:tabs>
              <w:jc w:val="left"/>
              <w:rPr>
                <w:sz w:val="16"/>
                <w:szCs w:val="16"/>
              </w:rPr>
            </w:pPr>
            <w:r>
              <w:rPr>
                <w:color w:val="000000"/>
                <w:sz w:val="16"/>
                <w:szCs w:val="16"/>
              </w:rPr>
              <w:t>0.1</w:t>
            </w:r>
          </w:p>
        </w:tc>
        <w:tc>
          <w:tcPr>
            <w:tcW w:w="1161" w:type="dxa"/>
            <w:tcBorders>
              <w:top w:val="nil"/>
              <w:left w:val="nil"/>
              <w:bottom w:val="nil"/>
              <w:right w:val="single" w:sz="6" w:space="0" w:color="404040"/>
            </w:tcBorders>
            <w:shd w:val="clear" w:color="auto" w:fill="auto"/>
            <w:noWrap/>
            <w:vAlign w:val="center"/>
          </w:tcPr>
          <w:p w14:paraId="5A53ACD3" w14:textId="576F81EA" w:rsidR="00262FDC" w:rsidRPr="000402DA" w:rsidRDefault="00262FDC" w:rsidP="00262FDC">
            <w:pPr>
              <w:tabs>
                <w:tab w:val="decimal" w:pos="589"/>
              </w:tabs>
              <w:jc w:val="left"/>
              <w:rPr>
                <w:sz w:val="16"/>
                <w:szCs w:val="16"/>
              </w:rPr>
            </w:pPr>
            <w:r>
              <w:rPr>
                <w:color w:val="000000"/>
                <w:sz w:val="16"/>
                <w:szCs w:val="16"/>
              </w:rPr>
              <w:t>10.7</w:t>
            </w:r>
          </w:p>
        </w:tc>
      </w:tr>
      <w:tr w:rsidR="00262FDC" w:rsidRPr="00F87E34" w14:paraId="70148ECF" w14:textId="77777777" w:rsidTr="003F0296">
        <w:trPr>
          <w:trHeight w:val="227"/>
          <w:jc w:val="center"/>
        </w:trPr>
        <w:tc>
          <w:tcPr>
            <w:tcW w:w="2675" w:type="dxa"/>
            <w:tcBorders>
              <w:top w:val="nil"/>
              <w:left w:val="single" w:sz="6" w:space="0" w:color="404040"/>
              <w:bottom w:val="nil"/>
              <w:right w:val="single" w:sz="4" w:space="0" w:color="404040"/>
            </w:tcBorders>
            <w:shd w:val="clear" w:color="auto" w:fill="auto"/>
            <w:noWrap/>
            <w:vAlign w:val="center"/>
          </w:tcPr>
          <w:p w14:paraId="19E4F606" w14:textId="77777777" w:rsidR="00262FDC" w:rsidRPr="00F87E34" w:rsidRDefault="00262FDC" w:rsidP="00262FDC">
            <w:pPr>
              <w:spacing w:before="20" w:after="20"/>
              <w:ind w:left="97"/>
              <w:jc w:val="left"/>
              <w:rPr>
                <w:bCs/>
                <w:sz w:val="16"/>
                <w:szCs w:val="16"/>
              </w:rPr>
            </w:pPr>
            <w:r w:rsidRPr="00F87E34">
              <w:rPr>
                <w:bCs/>
                <w:sz w:val="16"/>
                <w:szCs w:val="16"/>
              </w:rPr>
              <w:t>México</w:t>
            </w:r>
          </w:p>
        </w:tc>
        <w:tc>
          <w:tcPr>
            <w:tcW w:w="1241" w:type="dxa"/>
            <w:tcBorders>
              <w:top w:val="nil"/>
              <w:left w:val="single" w:sz="4" w:space="0" w:color="404040"/>
              <w:bottom w:val="nil"/>
              <w:right w:val="nil"/>
            </w:tcBorders>
            <w:shd w:val="clear" w:color="auto" w:fill="auto"/>
            <w:noWrap/>
            <w:vAlign w:val="center"/>
          </w:tcPr>
          <w:p w14:paraId="7FBF1699" w14:textId="463B1027" w:rsidR="00262FDC" w:rsidRPr="000402DA" w:rsidRDefault="00262FDC" w:rsidP="00262FDC">
            <w:pPr>
              <w:tabs>
                <w:tab w:val="decimal" w:pos="564"/>
              </w:tabs>
              <w:jc w:val="left"/>
              <w:rPr>
                <w:sz w:val="16"/>
                <w:szCs w:val="16"/>
              </w:rPr>
            </w:pPr>
            <w:r>
              <w:rPr>
                <w:color w:val="000000"/>
                <w:sz w:val="16"/>
                <w:szCs w:val="16"/>
              </w:rPr>
              <w:t>5.7</w:t>
            </w:r>
          </w:p>
        </w:tc>
        <w:tc>
          <w:tcPr>
            <w:tcW w:w="1161" w:type="dxa"/>
            <w:tcBorders>
              <w:top w:val="nil"/>
              <w:left w:val="nil"/>
              <w:bottom w:val="nil"/>
              <w:right w:val="nil"/>
            </w:tcBorders>
            <w:shd w:val="clear" w:color="auto" w:fill="auto"/>
            <w:noWrap/>
            <w:vAlign w:val="center"/>
          </w:tcPr>
          <w:p w14:paraId="60D2E44A" w14:textId="6761EDAA" w:rsidR="00262FDC" w:rsidRPr="000402DA" w:rsidRDefault="00262FDC" w:rsidP="00262FDC">
            <w:pPr>
              <w:tabs>
                <w:tab w:val="decimal" w:pos="564"/>
              </w:tabs>
              <w:jc w:val="left"/>
              <w:rPr>
                <w:sz w:val="16"/>
                <w:szCs w:val="16"/>
              </w:rPr>
            </w:pPr>
            <w:r>
              <w:rPr>
                <w:color w:val="000000"/>
                <w:sz w:val="16"/>
                <w:szCs w:val="16"/>
              </w:rPr>
              <w:t>1.9</w:t>
            </w:r>
          </w:p>
        </w:tc>
        <w:tc>
          <w:tcPr>
            <w:tcW w:w="1240" w:type="dxa"/>
            <w:tcBorders>
              <w:top w:val="nil"/>
              <w:left w:val="nil"/>
              <w:bottom w:val="nil"/>
              <w:right w:val="nil"/>
            </w:tcBorders>
            <w:shd w:val="clear" w:color="auto" w:fill="auto"/>
            <w:noWrap/>
            <w:vAlign w:val="center"/>
          </w:tcPr>
          <w:p w14:paraId="158CDCB4" w14:textId="73A85677" w:rsidR="00262FDC" w:rsidRPr="000402DA" w:rsidRDefault="00262FDC" w:rsidP="00262FDC">
            <w:pPr>
              <w:tabs>
                <w:tab w:val="decimal" w:pos="626"/>
              </w:tabs>
              <w:jc w:val="left"/>
              <w:rPr>
                <w:sz w:val="16"/>
                <w:szCs w:val="16"/>
              </w:rPr>
            </w:pPr>
            <w:r>
              <w:rPr>
                <w:color w:val="000000"/>
                <w:sz w:val="16"/>
                <w:szCs w:val="16"/>
              </w:rPr>
              <w:t>5.9</w:t>
            </w:r>
          </w:p>
        </w:tc>
        <w:tc>
          <w:tcPr>
            <w:tcW w:w="1318" w:type="dxa"/>
            <w:tcBorders>
              <w:top w:val="nil"/>
              <w:left w:val="nil"/>
              <w:bottom w:val="nil"/>
              <w:right w:val="nil"/>
            </w:tcBorders>
            <w:shd w:val="clear" w:color="auto" w:fill="auto"/>
            <w:noWrap/>
            <w:vAlign w:val="center"/>
          </w:tcPr>
          <w:p w14:paraId="57FB957E" w14:textId="53004023" w:rsidR="00262FDC" w:rsidRPr="000402DA" w:rsidRDefault="00262FDC" w:rsidP="00262FDC">
            <w:pPr>
              <w:tabs>
                <w:tab w:val="decimal" w:pos="564"/>
              </w:tabs>
              <w:jc w:val="left"/>
              <w:rPr>
                <w:sz w:val="16"/>
                <w:szCs w:val="16"/>
              </w:rPr>
            </w:pPr>
            <w:r>
              <w:rPr>
                <w:color w:val="000000"/>
                <w:sz w:val="16"/>
                <w:szCs w:val="16"/>
              </w:rPr>
              <w:t>1.5</w:t>
            </w:r>
          </w:p>
        </w:tc>
        <w:tc>
          <w:tcPr>
            <w:tcW w:w="1162" w:type="dxa"/>
            <w:tcBorders>
              <w:top w:val="nil"/>
              <w:left w:val="nil"/>
              <w:bottom w:val="nil"/>
              <w:right w:val="nil"/>
            </w:tcBorders>
            <w:shd w:val="clear" w:color="auto" w:fill="auto"/>
            <w:noWrap/>
            <w:vAlign w:val="center"/>
          </w:tcPr>
          <w:p w14:paraId="69A2F423" w14:textId="3C497F27" w:rsidR="00262FDC" w:rsidRPr="000402DA" w:rsidRDefault="00262FDC" w:rsidP="00262FDC">
            <w:pPr>
              <w:tabs>
                <w:tab w:val="decimal" w:pos="539"/>
              </w:tabs>
              <w:jc w:val="left"/>
              <w:rPr>
                <w:sz w:val="16"/>
                <w:szCs w:val="16"/>
              </w:rPr>
            </w:pPr>
            <w:r>
              <w:rPr>
                <w:color w:val="000000"/>
                <w:sz w:val="16"/>
                <w:szCs w:val="16"/>
              </w:rPr>
              <w:t>0.5</w:t>
            </w:r>
          </w:p>
        </w:tc>
        <w:tc>
          <w:tcPr>
            <w:tcW w:w="1161" w:type="dxa"/>
            <w:tcBorders>
              <w:top w:val="nil"/>
              <w:left w:val="nil"/>
              <w:bottom w:val="nil"/>
              <w:right w:val="single" w:sz="6" w:space="0" w:color="404040"/>
            </w:tcBorders>
            <w:shd w:val="clear" w:color="auto" w:fill="auto"/>
            <w:noWrap/>
            <w:vAlign w:val="center"/>
          </w:tcPr>
          <w:p w14:paraId="2B7CDC1A" w14:textId="1070C2C4" w:rsidR="00262FDC" w:rsidRPr="000402DA" w:rsidRDefault="00262FDC" w:rsidP="00262FDC">
            <w:pPr>
              <w:tabs>
                <w:tab w:val="decimal" w:pos="589"/>
              </w:tabs>
              <w:jc w:val="left"/>
              <w:rPr>
                <w:sz w:val="16"/>
                <w:szCs w:val="16"/>
              </w:rPr>
            </w:pPr>
            <w:r>
              <w:rPr>
                <w:color w:val="000000"/>
                <w:sz w:val="16"/>
                <w:szCs w:val="16"/>
              </w:rPr>
              <w:t>11.1</w:t>
            </w:r>
          </w:p>
        </w:tc>
      </w:tr>
      <w:tr w:rsidR="00262FDC" w:rsidRPr="00F87E34" w14:paraId="0B357A9F" w14:textId="77777777" w:rsidTr="003F0296">
        <w:trPr>
          <w:trHeight w:val="227"/>
          <w:jc w:val="center"/>
        </w:trPr>
        <w:tc>
          <w:tcPr>
            <w:tcW w:w="2675" w:type="dxa"/>
            <w:tcBorders>
              <w:top w:val="nil"/>
              <w:left w:val="single" w:sz="6" w:space="0" w:color="404040"/>
              <w:bottom w:val="nil"/>
              <w:right w:val="single" w:sz="4" w:space="0" w:color="404040"/>
            </w:tcBorders>
            <w:shd w:val="clear" w:color="auto" w:fill="auto"/>
            <w:noWrap/>
            <w:vAlign w:val="center"/>
          </w:tcPr>
          <w:p w14:paraId="5FB79255" w14:textId="77777777" w:rsidR="00262FDC" w:rsidRPr="00F87E34" w:rsidRDefault="00262FDC" w:rsidP="00262FDC">
            <w:pPr>
              <w:spacing w:before="20" w:after="20"/>
              <w:ind w:left="97"/>
              <w:jc w:val="left"/>
              <w:rPr>
                <w:bCs/>
                <w:sz w:val="16"/>
                <w:szCs w:val="16"/>
              </w:rPr>
            </w:pPr>
            <w:r w:rsidRPr="00F87E34">
              <w:rPr>
                <w:bCs/>
                <w:sz w:val="16"/>
                <w:szCs w:val="16"/>
              </w:rPr>
              <w:t>Michoacán de Ocampo</w:t>
            </w:r>
          </w:p>
        </w:tc>
        <w:tc>
          <w:tcPr>
            <w:tcW w:w="1241" w:type="dxa"/>
            <w:tcBorders>
              <w:top w:val="nil"/>
              <w:left w:val="single" w:sz="4" w:space="0" w:color="404040"/>
              <w:bottom w:val="nil"/>
              <w:right w:val="nil"/>
            </w:tcBorders>
            <w:shd w:val="clear" w:color="auto" w:fill="auto"/>
            <w:noWrap/>
            <w:vAlign w:val="center"/>
          </w:tcPr>
          <w:p w14:paraId="2075BFE4" w14:textId="49AC7A3E" w:rsidR="00262FDC" w:rsidRPr="000402DA" w:rsidRDefault="00262FDC" w:rsidP="00262FDC">
            <w:pPr>
              <w:tabs>
                <w:tab w:val="decimal" w:pos="564"/>
              </w:tabs>
              <w:jc w:val="left"/>
              <w:rPr>
                <w:sz w:val="16"/>
                <w:szCs w:val="16"/>
              </w:rPr>
            </w:pPr>
            <w:r>
              <w:rPr>
                <w:color w:val="000000"/>
                <w:sz w:val="16"/>
                <w:szCs w:val="16"/>
              </w:rPr>
              <w:t>2.9</w:t>
            </w:r>
          </w:p>
        </w:tc>
        <w:tc>
          <w:tcPr>
            <w:tcW w:w="1161" w:type="dxa"/>
            <w:tcBorders>
              <w:top w:val="nil"/>
              <w:left w:val="nil"/>
              <w:bottom w:val="nil"/>
              <w:right w:val="nil"/>
            </w:tcBorders>
            <w:shd w:val="clear" w:color="auto" w:fill="auto"/>
            <w:noWrap/>
            <w:vAlign w:val="center"/>
          </w:tcPr>
          <w:p w14:paraId="604F4EB7" w14:textId="6DAE59F7" w:rsidR="00262FDC" w:rsidRPr="000402DA" w:rsidRDefault="00262FDC" w:rsidP="00262FDC">
            <w:pPr>
              <w:tabs>
                <w:tab w:val="decimal" w:pos="564"/>
              </w:tabs>
              <w:jc w:val="left"/>
              <w:rPr>
                <w:sz w:val="16"/>
                <w:szCs w:val="16"/>
              </w:rPr>
            </w:pPr>
            <w:r>
              <w:rPr>
                <w:color w:val="000000"/>
                <w:sz w:val="16"/>
                <w:szCs w:val="16"/>
              </w:rPr>
              <w:t>1.9</w:t>
            </w:r>
          </w:p>
        </w:tc>
        <w:tc>
          <w:tcPr>
            <w:tcW w:w="1240" w:type="dxa"/>
            <w:tcBorders>
              <w:top w:val="nil"/>
              <w:left w:val="nil"/>
              <w:bottom w:val="nil"/>
              <w:right w:val="nil"/>
            </w:tcBorders>
            <w:shd w:val="clear" w:color="auto" w:fill="auto"/>
            <w:noWrap/>
            <w:vAlign w:val="center"/>
          </w:tcPr>
          <w:p w14:paraId="5D8BA7DB" w14:textId="2577D9CC" w:rsidR="00262FDC" w:rsidRPr="000402DA" w:rsidRDefault="00262FDC" w:rsidP="00262FDC">
            <w:pPr>
              <w:tabs>
                <w:tab w:val="decimal" w:pos="626"/>
              </w:tabs>
              <w:jc w:val="left"/>
              <w:rPr>
                <w:sz w:val="16"/>
                <w:szCs w:val="16"/>
              </w:rPr>
            </w:pPr>
            <w:r>
              <w:rPr>
                <w:color w:val="000000"/>
                <w:sz w:val="16"/>
                <w:szCs w:val="16"/>
              </w:rPr>
              <w:t>7.0</w:t>
            </w:r>
          </w:p>
        </w:tc>
        <w:tc>
          <w:tcPr>
            <w:tcW w:w="1318" w:type="dxa"/>
            <w:tcBorders>
              <w:top w:val="nil"/>
              <w:left w:val="nil"/>
              <w:bottom w:val="nil"/>
              <w:right w:val="nil"/>
            </w:tcBorders>
            <w:shd w:val="clear" w:color="auto" w:fill="auto"/>
            <w:noWrap/>
            <w:vAlign w:val="center"/>
          </w:tcPr>
          <w:p w14:paraId="51B3738B" w14:textId="1C9BCF5F" w:rsidR="00262FDC" w:rsidRPr="000402DA" w:rsidRDefault="00262FDC" w:rsidP="00262FDC">
            <w:pPr>
              <w:tabs>
                <w:tab w:val="decimal" w:pos="564"/>
              </w:tabs>
              <w:jc w:val="left"/>
              <w:rPr>
                <w:sz w:val="16"/>
                <w:szCs w:val="16"/>
              </w:rPr>
            </w:pPr>
            <w:r>
              <w:rPr>
                <w:color w:val="000000"/>
                <w:sz w:val="16"/>
                <w:szCs w:val="16"/>
              </w:rPr>
              <w:t>1.0</w:t>
            </w:r>
          </w:p>
        </w:tc>
        <w:tc>
          <w:tcPr>
            <w:tcW w:w="1162" w:type="dxa"/>
            <w:tcBorders>
              <w:top w:val="nil"/>
              <w:left w:val="nil"/>
              <w:bottom w:val="nil"/>
              <w:right w:val="nil"/>
            </w:tcBorders>
            <w:shd w:val="clear" w:color="auto" w:fill="auto"/>
            <w:noWrap/>
            <w:vAlign w:val="center"/>
          </w:tcPr>
          <w:p w14:paraId="6C64866B" w14:textId="62BAD449" w:rsidR="00262FDC" w:rsidRPr="000402DA" w:rsidRDefault="00262FDC" w:rsidP="00262FDC">
            <w:pPr>
              <w:tabs>
                <w:tab w:val="decimal" w:pos="539"/>
              </w:tabs>
              <w:jc w:val="left"/>
              <w:rPr>
                <w:sz w:val="16"/>
                <w:szCs w:val="16"/>
              </w:rPr>
            </w:pPr>
            <w:r>
              <w:rPr>
                <w:color w:val="000000"/>
                <w:sz w:val="16"/>
                <w:szCs w:val="16"/>
              </w:rPr>
              <w:t>0.2</w:t>
            </w:r>
          </w:p>
        </w:tc>
        <w:tc>
          <w:tcPr>
            <w:tcW w:w="1161" w:type="dxa"/>
            <w:tcBorders>
              <w:top w:val="nil"/>
              <w:left w:val="nil"/>
              <w:bottom w:val="nil"/>
              <w:right w:val="single" w:sz="6" w:space="0" w:color="404040"/>
            </w:tcBorders>
            <w:shd w:val="clear" w:color="auto" w:fill="auto"/>
            <w:noWrap/>
            <w:vAlign w:val="center"/>
          </w:tcPr>
          <w:p w14:paraId="6785986D" w14:textId="1F30B492" w:rsidR="00262FDC" w:rsidRPr="000402DA" w:rsidRDefault="00262FDC" w:rsidP="00262FDC">
            <w:pPr>
              <w:tabs>
                <w:tab w:val="decimal" w:pos="589"/>
              </w:tabs>
              <w:jc w:val="left"/>
              <w:rPr>
                <w:sz w:val="16"/>
                <w:szCs w:val="16"/>
              </w:rPr>
            </w:pPr>
            <w:r>
              <w:rPr>
                <w:color w:val="000000"/>
                <w:sz w:val="16"/>
                <w:szCs w:val="16"/>
              </w:rPr>
              <w:t>10.7</w:t>
            </w:r>
          </w:p>
        </w:tc>
      </w:tr>
      <w:tr w:rsidR="00262FDC" w:rsidRPr="00F87E34" w14:paraId="6CBD1E1B" w14:textId="77777777" w:rsidTr="003F0296">
        <w:trPr>
          <w:trHeight w:val="227"/>
          <w:jc w:val="center"/>
        </w:trPr>
        <w:tc>
          <w:tcPr>
            <w:tcW w:w="2675" w:type="dxa"/>
            <w:tcBorders>
              <w:top w:val="nil"/>
              <w:left w:val="single" w:sz="6" w:space="0" w:color="404040"/>
              <w:bottom w:val="nil"/>
              <w:right w:val="single" w:sz="4" w:space="0" w:color="404040"/>
            </w:tcBorders>
            <w:shd w:val="clear" w:color="auto" w:fill="auto"/>
            <w:noWrap/>
            <w:vAlign w:val="center"/>
          </w:tcPr>
          <w:p w14:paraId="1DADE441" w14:textId="77777777" w:rsidR="00262FDC" w:rsidRPr="00F87E34" w:rsidRDefault="00262FDC" w:rsidP="00262FDC">
            <w:pPr>
              <w:spacing w:before="20" w:after="20"/>
              <w:ind w:left="97"/>
              <w:jc w:val="left"/>
              <w:rPr>
                <w:bCs/>
                <w:sz w:val="16"/>
                <w:szCs w:val="16"/>
              </w:rPr>
            </w:pPr>
            <w:r w:rsidRPr="00F87E34">
              <w:rPr>
                <w:bCs/>
                <w:sz w:val="16"/>
                <w:szCs w:val="16"/>
              </w:rPr>
              <w:t>Morelos</w:t>
            </w:r>
          </w:p>
        </w:tc>
        <w:tc>
          <w:tcPr>
            <w:tcW w:w="1241" w:type="dxa"/>
            <w:tcBorders>
              <w:top w:val="nil"/>
              <w:left w:val="single" w:sz="4" w:space="0" w:color="404040"/>
              <w:bottom w:val="nil"/>
              <w:right w:val="nil"/>
            </w:tcBorders>
            <w:shd w:val="clear" w:color="auto" w:fill="auto"/>
            <w:noWrap/>
            <w:vAlign w:val="center"/>
          </w:tcPr>
          <w:p w14:paraId="331A57D2" w14:textId="366CFB60" w:rsidR="00262FDC" w:rsidRPr="000402DA" w:rsidRDefault="00262FDC" w:rsidP="00262FDC">
            <w:pPr>
              <w:tabs>
                <w:tab w:val="decimal" w:pos="564"/>
              </w:tabs>
              <w:jc w:val="left"/>
              <w:rPr>
                <w:sz w:val="16"/>
                <w:szCs w:val="16"/>
              </w:rPr>
            </w:pPr>
            <w:r>
              <w:rPr>
                <w:color w:val="000000"/>
                <w:sz w:val="16"/>
                <w:szCs w:val="16"/>
              </w:rPr>
              <w:t>4.3</w:t>
            </w:r>
          </w:p>
        </w:tc>
        <w:tc>
          <w:tcPr>
            <w:tcW w:w="1161" w:type="dxa"/>
            <w:tcBorders>
              <w:top w:val="nil"/>
              <w:left w:val="nil"/>
              <w:bottom w:val="nil"/>
              <w:right w:val="nil"/>
            </w:tcBorders>
            <w:shd w:val="clear" w:color="auto" w:fill="auto"/>
            <w:noWrap/>
            <w:vAlign w:val="center"/>
          </w:tcPr>
          <w:p w14:paraId="14A7F4B3" w14:textId="755C4E13" w:rsidR="00262FDC" w:rsidRPr="000402DA" w:rsidRDefault="00262FDC" w:rsidP="00262FDC">
            <w:pPr>
              <w:tabs>
                <w:tab w:val="decimal" w:pos="564"/>
              </w:tabs>
              <w:jc w:val="left"/>
              <w:rPr>
                <w:sz w:val="16"/>
                <w:szCs w:val="16"/>
              </w:rPr>
            </w:pPr>
            <w:r>
              <w:rPr>
                <w:color w:val="000000"/>
                <w:sz w:val="16"/>
                <w:szCs w:val="16"/>
              </w:rPr>
              <w:t>2.6</w:t>
            </w:r>
          </w:p>
        </w:tc>
        <w:tc>
          <w:tcPr>
            <w:tcW w:w="1240" w:type="dxa"/>
            <w:tcBorders>
              <w:top w:val="nil"/>
              <w:left w:val="nil"/>
              <w:bottom w:val="nil"/>
              <w:right w:val="nil"/>
            </w:tcBorders>
            <w:shd w:val="clear" w:color="auto" w:fill="auto"/>
            <w:noWrap/>
            <w:vAlign w:val="center"/>
          </w:tcPr>
          <w:p w14:paraId="0A632F9A" w14:textId="45630437" w:rsidR="00262FDC" w:rsidRPr="000402DA" w:rsidRDefault="00262FDC" w:rsidP="00262FDC">
            <w:pPr>
              <w:tabs>
                <w:tab w:val="decimal" w:pos="626"/>
              </w:tabs>
              <w:jc w:val="left"/>
              <w:rPr>
                <w:sz w:val="16"/>
                <w:szCs w:val="16"/>
              </w:rPr>
            </w:pPr>
            <w:r>
              <w:rPr>
                <w:color w:val="000000"/>
                <w:sz w:val="16"/>
                <w:szCs w:val="16"/>
              </w:rPr>
              <w:t>6.3</w:t>
            </w:r>
          </w:p>
        </w:tc>
        <w:tc>
          <w:tcPr>
            <w:tcW w:w="1318" w:type="dxa"/>
            <w:tcBorders>
              <w:top w:val="nil"/>
              <w:left w:val="nil"/>
              <w:bottom w:val="nil"/>
              <w:right w:val="nil"/>
            </w:tcBorders>
            <w:shd w:val="clear" w:color="auto" w:fill="auto"/>
            <w:noWrap/>
            <w:vAlign w:val="center"/>
          </w:tcPr>
          <w:p w14:paraId="1A25DFBE" w14:textId="5AE5C24A" w:rsidR="00262FDC" w:rsidRPr="000402DA" w:rsidRDefault="00262FDC" w:rsidP="00262FDC">
            <w:pPr>
              <w:tabs>
                <w:tab w:val="decimal" w:pos="564"/>
              </w:tabs>
              <w:jc w:val="left"/>
              <w:rPr>
                <w:sz w:val="16"/>
                <w:szCs w:val="16"/>
              </w:rPr>
            </w:pPr>
            <w:r>
              <w:rPr>
                <w:color w:val="000000"/>
                <w:sz w:val="16"/>
                <w:szCs w:val="16"/>
              </w:rPr>
              <w:t>1.5</w:t>
            </w:r>
          </w:p>
        </w:tc>
        <w:tc>
          <w:tcPr>
            <w:tcW w:w="1162" w:type="dxa"/>
            <w:tcBorders>
              <w:top w:val="nil"/>
              <w:left w:val="nil"/>
              <w:bottom w:val="nil"/>
              <w:right w:val="nil"/>
            </w:tcBorders>
            <w:shd w:val="clear" w:color="auto" w:fill="auto"/>
            <w:noWrap/>
            <w:vAlign w:val="center"/>
          </w:tcPr>
          <w:p w14:paraId="3A0549BA" w14:textId="40F6E064" w:rsidR="00262FDC" w:rsidRPr="000402DA" w:rsidRDefault="00262FDC" w:rsidP="00262FDC">
            <w:pPr>
              <w:tabs>
                <w:tab w:val="decimal" w:pos="539"/>
              </w:tabs>
              <w:jc w:val="left"/>
              <w:rPr>
                <w:sz w:val="16"/>
                <w:szCs w:val="16"/>
              </w:rPr>
            </w:pPr>
            <w:r>
              <w:rPr>
                <w:color w:val="000000"/>
                <w:sz w:val="16"/>
                <w:szCs w:val="16"/>
              </w:rPr>
              <w:t>0.5</w:t>
            </w:r>
          </w:p>
        </w:tc>
        <w:tc>
          <w:tcPr>
            <w:tcW w:w="1161" w:type="dxa"/>
            <w:tcBorders>
              <w:top w:val="nil"/>
              <w:left w:val="nil"/>
              <w:bottom w:val="nil"/>
              <w:right w:val="single" w:sz="6" w:space="0" w:color="404040"/>
            </w:tcBorders>
            <w:shd w:val="clear" w:color="auto" w:fill="auto"/>
            <w:noWrap/>
            <w:vAlign w:val="center"/>
          </w:tcPr>
          <w:p w14:paraId="77EA25E8" w14:textId="7B5D9EF6" w:rsidR="00262FDC" w:rsidRPr="000402DA" w:rsidRDefault="00262FDC" w:rsidP="00262FDC">
            <w:pPr>
              <w:tabs>
                <w:tab w:val="decimal" w:pos="589"/>
              </w:tabs>
              <w:jc w:val="left"/>
              <w:rPr>
                <w:sz w:val="16"/>
                <w:szCs w:val="16"/>
              </w:rPr>
            </w:pPr>
            <w:r>
              <w:rPr>
                <w:color w:val="000000"/>
                <w:sz w:val="16"/>
                <w:szCs w:val="16"/>
              </w:rPr>
              <w:t>10.9</w:t>
            </w:r>
          </w:p>
        </w:tc>
      </w:tr>
      <w:tr w:rsidR="00262FDC" w:rsidRPr="00F87E34" w14:paraId="273263B7" w14:textId="77777777" w:rsidTr="003F0296">
        <w:trPr>
          <w:trHeight w:val="227"/>
          <w:jc w:val="center"/>
        </w:trPr>
        <w:tc>
          <w:tcPr>
            <w:tcW w:w="2675" w:type="dxa"/>
            <w:tcBorders>
              <w:top w:val="nil"/>
              <w:left w:val="single" w:sz="6" w:space="0" w:color="404040"/>
              <w:bottom w:val="nil"/>
              <w:right w:val="single" w:sz="4" w:space="0" w:color="404040"/>
            </w:tcBorders>
            <w:shd w:val="clear" w:color="auto" w:fill="auto"/>
            <w:noWrap/>
            <w:vAlign w:val="center"/>
          </w:tcPr>
          <w:p w14:paraId="2E38D025" w14:textId="77777777" w:rsidR="00262FDC" w:rsidRPr="00F87E34" w:rsidRDefault="00262FDC" w:rsidP="00262FDC">
            <w:pPr>
              <w:spacing w:before="20" w:after="20"/>
              <w:ind w:left="97"/>
              <w:jc w:val="left"/>
              <w:rPr>
                <w:bCs/>
                <w:sz w:val="16"/>
                <w:szCs w:val="16"/>
              </w:rPr>
            </w:pPr>
            <w:r w:rsidRPr="00F87E34">
              <w:rPr>
                <w:bCs/>
                <w:sz w:val="16"/>
                <w:szCs w:val="16"/>
              </w:rPr>
              <w:t>Nayarit</w:t>
            </w:r>
          </w:p>
        </w:tc>
        <w:tc>
          <w:tcPr>
            <w:tcW w:w="1241" w:type="dxa"/>
            <w:tcBorders>
              <w:top w:val="nil"/>
              <w:left w:val="single" w:sz="4" w:space="0" w:color="404040"/>
              <w:bottom w:val="nil"/>
              <w:right w:val="nil"/>
            </w:tcBorders>
            <w:shd w:val="clear" w:color="auto" w:fill="auto"/>
            <w:noWrap/>
            <w:vAlign w:val="center"/>
          </w:tcPr>
          <w:p w14:paraId="5495E94A" w14:textId="2111EA12" w:rsidR="00262FDC" w:rsidRPr="000402DA" w:rsidRDefault="00262FDC" w:rsidP="00262FDC">
            <w:pPr>
              <w:tabs>
                <w:tab w:val="decimal" w:pos="564"/>
              </w:tabs>
              <w:jc w:val="left"/>
              <w:rPr>
                <w:sz w:val="16"/>
                <w:szCs w:val="16"/>
              </w:rPr>
            </w:pPr>
            <w:r>
              <w:rPr>
                <w:color w:val="000000"/>
                <w:sz w:val="16"/>
                <w:szCs w:val="16"/>
              </w:rPr>
              <w:t>3.6</w:t>
            </w:r>
          </w:p>
        </w:tc>
        <w:tc>
          <w:tcPr>
            <w:tcW w:w="1161" w:type="dxa"/>
            <w:tcBorders>
              <w:top w:val="nil"/>
              <w:left w:val="nil"/>
              <w:bottom w:val="nil"/>
              <w:right w:val="nil"/>
            </w:tcBorders>
            <w:shd w:val="clear" w:color="auto" w:fill="auto"/>
            <w:noWrap/>
            <w:vAlign w:val="center"/>
          </w:tcPr>
          <w:p w14:paraId="1623B186" w14:textId="026AE9CD" w:rsidR="00262FDC" w:rsidRPr="000402DA" w:rsidRDefault="00262FDC" w:rsidP="00262FDC">
            <w:pPr>
              <w:tabs>
                <w:tab w:val="decimal" w:pos="564"/>
              </w:tabs>
              <w:jc w:val="left"/>
              <w:rPr>
                <w:sz w:val="16"/>
                <w:szCs w:val="16"/>
              </w:rPr>
            </w:pPr>
            <w:r>
              <w:rPr>
                <w:color w:val="000000"/>
                <w:sz w:val="16"/>
                <w:szCs w:val="16"/>
              </w:rPr>
              <w:t>2.2</w:t>
            </w:r>
          </w:p>
        </w:tc>
        <w:tc>
          <w:tcPr>
            <w:tcW w:w="1240" w:type="dxa"/>
            <w:tcBorders>
              <w:top w:val="nil"/>
              <w:left w:val="nil"/>
              <w:bottom w:val="nil"/>
              <w:right w:val="nil"/>
            </w:tcBorders>
            <w:shd w:val="clear" w:color="auto" w:fill="auto"/>
            <w:noWrap/>
            <w:vAlign w:val="center"/>
          </w:tcPr>
          <w:p w14:paraId="725E1BE5" w14:textId="1636B2CF" w:rsidR="00262FDC" w:rsidRPr="000402DA" w:rsidRDefault="00262FDC" w:rsidP="00262FDC">
            <w:pPr>
              <w:tabs>
                <w:tab w:val="decimal" w:pos="626"/>
              </w:tabs>
              <w:jc w:val="left"/>
              <w:rPr>
                <w:sz w:val="16"/>
                <w:szCs w:val="16"/>
              </w:rPr>
            </w:pPr>
            <w:r>
              <w:rPr>
                <w:color w:val="000000"/>
                <w:sz w:val="16"/>
                <w:szCs w:val="16"/>
              </w:rPr>
              <w:t>5.9</w:t>
            </w:r>
          </w:p>
        </w:tc>
        <w:tc>
          <w:tcPr>
            <w:tcW w:w="1318" w:type="dxa"/>
            <w:tcBorders>
              <w:top w:val="nil"/>
              <w:left w:val="nil"/>
              <w:bottom w:val="nil"/>
              <w:right w:val="nil"/>
            </w:tcBorders>
            <w:shd w:val="clear" w:color="auto" w:fill="auto"/>
            <w:noWrap/>
            <w:vAlign w:val="center"/>
          </w:tcPr>
          <w:p w14:paraId="1F612591" w14:textId="3F85862A" w:rsidR="00262FDC" w:rsidRPr="000402DA" w:rsidRDefault="00262FDC" w:rsidP="00262FDC">
            <w:pPr>
              <w:tabs>
                <w:tab w:val="decimal" w:pos="564"/>
              </w:tabs>
              <w:jc w:val="left"/>
              <w:rPr>
                <w:sz w:val="16"/>
                <w:szCs w:val="16"/>
              </w:rPr>
            </w:pPr>
            <w:r>
              <w:rPr>
                <w:color w:val="000000"/>
                <w:sz w:val="16"/>
                <w:szCs w:val="16"/>
              </w:rPr>
              <w:t>1.3</w:t>
            </w:r>
          </w:p>
        </w:tc>
        <w:tc>
          <w:tcPr>
            <w:tcW w:w="1162" w:type="dxa"/>
            <w:tcBorders>
              <w:top w:val="nil"/>
              <w:left w:val="nil"/>
              <w:bottom w:val="nil"/>
              <w:right w:val="nil"/>
            </w:tcBorders>
            <w:shd w:val="clear" w:color="auto" w:fill="auto"/>
            <w:noWrap/>
            <w:vAlign w:val="center"/>
          </w:tcPr>
          <w:p w14:paraId="6CEAEB70" w14:textId="3735CD05" w:rsidR="00262FDC" w:rsidRPr="000402DA" w:rsidRDefault="00262FDC" w:rsidP="00262FDC">
            <w:pPr>
              <w:tabs>
                <w:tab w:val="decimal" w:pos="539"/>
              </w:tabs>
              <w:jc w:val="left"/>
              <w:rPr>
                <w:sz w:val="16"/>
                <w:szCs w:val="16"/>
              </w:rPr>
            </w:pPr>
            <w:r>
              <w:rPr>
                <w:color w:val="000000"/>
                <w:sz w:val="16"/>
                <w:szCs w:val="16"/>
              </w:rPr>
              <w:t>0.5</w:t>
            </w:r>
          </w:p>
        </w:tc>
        <w:tc>
          <w:tcPr>
            <w:tcW w:w="1161" w:type="dxa"/>
            <w:tcBorders>
              <w:top w:val="nil"/>
              <w:left w:val="nil"/>
              <w:bottom w:val="nil"/>
              <w:right w:val="single" w:sz="6" w:space="0" w:color="404040"/>
            </w:tcBorders>
            <w:shd w:val="clear" w:color="auto" w:fill="auto"/>
            <w:noWrap/>
            <w:vAlign w:val="center"/>
          </w:tcPr>
          <w:p w14:paraId="0B5717A2" w14:textId="78CDEF61" w:rsidR="00262FDC" w:rsidRPr="000402DA" w:rsidRDefault="00262FDC" w:rsidP="00262FDC">
            <w:pPr>
              <w:tabs>
                <w:tab w:val="decimal" w:pos="589"/>
              </w:tabs>
              <w:jc w:val="left"/>
              <w:rPr>
                <w:sz w:val="16"/>
                <w:szCs w:val="16"/>
              </w:rPr>
            </w:pPr>
            <w:r>
              <w:rPr>
                <w:color w:val="000000"/>
                <w:sz w:val="16"/>
                <w:szCs w:val="16"/>
              </w:rPr>
              <w:t>11.1</w:t>
            </w:r>
          </w:p>
        </w:tc>
      </w:tr>
      <w:tr w:rsidR="00262FDC" w:rsidRPr="00F87E34" w14:paraId="2891A770" w14:textId="77777777" w:rsidTr="003F0296">
        <w:trPr>
          <w:trHeight w:val="227"/>
          <w:jc w:val="center"/>
        </w:trPr>
        <w:tc>
          <w:tcPr>
            <w:tcW w:w="2675" w:type="dxa"/>
            <w:tcBorders>
              <w:top w:val="nil"/>
              <w:left w:val="single" w:sz="6" w:space="0" w:color="404040"/>
              <w:bottom w:val="nil"/>
              <w:right w:val="single" w:sz="4" w:space="0" w:color="404040"/>
            </w:tcBorders>
            <w:shd w:val="clear" w:color="auto" w:fill="auto"/>
            <w:noWrap/>
            <w:vAlign w:val="center"/>
          </w:tcPr>
          <w:p w14:paraId="5328305B" w14:textId="77777777" w:rsidR="00262FDC" w:rsidRPr="00F87E34" w:rsidRDefault="00262FDC" w:rsidP="00262FDC">
            <w:pPr>
              <w:spacing w:before="20" w:after="20"/>
              <w:ind w:left="97"/>
              <w:jc w:val="left"/>
              <w:rPr>
                <w:bCs/>
                <w:sz w:val="16"/>
                <w:szCs w:val="16"/>
              </w:rPr>
            </w:pPr>
            <w:r w:rsidRPr="00F87E34">
              <w:rPr>
                <w:bCs/>
                <w:sz w:val="16"/>
                <w:szCs w:val="16"/>
              </w:rPr>
              <w:t>Nuevo León</w:t>
            </w:r>
          </w:p>
        </w:tc>
        <w:tc>
          <w:tcPr>
            <w:tcW w:w="1241" w:type="dxa"/>
            <w:tcBorders>
              <w:top w:val="nil"/>
              <w:left w:val="single" w:sz="4" w:space="0" w:color="404040"/>
              <w:bottom w:val="nil"/>
              <w:right w:val="nil"/>
            </w:tcBorders>
            <w:shd w:val="clear" w:color="auto" w:fill="auto"/>
            <w:noWrap/>
            <w:vAlign w:val="center"/>
          </w:tcPr>
          <w:p w14:paraId="47D3FAD6" w14:textId="195245E6" w:rsidR="00262FDC" w:rsidRPr="000402DA" w:rsidRDefault="00262FDC" w:rsidP="00262FDC">
            <w:pPr>
              <w:tabs>
                <w:tab w:val="decimal" w:pos="564"/>
              </w:tabs>
              <w:jc w:val="left"/>
              <w:rPr>
                <w:sz w:val="16"/>
                <w:szCs w:val="16"/>
              </w:rPr>
            </w:pPr>
            <w:r>
              <w:rPr>
                <w:color w:val="000000"/>
                <w:sz w:val="16"/>
                <w:szCs w:val="16"/>
              </w:rPr>
              <w:t>6.8</w:t>
            </w:r>
          </w:p>
        </w:tc>
        <w:tc>
          <w:tcPr>
            <w:tcW w:w="1161" w:type="dxa"/>
            <w:tcBorders>
              <w:top w:val="nil"/>
              <w:left w:val="nil"/>
              <w:bottom w:val="nil"/>
              <w:right w:val="nil"/>
            </w:tcBorders>
            <w:shd w:val="clear" w:color="auto" w:fill="auto"/>
            <w:noWrap/>
            <w:vAlign w:val="center"/>
          </w:tcPr>
          <w:p w14:paraId="2A4AAD2C" w14:textId="18186E2E" w:rsidR="00262FDC" w:rsidRPr="000402DA" w:rsidRDefault="00262FDC" w:rsidP="00262FDC">
            <w:pPr>
              <w:tabs>
                <w:tab w:val="decimal" w:pos="564"/>
              </w:tabs>
              <w:jc w:val="left"/>
              <w:rPr>
                <w:sz w:val="16"/>
                <w:szCs w:val="16"/>
              </w:rPr>
            </w:pPr>
            <w:r>
              <w:rPr>
                <w:color w:val="000000"/>
                <w:sz w:val="16"/>
                <w:szCs w:val="16"/>
              </w:rPr>
              <w:t>2.3</w:t>
            </w:r>
          </w:p>
        </w:tc>
        <w:tc>
          <w:tcPr>
            <w:tcW w:w="1240" w:type="dxa"/>
            <w:tcBorders>
              <w:top w:val="nil"/>
              <w:left w:val="nil"/>
              <w:bottom w:val="nil"/>
              <w:right w:val="nil"/>
            </w:tcBorders>
            <w:shd w:val="clear" w:color="auto" w:fill="auto"/>
            <w:noWrap/>
            <w:vAlign w:val="center"/>
          </w:tcPr>
          <w:p w14:paraId="0DE24B20" w14:textId="6287FDB1" w:rsidR="00262FDC" w:rsidRPr="000402DA" w:rsidRDefault="00262FDC" w:rsidP="00262FDC">
            <w:pPr>
              <w:tabs>
                <w:tab w:val="decimal" w:pos="626"/>
              </w:tabs>
              <w:jc w:val="left"/>
              <w:rPr>
                <w:sz w:val="16"/>
                <w:szCs w:val="16"/>
              </w:rPr>
            </w:pPr>
            <w:r>
              <w:rPr>
                <w:color w:val="000000"/>
                <w:sz w:val="16"/>
                <w:szCs w:val="16"/>
              </w:rPr>
              <w:t>6.1</w:t>
            </w:r>
          </w:p>
        </w:tc>
        <w:tc>
          <w:tcPr>
            <w:tcW w:w="1318" w:type="dxa"/>
            <w:tcBorders>
              <w:top w:val="nil"/>
              <w:left w:val="nil"/>
              <w:bottom w:val="nil"/>
              <w:right w:val="nil"/>
            </w:tcBorders>
            <w:shd w:val="clear" w:color="auto" w:fill="auto"/>
            <w:noWrap/>
            <w:vAlign w:val="center"/>
          </w:tcPr>
          <w:p w14:paraId="3D68D1CF" w14:textId="3D78B9BB" w:rsidR="00262FDC" w:rsidRPr="000402DA" w:rsidRDefault="00262FDC" w:rsidP="00262FDC">
            <w:pPr>
              <w:tabs>
                <w:tab w:val="decimal" w:pos="564"/>
              </w:tabs>
              <w:jc w:val="left"/>
              <w:rPr>
                <w:sz w:val="16"/>
                <w:szCs w:val="16"/>
              </w:rPr>
            </w:pPr>
            <w:r>
              <w:rPr>
                <w:color w:val="000000"/>
                <w:sz w:val="16"/>
                <w:szCs w:val="16"/>
              </w:rPr>
              <w:t>1.8</w:t>
            </w:r>
          </w:p>
        </w:tc>
        <w:tc>
          <w:tcPr>
            <w:tcW w:w="1162" w:type="dxa"/>
            <w:tcBorders>
              <w:top w:val="nil"/>
              <w:left w:val="nil"/>
              <w:bottom w:val="nil"/>
              <w:right w:val="nil"/>
            </w:tcBorders>
            <w:shd w:val="clear" w:color="auto" w:fill="auto"/>
            <w:noWrap/>
            <w:vAlign w:val="center"/>
          </w:tcPr>
          <w:p w14:paraId="7945BB1A" w14:textId="74FA676B" w:rsidR="00262FDC" w:rsidRPr="000402DA" w:rsidRDefault="00262FDC" w:rsidP="00262FDC">
            <w:pPr>
              <w:tabs>
                <w:tab w:val="decimal" w:pos="539"/>
              </w:tabs>
              <w:jc w:val="left"/>
              <w:rPr>
                <w:sz w:val="16"/>
                <w:szCs w:val="16"/>
              </w:rPr>
            </w:pPr>
            <w:r>
              <w:rPr>
                <w:color w:val="000000"/>
                <w:sz w:val="16"/>
                <w:szCs w:val="16"/>
              </w:rPr>
              <w:t>0.7</w:t>
            </w:r>
          </w:p>
        </w:tc>
        <w:tc>
          <w:tcPr>
            <w:tcW w:w="1161" w:type="dxa"/>
            <w:tcBorders>
              <w:top w:val="nil"/>
              <w:left w:val="nil"/>
              <w:bottom w:val="nil"/>
              <w:right w:val="single" w:sz="6" w:space="0" w:color="404040"/>
            </w:tcBorders>
            <w:shd w:val="clear" w:color="auto" w:fill="auto"/>
            <w:noWrap/>
            <w:vAlign w:val="center"/>
          </w:tcPr>
          <w:p w14:paraId="0327CA89" w14:textId="52923A58" w:rsidR="00262FDC" w:rsidRPr="000402DA" w:rsidRDefault="00262FDC" w:rsidP="00262FDC">
            <w:pPr>
              <w:tabs>
                <w:tab w:val="decimal" w:pos="589"/>
              </w:tabs>
              <w:jc w:val="left"/>
              <w:rPr>
                <w:sz w:val="16"/>
                <w:szCs w:val="16"/>
              </w:rPr>
            </w:pPr>
            <w:r>
              <w:rPr>
                <w:color w:val="000000"/>
                <w:sz w:val="16"/>
                <w:szCs w:val="16"/>
              </w:rPr>
              <w:t>11.2</w:t>
            </w:r>
          </w:p>
        </w:tc>
      </w:tr>
      <w:tr w:rsidR="00262FDC" w:rsidRPr="00F87E34" w14:paraId="256F54F8" w14:textId="77777777" w:rsidTr="003F0296">
        <w:trPr>
          <w:trHeight w:val="227"/>
          <w:jc w:val="center"/>
        </w:trPr>
        <w:tc>
          <w:tcPr>
            <w:tcW w:w="2675" w:type="dxa"/>
            <w:tcBorders>
              <w:top w:val="nil"/>
              <w:left w:val="single" w:sz="6" w:space="0" w:color="404040"/>
              <w:bottom w:val="nil"/>
              <w:right w:val="single" w:sz="4" w:space="0" w:color="404040"/>
            </w:tcBorders>
            <w:shd w:val="clear" w:color="auto" w:fill="auto"/>
            <w:noWrap/>
            <w:vAlign w:val="center"/>
          </w:tcPr>
          <w:p w14:paraId="76D139F8" w14:textId="77777777" w:rsidR="00262FDC" w:rsidRPr="00F87E34" w:rsidRDefault="00262FDC" w:rsidP="00262FDC">
            <w:pPr>
              <w:spacing w:before="20" w:after="20"/>
              <w:ind w:left="97"/>
              <w:jc w:val="left"/>
              <w:rPr>
                <w:bCs/>
                <w:sz w:val="16"/>
                <w:szCs w:val="16"/>
              </w:rPr>
            </w:pPr>
            <w:r w:rsidRPr="00F87E34">
              <w:rPr>
                <w:bCs/>
                <w:sz w:val="16"/>
                <w:szCs w:val="16"/>
              </w:rPr>
              <w:t>Oaxaca</w:t>
            </w:r>
          </w:p>
        </w:tc>
        <w:tc>
          <w:tcPr>
            <w:tcW w:w="1241" w:type="dxa"/>
            <w:tcBorders>
              <w:top w:val="nil"/>
              <w:left w:val="single" w:sz="4" w:space="0" w:color="404040"/>
              <w:bottom w:val="nil"/>
              <w:right w:val="nil"/>
            </w:tcBorders>
            <w:shd w:val="clear" w:color="auto" w:fill="auto"/>
            <w:noWrap/>
            <w:vAlign w:val="center"/>
          </w:tcPr>
          <w:p w14:paraId="53A9DE79" w14:textId="5770AD44" w:rsidR="00262FDC" w:rsidRPr="000402DA" w:rsidRDefault="00262FDC" w:rsidP="00262FDC">
            <w:pPr>
              <w:tabs>
                <w:tab w:val="decimal" w:pos="564"/>
              </w:tabs>
              <w:jc w:val="left"/>
              <w:rPr>
                <w:sz w:val="16"/>
                <w:szCs w:val="16"/>
              </w:rPr>
            </w:pPr>
            <w:r>
              <w:rPr>
                <w:color w:val="000000"/>
                <w:sz w:val="16"/>
                <w:szCs w:val="16"/>
              </w:rPr>
              <w:t>6.6</w:t>
            </w:r>
          </w:p>
        </w:tc>
        <w:tc>
          <w:tcPr>
            <w:tcW w:w="1161" w:type="dxa"/>
            <w:tcBorders>
              <w:top w:val="nil"/>
              <w:left w:val="nil"/>
              <w:bottom w:val="nil"/>
              <w:right w:val="nil"/>
            </w:tcBorders>
            <w:shd w:val="clear" w:color="auto" w:fill="auto"/>
            <w:noWrap/>
            <w:vAlign w:val="center"/>
          </w:tcPr>
          <w:p w14:paraId="36C899B4" w14:textId="47EDE003" w:rsidR="00262FDC" w:rsidRPr="000402DA" w:rsidRDefault="00262FDC" w:rsidP="00262FDC">
            <w:pPr>
              <w:tabs>
                <w:tab w:val="decimal" w:pos="564"/>
              </w:tabs>
              <w:jc w:val="left"/>
              <w:rPr>
                <w:sz w:val="16"/>
                <w:szCs w:val="16"/>
              </w:rPr>
            </w:pPr>
            <w:r>
              <w:rPr>
                <w:color w:val="000000"/>
                <w:sz w:val="16"/>
                <w:szCs w:val="16"/>
              </w:rPr>
              <w:t>2.9</w:t>
            </w:r>
          </w:p>
        </w:tc>
        <w:tc>
          <w:tcPr>
            <w:tcW w:w="1240" w:type="dxa"/>
            <w:tcBorders>
              <w:top w:val="nil"/>
              <w:left w:val="nil"/>
              <w:bottom w:val="nil"/>
              <w:right w:val="nil"/>
            </w:tcBorders>
            <w:shd w:val="clear" w:color="auto" w:fill="auto"/>
            <w:noWrap/>
            <w:vAlign w:val="center"/>
          </w:tcPr>
          <w:p w14:paraId="48BD6EC0" w14:textId="227760DB" w:rsidR="00262FDC" w:rsidRPr="000402DA" w:rsidRDefault="00262FDC" w:rsidP="00262FDC">
            <w:pPr>
              <w:tabs>
                <w:tab w:val="decimal" w:pos="626"/>
              </w:tabs>
              <w:jc w:val="left"/>
              <w:rPr>
                <w:sz w:val="16"/>
                <w:szCs w:val="16"/>
              </w:rPr>
            </w:pPr>
            <w:r>
              <w:rPr>
                <w:color w:val="000000"/>
                <w:sz w:val="16"/>
                <w:szCs w:val="16"/>
              </w:rPr>
              <w:t>7.9</w:t>
            </w:r>
          </w:p>
        </w:tc>
        <w:tc>
          <w:tcPr>
            <w:tcW w:w="1318" w:type="dxa"/>
            <w:tcBorders>
              <w:top w:val="nil"/>
              <w:left w:val="nil"/>
              <w:bottom w:val="nil"/>
              <w:right w:val="nil"/>
            </w:tcBorders>
            <w:shd w:val="clear" w:color="auto" w:fill="auto"/>
            <w:noWrap/>
            <w:vAlign w:val="center"/>
          </w:tcPr>
          <w:p w14:paraId="264E85DB" w14:textId="5F3CD585" w:rsidR="00262FDC" w:rsidRPr="000402DA" w:rsidRDefault="00262FDC" w:rsidP="00262FDC">
            <w:pPr>
              <w:tabs>
                <w:tab w:val="decimal" w:pos="564"/>
              </w:tabs>
              <w:jc w:val="left"/>
              <w:rPr>
                <w:sz w:val="16"/>
                <w:szCs w:val="16"/>
              </w:rPr>
            </w:pPr>
            <w:r>
              <w:rPr>
                <w:color w:val="000000"/>
                <w:sz w:val="16"/>
                <w:szCs w:val="16"/>
              </w:rPr>
              <w:t>1.5</w:t>
            </w:r>
          </w:p>
        </w:tc>
        <w:tc>
          <w:tcPr>
            <w:tcW w:w="1162" w:type="dxa"/>
            <w:tcBorders>
              <w:top w:val="nil"/>
              <w:left w:val="nil"/>
              <w:bottom w:val="nil"/>
              <w:right w:val="nil"/>
            </w:tcBorders>
            <w:shd w:val="clear" w:color="auto" w:fill="auto"/>
            <w:noWrap/>
            <w:vAlign w:val="center"/>
          </w:tcPr>
          <w:p w14:paraId="2D71EEB0" w14:textId="6E9B961B" w:rsidR="00262FDC" w:rsidRPr="000402DA" w:rsidRDefault="00262FDC" w:rsidP="00262FDC">
            <w:pPr>
              <w:tabs>
                <w:tab w:val="decimal" w:pos="539"/>
              </w:tabs>
              <w:jc w:val="left"/>
              <w:rPr>
                <w:sz w:val="16"/>
                <w:szCs w:val="16"/>
              </w:rPr>
            </w:pPr>
            <w:r>
              <w:rPr>
                <w:color w:val="000000"/>
                <w:sz w:val="16"/>
                <w:szCs w:val="16"/>
              </w:rPr>
              <w:t>0.8</w:t>
            </w:r>
          </w:p>
        </w:tc>
        <w:tc>
          <w:tcPr>
            <w:tcW w:w="1161" w:type="dxa"/>
            <w:tcBorders>
              <w:top w:val="nil"/>
              <w:left w:val="nil"/>
              <w:bottom w:val="nil"/>
              <w:right w:val="single" w:sz="6" w:space="0" w:color="404040"/>
            </w:tcBorders>
            <w:shd w:val="clear" w:color="auto" w:fill="auto"/>
            <w:noWrap/>
            <w:vAlign w:val="center"/>
          </w:tcPr>
          <w:p w14:paraId="06DE9E66" w14:textId="166F181D" w:rsidR="00262FDC" w:rsidRPr="000402DA" w:rsidRDefault="00262FDC" w:rsidP="00262FDC">
            <w:pPr>
              <w:tabs>
                <w:tab w:val="decimal" w:pos="589"/>
              </w:tabs>
              <w:jc w:val="left"/>
              <w:rPr>
                <w:sz w:val="16"/>
                <w:szCs w:val="16"/>
              </w:rPr>
            </w:pPr>
            <w:r>
              <w:rPr>
                <w:color w:val="000000"/>
                <w:sz w:val="16"/>
                <w:szCs w:val="16"/>
              </w:rPr>
              <w:t>10.6</w:t>
            </w:r>
          </w:p>
        </w:tc>
      </w:tr>
      <w:tr w:rsidR="00262FDC" w:rsidRPr="00F87E34" w14:paraId="73D4028C" w14:textId="77777777" w:rsidTr="003F0296">
        <w:trPr>
          <w:trHeight w:val="227"/>
          <w:jc w:val="center"/>
        </w:trPr>
        <w:tc>
          <w:tcPr>
            <w:tcW w:w="2675" w:type="dxa"/>
            <w:tcBorders>
              <w:top w:val="nil"/>
              <w:left w:val="single" w:sz="6" w:space="0" w:color="404040"/>
              <w:bottom w:val="nil"/>
              <w:right w:val="single" w:sz="4" w:space="0" w:color="404040"/>
            </w:tcBorders>
            <w:shd w:val="clear" w:color="auto" w:fill="auto"/>
            <w:noWrap/>
            <w:vAlign w:val="center"/>
          </w:tcPr>
          <w:p w14:paraId="3B1B847D" w14:textId="77777777" w:rsidR="00262FDC" w:rsidRPr="00F87E34" w:rsidRDefault="00262FDC" w:rsidP="00262FDC">
            <w:pPr>
              <w:spacing w:before="20" w:after="20"/>
              <w:ind w:left="97"/>
              <w:jc w:val="left"/>
              <w:rPr>
                <w:bCs/>
                <w:sz w:val="16"/>
                <w:szCs w:val="16"/>
              </w:rPr>
            </w:pPr>
            <w:r w:rsidRPr="00F87E34">
              <w:rPr>
                <w:bCs/>
                <w:sz w:val="16"/>
                <w:szCs w:val="16"/>
              </w:rPr>
              <w:t>Puebla</w:t>
            </w:r>
          </w:p>
        </w:tc>
        <w:tc>
          <w:tcPr>
            <w:tcW w:w="1241" w:type="dxa"/>
            <w:tcBorders>
              <w:top w:val="nil"/>
              <w:left w:val="single" w:sz="4" w:space="0" w:color="404040"/>
              <w:bottom w:val="nil"/>
              <w:right w:val="nil"/>
            </w:tcBorders>
            <w:shd w:val="clear" w:color="auto" w:fill="auto"/>
            <w:noWrap/>
            <w:vAlign w:val="center"/>
          </w:tcPr>
          <w:p w14:paraId="29B67372" w14:textId="11AFF0C0" w:rsidR="00262FDC" w:rsidRPr="000402DA" w:rsidRDefault="00262FDC" w:rsidP="00262FDC">
            <w:pPr>
              <w:tabs>
                <w:tab w:val="decimal" w:pos="564"/>
              </w:tabs>
              <w:jc w:val="left"/>
              <w:rPr>
                <w:sz w:val="16"/>
                <w:szCs w:val="16"/>
              </w:rPr>
            </w:pPr>
            <w:r>
              <w:rPr>
                <w:color w:val="000000"/>
                <w:sz w:val="16"/>
                <w:szCs w:val="16"/>
              </w:rPr>
              <w:t>3.5</w:t>
            </w:r>
          </w:p>
        </w:tc>
        <w:tc>
          <w:tcPr>
            <w:tcW w:w="1161" w:type="dxa"/>
            <w:tcBorders>
              <w:top w:val="nil"/>
              <w:left w:val="nil"/>
              <w:bottom w:val="nil"/>
              <w:right w:val="nil"/>
            </w:tcBorders>
            <w:shd w:val="clear" w:color="auto" w:fill="auto"/>
            <w:noWrap/>
            <w:vAlign w:val="center"/>
          </w:tcPr>
          <w:p w14:paraId="5777B38E" w14:textId="7910E07F" w:rsidR="00262FDC" w:rsidRPr="000402DA" w:rsidRDefault="00262FDC" w:rsidP="00262FDC">
            <w:pPr>
              <w:tabs>
                <w:tab w:val="decimal" w:pos="564"/>
              </w:tabs>
              <w:jc w:val="left"/>
              <w:rPr>
                <w:sz w:val="16"/>
                <w:szCs w:val="16"/>
              </w:rPr>
            </w:pPr>
            <w:r>
              <w:rPr>
                <w:color w:val="000000"/>
                <w:sz w:val="16"/>
                <w:szCs w:val="16"/>
              </w:rPr>
              <w:t>2.2</w:t>
            </w:r>
          </w:p>
        </w:tc>
        <w:tc>
          <w:tcPr>
            <w:tcW w:w="1240" w:type="dxa"/>
            <w:tcBorders>
              <w:top w:val="nil"/>
              <w:left w:val="nil"/>
              <w:bottom w:val="nil"/>
              <w:right w:val="nil"/>
            </w:tcBorders>
            <w:shd w:val="clear" w:color="auto" w:fill="auto"/>
            <w:noWrap/>
            <w:vAlign w:val="center"/>
          </w:tcPr>
          <w:p w14:paraId="263031F1" w14:textId="5A646529" w:rsidR="00262FDC" w:rsidRPr="000402DA" w:rsidRDefault="00262FDC" w:rsidP="00262FDC">
            <w:pPr>
              <w:tabs>
                <w:tab w:val="decimal" w:pos="626"/>
              </w:tabs>
              <w:jc w:val="left"/>
              <w:rPr>
                <w:sz w:val="16"/>
                <w:szCs w:val="16"/>
              </w:rPr>
            </w:pPr>
            <w:r>
              <w:rPr>
                <w:color w:val="000000"/>
                <w:sz w:val="16"/>
                <w:szCs w:val="16"/>
              </w:rPr>
              <w:t>6.1</w:t>
            </w:r>
          </w:p>
        </w:tc>
        <w:tc>
          <w:tcPr>
            <w:tcW w:w="1318" w:type="dxa"/>
            <w:tcBorders>
              <w:top w:val="nil"/>
              <w:left w:val="nil"/>
              <w:bottom w:val="nil"/>
              <w:right w:val="nil"/>
            </w:tcBorders>
            <w:shd w:val="clear" w:color="auto" w:fill="auto"/>
            <w:noWrap/>
            <w:vAlign w:val="center"/>
          </w:tcPr>
          <w:p w14:paraId="21F8BED9" w14:textId="05A46E7A" w:rsidR="00262FDC" w:rsidRPr="000402DA" w:rsidRDefault="00262FDC" w:rsidP="00262FDC">
            <w:pPr>
              <w:tabs>
                <w:tab w:val="decimal" w:pos="564"/>
              </w:tabs>
              <w:jc w:val="left"/>
              <w:rPr>
                <w:sz w:val="16"/>
                <w:szCs w:val="16"/>
              </w:rPr>
            </w:pPr>
            <w:r>
              <w:rPr>
                <w:color w:val="000000"/>
                <w:sz w:val="16"/>
                <w:szCs w:val="16"/>
              </w:rPr>
              <w:t>1.0</w:t>
            </w:r>
          </w:p>
        </w:tc>
        <w:tc>
          <w:tcPr>
            <w:tcW w:w="1162" w:type="dxa"/>
            <w:tcBorders>
              <w:top w:val="nil"/>
              <w:left w:val="nil"/>
              <w:bottom w:val="nil"/>
              <w:right w:val="nil"/>
            </w:tcBorders>
            <w:shd w:val="clear" w:color="auto" w:fill="auto"/>
            <w:noWrap/>
            <w:vAlign w:val="center"/>
          </w:tcPr>
          <w:p w14:paraId="5EBE4B92" w14:textId="7332D9F6" w:rsidR="00262FDC" w:rsidRPr="000402DA" w:rsidRDefault="00262FDC" w:rsidP="00262FDC">
            <w:pPr>
              <w:tabs>
                <w:tab w:val="decimal" w:pos="539"/>
              </w:tabs>
              <w:jc w:val="left"/>
              <w:rPr>
                <w:sz w:val="16"/>
                <w:szCs w:val="16"/>
              </w:rPr>
            </w:pPr>
            <w:r>
              <w:rPr>
                <w:color w:val="000000"/>
                <w:sz w:val="16"/>
                <w:szCs w:val="16"/>
              </w:rPr>
              <w:t>0.6</w:t>
            </w:r>
          </w:p>
        </w:tc>
        <w:tc>
          <w:tcPr>
            <w:tcW w:w="1161" w:type="dxa"/>
            <w:tcBorders>
              <w:top w:val="nil"/>
              <w:left w:val="nil"/>
              <w:bottom w:val="nil"/>
              <w:right w:val="single" w:sz="6" w:space="0" w:color="404040"/>
            </w:tcBorders>
            <w:shd w:val="clear" w:color="auto" w:fill="auto"/>
            <w:noWrap/>
            <w:vAlign w:val="center"/>
          </w:tcPr>
          <w:p w14:paraId="4565F77B" w14:textId="44F91657" w:rsidR="00262FDC" w:rsidRPr="000402DA" w:rsidRDefault="00262FDC" w:rsidP="00262FDC">
            <w:pPr>
              <w:tabs>
                <w:tab w:val="decimal" w:pos="589"/>
              </w:tabs>
              <w:jc w:val="left"/>
              <w:rPr>
                <w:sz w:val="16"/>
                <w:szCs w:val="16"/>
              </w:rPr>
            </w:pPr>
            <w:r>
              <w:rPr>
                <w:color w:val="000000"/>
                <w:sz w:val="16"/>
                <w:szCs w:val="16"/>
              </w:rPr>
              <w:t>10.8</w:t>
            </w:r>
          </w:p>
        </w:tc>
      </w:tr>
      <w:tr w:rsidR="00262FDC" w:rsidRPr="00F87E34" w14:paraId="5B4D207B" w14:textId="77777777" w:rsidTr="003F0296">
        <w:trPr>
          <w:trHeight w:val="227"/>
          <w:jc w:val="center"/>
        </w:trPr>
        <w:tc>
          <w:tcPr>
            <w:tcW w:w="2675" w:type="dxa"/>
            <w:tcBorders>
              <w:top w:val="nil"/>
              <w:left w:val="single" w:sz="6" w:space="0" w:color="404040"/>
              <w:bottom w:val="nil"/>
              <w:right w:val="single" w:sz="4" w:space="0" w:color="404040"/>
            </w:tcBorders>
            <w:shd w:val="clear" w:color="auto" w:fill="auto"/>
            <w:noWrap/>
            <w:vAlign w:val="center"/>
          </w:tcPr>
          <w:p w14:paraId="27729F09" w14:textId="77777777" w:rsidR="00262FDC" w:rsidRPr="00F87E34" w:rsidRDefault="00262FDC" w:rsidP="00262FDC">
            <w:pPr>
              <w:spacing w:before="20" w:after="20"/>
              <w:ind w:left="97"/>
              <w:jc w:val="left"/>
              <w:rPr>
                <w:bCs/>
                <w:sz w:val="16"/>
                <w:szCs w:val="16"/>
              </w:rPr>
            </w:pPr>
            <w:r w:rsidRPr="00F87E34">
              <w:rPr>
                <w:bCs/>
                <w:sz w:val="16"/>
                <w:szCs w:val="16"/>
              </w:rPr>
              <w:t>Querétaro</w:t>
            </w:r>
          </w:p>
        </w:tc>
        <w:tc>
          <w:tcPr>
            <w:tcW w:w="1241" w:type="dxa"/>
            <w:tcBorders>
              <w:top w:val="nil"/>
              <w:left w:val="single" w:sz="4" w:space="0" w:color="404040"/>
              <w:bottom w:val="nil"/>
              <w:right w:val="nil"/>
            </w:tcBorders>
            <w:shd w:val="clear" w:color="auto" w:fill="auto"/>
            <w:noWrap/>
            <w:vAlign w:val="center"/>
          </w:tcPr>
          <w:p w14:paraId="734BDE94" w14:textId="3907445A" w:rsidR="00262FDC" w:rsidRPr="000402DA" w:rsidRDefault="00262FDC" w:rsidP="00262FDC">
            <w:pPr>
              <w:tabs>
                <w:tab w:val="decimal" w:pos="564"/>
              </w:tabs>
              <w:jc w:val="left"/>
              <w:rPr>
                <w:sz w:val="16"/>
                <w:szCs w:val="16"/>
              </w:rPr>
            </w:pPr>
            <w:r>
              <w:rPr>
                <w:color w:val="000000"/>
                <w:sz w:val="16"/>
                <w:szCs w:val="16"/>
              </w:rPr>
              <w:t>7.2</w:t>
            </w:r>
          </w:p>
        </w:tc>
        <w:tc>
          <w:tcPr>
            <w:tcW w:w="1161" w:type="dxa"/>
            <w:tcBorders>
              <w:top w:val="nil"/>
              <w:left w:val="nil"/>
              <w:bottom w:val="nil"/>
              <w:right w:val="nil"/>
            </w:tcBorders>
            <w:shd w:val="clear" w:color="auto" w:fill="auto"/>
            <w:noWrap/>
            <w:vAlign w:val="center"/>
          </w:tcPr>
          <w:p w14:paraId="40A6CA74" w14:textId="3BF4A03A" w:rsidR="00262FDC" w:rsidRPr="000402DA" w:rsidRDefault="00262FDC" w:rsidP="00262FDC">
            <w:pPr>
              <w:tabs>
                <w:tab w:val="decimal" w:pos="564"/>
              </w:tabs>
              <w:jc w:val="left"/>
              <w:rPr>
                <w:sz w:val="16"/>
                <w:szCs w:val="16"/>
              </w:rPr>
            </w:pPr>
            <w:r>
              <w:rPr>
                <w:color w:val="000000"/>
                <w:sz w:val="16"/>
                <w:szCs w:val="16"/>
              </w:rPr>
              <w:t>3.0</w:t>
            </w:r>
          </w:p>
        </w:tc>
        <w:tc>
          <w:tcPr>
            <w:tcW w:w="1240" w:type="dxa"/>
            <w:tcBorders>
              <w:top w:val="nil"/>
              <w:left w:val="nil"/>
              <w:bottom w:val="nil"/>
              <w:right w:val="nil"/>
            </w:tcBorders>
            <w:shd w:val="clear" w:color="auto" w:fill="auto"/>
            <w:noWrap/>
            <w:vAlign w:val="center"/>
          </w:tcPr>
          <w:p w14:paraId="59B19330" w14:textId="3179E0C6" w:rsidR="00262FDC" w:rsidRPr="000402DA" w:rsidRDefault="00262FDC" w:rsidP="00262FDC">
            <w:pPr>
              <w:tabs>
                <w:tab w:val="decimal" w:pos="626"/>
              </w:tabs>
              <w:jc w:val="left"/>
              <w:rPr>
                <w:sz w:val="16"/>
                <w:szCs w:val="16"/>
              </w:rPr>
            </w:pPr>
            <w:r>
              <w:rPr>
                <w:color w:val="000000"/>
                <w:sz w:val="16"/>
                <w:szCs w:val="16"/>
              </w:rPr>
              <w:t>5.5</w:t>
            </w:r>
          </w:p>
        </w:tc>
        <w:tc>
          <w:tcPr>
            <w:tcW w:w="1318" w:type="dxa"/>
            <w:tcBorders>
              <w:top w:val="nil"/>
              <w:left w:val="nil"/>
              <w:bottom w:val="nil"/>
              <w:right w:val="nil"/>
            </w:tcBorders>
            <w:shd w:val="clear" w:color="auto" w:fill="auto"/>
            <w:noWrap/>
            <w:vAlign w:val="center"/>
          </w:tcPr>
          <w:p w14:paraId="0C688A7B" w14:textId="3F3BEFC1" w:rsidR="00262FDC" w:rsidRPr="000402DA" w:rsidRDefault="00262FDC" w:rsidP="00262FDC">
            <w:pPr>
              <w:tabs>
                <w:tab w:val="decimal" w:pos="564"/>
              </w:tabs>
              <w:jc w:val="left"/>
              <w:rPr>
                <w:sz w:val="16"/>
                <w:szCs w:val="16"/>
              </w:rPr>
            </w:pPr>
            <w:r>
              <w:rPr>
                <w:color w:val="000000"/>
                <w:sz w:val="16"/>
                <w:szCs w:val="16"/>
              </w:rPr>
              <w:t>0.8</w:t>
            </w:r>
          </w:p>
        </w:tc>
        <w:tc>
          <w:tcPr>
            <w:tcW w:w="1162" w:type="dxa"/>
            <w:tcBorders>
              <w:top w:val="nil"/>
              <w:left w:val="nil"/>
              <w:bottom w:val="nil"/>
              <w:right w:val="nil"/>
            </w:tcBorders>
            <w:shd w:val="clear" w:color="auto" w:fill="auto"/>
            <w:noWrap/>
            <w:vAlign w:val="center"/>
          </w:tcPr>
          <w:p w14:paraId="219555B2" w14:textId="6065F99C" w:rsidR="00262FDC" w:rsidRPr="000402DA" w:rsidRDefault="00262FDC" w:rsidP="00262FDC">
            <w:pPr>
              <w:tabs>
                <w:tab w:val="decimal" w:pos="539"/>
              </w:tabs>
              <w:jc w:val="left"/>
              <w:rPr>
                <w:sz w:val="16"/>
                <w:szCs w:val="16"/>
              </w:rPr>
            </w:pPr>
            <w:r>
              <w:rPr>
                <w:color w:val="000000"/>
                <w:sz w:val="16"/>
                <w:szCs w:val="16"/>
              </w:rPr>
              <w:t>0.2</w:t>
            </w:r>
          </w:p>
        </w:tc>
        <w:tc>
          <w:tcPr>
            <w:tcW w:w="1161" w:type="dxa"/>
            <w:tcBorders>
              <w:top w:val="nil"/>
              <w:left w:val="nil"/>
              <w:bottom w:val="nil"/>
              <w:right w:val="single" w:sz="6" w:space="0" w:color="404040"/>
            </w:tcBorders>
            <w:shd w:val="clear" w:color="auto" w:fill="auto"/>
            <w:noWrap/>
            <w:vAlign w:val="center"/>
          </w:tcPr>
          <w:p w14:paraId="79054C4D" w14:textId="17B4074D" w:rsidR="00262FDC" w:rsidRPr="000402DA" w:rsidRDefault="00262FDC" w:rsidP="00262FDC">
            <w:pPr>
              <w:tabs>
                <w:tab w:val="decimal" w:pos="589"/>
              </w:tabs>
              <w:jc w:val="left"/>
              <w:rPr>
                <w:sz w:val="16"/>
                <w:szCs w:val="16"/>
              </w:rPr>
            </w:pPr>
            <w:r>
              <w:rPr>
                <w:color w:val="000000"/>
                <w:sz w:val="16"/>
                <w:szCs w:val="16"/>
              </w:rPr>
              <w:t>10.8</w:t>
            </w:r>
          </w:p>
        </w:tc>
      </w:tr>
      <w:tr w:rsidR="00262FDC" w:rsidRPr="00F87E34" w14:paraId="39EBF2C1" w14:textId="77777777" w:rsidTr="003F0296">
        <w:trPr>
          <w:trHeight w:val="227"/>
          <w:jc w:val="center"/>
        </w:trPr>
        <w:tc>
          <w:tcPr>
            <w:tcW w:w="2675" w:type="dxa"/>
            <w:tcBorders>
              <w:top w:val="nil"/>
              <w:left w:val="single" w:sz="6" w:space="0" w:color="404040"/>
              <w:bottom w:val="nil"/>
              <w:right w:val="single" w:sz="4" w:space="0" w:color="404040"/>
            </w:tcBorders>
            <w:shd w:val="clear" w:color="auto" w:fill="auto"/>
            <w:noWrap/>
            <w:vAlign w:val="center"/>
          </w:tcPr>
          <w:p w14:paraId="38E3E7ED" w14:textId="77777777" w:rsidR="00262FDC" w:rsidRPr="00F87E34" w:rsidRDefault="00262FDC" w:rsidP="00262FDC">
            <w:pPr>
              <w:spacing w:before="20" w:after="20"/>
              <w:ind w:left="97"/>
              <w:jc w:val="left"/>
              <w:rPr>
                <w:bCs/>
                <w:sz w:val="16"/>
                <w:szCs w:val="16"/>
              </w:rPr>
            </w:pPr>
            <w:r w:rsidRPr="00F87E34">
              <w:rPr>
                <w:bCs/>
                <w:sz w:val="16"/>
                <w:szCs w:val="16"/>
              </w:rPr>
              <w:t>Quintana Roo</w:t>
            </w:r>
          </w:p>
        </w:tc>
        <w:tc>
          <w:tcPr>
            <w:tcW w:w="1241" w:type="dxa"/>
            <w:tcBorders>
              <w:top w:val="nil"/>
              <w:left w:val="single" w:sz="4" w:space="0" w:color="404040"/>
              <w:bottom w:val="nil"/>
              <w:right w:val="nil"/>
            </w:tcBorders>
            <w:shd w:val="clear" w:color="auto" w:fill="auto"/>
            <w:noWrap/>
            <w:vAlign w:val="center"/>
          </w:tcPr>
          <w:p w14:paraId="1A452F64" w14:textId="3C96A64D" w:rsidR="00262FDC" w:rsidRPr="000402DA" w:rsidRDefault="00262FDC" w:rsidP="00262FDC">
            <w:pPr>
              <w:tabs>
                <w:tab w:val="decimal" w:pos="564"/>
              </w:tabs>
              <w:jc w:val="left"/>
              <w:rPr>
                <w:sz w:val="16"/>
                <w:szCs w:val="16"/>
              </w:rPr>
            </w:pPr>
            <w:r>
              <w:rPr>
                <w:color w:val="000000"/>
                <w:sz w:val="16"/>
                <w:szCs w:val="16"/>
              </w:rPr>
              <w:t>5.3</w:t>
            </w:r>
          </w:p>
        </w:tc>
        <w:tc>
          <w:tcPr>
            <w:tcW w:w="1161" w:type="dxa"/>
            <w:tcBorders>
              <w:top w:val="nil"/>
              <w:left w:val="nil"/>
              <w:bottom w:val="nil"/>
              <w:right w:val="nil"/>
            </w:tcBorders>
            <w:shd w:val="clear" w:color="auto" w:fill="auto"/>
            <w:noWrap/>
            <w:vAlign w:val="center"/>
          </w:tcPr>
          <w:p w14:paraId="6B37BCF5" w14:textId="32FB537E" w:rsidR="00262FDC" w:rsidRPr="000402DA" w:rsidRDefault="00262FDC" w:rsidP="00262FDC">
            <w:pPr>
              <w:tabs>
                <w:tab w:val="decimal" w:pos="564"/>
              </w:tabs>
              <w:jc w:val="left"/>
              <w:rPr>
                <w:sz w:val="16"/>
                <w:szCs w:val="16"/>
              </w:rPr>
            </w:pPr>
            <w:r>
              <w:rPr>
                <w:color w:val="000000"/>
                <w:sz w:val="16"/>
                <w:szCs w:val="16"/>
              </w:rPr>
              <w:t>1.5</w:t>
            </w:r>
          </w:p>
        </w:tc>
        <w:tc>
          <w:tcPr>
            <w:tcW w:w="1240" w:type="dxa"/>
            <w:tcBorders>
              <w:top w:val="nil"/>
              <w:left w:val="nil"/>
              <w:bottom w:val="nil"/>
              <w:right w:val="nil"/>
            </w:tcBorders>
            <w:shd w:val="clear" w:color="auto" w:fill="auto"/>
            <w:noWrap/>
            <w:vAlign w:val="center"/>
          </w:tcPr>
          <w:p w14:paraId="5458F498" w14:textId="27C423DA" w:rsidR="00262FDC" w:rsidRPr="000402DA" w:rsidRDefault="00262FDC" w:rsidP="00262FDC">
            <w:pPr>
              <w:tabs>
                <w:tab w:val="decimal" w:pos="626"/>
              </w:tabs>
              <w:jc w:val="left"/>
              <w:rPr>
                <w:sz w:val="16"/>
                <w:szCs w:val="16"/>
              </w:rPr>
            </w:pPr>
            <w:r>
              <w:rPr>
                <w:color w:val="000000"/>
                <w:sz w:val="16"/>
                <w:szCs w:val="16"/>
              </w:rPr>
              <w:t>7.8</w:t>
            </w:r>
          </w:p>
        </w:tc>
        <w:tc>
          <w:tcPr>
            <w:tcW w:w="1318" w:type="dxa"/>
            <w:tcBorders>
              <w:top w:val="nil"/>
              <w:left w:val="nil"/>
              <w:bottom w:val="nil"/>
              <w:right w:val="nil"/>
            </w:tcBorders>
            <w:shd w:val="clear" w:color="auto" w:fill="auto"/>
            <w:noWrap/>
            <w:vAlign w:val="center"/>
          </w:tcPr>
          <w:p w14:paraId="73AC5324" w14:textId="499E7F89" w:rsidR="00262FDC" w:rsidRPr="000402DA" w:rsidRDefault="00262FDC" w:rsidP="00262FDC">
            <w:pPr>
              <w:tabs>
                <w:tab w:val="decimal" w:pos="564"/>
              </w:tabs>
              <w:jc w:val="left"/>
              <w:rPr>
                <w:sz w:val="16"/>
                <w:szCs w:val="16"/>
              </w:rPr>
            </w:pPr>
            <w:r>
              <w:rPr>
                <w:color w:val="000000"/>
                <w:sz w:val="16"/>
                <w:szCs w:val="16"/>
              </w:rPr>
              <w:t>2.7</w:t>
            </w:r>
          </w:p>
        </w:tc>
        <w:tc>
          <w:tcPr>
            <w:tcW w:w="1162" w:type="dxa"/>
            <w:tcBorders>
              <w:top w:val="nil"/>
              <w:left w:val="nil"/>
              <w:bottom w:val="nil"/>
              <w:right w:val="nil"/>
            </w:tcBorders>
            <w:shd w:val="clear" w:color="auto" w:fill="auto"/>
            <w:noWrap/>
            <w:vAlign w:val="center"/>
          </w:tcPr>
          <w:p w14:paraId="34FE89CF" w14:textId="7EFB8E07" w:rsidR="00262FDC" w:rsidRPr="000402DA" w:rsidRDefault="00262FDC" w:rsidP="00262FDC">
            <w:pPr>
              <w:tabs>
                <w:tab w:val="decimal" w:pos="539"/>
              </w:tabs>
              <w:jc w:val="left"/>
              <w:rPr>
                <w:sz w:val="16"/>
                <w:szCs w:val="16"/>
              </w:rPr>
            </w:pPr>
            <w:r>
              <w:rPr>
                <w:color w:val="000000"/>
                <w:sz w:val="16"/>
                <w:szCs w:val="16"/>
              </w:rPr>
              <w:t>0.7</w:t>
            </w:r>
          </w:p>
        </w:tc>
        <w:tc>
          <w:tcPr>
            <w:tcW w:w="1161" w:type="dxa"/>
            <w:tcBorders>
              <w:top w:val="nil"/>
              <w:left w:val="nil"/>
              <w:bottom w:val="nil"/>
              <w:right w:val="single" w:sz="6" w:space="0" w:color="404040"/>
            </w:tcBorders>
            <w:shd w:val="clear" w:color="auto" w:fill="auto"/>
            <w:noWrap/>
            <w:vAlign w:val="center"/>
          </w:tcPr>
          <w:p w14:paraId="23F99C3F" w14:textId="613398D7" w:rsidR="00262FDC" w:rsidRPr="000402DA" w:rsidRDefault="00262FDC" w:rsidP="00262FDC">
            <w:pPr>
              <w:tabs>
                <w:tab w:val="decimal" w:pos="589"/>
              </w:tabs>
              <w:jc w:val="left"/>
              <w:rPr>
                <w:sz w:val="16"/>
                <w:szCs w:val="16"/>
              </w:rPr>
            </w:pPr>
            <w:r>
              <w:rPr>
                <w:color w:val="000000"/>
                <w:sz w:val="16"/>
                <w:szCs w:val="16"/>
              </w:rPr>
              <w:t>12.0</w:t>
            </w:r>
          </w:p>
        </w:tc>
      </w:tr>
      <w:tr w:rsidR="00262FDC" w:rsidRPr="00F87E34" w14:paraId="350C4C31" w14:textId="77777777" w:rsidTr="003F0296">
        <w:trPr>
          <w:trHeight w:val="227"/>
          <w:jc w:val="center"/>
        </w:trPr>
        <w:tc>
          <w:tcPr>
            <w:tcW w:w="2675" w:type="dxa"/>
            <w:tcBorders>
              <w:top w:val="nil"/>
              <w:left w:val="single" w:sz="6" w:space="0" w:color="404040"/>
              <w:bottom w:val="nil"/>
              <w:right w:val="single" w:sz="4" w:space="0" w:color="404040"/>
            </w:tcBorders>
            <w:shd w:val="clear" w:color="auto" w:fill="auto"/>
            <w:noWrap/>
            <w:vAlign w:val="center"/>
          </w:tcPr>
          <w:p w14:paraId="2BCCB619" w14:textId="77777777" w:rsidR="00262FDC" w:rsidRPr="00F87E34" w:rsidRDefault="00262FDC" w:rsidP="00262FDC">
            <w:pPr>
              <w:spacing w:before="20" w:after="20"/>
              <w:ind w:left="97"/>
              <w:jc w:val="left"/>
              <w:rPr>
                <w:bCs/>
                <w:sz w:val="16"/>
                <w:szCs w:val="16"/>
              </w:rPr>
            </w:pPr>
            <w:r w:rsidRPr="00F87E34">
              <w:rPr>
                <w:bCs/>
                <w:sz w:val="16"/>
                <w:szCs w:val="16"/>
              </w:rPr>
              <w:t>San Luis Potosí</w:t>
            </w:r>
          </w:p>
        </w:tc>
        <w:tc>
          <w:tcPr>
            <w:tcW w:w="1241" w:type="dxa"/>
            <w:tcBorders>
              <w:top w:val="nil"/>
              <w:left w:val="single" w:sz="4" w:space="0" w:color="404040"/>
              <w:bottom w:val="nil"/>
              <w:right w:val="nil"/>
            </w:tcBorders>
            <w:shd w:val="clear" w:color="auto" w:fill="auto"/>
            <w:noWrap/>
            <w:vAlign w:val="center"/>
          </w:tcPr>
          <w:p w14:paraId="6772AAB5" w14:textId="5F18035B" w:rsidR="00262FDC" w:rsidRPr="000402DA" w:rsidRDefault="00262FDC" w:rsidP="00262FDC">
            <w:pPr>
              <w:tabs>
                <w:tab w:val="decimal" w:pos="564"/>
              </w:tabs>
              <w:jc w:val="left"/>
              <w:rPr>
                <w:sz w:val="16"/>
                <w:szCs w:val="16"/>
              </w:rPr>
            </w:pPr>
            <w:r>
              <w:rPr>
                <w:color w:val="000000"/>
                <w:sz w:val="16"/>
                <w:szCs w:val="16"/>
              </w:rPr>
              <w:t>4.9</w:t>
            </w:r>
          </w:p>
        </w:tc>
        <w:tc>
          <w:tcPr>
            <w:tcW w:w="1161" w:type="dxa"/>
            <w:tcBorders>
              <w:top w:val="nil"/>
              <w:left w:val="nil"/>
              <w:bottom w:val="nil"/>
              <w:right w:val="nil"/>
            </w:tcBorders>
            <w:shd w:val="clear" w:color="auto" w:fill="auto"/>
            <w:noWrap/>
            <w:vAlign w:val="center"/>
          </w:tcPr>
          <w:p w14:paraId="350BC27D" w14:textId="05025C50" w:rsidR="00262FDC" w:rsidRPr="000402DA" w:rsidRDefault="00262FDC" w:rsidP="00262FDC">
            <w:pPr>
              <w:tabs>
                <w:tab w:val="decimal" w:pos="564"/>
              </w:tabs>
              <w:jc w:val="left"/>
              <w:rPr>
                <w:sz w:val="16"/>
                <w:szCs w:val="16"/>
              </w:rPr>
            </w:pPr>
            <w:r>
              <w:rPr>
                <w:color w:val="000000"/>
                <w:sz w:val="16"/>
                <w:szCs w:val="16"/>
              </w:rPr>
              <w:t>3.1</w:t>
            </w:r>
          </w:p>
        </w:tc>
        <w:tc>
          <w:tcPr>
            <w:tcW w:w="1240" w:type="dxa"/>
            <w:tcBorders>
              <w:top w:val="nil"/>
              <w:left w:val="nil"/>
              <w:bottom w:val="nil"/>
              <w:right w:val="nil"/>
            </w:tcBorders>
            <w:shd w:val="clear" w:color="auto" w:fill="auto"/>
            <w:noWrap/>
            <w:vAlign w:val="center"/>
          </w:tcPr>
          <w:p w14:paraId="1F30FBFF" w14:textId="708F0E51" w:rsidR="00262FDC" w:rsidRPr="000402DA" w:rsidRDefault="00262FDC" w:rsidP="00262FDC">
            <w:pPr>
              <w:tabs>
                <w:tab w:val="decimal" w:pos="626"/>
              </w:tabs>
              <w:jc w:val="left"/>
              <w:rPr>
                <w:sz w:val="16"/>
                <w:szCs w:val="16"/>
              </w:rPr>
            </w:pPr>
            <w:r>
              <w:rPr>
                <w:color w:val="000000"/>
                <w:sz w:val="16"/>
                <w:szCs w:val="16"/>
              </w:rPr>
              <w:t>5.4</w:t>
            </w:r>
          </w:p>
        </w:tc>
        <w:tc>
          <w:tcPr>
            <w:tcW w:w="1318" w:type="dxa"/>
            <w:tcBorders>
              <w:top w:val="nil"/>
              <w:left w:val="nil"/>
              <w:bottom w:val="nil"/>
              <w:right w:val="nil"/>
            </w:tcBorders>
            <w:shd w:val="clear" w:color="auto" w:fill="auto"/>
            <w:noWrap/>
            <w:vAlign w:val="center"/>
          </w:tcPr>
          <w:p w14:paraId="35401D29" w14:textId="7F03D5B9" w:rsidR="00262FDC" w:rsidRPr="000402DA" w:rsidRDefault="00262FDC" w:rsidP="00262FDC">
            <w:pPr>
              <w:tabs>
                <w:tab w:val="decimal" w:pos="564"/>
              </w:tabs>
              <w:jc w:val="left"/>
              <w:rPr>
                <w:sz w:val="16"/>
                <w:szCs w:val="16"/>
              </w:rPr>
            </w:pPr>
            <w:r>
              <w:rPr>
                <w:color w:val="000000"/>
                <w:sz w:val="16"/>
                <w:szCs w:val="16"/>
              </w:rPr>
              <w:t>0.6</w:t>
            </w:r>
          </w:p>
        </w:tc>
        <w:tc>
          <w:tcPr>
            <w:tcW w:w="1162" w:type="dxa"/>
            <w:tcBorders>
              <w:top w:val="nil"/>
              <w:left w:val="nil"/>
              <w:bottom w:val="nil"/>
              <w:right w:val="nil"/>
            </w:tcBorders>
            <w:shd w:val="clear" w:color="auto" w:fill="auto"/>
            <w:noWrap/>
            <w:vAlign w:val="center"/>
          </w:tcPr>
          <w:p w14:paraId="77AB7838" w14:textId="7FC60743" w:rsidR="00262FDC" w:rsidRPr="000402DA" w:rsidRDefault="00262FDC" w:rsidP="00262FDC">
            <w:pPr>
              <w:tabs>
                <w:tab w:val="decimal" w:pos="539"/>
              </w:tabs>
              <w:jc w:val="left"/>
              <w:rPr>
                <w:sz w:val="16"/>
                <w:szCs w:val="16"/>
              </w:rPr>
            </w:pPr>
            <w:r>
              <w:rPr>
                <w:color w:val="000000"/>
                <w:sz w:val="16"/>
                <w:szCs w:val="16"/>
              </w:rPr>
              <w:t>0.4</w:t>
            </w:r>
          </w:p>
        </w:tc>
        <w:tc>
          <w:tcPr>
            <w:tcW w:w="1161" w:type="dxa"/>
            <w:tcBorders>
              <w:top w:val="nil"/>
              <w:left w:val="nil"/>
              <w:bottom w:val="nil"/>
              <w:right w:val="single" w:sz="6" w:space="0" w:color="404040"/>
            </w:tcBorders>
            <w:shd w:val="clear" w:color="auto" w:fill="auto"/>
            <w:noWrap/>
            <w:vAlign w:val="center"/>
          </w:tcPr>
          <w:p w14:paraId="083003BE" w14:textId="1BAE7250" w:rsidR="00262FDC" w:rsidRPr="000402DA" w:rsidRDefault="00262FDC" w:rsidP="00262FDC">
            <w:pPr>
              <w:tabs>
                <w:tab w:val="decimal" w:pos="589"/>
              </w:tabs>
              <w:jc w:val="left"/>
              <w:rPr>
                <w:sz w:val="16"/>
                <w:szCs w:val="16"/>
              </w:rPr>
            </w:pPr>
            <w:r>
              <w:rPr>
                <w:color w:val="000000"/>
                <w:sz w:val="16"/>
                <w:szCs w:val="16"/>
              </w:rPr>
              <w:t>10.9</w:t>
            </w:r>
          </w:p>
        </w:tc>
      </w:tr>
      <w:tr w:rsidR="00262FDC" w:rsidRPr="00F87E34" w14:paraId="254D5879" w14:textId="77777777" w:rsidTr="003F0296">
        <w:trPr>
          <w:trHeight w:val="227"/>
          <w:jc w:val="center"/>
        </w:trPr>
        <w:tc>
          <w:tcPr>
            <w:tcW w:w="2675" w:type="dxa"/>
            <w:tcBorders>
              <w:top w:val="nil"/>
              <w:left w:val="single" w:sz="6" w:space="0" w:color="404040"/>
              <w:bottom w:val="nil"/>
              <w:right w:val="single" w:sz="4" w:space="0" w:color="404040"/>
            </w:tcBorders>
            <w:shd w:val="clear" w:color="auto" w:fill="auto"/>
            <w:noWrap/>
            <w:vAlign w:val="center"/>
          </w:tcPr>
          <w:p w14:paraId="33D3C82C" w14:textId="77777777" w:rsidR="00262FDC" w:rsidRPr="00F87E34" w:rsidRDefault="00262FDC" w:rsidP="00262FDC">
            <w:pPr>
              <w:spacing w:before="20" w:after="20"/>
              <w:ind w:left="97"/>
              <w:jc w:val="left"/>
              <w:rPr>
                <w:bCs/>
                <w:sz w:val="16"/>
                <w:szCs w:val="16"/>
              </w:rPr>
            </w:pPr>
            <w:r w:rsidRPr="00F87E34">
              <w:rPr>
                <w:bCs/>
                <w:sz w:val="16"/>
                <w:szCs w:val="16"/>
              </w:rPr>
              <w:t>Sinaloa</w:t>
            </w:r>
          </w:p>
        </w:tc>
        <w:tc>
          <w:tcPr>
            <w:tcW w:w="1241" w:type="dxa"/>
            <w:tcBorders>
              <w:top w:val="nil"/>
              <w:left w:val="single" w:sz="4" w:space="0" w:color="404040"/>
              <w:bottom w:val="nil"/>
              <w:right w:val="nil"/>
            </w:tcBorders>
            <w:shd w:val="clear" w:color="auto" w:fill="auto"/>
            <w:noWrap/>
            <w:vAlign w:val="center"/>
          </w:tcPr>
          <w:p w14:paraId="5EB307B0" w14:textId="1B3B089B" w:rsidR="00262FDC" w:rsidRPr="000402DA" w:rsidRDefault="00262FDC" w:rsidP="00262FDC">
            <w:pPr>
              <w:tabs>
                <w:tab w:val="decimal" w:pos="564"/>
              </w:tabs>
              <w:jc w:val="left"/>
              <w:rPr>
                <w:sz w:val="16"/>
                <w:szCs w:val="16"/>
              </w:rPr>
            </w:pPr>
            <w:r>
              <w:rPr>
                <w:color w:val="000000"/>
                <w:sz w:val="16"/>
                <w:szCs w:val="16"/>
              </w:rPr>
              <w:t>1.4</w:t>
            </w:r>
          </w:p>
        </w:tc>
        <w:tc>
          <w:tcPr>
            <w:tcW w:w="1161" w:type="dxa"/>
            <w:tcBorders>
              <w:top w:val="nil"/>
              <w:left w:val="nil"/>
              <w:bottom w:val="nil"/>
              <w:right w:val="nil"/>
            </w:tcBorders>
            <w:shd w:val="clear" w:color="auto" w:fill="auto"/>
            <w:noWrap/>
            <w:vAlign w:val="center"/>
          </w:tcPr>
          <w:p w14:paraId="153AE4A0" w14:textId="39FDB953" w:rsidR="00262FDC" w:rsidRPr="000402DA" w:rsidRDefault="00262FDC" w:rsidP="00262FDC">
            <w:pPr>
              <w:tabs>
                <w:tab w:val="decimal" w:pos="564"/>
              </w:tabs>
              <w:jc w:val="left"/>
              <w:rPr>
                <w:sz w:val="16"/>
                <w:szCs w:val="16"/>
              </w:rPr>
            </w:pPr>
            <w:r>
              <w:rPr>
                <w:color w:val="000000"/>
                <w:sz w:val="16"/>
                <w:szCs w:val="16"/>
              </w:rPr>
              <w:t>2.0</w:t>
            </w:r>
          </w:p>
        </w:tc>
        <w:tc>
          <w:tcPr>
            <w:tcW w:w="1240" w:type="dxa"/>
            <w:tcBorders>
              <w:top w:val="nil"/>
              <w:left w:val="nil"/>
              <w:bottom w:val="nil"/>
              <w:right w:val="nil"/>
            </w:tcBorders>
            <w:shd w:val="clear" w:color="auto" w:fill="auto"/>
            <w:noWrap/>
            <w:vAlign w:val="center"/>
          </w:tcPr>
          <w:p w14:paraId="0F618101" w14:textId="1123F491" w:rsidR="00262FDC" w:rsidRPr="000402DA" w:rsidRDefault="00262FDC" w:rsidP="00262FDC">
            <w:pPr>
              <w:tabs>
                <w:tab w:val="decimal" w:pos="626"/>
              </w:tabs>
              <w:jc w:val="left"/>
              <w:rPr>
                <w:sz w:val="16"/>
                <w:szCs w:val="16"/>
              </w:rPr>
            </w:pPr>
            <w:r>
              <w:rPr>
                <w:color w:val="000000"/>
                <w:sz w:val="16"/>
                <w:szCs w:val="16"/>
              </w:rPr>
              <w:t>6.4</w:t>
            </w:r>
          </w:p>
        </w:tc>
        <w:tc>
          <w:tcPr>
            <w:tcW w:w="1318" w:type="dxa"/>
            <w:tcBorders>
              <w:top w:val="nil"/>
              <w:left w:val="nil"/>
              <w:bottom w:val="nil"/>
              <w:right w:val="nil"/>
            </w:tcBorders>
            <w:shd w:val="clear" w:color="auto" w:fill="auto"/>
            <w:noWrap/>
            <w:vAlign w:val="center"/>
          </w:tcPr>
          <w:p w14:paraId="2A9EC3A7" w14:textId="3423D1BC" w:rsidR="00262FDC" w:rsidRPr="000402DA" w:rsidRDefault="00262FDC" w:rsidP="00262FDC">
            <w:pPr>
              <w:tabs>
                <w:tab w:val="decimal" w:pos="564"/>
              </w:tabs>
              <w:jc w:val="left"/>
              <w:rPr>
                <w:sz w:val="16"/>
                <w:szCs w:val="16"/>
              </w:rPr>
            </w:pPr>
            <w:r>
              <w:rPr>
                <w:color w:val="000000"/>
                <w:sz w:val="16"/>
                <w:szCs w:val="16"/>
              </w:rPr>
              <w:t>1.6</w:t>
            </w:r>
          </w:p>
        </w:tc>
        <w:tc>
          <w:tcPr>
            <w:tcW w:w="1162" w:type="dxa"/>
            <w:tcBorders>
              <w:top w:val="nil"/>
              <w:left w:val="nil"/>
              <w:bottom w:val="nil"/>
              <w:right w:val="nil"/>
            </w:tcBorders>
            <w:shd w:val="clear" w:color="auto" w:fill="auto"/>
            <w:noWrap/>
            <w:vAlign w:val="center"/>
          </w:tcPr>
          <w:p w14:paraId="27C4B1AA" w14:textId="5C894295" w:rsidR="00262FDC" w:rsidRPr="000402DA" w:rsidRDefault="00262FDC" w:rsidP="00262FDC">
            <w:pPr>
              <w:tabs>
                <w:tab w:val="decimal" w:pos="539"/>
              </w:tabs>
              <w:jc w:val="left"/>
              <w:rPr>
                <w:sz w:val="16"/>
                <w:szCs w:val="16"/>
              </w:rPr>
            </w:pPr>
            <w:r>
              <w:rPr>
                <w:color w:val="000000"/>
                <w:sz w:val="16"/>
                <w:szCs w:val="16"/>
              </w:rPr>
              <w:t>0.3</w:t>
            </w:r>
          </w:p>
        </w:tc>
        <w:tc>
          <w:tcPr>
            <w:tcW w:w="1161" w:type="dxa"/>
            <w:tcBorders>
              <w:top w:val="nil"/>
              <w:left w:val="nil"/>
              <w:bottom w:val="nil"/>
              <w:right w:val="single" w:sz="6" w:space="0" w:color="404040"/>
            </w:tcBorders>
            <w:shd w:val="clear" w:color="auto" w:fill="auto"/>
            <w:noWrap/>
            <w:vAlign w:val="center"/>
          </w:tcPr>
          <w:p w14:paraId="3FE091FC" w14:textId="6A62AF8F" w:rsidR="00262FDC" w:rsidRPr="000402DA" w:rsidRDefault="00262FDC" w:rsidP="00262FDC">
            <w:pPr>
              <w:tabs>
                <w:tab w:val="decimal" w:pos="589"/>
              </w:tabs>
              <w:jc w:val="left"/>
              <w:rPr>
                <w:sz w:val="16"/>
                <w:szCs w:val="16"/>
              </w:rPr>
            </w:pPr>
            <w:r>
              <w:rPr>
                <w:color w:val="000000"/>
                <w:sz w:val="16"/>
                <w:szCs w:val="16"/>
              </w:rPr>
              <w:t>11.1</w:t>
            </w:r>
          </w:p>
        </w:tc>
      </w:tr>
      <w:tr w:rsidR="00262FDC" w:rsidRPr="00F87E34" w14:paraId="580DD6AD" w14:textId="77777777" w:rsidTr="003F0296">
        <w:trPr>
          <w:trHeight w:val="227"/>
          <w:jc w:val="center"/>
        </w:trPr>
        <w:tc>
          <w:tcPr>
            <w:tcW w:w="2675" w:type="dxa"/>
            <w:tcBorders>
              <w:top w:val="nil"/>
              <w:left w:val="single" w:sz="6" w:space="0" w:color="404040"/>
              <w:bottom w:val="nil"/>
              <w:right w:val="single" w:sz="4" w:space="0" w:color="404040"/>
            </w:tcBorders>
            <w:shd w:val="clear" w:color="auto" w:fill="auto"/>
            <w:noWrap/>
            <w:vAlign w:val="center"/>
          </w:tcPr>
          <w:p w14:paraId="2347F153" w14:textId="77777777" w:rsidR="00262FDC" w:rsidRPr="00F87E34" w:rsidRDefault="00262FDC" w:rsidP="00262FDC">
            <w:pPr>
              <w:spacing w:before="20" w:after="20"/>
              <w:ind w:left="97"/>
              <w:jc w:val="left"/>
              <w:rPr>
                <w:bCs/>
                <w:sz w:val="16"/>
                <w:szCs w:val="16"/>
              </w:rPr>
            </w:pPr>
            <w:r w:rsidRPr="00F87E34">
              <w:rPr>
                <w:bCs/>
                <w:sz w:val="16"/>
                <w:szCs w:val="16"/>
              </w:rPr>
              <w:t>Sonora</w:t>
            </w:r>
          </w:p>
        </w:tc>
        <w:tc>
          <w:tcPr>
            <w:tcW w:w="1241" w:type="dxa"/>
            <w:tcBorders>
              <w:top w:val="nil"/>
              <w:left w:val="single" w:sz="4" w:space="0" w:color="404040"/>
              <w:bottom w:val="nil"/>
              <w:right w:val="nil"/>
            </w:tcBorders>
            <w:shd w:val="clear" w:color="auto" w:fill="auto"/>
            <w:noWrap/>
            <w:vAlign w:val="center"/>
          </w:tcPr>
          <w:p w14:paraId="1A01CF0D" w14:textId="1F8F109C" w:rsidR="00262FDC" w:rsidRPr="000402DA" w:rsidRDefault="00262FDC" w:rsidP="00262FDC">
            <w:pPr>
              <w:tabs>
                <w:tab w:val="decimal" w:pos="564"/>
              </w:tabs>
              <w:jc w:val="left"/>
              <w:rPr>
                <w:sz w:val="16"/>
                <w:szCs w:val="16"/>
              </w:rPr>
            </w:pPr>
            <w:r>
              <w:rPr>
                <w:color w:val="000000"/>
                <w:sz w:val="16"/>
                <w:szCs w:val="16"/>
              </w:rPr>
              <w:t>4.9</w:t>
            </w:r>
          </w:p>
        </w:tc>
        <w:tc>
          <w:tcPr>
            <w:tcW w:w="1161" w:type="dxa"/>
            <w:tcBorders>
              <w:top w:val="nil"/>
              <w:left w:val="nil"/>
              <w:bottom w:val="nil"/>
              <w:right w:val="nil"/>
            </w:tcBorders>
            <w:shd w:val="clear" w:color="auto" w:fill="auto"/>
            <w:noWrap/>
            <w:vAlign w:val="center"/>
          </w:tcPr>
          <w:p w14:paraId="5270EDA7" w14:textId="2A06E36F" w:rsidR="00262FDC" w:rsidRPr="000402DA" w:rsidRDefault="00262FDC" w:rsidP="00262FDC">
            <w:pPr>
              <w:tabs>
                <w:tab w:val="decimal" w:pos="564"/>
              </w:tabs>
              <w:jc w:val="left"/>
              <w:rPr>
                <w:sz w:val="16"/>
                <w:szCs w:val="16"/>
              </w:rPr>
            </w:pPr>
            <w:r>
              <w:rPr>
                <w:color w:val="000000"/>
                <w:sz w:val="16"/>
                <w:szCs w:val="16"/>
              </w:rPr>
              <w:t>2.3</w:t>
            </w:r>
          </w:p>
        </w:tc>
        <w:tc>
          <w:tcPr>
            <w:tcW w:w="1240" w:type="dxa"/>
            <w:tcBorders>
              <w:top w:val="nil"/>
              <w:left w:val="nil"/>
              <w:bottom w:val="nil"/>
              <w:right w:val="nil"/>
            </w:tcBorders>
            <w:shd w:val="clear" w:color="auto" w:fill="auto"/>
            <w:noWrap/>
            <w:vAlign w:val="center"/>
          </w:tcPr>
          <w:p w14:paraId="515A07E4" w14:textId="4361EFC5" w:rsidR="00262FDC" w:rsidRPr="000402DA" w:rsidRDefault="00262FDC" w:rsidP="00262FDC">
            <w:pPr>
              <w:tabs>
                <w:tab w:val="decimal" w:pos="626"/>
              </w:tabs>
              <w:jc w:val="left"/>
              <w:rPr>
                <w:sz w:val="16"/>
                <w:szCs w:val="16"/>
              </w:rPr>
            </w:pPr>
            <w:r>
              <w:rPr>
                <w:color w:val="000000"/>
                <w:sz w:val="16"/>
                <w:szCs w:val="16"/>
              </w:rPr>
              <w:t>7.2</w:t>
            </w:r>
          </w:p>
        </w:tc>
        <w:tc>
          <w:tcPr>
            <w:tcW w:w="1318" w:type="dxa"/>
            <w:tcBorders>
              <w:top w:val="nil"/>
              <w:left w:val="nil"/>
              <w:bottom w:val="nil"/>
              <w:right w:val="nil"/>
            </w:tcBorders>
            <w:shd w:val="clear" w:color="auto" w:fill="auto"/>
            <w:noWrap/>
            <w:vAlign w:val="center"/>
          </w:tcPr>
          <w:p w14:paraId="05EDA912" w14:textId="028675A9" w:rsidR="00262FDC" w:rsidRPr="000402DA" w:rsidRDefault="00262FDC" w:rsidP="00262FDC">
            <w:pPr>
              <w:tabs>
                <w:tab w:val="decimal" w:pos="564"/>
              </w:tabs>
              <w:jc w:val="left"/>
              <w:rPr>
                <w:sz w:val="16"/>
                <w:szCs w:val="16"/>
              </w:rPr>
            </w:pPr>
            <w:r>
              <w:rPr>
                <w:color w:val="000000"/>
                <w:sz w:val="16"/>
                <w:szCs w:val="16"/>
              </w:rPr>
              <w:t>1.9</w:t>
            </w:r>
          </w:p>
        </w:tc>
        <w:tc>
          <w:tcPr>
            <w:tcW w:w="1162" w:type="dxa"/>
            <w:tcBorders>
              <w:top w:val="nil"/>
              <w:left w:val="nil"/>
              <w:bottom w:val="nil"/>
              <w:right w:val="nil"/>
            </w:tcBorders>
            <w:shd w:val="clear" w:color="auto" w:fill="auto"/>
            <w:noWrap/>
            <w:vAlign w:val="center"/>
          </w:tcPr>
          <w:p w14:paraId="097BD8F5" w14:textId="271D4FF7" w:rsidR="00262FDC" w:rsidRPr="000402DA" w:rsidRDefault="00262FDC" w:rsidP="00262FDC">
            <w:pPr>
              <w:tabs>
                <w:tab w:val="decimal" w:pos="539"/>
              </w:tabs>
              <w:jc w:val="left"/>
              <w:rPr>
                <w:sz w:val="16"/>
                <w:szCs w:val="16"/>
              </w:rPr>
            </w:pPr>
            <w:r>
              <w:rPr>
                <w:color w:val="000000"/>
                <w:sz w:val="16"/>
                <w:szCs w:val="16"/>
              </w:rPr>
              <w:t>0.7</w:t>
            </w:r>
          </w:p>
        </w:tc>
        <w:tc>
          <w:tcPr>
            <w:tcW w:w="1161" w:type="dxa"/>
            <w:tcBorders>
              <w:top w:val="nil"/>
              <w:left w:val="nil"/>
              <w:bottom w:val="nil"/>
              <w:right w:val="single" w:sz="6" w:space="0" w:color="404040"/>
            </w:tcBorders>
            <w:shd w:val="clear" w:color="auto" w:fill="auto"/>
            <w:noWrap/>
            <w:vAlign w:val="center"/>
          </w:tcPr>
          <w:p w14:paraId="6F3ED211" w14:textId="2A506626" w:rsidR="00262FDC" w:rsidRPr="000402DA" w:rsidRDefault="00262FDC" w:rsidP="00262FDC">
            <w:pPr>
              <w:tabs>
                <w:tab w:val="decimal" w:pos="589"/>
              </w:tabs>
              <w:jc w:val="left"/>
              <w:rPr>
                <w:sz w:val="16"/>
                <w:szCs w:val="16"/>
              </w:rPr>
            </w:pPr>
            <w:r>
              <w:rPr>
                <w:color w:val="000000"/>
                <w:sz w:val="16"/>
                <w:szCs w:val="16"/>
              </w:rPr>
              <w:t>11.7</w:t>
            </w:r>
          </w:p>
        </w:tc>
      </w:tr>
      <w:tr w:rsidR="00262FDC" w:rsidRPr="00F87E34" w14:paraId="6EDCB38A" w14:textId="77777777" w:rsidTr="003F0296">
        <w:trPr>
          <w:trHeight w:val="227"/>
          <w:jc w:val="center"/>
        </w:trPr>
        <w:tc>
          <w:tcPr>
            <w:tcW w:w="2675" w:type="dxa"/>
            <w:tcBorders>
              <w:top w:val="nil"/>
              <w:left w:val="single" w:sz="6" w:space="0" w:color="404040"/>
              <w:bottom w:val="nil"/>
              <w:right w:val="single" w:sz="4" w:space="0" w:color="404040"/>
            </w:tcBorders>
            <w:shd w:val="clear" w:color="auto" w:fill="auto"/>
            <w:noWrap/>
            <w:vAlign w:val="center"/>
          </w:tcPr>
          <w:p w14:paraId="25F19878" w14:textId="77777777" w:rsidR="00262FDC" w:rsidRPr="00F87E34" w:rsidRDefault="00262FDC" w:rsidP="00262FDC">
            <w:pPr>
              <w:spacing w:before="20" w:after="20"/>
              <w:ind w:left="97"/>
              <w:jc w:val="left"/>
              <w:rPr>
                <w:bCs/>
                <w:sz w:val="16"/>
                <w:szCs w:val="16"/>
              </w:rPr>
            </w:pPr>
            <w:r w:rsidRPr="00F87E34">
              <w:rPr>
                <w:bCs/>
                <w:sz w:val="16"/>
                <w:szCs w:val="16"/>
              </w:rPr>
              <w:t>Tabasco</w:t>
            </w:r>
          </w:p>
        </w:tc>
        <w:tc>
          <w:tcPr>
            <w:tcW w:w="1241" w:type="dxa"/>
            <w:tcBorders>
              <w:top w:val="nil"/>
              <w:left w:val="single" w:sz="4" w:space="0" w:color="404040"/>
              <w:bottom w:val="nil"/>
              <w:right w:val="nil"/>
            </w:tcBorders>
            <w:shd w:val="clear" w:color="auto" w:fill="auto"/>
            <w:noWrap/>
            <w:vAlign w:val="center"/>
          </w:tcPr>
          <w:p w14:paraId="40730378" w14:textId="4C4596AF" w:rsidR="00262FDC" w:rsidRPr="000402DA" w:rsidRDefault="00262FDC" w:rsidP="00262FDC">
            <w:pPr>
              <w:tabs>
                <w:tab w:val="decimal" w:pos="564"/>
              </w:tabs>
              <w:jc w:val="left"/>
              <w:rPr>
                <w:sz w:val="16"/>
                <w:szCs w:val="16"/>
              </w:rPr>
            </w:pPr>
            <w:r>
              <w:rPr>
                <w:color w:val="000000"/>
                <w:sz w:val="16"/>
                <w:szCs w:val="16"/>
              </w:rPr>
              <w:t>4.8</w:t>
            </w:r>
          </w:p>
        </w:tc>
        <w:tc>
          <w:tcPr>
            <w:tcW w:w="1161" w:type="dxa"/>
            <w:tcBorders>
              <w:top w:val="nil"/>
              <w:left w:val="nil"/>
              <w:bottom w:val="nil"/>
              <w:right w:val="nil"/>
            </w:tcBorders>
            <w:shd w:val="clear" w:color="auto" w:fill="auto"/>
            <w:noWrap/>
            <w:vAlign w:val="center"/>
          </w:tcPr>
          <w:p w14:paraId="1758DE33" w14:textId="7014519A" w:rsidR="00262FDC" w:rsidRPr="000402DA" w:rsidRDefault="00262FDC" w:rsidP="00262FDC">
            <w:pPr>
              <w:tabs>
                <w:tab w:val="decimal" w:pos="564"/>
              </w:tabs>
              <w:jc w:val="left"/>
              <w:rPr>
                <w:sz w:val="16"/>
                <w:szCs w:val="16"/>
              </w:rPr>
            </w:pPr>
            <w:r>
              <w:rPr>
                <w:color w:val="000000"/>
                <w:sz w:val="16"/>
                <w:szCs w:val="16"/>
              </w:rPr>
              <w:t>2.2</w:t>
            </w:r>
          </w:p>
        </w:tc>
        <w:tc>
          <w:tcPr>
            <w:tcW w:w="1240" w:type="dxa"/>
            <w:tcBorders>
              <w:top w:val="nil"/>
              <w:left w:val="nil"/>
              <w:bottom w:val="nil"/>
              <w:right w:val="nil"/>
            </w:tcBorders>
            <w:shd w:val="clear" w:color="auto" w:fill="auto"/>
            <w:noWrap/>
            <w:vAlign w:val="center"/>
          </w:tcPr>
          <w:p w14:paraId="47510891" w14:textId="3EC71912" w:rsidR="00262FDC" w:rsidRPr="000402DA" w:rsidRDefault="00262FDC" w:rsidP="00262FDC">
            <w:pPr>
              <w:tabs>
                <w:tab w:val="decimal" w:pos="626"/>
              </w:tabs>
              <w:jc w:val="left"/>
              <w:rPr>
                <w:sz w:val="16"/>
                <w:szCs w:val="16"/>
              </w:rPr>
            </w:pPr>
            <w:r>
              <w:rPr>
                <w:color w:val="000000"/>
                <w:sz w:val="16"/>
                <w:szCs w:val="16"/>
              </w:rPr>
              <w:t>6.2</w:t>
            </w:r>
          </w:p>
        </w:tc>
        <w:tc>
          <w:tcPr>
            <w:tcW w:w="1318" w:type="dxa"/>
            <w:tcBorders>
              <w:top w:val="nil"/>
              <w:left w:val="nil"/>
              <w:bottom w:val="nil"/>
              <w:right w:val="nil"/>
            </w:tcBorders>
            <w:shd w:val="clear" w:color="auto" w:fill="auto"/>
            <w:noWrap/>
            <w:vAlign w:val="center"/>
          </w:tcPr>
          <w:p w14:paraId="0AC28BCE" w14:textId="5C9F46E4" w:rsidR="00262FDC" w:rsidRPr="000402DA" w:rsidRDefault="00262FDC" w:rsidP="00262FDC">
            <w:pPr>
              <w:tabs>
                <w:tab w:val="decimal" w:pos="564"/>
              </w:tabs>
              <w:jc w:val="left"/>
              <w:rPr>
                <w:sz w:val="16"/>
                <w:szCs w:val="16"/>
              </w:rPr>
            </w:pPr>
            <w:r>
              <w:rPr>
                <w:color w:val="000000"/>
                <w:sz w:val="16"/>
                <w:szCs w:val="16"/>
              </w:rPr>
              <w:t>3.5</w:t>
            </w:r>
          </w:p>
        </w:tc>
        <w:tc>
          <w:tcPr>
            <w:tcW w:w="1162" w:type="dxa"/>
            <w:tcBorders>
              <w:top w:val="nil"/>
              <w:left w:val="nil"/>
              <w:bottom w:val="nil"/>
              <w:right w:val="nil"/>
            </w:tcBorders>
            <w:shd w:val="clear" w:color="auto" w:fill="auto"/>
            <w:noWrap/>
            <w:vAlign w:val="center"/>
          </w:tcPr>
          <w:p w14:paraId="647A0B3E" w14:textId="041267CF" w:rsidR="00262FDC" w:rsidRPr="000402DA" w:rsidRDefault="00262FDC" w:rsidP="00262FDC">
            <w:pPr>
              <w:tabs>
                <w:tab w:val="decimal" w:pos="539"/>
              </w:tabs>
              <w:jc w:val="left"/>
              <w:rPr>
                <w:sz w:val="16"/>
                <w:szCs w:val="16"/>
              </w:rPr>
            </w:pPr>
            <w:r>
              <w:rPr>
                <w:color w:val="000000"/>
                <w:sz w:val="16"/>
                <w:szCs w:val="16"/>
              </w:rPr>
              <w:t>0.8</w:t>
            </w:r>
          </w:p>
        </w:tc>
        <w:tc>
          <w:tcPr>
            <w:tcW w:w="1161" w:type="dxa"/>
            <w:tcBorders>
              <w:top w:val="nil"/>
              <w:left w:val="nil"/>
              <w:bottom w:val="nil"/>
              <w:right w:val="single" w:sz="6" w:space="0" w:color="404040"/>
            </w:tcBorders>
            <w:shd w:val="clear" w:color="auto" w:fill="auto"/>
            <w:noWrap/>
            <w:vAlign w:val="center"/>
          </w:tcPr>
          <w:p w14:paraId="390E2636" w14:textId="17B70274" w:rsidR="00262FDC" w:rsidRPr="000402DA" w:rsidRDefault="00262FDC" w:rsidP="00262FDC">
            <w:pPr>
              <w:tabs>
                <w:tab w:val="decimal" w:pos="589"/>
              </w:tabs>
              <w:jc w:val="left"/>
              <w:rPr>
                <w:sz w:val="16"/>
                <w:szCs w:val="16"/>
              </w:rPr>
            </w:pPr>
            <w:r>
              <w:rPr>
                <w:color w:val="000000"/>
                <w:sz w:val="16"/>
                <w:szCs w:val="16"/>
              </w:rPr>
              <w:t>12.6</w:t>
            </w:r>
          </w:p>
        </w:tc>
      </w:tr>
      <w:tr w:rsidR="00262FDC" w:rsidRPr="00F87E34" w14:paraId="09BD79EB" w14:textId="77777777" w:rsidTr="003F0296">
        <w:trPr>
          <w:trHeight w:val="227"/>
          <w:jc w:val="center"/>
        </w:trPr>
        <w:tc>
          <w:tcPr>
            <w:tcW w:w="2675" w:type="dxa"/>
            <w:tcBorders>
              <w:top w:val="nil"/>
              <w:left w:val="single" w:sz="6" w:space="0" w:color="404040"/>
              <w:bottom w:val="nil"/>
              <w:right w:val="single" w:sz="4" w:space="0" w:color="404040"/>
            </w:tcBorders>
            <w:shd w:val="clear" w:color="auto" w:fill="auto"/>
            <w:noWrap/>
            <w:vAlign w:val="center"/>
          </w:tcPr>
          <w:p w14:paraId="23E0B1BE" w14:textId="77777777" w:rsidR="00262FDC" w:rsidRPr="00F87E34" w:rsidRDefault="00262FDC" w:rsidP="00262FDC">
            <w:pPr>
              <w:spacing w:before="20" w:after="20"/>
              <w:ind w:left="97"/>
              <w:jc w:val="left"/>
              <w:rPr>
                <w:bCs/>
                <w:sz w:val="16"/>
                <w:szCs w:val="16"/>
              </w:rPr>
            </w:pPr>
            <w:r w:rsidRPr="00F87E34">
              <w:rPr>
                <w:bCs/>
                <w:sz w:val="16"/>
                <w:szCs w:val="16"/>
              </w:rPr>
              <w:t>Tamaulipas</w:t>
            </w:r>
          </w:p>
        </w:tc>
        <w:tc>
          <w:tcPr>
            <w:tcW w:w="1241" w:type="dxa"/>
            <w:tcBorders>
              <w:top w:val="nil"/>
              <w:left w:val="single" w:sz="4" w:space="0" w:color="404040"/>
              <w:bottom w:val="nil"/>
              <w:right w:val="nil"/>
            </w:tcBorders>
            <w:shd w:val="clear" w:color="auto" w:fill="auto"/>
            <w:noWrap/>
            <w:vAlign w:val="center"/>
          </w:tcPr>
          <w:p w14:paraId="7E0F7C31" w14:textId="2B540ECD" w:rsidR="00262FDC" w:rsidRPr="000402DA" w:rsidRDefault="00262FDC" w:rsidP="00262FDC">
            <w:pPr>
              <w:tabs>
                <w:tab w:val="decimal" w:pos="564"/>
              </w:tabs>
              <w:jc w:val="left"/>
              <w:rPr>
                <w:sz w:val="16"/>
                <w:szCs w:val="16"/>
              </w:rPr>
            </w:pPr>
            <w:r>
              <w:rPr>
                <w:color w:val="000000"/>
                <w:sz w:val="16"/>
                <w:szCs w:val="16"/>
              </w:rPr>
              <w:t>7.0</w:t>
            </w:r>
          </w:p>
        </w:tc>
        <w:tc>
          <w:tcPr>
            <w:tcW w:w="1161" w:type="dxa"/>
            <w:tcBorders>
              <w:top w:val="nil"/>
              <w:left w:val="nil"/>
              <w:bottom w:val="nil"/>
              <w:right w:val="nil"/>
            </w:tcBorders>
            <w:shd w:val="clear" w:color="auto" w:fill="auto"/>
            <w:noWrap/>
            <w:vAlign w:val="center"/>
          </w:tcPr>
          <w:p w14:paraId="331C7084" w14:textId="76F39679" w:rsidR="00262FDC" w:rsidRPr="000402DA" w:rsidRDefault="00262FDC" w:rsidP="00262FDC">
            <w:pPr>
              <w:tabs>
                <w:tab w:val="decimal" w:pos="564"/>
              </w:tabs>
              <w:jc w:val="left"/>
              <w:rPr>
                <w:sz w:val="16"/>
                <w:szCs w:val="16"/>
              </w:rPr>
            </w:pPr>
            <w:r>
              <w:rPr>
                <w:color w:val="000000"/>
                <w:sz w:val="16"/>
                <w:szCs w:val="16"/>
              </w:rPr>
              <w:t>2.3</w:t>
            </w:r>
          </w:p>
        </w:tc>
        <w:tc>
          <w:tcPr>
            <w:tcW w:w="1240" w:type="dxa"/>
            <w:tcBorders>
              <w:top w:val="nil"/>
              <w:left w:val="nil"/>
              <w:bottom w:val="nil"/>
              <w:right w:val="nil"/>
            </w:tcBorders>
            <w:shd w:val="clear" w:color="auto" w:fill="auto"/>
            <w:noWrap/>
            <w:vAlign w:val="center"/>
          </w:tcPr>
          <w:p w14:paraId="65155696" w14:textId="381FA5A5" w:rsidR="00262FDC" w:rsidRPr="000402DA" w:rsidRDefault="00262FDC" w:rsidP="00262FDC">
            <w:pPr>
              <w:tabs>
                <w:tab w:val="decimal" w:pos="626"/>
              </w:tabs>
              <w:jc w:val="left"/>
              <w:rPr>
                <w:sz w:val="16"/>
                <w:szCs w:val="16"/>
              </w:rPr>
            </w:pPr>
            <w:r>
              <w:rPr>
                <w:color w:val="000000"/>
                <w:sz w:val="16"/>
                <w:szCs w:val="16"/>
              </w:rPr>
              <w:t>7.7</w:t>
            </w:r>
          </w:p>
        </w:tc>
        <w:tc>
          <w:tcPr>
            <w:tcW w:w="1318" w:type="dxa"/>
            <w:tcBorders>
              <w:top w:val="nil"/>
              <w:left w:val="nil"/>
              <w:bottom w:val="nil"/>
              <w:right w:val="nil"/>
            </w:tcBorders>
            <w:shd w:val="clear" w:color="auto" w:fill="auto"/>
            <w:noWrap/>
            <w:vAlign w:val="center"/>
          </w:tcPr>
          <w:p w14:paraId="7EA7A223" w14:textId="298DC1B4" w:rsidR="00262FDC" w:rsidRPr="000402DA" w:rsidRDefault="00262FDC" w:rsidP="00262FDC">
            <w:pPr>
              <w:tabs>
                <w:tab w:val="decimal" w:pos="564"/>
              </w:tabs>
              <w:jc w:val="left"/>
              <w:rPr>
                <w:sz w:val="16"/>
                <w:szCs w:val="16"/>
              </w:rPr>
            </w:pPr>
            <w:r>
              <w:rPr>
                <w:color w:val="000000"/>
                <w:sz w:val="16"/>
                <w:szCs w:val="16"/>
              </w:rPr>
              <w:t>1.9</w:t>
            </w:r>
          </w:p>
        </w:tc>
        <w:tc>
          <w:tcPr>
            <w:tcW w:w="1162" w:type="dxa"/>
            <w:tcBorders>
              <w:top w:val="nil"/>
              <w:left w:val="nil"/>
              <w:bottom w:val="nil"/>
              <w:right w:val="nil"/>
            </w:tcBorders>
            <w:shd w:val="clear" w:color="auto" w:fill="auto"/>
            <w:noWrap/>
            <w:vAlign w:val="center"/>
          </w:tcPr>
          <w:p w14:paraId="00041D44" w14:textId="2794E586" w:rsidR="00262FDC" w:rsidRPr="000402DA" w:rsidRDefault="00262FDC" w:rsidP="00262FDC">
            <w:pPr>
              <w:tabs>
                <w:tab w:val="decimal" w:pos="539"/>
              </w:tabs>
              <w:jc w:val="left"/>
              <w:rPr>
                <w:sz w:val="16"/>
                <w:szCs w:val="16"/>
              </w:rPr>
            </w:pPr>
            <w:r>
              <w:rPr>
                <w:color w:val="000000"/>
                <w:sz w:val="16"/>
                <w:szCs w:val="16"/>
              </w:rPr>
              <w:t>0.6</w:t>
            </w:r>
          </w:p>
        </w:tc>
        <w:tc>
          <w:tcPr>
            <w:tcW w:w="1161" w:type="dxa"/>
            <w:tcBorders>
              <w:top w:val="nil"/>
              <w:left w:val="nil"/>
              <w:bottom w:val="nil"/>
              <w:right w:val="single" w:sz="6" w:space="0" w:color="404040"/>
            </w:tcBorders>
            <w:shd w:val="clear" w:color="auto" w:fill="auto"/>
            <w:noWrap/>
            <w:vAlign w:val="center"/>
          </w:tcPr>
          <w:p w14:paraId="38E3799E" w14:textId="315EF14A" w:rsidR="00262FDC" w:rsidRPr="000402DA" w:rsidRDefault="00262FDC" w:rsidP="00262FDC">
            <w:pPr>
              <w:tabs>
                <w:tab w:val="decimal" w:pos="589"/>
              </w:tabs>
              <w:jc w:val="left"/>
              <w:rPr>
                <w:sz w:val="16"/>
                <w:szCs w:val="16"/>
              </w:rPr>
            </w:pPr>
            <w:r>
              <w:rPr>
                <w:color w:val="000000"/>
                <w:sz w:val="16"/>
                <w:szCs w:val="16"/>
              </w:rPr>
              <w:t>11.5</w:t>
            </w:r>
          </w:p>
        </w:tc>
      </w:tr>
      <w:tr w:rsidR="00262FDC" w:rsidRPr="00F87E34" w14:paraId="4E5561B3" w14:textId="77777777" w:rsidTr="003F0296">
        <w:trPr>
          <w:trHeight w:val="227"/>
          <w:jc w:val="center"/>
        </w:trPr>
        <w:tc>
          <w:tcPr>
            <w:tcW w:w="2675" w:type="dxa"/>
            <w:tcBorders>
              <w:top w:val="nil"/>
              <w:left w:val="single" w:sz="6" w:space="0" w:color="404040"/>
              <w:bottom w:val="nil"/>
              <w:right w:val="single" w:sz="4" w:space="0" w:color="404040"/>
            </w:tcBorders>
            <w:shd w:val="clear" w:color="auto" w:fill="auto"/>
            <w:noWrap/>
            <w:vAlign w:val="center"/>
          </w:tcPr>
          <w:p w14:paraId="44FAF3B4" w14:textId="77777777" w:rsidR="00262FDC" w:rsidRPr="00F87E34" w:rsidRDefault="00262FDC" w:rsidP="00262FDC">
            <w:pPr>
              <w:spacing w:before="20" w:after="20"/>
              <w:ind w:left="97"/>
              <w:jc w:val="left"/>
              <w:rPr>
                <w:bCs/>
                <w:sz w:val="16"/>
                <w:szCs w:val="16"/>
              </w:rPr>
            </w:pPr>
            <w:r w:rsidRPr="00F87E34">
              <w:rPr>
                <w:bCs/>
                <w:sz w:val="16"/>
                <w:szCs w:val="16"/>
              </w:rPr>
              <w:t>Tlaxcala</w:t>
            </w:r>
          </w:p>
        </w:tc>
        <w:tc>
          <w:tcPr>
            <w:tcW w:w="1241" w:type="dxa"/>
            <w:tcBorders>
              <w:top w:val="nil"/>
              <w:left w:val="single" w:sz="4" w:space="0" w:color="404040"/>
              <w:bottom w:val="nil"/>
              <w:right w:val="nil"/>
            </w:tcBorders>
            <w:shd w:val="clear" w:color="auto" w:fill="auto"/>
            <w:noWrap/>
            <w:vAlign w:val="center"/>
          </w:tcPr>
          <w:p w14:paraId="6A64173B" w14:textId="123056A5" w:rsidR="00262FDC" w:rsidRPr="000402DA" w:rsidRDefault="00262FDC" w:rsidP="00262FDC">
            <w:pPr>
              <w:tabs>
                <w:tab w:val="decimal" w:pos="564"/>
              </w:tabs>
              <w:jc w:val="left"/>
              <w:rPr>
                <w:sz w:val="16"/>
                <w:szCs w:val="16"/>
              </w:rPr>
            </w:pPr>
            <w:r>
              <w:rPr>
                <w:color w:val="000000"/>
                <w:sz w:val="16"/>
                <w:szCs w:val="16"/>
              </w:rPr>
              <w:t>2.8</w:t>
            </w:r>
          </w:p>
        </w:tc>
        <w:tc>
          <w:tcPr>
            <w:tcW w:w="1161" w:type="dxa"/>
            <w:tcBorders>
              <w:top w:val="nil"/>
              <w:left w:val="nil"/>
              <w:bottom w:val="nil"/>
              <w:right w:val="nil"/>
            </w:tcBorders>
            <w:shd w:val="clear" w:color="auto" w:fill="auto"/>
            <w:noWrap/>
            <w:vAlign w:val="center"/>
          </w:tcPr>
          <w:p w14:paraId="1CDC2048" w14:textId="28632D63" w:rsidR="00262FDC" w:rsidRPr="000402DA" w:rsidRDefault="00262FDC" w:rsidP="00262FDC">
            <w:pPr>
              <w:tabs>
                <w:tab w:val="decimal" w:pos="564"/>
              </w:tabs>
              <w:jc w:val="left"/>
              <w:rPr>
                <w:sz w:val="16"/>
                <w:szCs w:val="16"/>
              </w:rPr>
            </w:pPr>
            <w:r>
              <w:rPr>
                <w:color w:val="000000"/>
                <w:sz w:val="16"/>
                <w:szCs w:val="16"/>
              </w:rPr>
              <w:t>3.8</w:t>
            </w:r>
          </w:p>
        </w:tc>
        <w:tc>
          <w:tcPr>
            <w:tcW w:w="1240" w:type="dxa"/>
            <w:tcBorders>
              <w:top w:val="nil"/>
              <w:left w:val="nil"/>
              <w:bottom w:val="nil"/>
              <w:right w:val="nil"/>
            </w:tcBorders>
            <w:shd w:val="clear" w:color="auto" w:fill="auto"/>
            <w:noWrap/>
            <w:vAlign w:val="center"/>
          </w:tcPr>
          <w:p w14:paraId="43CF2892" w14:textId="10AA9FC1" w:rsidR="00262FDC" w:rsidRPr="000402DA" w:rsidRDefault="00262FDC" w:rsidP="00262FDC">
            <w:pPr>
              <w:tabs>
                <w:tab w:val="decimal" w:pos="626"/>
              </w:tabs>
              <w:jc w:val="left"/>
              <w:rPr>
                <w:sz w:val="16"/>
                <w:szCs w:val="16"/>
              </w:rPr>
            </w:pPr>
            <w:r>
              <w:rPr>
                <w:color w:val="000000"/>
                <w:sz w:val="16"/>
                <w:szCs w:val="16"/>
              </w:rPr>
              <w:t>6.1</w:t>
            </w:r>
          </w:p>
        </w:tc>
        <w:tc>
          <w:tcPr>
            <w:tcW w:w="1318" w:type="dxa"/>
            <w:tcBorders>
              <w:top w:val="nil"/>
              <w:left w:val="nil"/>
              <w:bottom w:val="nil"/>
              <w:right w:val="nil"/>
            </w:tcBorders>
            <w:shd w:val="clear" w:color="auto" w:fill="auto"/>
            <w:noWrap/>
            <w:vAlign w:val="center"/>
          </w:tcPr>
          <w:p w14:paraId="7D544EA3" w14:textId="27C2989C" w:rsidR="00262FDC" w:rsidRPr="000402DA" w:rsidRDefault="00262FDC" w:rsidP="00262FDC">
            <w:pPr>
              <w:tabs>
                <w:tab w:val="decimal" w:pos="564"/>
              </w:tabs>
              <w:jc w:val="left"/>
              <w:rPr>
                <w:sz w:val="16"/>
                <w:szCs w:val="16"/>
              </w:rPr>
            </w:pPr>
            <w:r>
              <w:rPr>
                <w:color w:val="000000"/>
                <w:sz w:val="16"/>
                <w:szCs w:val="16"/>
              </w:rPr>
              <w:t>1.1</w:t>
            </w:r>
          </w:p>
        </w:tc>
        <w:tc>
          <w:tcPr>
            <w:tcW w:w="1162" w:type="dxa"/>
            <w:tcBorders>
              <w:top w:val="nil"/>
              <w:left w:val="nil"/>
              <w:bottom w:val="nil"/>
              <w:right w:val="nil"/>
            </w:tcBorders>
            <w:shd w:val="clear" w:color="auto" w:fill="auto"/>
            <w:noWrap/>
            <w:vAlign w:val="center"/>
          </w:tcPr>
          <w:p w14:paraId="2659CF1C" w14:textId="1F013EA1" w:rsidR="00262FDC" w:rsidRPr="000402DA" w:rsidRDefault="00262FDC" w:rsidP="00262FDC">
            <w:pPr>
              <w:tabs>
                <w:tab w:val="decimal" w:pos="539"/>
              </w:tabs>
              <w:jc w:val="left"/>
              <w:rPr>
                <w:sz w:val="16"/>
                <w:szCs w:val="16"/>
              </w:rPr>
            </w:pPr>
            <w:r>
              <w:rPr>
                <w:color w:val="000000"/>
                <w:sz w:val="16"/>
                <w:szCs w:val="16"/>
              </w:rPr>
              <w:t>0.7</w:t>
            </w:r>
          </w:p>
        </w:tc>
        <w:tc>
          <w:tcPr>
            <w:tcW w:w="1161" w:type="dxa"/>
            <w:tcBorders>
              <w:top w:val="nil"/>
              <w:left w:val="nil"/>
              <w:bottom w:val="nil"/>
              <w:right w:val="single" w:sz="6" w:space="0" w:color="404040"/>
            </w:tcBorders>
            <w:shd w:val="clear" w:color="auto" w:fill="auto"/>
            <w:noWrap/>
            <w:vAlign w:val="center"/>
          </w:tcPr>
          <w:p w14:paraId="5E6B1D71" w14:textId="77AEFBD8" w:rsidR="00262FDC" w:rsidRPr="000402DA" w:rsidRDefault="00262FDC" w:rsidP="00262FDC">
            <w:pPr>
              <w:tabs>
                <w:tab w:val="decimal" w:pos="589"/>
              </w:tabs>
              <w:jc w:val="left"/>
              <w:rPr>
                <w:sz w:val="16"/>
                <w:szCs w:val="16"/>
              </w:rPr>
            </w:pPr>
            <w:r>
              <w:rPr>
                <w:color w:val="000000"/>
                <w:sz w:val="16"/>
                <w:szCs w:val="16"/>
              </w:rPr>
              <w:t>11.2</w:t>
            </w:r>
          </w:p>
        </w:tc>
      </w:tr>
      <w:tr w:rsidR="00262FDC" w:rsidRPr="00F87E34" w14:paraId="4C801674" w14:textId="77777777" w:rsidTr="003F0296">
        <w:trPr>
          <w:trHeight w:val="227"/>
          <w:jc w:val="center"/>
        </w:trPr>
        <w:tc>
          <w:tcPr>
            <w:tcW w:w="2675" w:type="dxa"/>
            <w:tcBorders>
              <w:top w:val="nil"/>
              <w:left w:val="single" w:sz="6" w:space="0" w:color="404040"/>
              <w:bottom w:val="nil"/>
              <w:right w:val="single" w:sz="4" w:space="0" w:color="404040"/>
            </w:tcBorders>
            <w:shd w:val="clear" w:color="auto" w:fill="auto"/>
            <w:noWrap/>
            <w:vAlign w:val="center"/>
          </w:tcPr>
          <w:p w14:paraId="3C91EE36" w14:textId="77777777" w:rsidR="00262FDC" w:rsidRPr="00F87E34" w:rsidRDefault="00262FDC" w:rsidP="00262FDC">
            <w:pPr>
              <w:spacing w:before="20" w:after="20"/>
              <w:ind w:left="97"/>
              <w:jc w:val="left"/>
              <w:rPr>
                <w:bCs/>
                <w:sz w:val="16"/>
                <w:szCs w:val="16"/>
              </w:rPr>
            </w:pPr>
            <w:r w:rsidRPr="00F87E34">
              <w:rPr>
                <w:bCs/>
                <w:sz w:val="16"/>
                <w:szCs w:val="16"/>
              </w:rPr>
              <w:t>Veracruz de Ignacio de la Llave</w:t>
            </w:r>
          </w:p>
        </w:tc>
        <w:tc>
          <w:tcPr>
            <w:tcW w:w="1241" w:type="dxa"/>
            <w:tcBorders>
              <w:top w:val="nil"/>
              <w:left w:val="single" w:sz="4" w:space="0" w:color="404040"/>
              <w:bottom w:val="nil"/>
              <w:right w:val="nil"/>
            </w:tcBorders>
            <w:shd w:val="clear" w:color="auto" w:fill="auto"/>
            <w:noWrap/>
            <w:vAlign w:val="center"/>
          </w:tcPr>
          <w:p w14:paraId="456C73D2" w14:textId="55418C02" w:rsidR="00262FDC" w:rsidRPr="000402DA" w:rsidRDefault="00262FDC" w:rsidP="00262FDC">
            <w:pPr>
              <w:tabs>
                <w:tab w:val="decimal" w:pos="564"/>
              </w:tabs>
              <w:jc w:val="left"/>
              <w:rPr>
                <w:sz w:val="16"/>
                <w:szCs w:val="16"/>
              </w:rPr>
            </w:pPr>
            <w:r>
              <w:rPr>
                <w:color w:val="000000"/>
                <w:sz w:val="16"/>
                <w:szCs w:val="16"/>
              </w:rPr>
              <w:t>5.9</w:t>
            </w:r>
          </w:p>
        </w:tc>
        <w:tc>
          <w:tcPr>
            <w:tcW w:w="1161" w:type="dxa"/>
            <w:tcBorders>
              <w:top w:val="nil"/>
              <w:left w:val="nil"/>
              <w:bottom w:val="nil"/>
              <w:right w:val="nil"/>
            </w:tcBorders>
            <w:shd w:val="clear" w:color="auto" w:fill="auto"/>
            <w:noWrap/>
            <w:vAlign w:val="center"/>
          </w:tcPr>
          <w:p w14:paraId="6CA40FD6" w14:textId="2E9C211A" w:rsidR="00262FDC" w:rsidRPr="000402DA" w:rsidRDefault="00262FDC" w:rsidP="00262FDC">
            <w:pPr>
              <w:tabs>
                <w:tab w:val="decimal" w:pos="564"/>
              </w:tabs>
              <w:jc w:val="left"/>
              <w:rPr>
                <w:sz w:val="16"/>
                <w:szCs w:val="16"/>
              </w:rPr>
            </w:pPr>
            <w:r>
              <w:rPr>
                <w:color w:val="000000"/>
                <w:sz w:val="16"/>
                <w:szCs w:val="16"/>
              </w:rPr>
              <w:t>2.6</w:t>
            </w:r>
          </w:p>
        </w:tc>
        <w:tc>
          <w:tcPr>
            <w:tcW w:w="1240" w:type="dxa"/>
            <w:tcBorders>
              <w:top w:val="nil"/>
              <w:left w:val="nil"/>
              <w:bottom w:val="nil"/>
              <w:right w:val="nil"/>
            </w:tcBorders>
            <w:shd w:val="clear" w:color="auto" w:fill="auto"/>
            <w:noWrap/>
            <w:vAlign w:val="center"/>
          </w:tcPr>
          <w:p w14:paraId="6D0068B2" w14:textId="68C4CAD4" w:rsidR="00262FDC" w:rsidRPr="000402DA" w:rsidRDefault="00262FDC" w:rsidP="00262FDC">
            <w:pPr>
              <w:tabs>
                <w:tab w:val="decimal" w:pos="626"/>
              </w:tabs>
              <w:jc w:val="left"/>
              <w:rPr>
                <w:sz w:val="16"/>
                <w:szCs w:val="16"/>
              </w:rPr>
            </w:pPr>
            <w:r>
              <w:rPr>
                <w:color w:val="000000"/>
                <w:sz w:val="16"/>
                <w:szCs w:val="16"/>
              </w:rPr>
              <w:t>7.3</w:t>
            </w:r>
          </w:p>
        </w:tc>
        <w:tc>
          <w:tcPr>
            <w:tcW w:w="1318" w:type="dxa"/>
            <w:tcBorders>
              <w:top w:val="nil"/>
              <w:left w:val="nil"/>
              <w:bottom w:val="nil"/>
              <w:right w:val="nil"/>
            </w:tcBorders>
            <w:shd w:val="clear" w:color="auto" w:fill="auto"/>
            <w:noWrap/>
            <w:vAlign w:val="center"/>
          </w:tcPr>
          <w:p w14:paraId="43BD5A7E" w14:textId="1F59BE7F" w:rsidR="00262FDC" w:rsidRPr="000402DA" w:rsidRDefault="00262FDC" w:rsidP="00262FDC">
            <w:pPr>
              <w:tabs>
                <w:tab w:val="decimal" w:pos="564"/>
              </w:tabs>
              <w:jc w:val="left"/>
              <w:rPr>
                <w:sz w:val="16"/>
                <w:szCs w:val="16"/>
              </w:rPr>
            </w:pPr>
            <w:r>
              <w:rPr>
                <w:color w:val="000000"/>
                <w:sz w:val="16"/>
                <w:szCs w:val="16"/>
              </w:rPr>
              <w:t>1.9</w:t>
            </w:r>
          </w:p>
        </w:tc>
        <w:tc>
          <w:tcPr>
            <w:tcW w:w="1162" w:type="dxa"/>
            <w:tcBorders>
              <w:top w:val="nil"/>
              <w:left w:val="nil"/>
              <w:bottom w:val="nil"/>
              <w:right w:val="nil"/>
            </w:tcBorders>
            <w:shd w:val="clear" w:color="auto" w:fill="auto"/>
            <w:noWrap/>
            <w:vAlign w:val="center"/>
          </w:tcPr>
          <w:p w14:paraId="524567EB" w14:textId="509322E2" w:rsidR="00262FDC" w:rsidRPr="000402DA" w:rsidRDefault="00262FDC" w:rsidP="00262FDC">
            <w:pPr>
              <w:tabs>
                <w:tab w:val="decimal" w:pos="539"/>
              </w:tabs>
              <w:jc w:val="left"/>
              <w:rPr>
                <w:sz w:val="16"/>
                <w:szCs w:val="16"/>
              </w:rPr>
            </w:pPr>
            <w:r>
              <w:rPr>
                <w:color w:val="000000"/>
                <w:sz w:val="16"/>
                <w:szCs w:val="16"/>
              </w:rPr>
              <w:t>0.6</w:t>
            </w:r>
          </w:p>
        </w:tc>
        <w:tc>
          <w:tcPr>
            <w:tcW w:w="1161" w:type="dxa"/>
            <w:tcBorders>
              <w:top w:val="nil"/>
              <w:left w:val="nil"/>
              <w:bottom w:val="nil"/>
              <w:right w:val="single" w:sz="6" w:space="0" w:color="404040"/>
            </w:tcBorders>
            <w:shd w:val="clear" w:color="auto" w:fill="auto"/>
            <w:noWrap/>
            <w:vAlign w:val="center"/>
          </w:tcPr>
          <w:p w14:paraId="4BB07B89" w14:textId="2AA2CB5B" w:rsidR="00262FDC" w:rsidRPr="000402DA" w:rsidRDefault="00262FDC" w:rsidP="00262FDC">
            <w:pPr>
              <w:tabs>
                <w:tab w:val="decimal" w:pos="589"/>
              </w:tabs>
              <w:jc w:val="left"/>
              <w:rPr>
                <w:sz w:val="16"/>
                <w:szCs w:val="16"/>
              </w:rPr>
            </w:pPr>
            <w:r>
              <w:rPr>
                <w:color w:val="000000"/>
                <w:sz w:val="16"/>
                <w:szCs w:val="16"/>
              </w:rPr>
              <w:t>11.4</w:t>
            </w:r>
          </w:p>
        </w:tc>
      </w:tr>
      <w:tr w:rsidR="00262FDC" w:rsidRPr="00F87E34" w14:paraId="3C648981" w14:textId="77777777" w:rsidTr="003F0296">
        <w:trPr>
          <w:trHeight w:val="227"/>
          <w:jc w:val="center"/>
        </w:trPr>
        <w:tc>
          <w:tcPr>
            <w:tcW w:w="2675" w:type="dxa"/>
            <w:tcBorders>
              <w:top w:val="nil"/>
              <w:left w:val="single" w:sz="6" w:space="0" w:color="404040"/>
              <w:bottom w:val="nil"/>
              <w:right w:val="single" w:sz="4" w:space="0" w:color="404040"/>
            </w:tcBorders>
            <w:shd w:val="clear" w:color="auto" w:fill="auto"/>
            <w:noWrap/>
            <w:vAlign w:val="center"/>
          </w:tcPr>
          <w:p w14:paraId="68EA3841" w14:textId="77777777" w:rsidR="00262FDC" w:rsidRPr="00F87E34" w:rsidRDefault="00262FDC" w:rsidP="00262FDC">
            <w:pPr>
              <w:spacing w:before="20" w:after="20"/>
              <w:ind w:left="97"/>
              <w:jc w:val="left"/>
              <w:rPr>
                <w:bCs/>
                <w:sz w:val="16"/>
                <w:szCs w:val="16"/>
              </w:rPr>
            </w:pPr>
            <w:r w:rsidRPr="00F87E34">
              <w:rPr>
                <w:bCs/>
                <w:sz w:val="16"/>
                <w:szCs w:val="16"/>
              </w:rPr>
              <w:t>Yucatán</w:t>
            </w:r>
          </w:p>
        </w:tc>
        <w:tc>
          <w:tcPr>
            <w:tcW w:w="1241" w:type="dxa"/>
            <w:tcBorders>
              <w:top w:val="nil"/>
              <w:left w:val="single" w:sz="4" w:space="0" w:color="404040"/>
              <w:bottom w:val="nil"/>
              <w:right w:val="nil"/>
            </w:tcBorders>
            <w:shd w:val="clear" w:color="auto" w:fill="auto"/>
            <w:noWrap/>
            <w:vAlign w:val="center"/>
          </w:tcPr>
          <w:p w14:paraId="7C7D06D4" w14:textId="5C9B164C" w:rsidR="00262FDC" w:rsidRPr="000402DA" w:rsidRDefault="00262FDC" w:rsidP="00262FDC">
            <w:pPr>
              <w:tabs>
                <w:tab w:val="decimal" w:pos="564"/>
              </w:tabs>
              <w:jc w:val="left"/>
              <w:rPr>
                <w:sz w:val="16"/>
                <w:szCs w:val="16"/>
              </w:rPr>
            </w:pPr>
            <w:r>
              <w:rPr>
                <w:color w:val="000000"/>
                <w:sz w:val="16"/>
                <w:szCs w:val="16"/>
              </w:rPr>
              <w:t>8.3</w:t>
            </w:r>
          </w:p>
        </w:tc>
        <w:tc>
          <w:tcPr>
            <w:tcW w:w="1161" w:type="dxa"/>
            <w:tcBorders>
              <w:top w:val="nil"/>
              <w:left w:val="nil"/>
              <w:bottom w:val="nil"/>
              <w:right w:val="nil"/>
            </w:tcBorders>
            <w:shd w:val="clear" w:color="auto" w:fill="auto"/>
            <w:noWrap/>
            <w:vAlign w:val="center"/>
          </w:tcPr>
          <w:p w14:paraId="637BDE76" w14:textId="2C66AC28" w:rsidR="00262FDC" w:rsidRPr="000402DA" w:rsidRDefault="00262FDC" w:rsidP="00262FDC">
            <w:pPr>
              <w:tabs>
                <w:tab w:val="decimal" w:pos="564"/>
              </w:tabs>
              <w:jc w:val="left"/>
              <w:rPr>
                <w:sz w:val="16"/>
                <w:szCs w:val="16"/>
              </w:rPr>
            </w:pPr>
            <w:r>
              <w:rPr>
                <w:color w:val="000000"/>
                <w:sz w:val="16"/>
                <w:szCs w:val="16"/>
              </w:rPr>
              <w:t>2.2</w:t>
            </w:r>
          </w:p>
        </w:tc>
        <w:tc>
          <w:tcPr>
            <w:tcW w:w="1240" w:type="dxa"/>
            <w:tcBorders>
              <w:top w:val="nil"/>
              <w:left w:val="nil"/>
              <w:bottom w:val="nil"/>
              <w:right w:val="nil"/>
            </w:tcBorders>
            <w:shd w:val="clear" w:color="auto" w:fill="auto"/>
            <w:noWrap/>
            <w:vAlign w:val="center"/>
          </w:tcPr>
          <w:p w14:paraId="221240FE" w14:textId="3777B665" w:rsidR="00262FDC" w:rsidRPr="000402DA" w:rsidRDefault="00262FDC" w:rsidP="00262FDC">
            <w:pPr>
              <w:tabs>
                <w:tab w:val="decimal" w:pos="626"/>
              </w:tabs>
              <w:jc w:val="left"/>
              <w:rPr>
                <w:sz w:val="16"/>
                <w:szCs w:val="16"/>
              </w:rPr>
            </w:pPr>
            <w:r>
              <w:rPr>
                <w:color w:val="000000"/>
                <w:sz w:val="16"/>
                <w:szCs w:val="16"/>
              </w:rPr>
              <w:t>8.5</w:t>
            </w:r>
          </w:p>
        </w:tc>
        <w:tc>
          <w:tcPr>
            <w:tcW w:w="1318" w:type="dxa"/>
            <w:tcBorders>
              <w:top w:val="nil"/>
              <w:left w:val="nil"/>
              <w:bottom w:val="nil"/>
              <w:right w:val="nil"/>
            </w:tcBorders>
            <w:shd w:val="clear" w:color="auto" w:fill="auto"/>
            <w:noWrap/>
            <w:vAlign w:val="center"/>
          </w:tcPr>
          <w:p w14:paraId="315407DF" w14:textId="7E5A3594" w:rsidR="00262FDC" w:rsidRPr="000402DA" w:rsidRDefault="00262FDC" w:rsidP="00262FDC">
            <w:pPr>
              <w:tabs>
                <w:tab w:val="decimal" w:pos="564"/>
              </w:tabs>
              <w:jc w:val="left"/>
              <w:rPr>
                <w:sz w:val="16"/>
                <w:szCs w:val="16"/>
              </w:rPr>
            </w:pPr>
            <w:r>
              <w:rPr>
                <w:color w:val="000000"/>
                <w:sz w:val="16"/>
                <w:szCs w:val="16"/>
              </w:rPr>
              <w:t>2.1</w:t>
            </w:r>
          </w:p>
        </w:tc>
        <w:tc>
          <w:tcPr>
            <w:tcW w:w="1162" w:type="dxa"/>
            <w:tcBorders>
              <w:top w:val="nil"/>
              <w:left w:val="nil"/>
              <w:bottom w:val="nil"/>
              <w:right w:val="nil"/>
            </w:tcBorders>
            <w:shd w:val="clear" w:color="auto" w:fill="auto"/>
            <w:noWrap/>
            <w:vAlign w:val="center"/>
          </w:tcPr>
          <w:p w14:paraId="7FBEC74E" w14:textId="0AC0F938" w:rsidR="00262FDC" w:rsidRPr="000402DA" w:rsidRDefault="00262FDC" w:rsidP="00262FDC">
            <w:pPr>
              <w:tabs>
                <w:tab w:val="decimal" w:pos="539"/>
              </w:tabs>
              <w:jc w:val="left"/>
              <w:rPr>
                <w:sz w:val="16"/>
                <w:szCs w:val="16"/>
              </w:rPr>
            </w:pPr>
            <w:r>
              <w:rPr>
                <w:color w:val="000000"/>
                <w:sz w:val="16"/>
                <w:szCs w:val="16"/>
              </w:rPr>
              <w:t>0.6</w:t>
            </w:r>
          </w:p>
        </w:tc>
        <w:tc>
          <w:tcPr>
            <w:tcW w:w="1161" w:type="dxa"/>
            <w:tcBorders>
              <w:top w:val="nil"/>
              <w:left w:val="nil"/>
              <w:bottom w:val="nil"/>
              <w:right w:val="single" w:sz="6" w:space="0" w:color="404040"/>
            </w:tcBorders>
            <w:shd w:val="clear" w:color="auto" w:fill="auto"/>
            <w:noWrap/>
            <w:vAlign w:val="center"/>
          </w:tcPr>
          <w:p w14:paraId="54F0FE9C" w14:textId="42A3D0F4" w:rsidR="00262FDC" w:rsidRPr="000402DA" w:rsidRDefault="00262FDC" w:rsidP="00262FDC">
            <w:pPr>
              <w:tabs>
                <w:tab w:val="decimal" w:pos="589"/>
              </w:tabs>
              <w:jc w:val="left"/>
              <w:rPr>
                <w:sz w:val="16"/>
                <w:szCs w:val="16"/>
              </w:rPr>
            </w:pPr>
            <w:r>
              <w:rPr>
                <w:color w:val="000000"/>
                <w:sz w:val="16"/>
                <w:szCs w:val="16"/>
              </w:rPr>
              <w:t>11.4</w:t>
            </w:r>
          </w:p>
        </w:tc>
      </w:tr>
      <w:tr w:rsidR="00262FDC" w:rsidRPr="00F87E34" w14:paraId="742B1974" w14:textId="77777777" w:rsidTr="003F0296">
        <w:trPr>
          <w:trHeight w:val="227"/>
          <w:jc w:val="center"/>
        </w:trPr>
        <w:tc>
          <w:tcPr>
            <w:tcW w:w="2675" w:type="dxa"/>
            <w:tcBorders>
              <w:top w:val="nil"/>
              <w:left w:val="single" w:sz="6" w:space="0" w:color="404040"/>
              <w:bottom w:val="single" w:sz="6" w:space="0" w:color="404040"/>
              <w:right w:val="single" w:sz="4" w:space="0" w:color="404040"/>
            </w:tcBorders>
            <w:shd w:val="clear" w:color="auto" w:fill="auto"/>
            <w:noWrap/>
            <w:vAlign w:val="center"/>
          </w:tcPr>
          <w:p w14:paraId="77FBE3BD" w14:textId="77777777" w:rsidR="00262FDC" w:rsidRPr="00F87E34" w:rsidRDefault="00262FDC" w:rsidP="00262FDC">
            <w:pPr>
              <w:spacing w:before="20" w:after="20"/>
              <w:ind w:left="97"/>
              <w:jc w:val="left"/>
              <w:rPr>
                <w:bCs/>
                <w:sz w:val="16"/>
                <w:szCs w:val="16"/>
              </w:rPr>
            </w:pPr>
            <w:r w:rsidRPr="00F87E34">
              <w:rPr>
                <w:bCs/>
                <w:sz w:val="16"/>
                <w:szCs w:val="16"/>
              </w:rPr>
              <w:t>Zacatecas</w:t>
            </w:r>
          </w:p>
        </w:tc>
        <w:tc>
          <w:tcPr>
            <w:tcW w:w="1241" w:type="dxa"/>
            <w:tcBorders>
              <w:top w:val="nil"/>
              <w:left w:val="single" w:sz="4" w:space="0" w:color="404040"/>
              <w:bottom w:val="single" w:sz="6" w:space="0" w:color="404040"/>
              <w:right w:val="nil"/>
            </w:tcBorders>
            <w:shd w:val="clear" w:color="auto" w:fill="auto"/>
            <w:noWrap/>
            <w:vAlign w:val="center"/>
          </w:tcPr>
          <w:p w14:paraId="155CCD9D" w14:textId="5477206C" w:rsidR="00262FDC" w:rsidRPr="000402DA" w:rsidRDefault="00262FDC" w:rsidP="00262FDC">
            <w:pPr>
              <w:tabs>
                <w:tab w:val="decimal" w:pos="564"/>
              </w:tabs>
              <w:jc w:val="left"/>
              <w:rPr>
                <w:sz w:val="16"/>
                <w:szCs w:val="16"/>
              </w:rPr>
            </w:pPr>
            <w:r>
              <w:rPr>
                <w:color w:val="000000"/>
                <w:sz w:val="16"/>
                <w:szCs w:val="16"/>
              </w:rPr>
              <w:t>4.1</w:t>
            </w:r>
          </w:p>
        </w:tc>
        <w:tc>
          <w:tcPr>
            <w:tcW w:w="1161" w:type="dxa"/>
            <w:tcBorders>
              <w:top w:val="nil"/>
              <w:left w:val="nil"/>
              <w:bottom w:val="single" w:sz="6" w:space="0" w:color="404040"/>
              <w:right w:val="nil"/>
            </w:tcBorders>
            <w:shd w:val="clear" w:color="auto" w:fill="auto"/>
            <w:noWrap/>
            <w:vAlign w:val="center"/>
          </w:tcPr>
          <w:p w14:paraId="2448AE91" w14:textId="68CC478E" w:rsidR="00262FDC" w:rsidRPr="000402DA" w:rsidRDefault="00262FDC" w:rsidP="00262FDC">
            <w:pPr>
              <w:tabs>
                <w:tab w:val="decimal" w:pos="564"/>
              </w:tabs>
              <w:jc w:val="left"/>
              <w:rPr>
                <w:sz w:val="16"/>
                <w:szCs w:val="16"/>
              </w:rPr>
            </w:pPr>
            <w:r>
              <w:rPr>
                <w:color w:val="000000"/>
                <w:sz w:val="16"/>
                <w:szCs w:val="16"/>
              </w:rPr>
              <w:t>2.7</w:t>
            </w:r>
          </w:p>
        </w:tc>
        <w:tc>
          <w:tcPr>
            <w:tcW w:w="1240" w:type="dxa"/>
            <w:tcBorders>
              <w:top w:val="nil"/>
              <w:left w:val="nil"/>
              <w:bottom w:val="single" w:sz="6" w:space="0" w:color="404040"/>
              <w:right w:val="nil"/>
            </w:tcBorders>
            <w:shd w:val="clear" w:color="auto" w:fill="auto"/>
            <w:noWrap/>
            <w:vAlign w:val="center"/>
          </w:tcPr>
          <w:p w14:paraId="135DC2CD" w14:textId="1B1ACD8C" w:rsidR="00262FDC" w:rsidRPr="000402DA" w:rsidRDefault="00262FDC" w:rsidP="00262FDC">
            <w:pPr>
              <w:tabs>
                <w:tab w:val="decimal" w:pos="626"/>
              </w:tabs>
              <w:jc w:val="left"/>
              <w:rPr>
                <w:sz w:val="16"/>
                <w:szCs w:val="16"/>
              </w:rPr>
            </w:pPr>
            <w:r>
              <w:rPr>
                <w:color w:val="000000"/>
                <w:sz w:val="16"/>
                <w:szCs w:val="16"/>
              </w:rPr>
              <w:t>6.1</w:t>
            </w:r>
          </w:p>
        </w:tc>
        <w:tc>
          <w:tcPr>
            <w:tcW w:w="1318" w:type="dxa"/>
            <w:tcBorders>
              <w:top w:val="nil"/>
              <w:left w:val="nil"/>
              <w:bottom w:val="single" w:sz="6" w:space="0" w:color="404040"/>
              <w:right w:val="nil"/>
            </w:tcBorders>
            <w:shd w:val="clear" w:color="auto" w:fill="auto"/>
            <w:noWrap/>
            <w:vAlign w:val="center"/>
          </w:tcPr>
          <w:p w14:paraId="0F06E8F3" w14:textId="45AC6A77" w:rsidR="00262FDC" w:rsidRPr="000402DA" w:rsidRDefault="00262FDC" w:rsidP="00262FDC">
            <w:pPr>
              <w:tabs>
                <w:tab w:val="decimal" w:pos="564"/>
              </w:tabs>
              <w:jc w:val="left"/>
              <w:rPr>
                <w:sz w:val="16"/>
                <w:szCs w:val="16"/>
              </w:rPr>
            </w:pPr>
            <w:r>
              <w:rPr>
                <w:color w:val="000000"/>
                <w:sz w:val="16"/>
                <w:szCs w:val="16"/>
              </w:rPr>
              <w:t>0.6</w:t>
            </w:r>
          </w:p>
        </w:tc>
        <w:tc>
          <w:tcPr>
            <w:tcW w:w="1162" w:type="dxa"/>
            <w:tcBorders>
              <w:top w:val="nil"/>
              <w:left w:val="nil"/>
              <w:bottom w:val="single" w:sz="6" w:space="0" w:color="404040"/>
              <w:right w:val="nil"/>
            </w:tcBorders>
            <w:shd w:val="clear" w:color="auto" w:fill="auto"/>
            <w:noWrap/>
            <w:vAlign w:val="center"/>
          </w:tcPr>
          <w:p w14:paraId="172367C7" w14:textId="1A515460" w:rsidR="00262FDC" w:rsidRPr="000402DA" w:rsidRDefault="00262FDC" w:rsidP="00262FDC">
            <w:pPr>
              <w:tabs>
                <w:tab w:val="decimal" w:pos="539"/>
              </w:tabs>
              <w:jc w:val="left"/>
              <w:rPr>
                <w:sz w:val="16"/>
                <w:szCs w:val="16"/>
              </w:rPr>
            </w:pPr>
            <w:r>
              <w:rPr>
                <w:color w:val="000000"/>
                <w:sz w:val="16"/>
                <w:szCs w:val="16"/>
              </w:rPr>
              <w:t>0.3</w:t>
            </w:r>
          </w:p>
        </w:tc>
        <w:tc>
          <w:tcPr>
            <w:tcW w:w="1161" w:type="dxa"/>
            <w:tcBorders>
              <w:top w:val="nil"/>
              <w:left w:val="nil"/>
              <w:bottom w:val="single" w:sz="6" w:space="0" w:color="404040"/>
              <w:right w:val="single" w:sz="6" w:space="0" w:color="404040"/>
            </w:tcBorders>
            <w:shd w:val="clear" w:color="auto" w:fill="auto"/>
            <w:noWrap/>
            <w:vAlign w:val="center"/>
          </w:tcPr>
          <w:p w14:paraId="44510B4B" w14:textId="5A45352C" w:rsidR="00262FDC" w:rsidRPr="000402DA" w:rsidRDefault="00262FDC" w:rsidP="00262FDC">
            <w:pPr>
              <w:tabs>
                <w:tab w:val="decimal" w:pos="589"/>
              </w:tabs>
              <w:jc w:val="left"/>
              <w:rPr>
                <w:sz w:val="16"/>
                <w:szCs w:val="16"/>
              </w:rPr>
            </w:pPr>
            <w:r>
              <w:rPr>
                <w:color w:val="000000"/>
                <w:sz w:val="16"/>
                <w:szCs w:val="16"/>
              </w:rPr>
              <w:t>10.7</w:t>
            </w:r>
          </w:p>
        </w:tc>
      </w:tr>
    </w:tbl>
    <w:p w14:paraId="347C75D8" w14:textId="30BE5BDD" w:rsidR="00467BD1" w:rsidRPr="00F87E34" w:rsidRDefault="00467BD1" w:rsidP="00A22233">
      <w:pPr>
        <w:pStyle w:val="Textoindependiente"/>
        <w:widowControl w:val="0"/>
        <w:tabs>
          <w:tab w:val="left" w:pos="709"/>
        </w:tabs>
        <w:spacing w:before="0"/>
        <w:ind w:left="851" w:hanging="709"/>
        <w:rPr>
          <w:color w:val="auto"/>
          <w:sz w:val="16"/>
          <w:szCs w:val="16"/>
        </w:rPr>
      </w:pPr>
      <w:r w:rsidRPr="00F87E34">
        <w:rPr>
          <w:color w:val="auto"/>
          <w:sz w:val="18"/>
          <w:szCs w:val="18"/>
          <w:vertAlign w:val="superscript"/>
        </w:rPr>
        <w:t>p/</w:t>
      </w:r>
      <w:r w:rsidR="009D4C7B" w:rsidRPr="00F87E34">
        <w:rPr>
          <w:color w:val="auto"/>
          <w:sz w:val="18"/>
          <w:szCs w:val="18"/>
          <w:vertAlign w:val="superscript"/>
        </w:rPr>
        <w:tab/>
      </w:r>
      <w:r w:rsidRPr="00F87E34">
        <w:rPr>
          <w:color w:val="auto"/>
          <w:sz w:val="16"/>
          <w:szCs w:val="16"/>
        </w:rPr>
        <w:t>Cifras preliminares</w:t>
      </w:r>
      <w:r w:rsidR="00BE0F5E">
        <w:rPr>
          <w:color w:val="auto"/>
          <w:sz w:val="16"/>
          <w:szCs w:val="16"/>
        </w:rPr>
        <w:t>.</w:t>
      </w:r>
    </w:p>
    <w:p w14:paraId="25C1BF4E" w14:textId="11D6F299" w:rsidR="00F00159" w:rsidRPr="00F87E34" w:rsidRDefault="0049231D" w:rsidP="00A22233">
      <w:pPr>
        <w:pStyle w:val="Textoindependiente"/>
        <w:widowControl w:val="0"/>
        <w:tabs>
          <w:tab w:val="left" w:pos="709"/>
        </w:tabs>
        <w:spacing w:before="0"/>
        <w:ind w:left="851" w:hanging="709"/>
        <w:rPr>
          <w:color w:val="auto"/>
          <w:sz w:val="16"/>
          <w:szCs w:val="16"/>
        </w:rPr>
      </w:pPr>
      <w:r w:rsidRPr="00F87E34">
        <w:rPr>
          <w:color w:val="auto"/>
          <w:position w:val="-2"/>
          <w:sz w:val="18"/>
          <w:szCs w:val="16"/>
          <w:vertAlign w:val="superscript"/>
        </w:rPr>
        <w:t>1/</w:t>
      </w:r>
      <w:r w:rsidR="009D4C7B" w:rsidRPr="00F87E34">
        <w:rPr>
          <w:color w:val="auto"/>
          <w:sz w:val="16"/>
          <w:szCs w:val="16"/>
        </w:rPr>
        <w:tab/>
      </w:r>
      <w:r w:rsidR="00F00159" w:rsidRPr="00F87E34">
        <w:rPr>
          <w:color w:val="auto"/>
          <w:sz w:val="16"/>
          <w:szCs w:val="16"/>
        </w:rPr>
        <w:t>En términos reales</w:t>
      </w:r>
      <w:r w:rsidR="00BE0F5E">
        <w:rPr>
          <w:color w:val="auto"/>
          <w:sz w:val="16"/>
          <w:szCs w:val="16"/>
        </w:rPr>
        <w:t>.</w:t>
      </w:r>
    </w:p>
    <w:p w14:paraId="5EE5EFD1" w14:textId="080C42C4" w:rsidR="002F1CE6" w:rsidRPr="00F87E34" w:rsidRDefault="00467BD1" w:rsidP="00F535F6">
      <w:pPr>
        <w:pStyle w:val="Textoindependiente"/>
        <w:widowControl w:val="0"/>
        <w:tabs>
          <w:tab w:val="left" w:pos="709"/>
        </w:tabs>
        <w:spacing w:before="0"/>
        <w:ind w:left="1134" w:hanging="992"/>
        <w:rPr>
          <w:color w:val="auto"/>
          <w:sz w:val="16"/>
          <w:szCs w:val="16"/>
        </w:rPr>
      </w:pPr>
      <w:r w:rsidRPr="00F87E34">
        <w:rPr>
          <w:color w:val="auto"/>
          <w:sz w:val="16"/>
          <w:szCs w:val="16"/>
        </w:rPr>
        <w:t>Fuente:</w:t>
      </w:r>
      <w:r w:rsidR="00A82501" w:rsidRPr="00F87E34">
        <w:rPr>
          <w:color w:val="auto"/>
          <w:sz w:val="16"/>
          <w:szCs w:val="16"/>
        </w:rPr>
        <w:tab/>
      </w:r>
      <w:r w:rsidR="00F535F6" w:rsidRPr="00F24107">
        <w:rPr>
          <w:smallCaps/>
          <w:color w:val="auto"/>
          <w:sz w:val="16"/>
          <w:szCs w:val="16"/>
        </w:rPr>
        <w:t>inegi</w:t>
      </w:r>
      <w:r w:rsidR="00F535F6">
        <w:rPr>
          <w:color w:val="auto"/>
          <w:sz w:val="16"/>
          <w:szCs w:val="16"/>
        </w:rPr>
        <w:t xml:space="preserve">. </w:t>
      </w:r>
      <w:r w:rsidR="00F535F6" w:rsidRPr="00F24107">
        <w:rPr>
          <w:color w:val="auto"/>
          <w:sz w:val="16"/>
          <w:szCs w:val="16"/>
        </w:rPr>
        <w:t>Encuesta Mensual sobre Empresas Comerciales (</w:t>
      </w:r>
      <w:r w:rsidR="00F535F6" w:rsidRPr="00F24107">
        <w:rPr>
          <w:smallCaps/>
          <w:color w:val="auto"/>
          <w:sz w:val="16"/>
          <w:szCs w:val="16"/>
        </w:rPr>
        <w:t>emec</w:t>
      </w:r>
      <w:r w:rsidR="00F535F6" w:rsidRPr="00F24107">
        <w:rPr>
          <w:color w:val="auto"/>
          <w:sz w:val="16"/>
          <w:szCs w:val="16"/>
        </w:rPr>
        <w:t>)</w:t>
      </w:r>
      <w:r w:rsidR="00F535F6">
        <w:rPr>
          <w:color w:val="auto"/>
          <w:sz w:val="16"/>
          <w:szCs w:val="16"/>
        </w:rPr>
        <w:t>, 2023.</w:t>
      </w:r>
    </w:p>
    <w:p w14:paraId="3BEEFD34" w14:textId="77777777" w:rsidR="00BE4B77" w:rsidRDefault="00BE4B77">
      <w:pPr>
        <w:jc w:val="left"/>
        <w:rPr>
          <w:b/>
          <w:iCs/>
          <w:smallCaps/>
          <w:snapToGrid w:val="0"/>
        </w:rPr>
      </w:pPr>
      <w:r>
        <w:rPr>
          <w:b/>
          <w:iCs/>
          <w:smallCaps/>
        </w:rPr>
        <w:br w:type="page"/>
      </w:r>
    </w:p>
    <w:p w14:paraId="0B6FBE76" w14:textId="5A05C383" w:rsidR="0060116B" w:rsidRDefault="0060116B" w:rsidP="00EA274B">
      <w:pPr>
        <w:pStyle w:val="p0"/>
        <w:keepLines w:val="0"/>
        <w:widowControl/>
        <w:spacing w:before="360"/>
        <w:rPr>
          <w:rFonts w:ascii="Arial" w:hAnsi="Arial"/>
          <w:b/>
          <w:iCs/>
          <w:smallCaps/>
          <w:color w:val="auto"/>
        </w:rPr>
      </w:pPr>
      <w:r w:rsidRPr="0060116B">
        <w:rPr>
          <w:rFonts w:ascii="Arial" w:hAnsi="Arial"/>
          <w:b/>
          <w:iCs/>
          <w:smallCaps/>
          <w:color w:val="auto"/>
        </w:rPr>
        <w:lastRenderedPageBreak/>
        <w:t>Nota al usuario</w:t>
      </w:r>
    </w:p>
    <w:p w14:paraId="06DE00F7" w14:textId="4CF8D4CA" w:rsidR="0060116B" w:rsidRPr="003F0296" w:rsidRDefault="001D7A50" w:rsidP="0060116B">
      <w:pPr>
        <w:pStyle w:val="p0"/>
        <w:keepLines w:val="0"/>
        <w:spacing w:before="280"/>
        <w:rPr>
          <w:rFonts w:ascii="Arial" w:hAnsi="Arial"/>
          <w:color w:val="auto"/>
        </w:rPr>
      </w:pPr>
      <w:r w:rsidRPr="003F0296">
        <w:rPr>
          <w:rFonts w:ascii="Arial" w:hAnsi="Arial"/>
          <w:color w:val="auto"/>
        </w:rPr>
        <w:t xml:space="preserve">Para cumplir con </w:t>
      </w:r>
      <w:r w:rsidR="0060116B" w:rsidRPr="003F0296">
        <w:rPr>
          <w:rFonts w:ascii="Arial" w:hAnsi="Arial"/>
          <w:color w:val="auto"/>
        </w:rPr>
        <w:t>el Calendario de difusión del Instituto, el próximo 7 de diciembre, se pondrá a disposición de las y los usuarios la nueva serie estadística de la Encuesta Anual del Comercio (</w:t>
      </w:r>
      <w:r w:rsidR="0060116B" w:rsidRPr="003F0296">
        <w:rPr>
          <w:rFonts w:ascii="Arial" w:hAnsi="Arial"/>
          <w:smallCaps/>
          <w:color w:val="auto"/>
        </w:rPr>
        <w:t>eac</w:t>
      </w:r>
      <w:r w:rsidR="0060116B" w:rsidRPr="003F0296">
        <w:rPr>
          <w:rFonts w:ascii="Arial" w:hAnsi="Arial"/>
          <w:color w:val="auto"/>
        </w:rPr>
        <w:t xml:space="preserve">), correspondiente a 2021 y 2022, </w:t>
      </w:r>
      <w:r w:rsidR="0050388F">
        <w:rPr>
          <w:rFonts w:ascii="Arial" w:hAnsi="Arial"/>
          <w:color w:val="auto"/>
        </w:rPr>
        <w:t>serie</w:t>
      </w:r>
      <w:r w:rsidRPr="003F0296">
        <w:rPr>
          <w:rFonts w:ascii="Arial" w:hAnsi="Arial"/>
          <w:color w:val="auto"/>
        </w:rPr>
        <w:t xml:space="preserve"> </w:t>
      </w:r>
      <w:r w:rsidR="0060116B" w:rsidRPr="003F0296">
        <w:rPr>
          <w:rFonts w:ascii="Arial" w:hAnsi="Arial"/>
          <w:color w:val="auto"/>
        </w:rPr>
        <w:t>2018.</w:t>
      </w:r>
    </w:p>
    <w:p w14:paraId="780F3B8E" w14:textId="4EB64F3D" w:rsidR="0060116B" w:rsidRDefault="0060116B" w:rsidP="0060116B">
      <w:pPr>
        <w:pStyle w:val="p0"/>
        <w:keepLines w:val="0"/>
        <w:spacing w:before="280"/>
        <w:rPr>
          <w:rFonts w:ascii="Arial" w:hAnsi="Arial"/>
          <w:color w:val="auto"/>
        </w:rPr>
      </w:pPr>
      <w:r w:rsidRPr="003F0296">
        <w:rPr>
          <w:rFonts w:ascii="Arial" w:hAnsi="Arial"/>
          <w:color w:val="auto"/>
        </w:rPr>
        <w:t xml:space="preserve">El objetivo de la </w:t>
      </w:r>
      <w:r w:rsidRPr="003F0296">
        <w:rPr>
          <w:rFonts w:ascii="Arial" w:hAnsi="Arial"/>
          <w:smallCaps/>
          <w:color w:val="auto"/>
        </w:rPr>
        <w:t>eac</w:t>
      </w:r>
      <w:r w:rsidRPr="003F0296">
        <w:rPr>
          <w:rFonts w:ascii="Arial" w:hAnsi="Arial"/>
          <w:color w:val="auto"/>
        </w:rPr>
        <w:t xml:space="preserve"> es captar y generar información estadística básica que permita conocer la tendencia, factores y dinámica sobre el comportamiento de la actividad comercial en México; </w:t>
      </w:r>
      <w:r w:rsidR="00706CFF" w:rsidRPr="003F0296">
        <w:rPr>
          <w:rFonts w:ascii="Arial" w:hAnsi="Arial"/>
          <w:color w:val="auto"/>
        </w:rPr>
        <w:t>fundamental</w:t>
      </w:r>
      <w:r w:rsidRPr="003F0296">
        <w:rPr>
          <w:rFonts w:ascii="Arial" w:hAnsi="Arial"/>
          <w:color w:val="auto"/>
        </w:rPr>
        <w:t xml:space="preserve"> para </w:t>
      </w:r>
      <w:r w:rsidR="002955D8" w:rsidRPr="003F0296">
        <w:rPr>
          <w:rFonts w:ascii="Arial" w:hAnsi="Arial"/>
          <w:color w:val="auto"/>
        </w:rPr>
        <w:t xml:space="preserve">el </w:t>
      </w:r>
      <w:r w:rsidRPr="003F0296">
        <w:rPr>
          <w:rFonts w:ascii="Arial" w:hAnsi="Arial"/>
          <w:color w:val="auto"/>
        </w:rPr>
        <w:t xml:space="preserve">análisis en materia económica con perspectiva de género. En este sentido, la oferta estadística de la </w:t>
      </w:r>
      <w:r w:rsidRPr="003F0296">
        <w:rPr>
          <w:rFonts w:ascii="Arial" w:hAnsi="Arial"/>
          <w:smallCaps/>
          <w:color w:val="auto"/>
        </w:rPr>
        <w:t>eac</w:t>
      </w:r>
      <w:r w:rsidRPr="003F0296">
        <w:rPr>
          <w:rFonts w:ascii="Arial" w:hAnsi="Arial"/>
          <w:color w:val="auto"/>
        </w:rPr>
        <w:t xml:space="preserve"> presenta datos desagregados en hombres y mujeres para las siguientes variables: personal ocupado, horas trabajadas, nivel de estudios, capacitación al personal</w:t>
      </w:r>
      <w:r w:rsidR="00157435" w:rsidRPr="003F0296">
        <w:rPr>
          <w:rFonts w:ascii="Arial" w:hAnsi="Arial"/>
          <w:color w:val="auto"/>
        </w:rPr>
        <w:t xml:space="preserve">, </w:t>
      </w:r>
      <w:r w:rsidRPr="003F0296">
        <w:rPr>
          <w:rFonts w:ascii="Arial" w:hAnsi="Arial"/>
          <w:color w:val="auto"/>
        </w:rPr>
        <w:t>remuneraciones</w:t>
      </w:r>
      <w:r w:rsidR="004242DF">
        <w:rPr>
          <w:rFonts w:ascii="Arial" w:hAnsi="Arial"/>
          <w:color w:val="auto"/>
        </w:rPr>
        <w:t xml:space="preserve">. </w:t>
      </w:r>
      <w:r w:rsidR="004242DF" w:rsidRPr="004242DF">
        <w:rPr>
          <w:rFonts w:ascii="Arial" w:hAnsi="Arial"/>
          <w:color w:val="auto"/>
        </w:rPr>
        <w:t>Dentro de su temática también se consideran datos</w:t>
      </w:r>
      <w:r w:rsidR="004242DF">
        <w:rPr>
          <w:rFonts w:ascii="Arial" w:hAnsi="Arial"/>
          <w:color w:val="auto"/>
        </w:rPr>
        <w:t xml:space="preserve"> sobre </w:t>
      </w:r>
      <w:r w:rsidR="00706CFF" w:rsidRPr="003F0296">
        <w:rPr>
          <w:rFonts w:ascii="Arial" w:hAnsi="Arial"/>
          <w:color w:val="auto"/>
        </w:rPr>
        <w:t>ingresos, gastos</w:t>
      </w:r>
      <w:r w:rsidR="00157435" w:rsidRPr="003F0296">
        <w:rPr>
          <w:rFonts w:ascii="Arial" w:hAnsi="Arial"/>
          <w:color w:val="auto"/>
        </w:rPr>
        <w:t xml:space="preserve"> y </w:t>
      </w:r>
      <w:r w:rsidR="00706CFF" w:rsidRPr="003F0296">
        <w:rPr>
          <w:rFonts w:ascii="Arial" w:hAnsi="Arial"/>
          <w:color w:val="auto"/>
        </w:rPr>
        <w:t>activos</w:t>
      </w:r>
      <w:r w:rsidRPr="003F0296">
        <w:rPr>
          <w:rFonts w:ascii="Arial" w:hAnsi="Arial"/>
          <w:color w:val="auto"/>
        </w:rPr>
        <w:t>, entre otros.</w:t>
      </w:r>
      <w:r w:rsidR="00706CFF" w:rsidRPr="003F0296">
        <w:rPr>
          <w:rFonts w:ascii="Arial" w:hAnsi="Arial"/>
          <w:color w:val="auto"/>
        </w:rPr>
        <w:t xml:space="preserve"> </w:t>
      </w:r>
    </w:p>
    <w:p w14:paraId="6B4487FE" w14:textId="56077B3A" w:rsidR="008A48D7" w:rsidRPr="0060116B" w:rsidRDefault="00467BD1" w:rsidP="0060116B">
      <w:pPr>
        <w:pStyle w:val="p0"/>
        <w:keepLines w:val="0"/>
        <w:widowControl/>
        <w:spacing w:before="360"/>
        <w:rPr>
          <w:rFonts w:ascii="Arial" w:hAnsi="Arial"/>
          <w:b/>
          <w:iCs/>
          <w:smallCaps/>
          <w:color w:val="auto"/>
        </w:rPr>
      </w:pPr>
      <w:r w:rsidRPr="0060116B">
        <w:rPr>
          <w:rFonts w:ascii="Arial" w:hAnsi="Arial"/>
          <w:b/>
          <w:iCs/>
          <w:smallCaps/>
          <w:color w:val="auto"/>
        </w:rPr>
        <w:t>Nota metodológica</w:t>
      </w:r>
    </w:p>
    <w:p w14:paraId="0076798A" w14:textId="40EFEC05" w:rsidR="00053BE1" w:rsidRPr="00F87E34" w:rsidRDefault="00053BE1" w:rsidP="00053BE1">
      <w:pPr>
        <w:pStyle w:val="p0"/>
        <w:keepLines w:val="0"/>
        <w:spacing w:before="280"/>
        <w:rPr>
          <w:rFonts w:ascii="Arial" w:hAnsi="Arial"/>
          <w:color w:val="auto"/>
        </w:rPr>
      </w:pPr>
      <w:r w:rsidRPr="00F87E34">
        <w:rPr>
          <w:rFonts w:ascii="Arial" w:hAnsi="Arial"/>
          <w:color w:val="auto"/>
        </w:rPr>
        <w:t xml:space="preserve">Con las variables </w:t>
      </w:r>
      <w:r w:rsidR="009923A9">
        <w:rPr>
          <w:rFonts w:ascii="Arial" w:hAnsi="Arial"/>
          <w:color w:val="auto"/>
        </w:rPr>
        <w:t>que capta</w:t>
      </w:r>
      <w:r w:rsidRPr="00F87E34">
        <w:rPr>
          <w:rFonts w:ascii="Arial" w:hAnsi="Arial"/>
          <w:color w:val="auto"/>
        </w:rPr>
        <w:t xml:space="preserve"> la </w:t>
      </w:r>
      <w:r w:rsidR="00BE0F5E" w:rsidRPr="00BE0F5E">
        <w:rPr>
          <w:rFonts w:ascii="Arial" w:hAnsi="Arial"/>
          <w:smallCaps/>
          <w:color w:val="auto"/>
        </w:rPr>
        <w:t>emec</w:t>
      </w:r>
      <w:r w:rsidRPr="00F87E34">
        <w:rPr>
          <w:rFonts w:ascii="Arial" w:hAnsi="Arial"/>
          <w:color w:val="auto"/>
        </w:rPr>
        <w:t>, se generan índices y tasas de variación</w:t>
      </w:r>
      <w:r>
        <w:rPr>
          <w:rFonts w:ascii="Arial" w:hAnsi="Arial"/>
          <w:color w:val="auto"/>
        </w:rPr>
        <w:t xml:space="preserve"> anual a nivel nacional</w:t>
      </w:r>
      <w:r w:rsidRPr="00F87E34">
        <w:rPr>
          <w:rFonts w:ascii="Arial" w:hAnsi="Arial"/>
          <w:color w:val="auto"/>
        </w:rPr>
        <w:t xml:space="preserve"> de: ingresos totales por suministro de bienes y servicios</w:t>
      </w:r>
      <w:r>
        <w:rPr>
          <w:rFonts w:ascii="Arial" w:hAnsi="Arial"/>
          <w:color w:val="auto"/>
        </w:rPr>
        <w:t xml:space="preserve">, </w:t>
      </w:r>
      <w:r w:rsidRPr="00F87E34">
        <w:rPr>
          <w:rFonts w:ascii="Arial" w:hAnsi="Arial"/>
          <w:color w:val="auto"/>
        </w:rPr>
        <w:t>gastos totales por consumo de bienes y servicios</w:t>
      </w:r>
      <w:r>
        <w:rPr>
          <w:rFonts w:ascii="Arial" w:hAnsi="Arial"/>
          <w:color w:val="auto"/>
        </w:rPr>
        <w:t>,</w:t>
      </w:r>
      <w:r w:rsidRPr="00F87E34">
        <w:rPr>
          <w:rFonts w:ascii="Arial" w:hAnsi="Arial"/>
          <w:color w:val="auto"/>
        </w:rPr>
        <w:t xml:space="preserve"> personal ocupado total</w:t>
      </w:r>
      <w:r>
        <w:rPr>
          <w:rFonts w:ascii="Arial" w:hAnsi="Arial"/>
          <w:color w:val="auto"/>
        </w:rPr>
        <w:t>,</w:t>
      </w:r>
      <w:r w:rsidRPr="00F87E34">
        <w:rPr>
          <w:rFonts w:ascii="Arial" w:hAnsi="Arial"/>
          <w:color w:val="auto"/>
        </w:rPr>
        <w:t xml:space="preserve"> </w:t>
      </w:r>
      <w:r>
        <w:rPr>
          <w:rFonts w:ascii="Arial" w:hAnsi="Arial"/>
          <w:color w:val="auto"/>
        </w:rPr>
        <w:t xml:space="preserve">personal dependiente de la razón social, personal no dependiente de la razón social, </w:t>
      </w:r>
      <w:r w:rsidRPr="00F87E34">
        <w:rPr>
          <w:rFonts w:ascii="Arial" w:hAnsi="Arial"/>
          <w:color w:val="auto"/>
        </w:rPr>
        <w:t>remuneraciones totales</w:t>
      </w:r>
      <w:r>
        <w:rPr>
          <w:rFonts w:ascii="Arial" w:hAnsi="Arial"/>
          <w:color w:val="auto"/>
        </w:rPr>
        <w:t xml:space="preserve">, </w:t>
      </w:r>
      <w:r w:rsidRPr="00F87E34">
        <w:rPr>
          <w:rFonts w:ascii="Arial" w:hAnsi="Arial"/>
          <w:color w:val="auto"/>
        </w:rPr>
        <w:t>remuneraciones medias por persona ocupada</w:t>
      </w:r>
      <w:r>
        <w:rPr>
          <w:rFonts w:ascii="Arial" w:hAnsi="Arial"/>
          <w:color w:val="auto"/>
        </w:rPr>
        <w:t xml:space="preserve">, </w:t>
      </w:r>
      <w:r w:rsidR="00A54A8E" w:rsidRPr="006D5A0E">
        <w:rPr>
          <w:rFonts w:ascii="Arial" w:hAnsi="Arial"/>
          <w:color w:val="auto"/>
        </w:rPr>
        <w:t>sueldos pagados al personal remunerado</w:t>
      </w:r>
      <w:r w:rsidR="00A54A8E">
        <w:rPr>
          <w:rFonts w:ascii="Arial" w:hAnsi="Arial"/>
          <w:color w:val="auto"/>
        </w:rPr>
        <w:t xml:space="preserve">, </w:t>
      </w:r>
      <w:r>
        <w:rPr>
          <w:rFonts w:ascii="Arial" w:hAnsi="Arial"/>
          <w:color w:val="auto"/>
        </w:rPr>
        <w:t>i</w:t>
      </w:r>
      <w:r w:rsidRPr="003557EF">
        <w:rPr>
          <w:rFonts w:ascii="Arial" w:hAnsi="Arial"/>
          <w:color w:val="auto"/>
        </w:rPr>
        <w:t>ngresos por la compraventa de mercancías sin transformación</w:t>
      </w:r>
      <w:r w:rsidR="000668F6">
        <w:rPr>
          <w:rFonts w:ascii="Arial" w:hAnsi="Arial"/>
          <w:color w:val="auto"/>
        </w:rPr>
        <w:t>,</w:t>
      </w:r>
      <w:r>
        <w:rPr>
          <w:rFonts w:ascii="Arial" w:hAnsi="Arial"/>
          <w:color w:val="auto"/>
        </w:rPr>
        <w:t xml:space="preserve"> </w:t>
      </w:r>
      <w:r w:rsidR="00201D88">
        <w:rPr>
          <w:rFonts w:ascii="Arial" w:hAnsi="Arial"/>
          <w:color w:val="auto"/>
        </w:rPr>
        <w:t>y</w:t>
      </w:r>
      <w:r>
        <w:rPr>
          <w:rFonts w:ascii="Arial" w:hAnsi="Arial"/>
          <w:color w:val="auto"/>
        </w:rPr>
        <w:t xml:space="preserve"> </w:t>
      </w:r>
      <w:r w:rsidR="0025588E">
        <w:rPr>
          <w:rFonts w:ascii="Arial" w:hAnsi="Arial"/>
          <w:color w:val="auto"/>
        </w:rPr>
        <w:t xml:space="preserve">de </w:t>
      </w:r>
      <w:r w:rsidRPr="00F87E34">
        <w:rPr>
          <w:rFonts w:ascii="Arial" w:hAnsi="Arial"/>
          <w:color w:val="auto"/>
        </w:rPr>
        <w:t>mercancías compradas para su reventa</w:t>
      </w:r>
      <w:r>
        <w:rPr>
          <w:rFonts w:ascii="Arial" w:hAnsi="Arial"/>
          <w:color w:val="auto"/>
        </w:rPr>
        <w:t xml:space="preserve"> sin transformación</w:t>
      </w:r>
      <w:r w:rsidR="000668F6">
        <w:rPr>
          <w:rFonts w:ascii="Arial" w:hAnsi="Arial"/>
          <w:color w:val="auto"/>
        </w:rPr>
        <w:t>. E</w:t>
      </w:r>
      <w:r>
        <w:rPr>
          <w:rFonts w:ascii="Arial" w:hAnsi="Arial"/>
          <w:color w:val="auto"/>
        </w:rPr>
        <w:t>stos tres últimos indicadores están disponibles a partir de enero de 2018. Por entidad federativa</w:t>
      </w:r>
      <w:r w:rsidR="007A3DE7">
        <w:rPr>
          <w:rFonts w:ascii="Arial" w:hAnsi="Arial"/>
          <w:color w:val="auto"/>
        </w:rPr>
        <w:t xml:space="preserve"> se generan</w:t>
      </w:r>
      <w:r w:rsidR="00E26384">
        <w:rPr>
          <w:rFonts w:ascii="Arial" w:hAnsi="Arial"/>
          <w:color w:val="auto"/>
        </w:rPr>
        <w:t xml:space="preserve"> índices y tasas de</w:t>
      </w:r>
      <w:r>
        <w:rPr>
          <w:rFonts w:ascii="Arial" w:hAnsi="Arial"/>
          <w:color w:val="auto"/>
        </w:rPr>
        <w:t xml:space="preserve">: ingresos totales por suministro de bienes y servicios, personal ocupado total, </w:t>
      </w:r>
      <w:r w:rsidRPr="00F87E34">
        <w:rPr>
          <w:rFonts w:ascii="Arial" w:hAnsi="Arial"/>
          <w:color w:val="auto"/>
        </w:rPr>
        <w:t>mercancías compradas para su reventa</w:t>
      </w:r>
      <w:r>
        <w:rPr>
          <w:rFonts w:ascii="Arial" w:hAnsi="Arial"/>
          <w:color w:val="auto"/>
        </w:rPr>
        <w:t xml:space="preserve"> sin transformación, </w:t>
      </w:r>
      <w:r w:rsidRPr="00F87E34">
        <w:rPr>
          <w:rFonts w:ascii="Arial" w:hAnsi="Arial"/>
          <w:color w:val="auto"/>
        </w:rPr>
        <w:t>remuneraciones totales</w:t>
      </w:r>
      <w:r>
        <w:rPr>
          <w:rFonts w:ascii="Arial" w:hAnsi="Arial"/>
          <w:color w:val="auto"/>
        </w:rPr>
        <w:t xml:space="preserve"> y</w:t>
      </w:r>
      <w:r w:rsidRPr="00F87E34">
        <w:rPr>
          <w:rFonts w:ascii="Arial" w:hAnsi="Arial"/>
          <w:color w:val="auto"/>
        </w:rPr>
        <w:t xml:space="preserve"> remuneraciones medias por persona ocupada. El año base de los índices es 201</w:t>
      </w:r>
      <w:r>
        <w:rPr>
          <w:rFonts w:ascii="Arial" w:hAnsi="Arial"/>
          <w:color w:val="auto"/>
        </w:rPr>
        <w:t xml:space="preserve">8, </w:t>
      </w:r>
      <w:r w:rsidRPr="00F87E34">
        <w:rPr>
          <w:rFonts w:ascii="Arial" w:hAnsi="Arial"/>
          <w:color w:val="auto"/>
        </w:rPr>
        <w:t>año referente de la información de los Censos Económicos 201</w:t>
      </w:r>
      <w:r>
        <w:rPr>
          <w:rFonts w:ascii="Arial" w:hAnsi="Arial"/>
          <w:color w:val="auto"/>
        </w:rPr>
        <w:t>9 (</w:t>
      </w:r>
      <w:r w:rsidR="00BE0F5E" w:rsidRPr="00BE0F5E">
        <w:rPr>
          <w:rFonts w:ascii="Arial" w:hAnsi="Arial"/>
          <w:smallCaps/>
          <w:color w:val="auto"/>
        </w:rPr>
        <w:t>ce</w:t>
      </w:r>
      <w:r>
        <w:rPr>
          <w:rFonts w:ascii="Arial" w:hAnsi="Arial"/>
          <w:color w:val="auto"/>
        </w:rPr>
        <w:t xml:space="preserve"> 2019) y </w:t>
      </w:r>
      <w:r w:rsidRPr="00F87E34">
        <w:rPr>
          <w:rFonts w:ascii="Arial" w:hAnsi="Arial"/>
          <w:color w:val="auto"/>
        </w:rPr>
        <w:t>del Sistema de Cuentas Nacionales de México.</w:t>
      </w:r>
    </w:p>
    <w:p w14:paraId="5C21661E" w14:textId="23C7C772" w:rsidR="00053BE1" w:rsidRPr="00F87E34" w:rsidRDefault="00053BE1" w:rsidP="00053BE1">
      <w:pPr>
        <w:pStyle w:val="p0"/>
        <w:keepLines w:val="0"/>
        <w:rPr>
          <w:rFonts w:ascii="Arial" w:hAnsi="Arial"/>
          <w:color w:val="auto"/>
        </w:rPr>
      </w:pPr>
      <w:r w:rsidRPr="00F87E34">
        <w:rPr>
          <w:rFonts w:ascii="Arial" w:hAnsi="Arial"/>
          <w:color w:val="auto"/>
        </w:rPr>
        <w:t>Para deflactar los ingresos por suministro de bienes y servicios, gastos por consumo de bienes y servicios</w:t>
      </w:r>
      <w:r w:rsidR="00BD2EA0">
        <w:rPr>
          <w:rFonts w:ascii="Arial" w:hAnsi="Arial"/>
          <w:color w:val="auto"/>
        </w:rPr>
        <w:t>,</w:t>
      </w:r>
      <w:r w:rsidRPr="00F87E34">
        <w:rPr>
          <w:rFonts w:ascii="Arial" w:hAnsi="Arial"/>
          <w:color w:val="auto"/>
        </w:rPr>
        <w:t xml:space="preserve"> </w:t>
      </w:r>
      <w:r>
        <w:rPr>
          <w:rFonts w:ascii="Arial" w:hAnsi="Arial"/>
          <w:color w:val="auto"/>
        </w:rPr>
        <w:t>así como</w:t>
      </w:r>
      <w:r w:rsidRPr="00F87E34">
        <w:rPr>
          <w:rFonts w:ascii="Arial" w:hAnsi="Arial"/>
          <w:color w:val="auto"/>
        </w:rPr>
        <w:t xml:space="preserve"> las remuneraciones, la </w:t>
      </w:r>
      <w:r w:rsidR="00BE0F5E" w:rsidRPr="00BE0F5E">
        <w:rPr>
          <w:rFonts w:ascii="Arial" w:hAnsi="Arial"/>
          <w:smallCaps/>
          <w:color w:val="auto"/>
        </w:rPr>
        <w:t>emec</w:t>
      </w:r>
      <w:r w:rsidRPr="00F87E34">
        <w:rPr>
          <w:rFonts w:ascii="Arial" w:hAnsi="Arial"/>
          <w:color w:val="auto"/>
        </w:rPr>
        <w:t xml:space="preserve"> utiliza los índices de precios </w:t>
      </w:r>
      <w:r>
        <w:rPr>
          <w:rFonts w:ascii="Arial" w:hAnsi="Arial"/>
          <w:color w:val="auto"/>
        </w:rPr>
        <w:t xml:space="preserve">que </w:t>
      </w:r>
      <w:r w:rsidRPr="00F87E34">
        <w:rPr>
          <w:rFonts w:ascii="Arial" w:hAnsi="Arial"/>
          <w:color w:val="auto"/>
        </w:rPr>
        <w:t xml:space="preserve">publica el </w:t>
      </w:r>
      <w:r w:rsidR="00BE0F5E" w:rsidRPr="00BE0F5E">
        <w:rPr>
          <w:rFonts w:ascii="Arial" w:hAnsi="Arial"/>
          <w:smallCaps/>
          <w:color w:val="auto"/>
        </w:rPr>
        <w:t>inegi</w:t>
      </w:r>
      <w:r w:rsidRPr="00F87E34">
        <w:rPr>
          <w:rFonts w:ascii="Arial" w:hAnsi="Arial"/>
          <w:color w:val="auto"/>
        </w:rPr>
        <w:t xml:space="preserve"> de acuerdo con las características de las variables y los deflactores disponibles</w:t>
      </w:r>
      <w:r>
        <w:rPr>
          <w:rFonts w:ascii="Arial" w:hAnsi="Arial"/>
          <w:color w:val="auto"/>
        </w:rPr>
        <w:t>.</w:t>
      </w:r>
    </w:p>
    <w:p w14:paraId="08577594" w14:textId="63DCA9BC" w:rsidR="00053BE1" w:rsidRPr="00F87E34" w:rsidRDefault="00053BE1" w:rsidP="0030298C">
      <w:pPr>
        <w:pStyle w:val="p0"/>
        <w:keepLines w:val="0"/>
        <w:rPr>
          <w:rFonts w:ascii="Arial" w:hAnsi="Arial"/>
          <w:color w:val="auto"/>
        </w:rPr>
      </w:pPr>
      <w:r w:rsidRPr="00F87E34">
        <w:rPr>
          <w:rFonts w:ascii="Arial" w:hAnsi="Arial"/>
          <w:color w:val="auto"/>
        </w:rPr>
        <w:t xml:space="preserve">El objetivo de la </w:t>
      </w:r>
      <w:r w:rsidR="0043072A" w:rsidRPr="0043072A">
        <w:rPr>
          <w:rFonts w:ascii="Arial" w:hAnsi="Arial"/>
          <w:smallCaps/>
          <w:color w:val="auto"/>
        </w:rPr>
        <w:t>emec</w:t>
      </w:r>
      <w:r w:rsidRPr="00F87E34">
        <w:rPr>
          <w:rFonts w:ascii="Arial" w:hAnsi="Arial"/>
          <w:color w:val="auto"/>
        </w:rPr>
        <w:t xml:space="preserve"> es generar información estadística de coyuntura de forma oportuna para conocer la dinámica y las tendencias de la actividad comercial del país. Los alcances a nivel nacional son por rama </w:t>
      </w:r>
      <w:r>
        <w:rPr>
          <w:rFonts w:ascii="Arial" w:hAnsi="Arial"/>
          <w:color w:val="auto"/>
        </w:rPr>
        <w:t xml:space="preserve">y subsector </w:t>
      </w:r>
      <w:r w:rsidRPr="00F87E34">
        <w:rPr>
          <w:rFonts w:ascii="Arial" w:hAnsi="Arial"/>
          <w:color w:val="auto"/>
        </w:rPr>
        <w:t xml:space="preserve">de actividad para: </w:t>
      </w:r>
      <w:r>
        <w:rPr>
          <w:rFonts w:ascii="Arial" w:hAnsi="Arial"/>
          <w:color w:val="auto"/>
        </w:rPr>
        <w:t>C</w:t>
      </w:r>
      <w:r w:rsidRPr="00F87E34">
        <w:rPr>
          <w:rFonts w:ascii="Arial" w:hAnsi="Arial"/>
          <w:color w:val="auto"/>
        </w:rPr>
        <w:t xml:space="preserve">omercio al por mayor y </w:t>
      </w:r>
      <w:r>
        <w:rPr>
          <w:rFonts w:ascii="Arial" w:hAnsi="Arial"/>
          <w:color w:val="auto"/>
        </w:rPr>
        <w:t>C</w:t>
      </w:r>
      <w:r w:rsidRPr="00F87E34">
        <w:rPr>
          <w:rFonts w:ascii="Arial" w:hAnsi="Arial"/>
          <w:color w:val="auto"/>
        </w:rPr>
        <w:t>omercio al por menor.</w:t>
      </w:r>
    </w:p>
    <w:p w14:paraId="1E466431" w14:textId="06EB04CA" w:rsidR="00053BE1" w:rsidRDefault="00053BE1" w:rsidP="00053BE1">
      <w:pPr>
        <w:pStyle w:val="p0"/>
        <w:keepLines w:val="0"/>
        <w:rPr>
          <w:rFonts w:ascii="Arial" w:hAnsi="Arial"/>
          <w:color w:val="auto"/>
        </w:rPr>
      </w:pPr>
      <w:r w:rsidRPr="00F87E34">
        <w:rPr>
          <w:rFonts w:ascii="Arial" w:hAnsi="Arial"/>
          <w:color w:val="auto"/>
        </w:rPr>
        <w:t xml:space="preserve">El diseño estadístico de la </w:t>
      </w:r>
      <w:r w:rsidR="0043072A" w:rsidRPr="0043072A">
        <w:rPr>
          <w:rFonts w:ascii="Arial" w:hAnsi="Arial"/>
          <w:smallCaps/>
          <w:color w:val="auto"/>
        </w:rPr>
        <w:t>emec</w:t>
      </w:r>
      <w:r w:rsidRPr="00F87E34">
        <w:rPr>
          <w:rFonts w:ascii="Arial" w:hAnsi="Arial"/>
          <w:color w:val="auto"/>
        </w:rPr>
        <w:t xml:space="preserve"> define un esquema de muestreo probabilístico para cada una de las </w:t>
      </w:r>
      <w:r w:rsidR="004A0616">
        <w:rPr>
          <w:rFonts w:ascii="Arial" w:hAnsi="Arial"/>
          <w:color w:val="auto"/>
        </w:rPr>
        <w:t>22</w:t>
      </w:r>
      <w:r w:rsidRPr="00F87E34">
        <w:rPr>
          <w:rFonts w:ascii="Arial" w:hAnsi="Arial"/>
          <w:color w:val="auto"/>
        </w:rPr>
        <w:t xml:space="preserve"> ramas de actividad del comercio al por menor</w:t>
      </w:r>
      <w:r>
        <w:rPr>
          <w:rFonts w:ascii="Arial" w:hAnsi="Arial"/>
          <w:color w:val="auto"/>
        </w:rPr>
        <w:t xml:space="preserve">, </w:t>
      </w:r>
      <w:r w:rsidR="00C67190">
        <w:rPr>
          <w:rFonts w:ascii="Arial" w:hAnsi="Arial"/>
          <w:color w:val="auto"/>
        </w:rPr>
        <w:t>así como</w:t>
      </w:r>
      <w:r>
        <w:rPr>
          <w:rFonts w:ascii="Arial" w:hAnsi="Arial"/>
          <w:color w:val="auto"/>
        </w:rPr>
        <w:t xml:space="preserve"> </w:t>
      </w:r>
      <w:r w:rsidRPr="00F87E34">
        <w:rPr>
          <w:rFonts w:ascii="Arial" w:hAnsi="Arial"/>
          <w:color w:val="auto"/>
        </w:rPr>
        <w:t xml:space="preserve">para </w:t>
      </w:r>
      <w:r>
        <w:rPr>
          <w:rFonts w:ascii="Arial" w:hAnsi="Arial"/>
          <w:color w:val="auto"/>
        </w:rPr>
        <w:t>16</w:t>
      </w:r>
      <w:r w:rsidRPr="00F87E34">
        <w:rPr>
          <w:rFonts w:ascii="Arial" w:hAnsi="Arial"/>
          <w:color w:val="auto"/>
        </w:rPr>
        <w:t xml:space="preserve"> ramas </w:t>
      </w:r>
      <w:r>
        <w:rPr>
          <w:rFonts w:ascii="Arial" w:hAnsi="Arial"/>
          <w:color w:val="auto"/>
        </w:rPr>
        <w:t xml:space="preserve">y un subsector </w:t>
      </w:r>
      <w:r w:rsidRPr="00F87E34">
        <w:rPr>
          <w:rFonts w:ascii="Arial" w:hAnsi="Arial"/>
          <w:color w:val="auto"/>
        </w:rPr>
        <w:t>de actividad del comercio al por mayor. Además, considera todas las unidades económicas comerciales de todos los tamaños</w:t>
      </w:r>
      <w:r>
        <w:rPr>
          <w:rFonts w:ascii="Arial" w:hAnsi="Arial"/>
          <w:color w:val="auto"/>
        </w:rPr>
        <w:t>. Así,</w:t>
      </w:r>
      <w:r w:rsidRPr="00F87E34">
        <w:rPr>
          <w:rFonts w:ascii="Arial" w:hAnsi="Arial"/>
          <w:color w:val="auto"/>
        </w:rPr>
        <w:t xml:space="preserve"> obt</w:t>
      </w:r>
      <w:r>
        <w:rPr>
          <w:rFonts w:ascii="Arial" w:hAnsi="Arial"/>
          <w:color w:val="auto"/>
        </w:rPr>
        <w:t>i</w:t>
      </w:r>
      <w:r w:rsidRPr="00F87E34">
        <w:rPr>
          <w:rFonts w:ascii="Arial" w:hAnsi="Arial"/>
          <w:color w:val="auto"/>
        </w:rPr>
        <w:t xml:space="preserve">ene una </w:t>
      </w:r>
      <w:r>
        <w:rPr>
          <w:rFonts w:ascii="Arial" w:hAnsi="Arial"/>
          <w:color w:val="auto"/>
        </w:rPr>
        <w:t>estimación del 100</w:t>
      </w:r>
      <w:r w:rsidR="0026546B">
        <w:rPr>
          <w:rFonts w:ascii="Arial" w:hAnsi="Arial"/>
          <w:color w:val="auto"/>
        </w:rPr>
        <w:t> %</w:t>
      </w:r>
      <w:r>
        <w:rPr>
          <w:rFonts w:ascii="Arial" w:hAnsi="Arial"/>
          <w:color w:val="auto"/>
        </w:rPr>
        <w:t xml:space="preserve"> tanto </w:t>
      </w:r>
      <w:r w:rsidRPr="00F87E34">
        <w:rPr>
          <w:rFonts w:ascii="Arial" w:hAnsi="Arial"/>
          <w:color w:val="auto"/>
        </w:rPr>
        <w:t xml:space="preserve">en el comercio al por mayor </w:t>
      </w:r>
      <w:r>
        <w:rPr>
          <w:rFonts w:ascii="Arial" w:hAnsi="Arial"/>
          <w:color w:val="auto"/>
        </w:rPr>
        <w:t xml:space="preserve">como </w:t>
      </w:r>
      <w:r w:rsidRPr="00F87E34">
        <w:rPr>
          <w:rFonts w:ascii="Arial" w:hAnsi="Arial"/>
          <w:color w:val="auto"/>
        </w:rPr>
        <w:t xml:space="preserve">en el comercio al por menor respecto al total de los ingresos por suministro de bienes y servicios </w:t>
      </w:r>
      <w:r>
        <w:rPr>
          <w:rFonts w:ascii="Arial" w:hAnsi="Arial"/>
          <w:color w:val="auto"/>
        </w:rPr>
        <w:t>y personal ocupado</w:t>
      </w:r>
      <w:r w:rsidR="002D2237">
        <w:rPr>
          <w:rFonts w:ascii="Arial" w:hAnsi="Arial"/>
          <w:color w:val="auto"/>
        </w:rPr>
        <w:t>,</w:t>
      </w:r>
      <w:r>
        <w:rPr>
          <w:rFonts w:ascii="Arial" w:hAnsi="Arial"/>
          <w:color w:val="auto"/>
        </w:rPr>
        <w:t xml:space="preserve"> </w:t>
      </w:r>
      <w:r w:rsidRPr="00F87E34">
        <w:rPr>
          <w:rFonts w:ascii="Arial" w:hAnsi="Arial"/>
          <w:color w:val="auto"/>
        </w:rPr>
        <w:t>a nivel nacional.</w:t>
      </w:r>
    </w:p>
    <w:p w14:paraId="7AB1D25E" w14:textId="54B52045" w:rsidR="00541197" w:rsidRPr="0060116B" w:rsidRDefault="00053BE1" w:rsidP="008F2616">
      <w:pPr>
        <w:pStyle w:val="p0"/>
        <w:keepLines w:val="0"/>
        <w:spacing w:after="240"/>
        <w:rPr>
          <w:rFonts w:ascii="Arial" w:hAnsi="Arial"/>
          <w:color w:val="auto"/>
        </w:rPr>
      </w:pPr>
      <w:r w:rsidRPr="00F87E34">
        <w:rPr>
          <w:rFonts w:ascii="Arial" w:hAnsi="Arial"/>
          <w:color w:val="auto"/>
        </w:rPr>
        <w:lastRenderedPageBreak/>
        <w:t>Los re</w:t>
      </w:r>
      <w:r w:rsidRPr="001D3619">
        <w:rPr>
          <w:rFonts w:ascii="Arial" w:hAnsi="Arial"/>
          <w:color w:val="auto"/>
        </w:rPr>
        <w:t xml:space="preserve">sultados se presentan según el </w:t>
      </w:r>
      <w:r w:rsidR="001D3619" w:rsidRPr="001D3619">
        <w:rPr>
          <w:color w:val="auto"/>
        </w:rPr>
        <w:t>«</w:t>
      </w:r>
      <w:r w:rsidRPr="001D3619">
        <w:rPr>
          <w:rFonts w:ascii="Arial" w:hAnsi="Arial"/>
          <w:color w:val="auto"/>
        </w:rPr>
        <w:t>Sistema de Clasificación Industrial de América del Norte</w:t>
      </w:r>
      <w:r w:rsidR="001D3619" w:rsidRPr="001D3619">
        <w:rPr>
          <w:color w:val="auto"/>
        </w:rPr>
        <w:t>»</w:t>
      </w:r>
      <w:r w:rsidR="008F4BD1">
        <w:rPr>
          <w:rFonts w:ascii="Arial" w:hAnsi="Arial"/>
          <w:color w:val="auto"/>
        </w:rPr>
        <w:t xml:space="preserve"> </w:t>
      </w:r>
      <w:r w:rsidRPr="00F87E34">
        <w:rPr>
          <w:rFonts w:ascii="Arial" w:hAnsi="Arial"/>
          <w:color w:val="auto"/>
        </w:rPr>
        <w:t>201</w:t>
      </w:r>
      <w:r>
        <w:rPr>
          <w:rFonts w:ascii="Arial" w:hAnsi="Arial"/>
          <w:color w:val="auto"/>
        </w:rPr>
        <w:t xml:space="preserve">8, </w:t>
      </w:r>
      <w:r w:rsidRPr="00F87E34">
        <w:rPr>
          <w:rFonts w:ascii="Arial" w:hAnsi="Arial"/>
          <w:color w:val="auto"/>
        </w:rPr>
        <w:t>a nivel de sector, subsector y por rama de actividad comercial.</w:t>
      </w:r>
    </w:p>
    <w:tbl>
      <w:tblPr>
        <w:tblW w:w="8931" w:type="dxa"/>
        <w:jc w:val="center"/>
        <w:tblBorders>
          <w:top w:val="single" w:sz="6" w:space="0" w:color="404040"/>
          <w:left w:val="single" w:sz="6" w:space="0" w:color="404040"/>
          <w:bottom w:val="single" w:sz="6" w:space="0" w:color="404040"/>
          <w:right w:val="single" w:sz="6" w:space="0" w:color="404040"/>
          <w:insideH w:val="single" w:sz="4" w:space="0" w:color="404040"/>
          <w:insideV w:val="single" w:sz="4" w:space="0" w:color="404040"/>
        </w:tblBorders>
        <w:tblLook w:val="01E0" w:firstRow="1" w:lastRow="1" w:firstColumn="1" w:lastColumn="1" w:noHBand="0" w:noVBand="0"/>
      </w:tblPr>
      <w:tblGrid>
        <w:gridCol w:w="4320"/>
        <w:gridCol w:w="4611"/>
      </w:tblGrid>
      <w:tr w:rsidR="0026680B" w:rsidRPr="00F87E34" w14:paraId="043EF6E8" w14:textId="77777777" w:rsidTr="0098638C">
        <w:trPr>
          <w:jc w:val="center"/>
        </w:trPr>
        <w:tc>
          <w:tcPr>
            <w:tcW w:w="4320" w:type="dxa"/>
            <w:shd w:val="clear" w:color="auto" w:fill="D7E4BD"/>
          </w:tcPr>
          <w:p w14:paraId="0CA8700F" w14:textId="71ABF7C7" w:rsidR="0026680B" w:rsidRPr="00F87E34" w:rsidRDefault="0026680B" w:rsidP="00D23712">
            <w:pPr>
              <w:widowControl w:val="0"/>
              <w:spacing w:before="60" w:after="60"/>
              <w:rPr>
                <w:snapToGrid w:val="0"/>
                <w:sz w:val="20"/>
                <w:szCs w:val="20"/>
              </w:rPr>
            </w:pPr>
            <w:r w:rsidRPr="00F87E34">
              <w:rPr>
                <w:snapToGrid w:val="0"/>
                <w:sz w:val="20"/>
                <w:szCs w:val="20"/>
              </w:rPr>
              <w:t xml:space="preserve">Subsectores del </w:t>
            </w:r>
            <w:r w:rsidR="001D1D31" w:rsidRPr="00F87E34">
              <w:rPr>
                <w:snapToGrid w:val="0"/>
                <w:sz w:val="20"/>
                <w:szCs w:val="20"/>
              </w:rPr>
              <w:t>c</w:t>
            </w:r>
            <w:r w:rsidRPr="00F87E34">
              <w:rPr>
                <w:snapToGrid w:val="0"/>
                <w:sz w:val="20"/>
                <w:szCs w:val="20"/>
              </w:rPr>
              <w:t xml:space="preserve">omercio al por </w:t>
            </w:r>
            <w:r w:rsidR="001D1D31" w:rsidRPr="00F87E34">
              <w:rPr>
                <w:snapToGrid w:val="0"/>
                <w:sz w:val="20"/>
                <w:szCs w:val="20"/>
              </w:rPr>
              <w:t>m</w:t>
            </w:r>
            <w:r w:rsidRPr="00F87E34">
              <w:rPr>
                <w:snapToGrid w:val="0"/>
                <w:sz w:val="20"/>
                <w:szCs w:val="20"/>
              </w:rPr>
              <w:t>ayor</w:t>
            </w:r>
          </w:p>
        </w:tc>
        <w:tc>
          <w:tcPr>
            <w:tcW w:w="4611" w:type="dxa"/>
            <w:shd w:val="clear" w:color="auto" w:fill="D7E4BD"/>
          </w:tcPr>
          <w:p w14:paraId="34DFAEBA" w14:textId="518DC63A" w:rsidR="0026680B" w:rsidRPr="00F87E34" w:rsidRDefault="0026680B" w:rsidP="00D23712">
            <w:pPr>
              <w:widowControl w:val="0"/>
              <w:spacing w:before="60" w:after="60"/>
              <w:ind w:hanging="15"/>
              <w:jc w:val="center"/>
              <w:rPr>
                <w:snapToGrid w:val="0"/>
                <w:sz w:val="20"/>
                <w:szCs w:val="20"/>
              </w:rPr>
            </w:pPr>
            <w:r w:rsidRPr="00F87E34">
              <w:rPr>
                <w:snapToGrid w:val="0"/>
                <w:sz w:val="20"/>
                <w:szCs w:val="20"/>
              </w:rPr>
              <w:t xml:space="preserve">Subsectores del </w:t>
            </w:r>
            <w:r w:rsidR="001D1D31" w:rsidRPr="00F87E34">
              <w:rPr>
                <w:snapToGrid w:val="0"/>
                <w:sz w:val="20"/>
                <w:szCs w:val="20"/>
              </w:rPr>
              <w:t>c</w:t>
            </w:r>
            <w:r w:rsidRPr="00F87E34">
              <w:rPr>
                <w:snapToGrid w:val="0"/>
                <w:sz w:val="20"/>
                <w:szCs w:val="20"/>
              </w:rPr>
              <w:t xml:space="preserve">omercio al por </w:t>
            </w:r>
            <w:r w:rsidR="001D1D31" w:rsidRPr="00F87E34">
              <w:rPr>
                <w:snapToGrid w:val="0"/>
                <w:sz w:val="20"/>
                <w:szCs w:val="20"/>
              </w:rPr>
              <w:t>m</w:t>
            </w:r>
            <w:r w:rsidRPr="00F87E34">
              <w:rPr>
                <w:snapToGrid w:val="0"/>
                <w:sz w:val="20"/>
                <w:szCs w:val="20"/>
              </w:rPr>
              <w:t>enor</w:t>
            </w:r>
          </w:p>
        </w:tc>
      </w:tr>
      <w:tr w:rsidR="0026680B" w:rsidRPr="00F87E34" w14:paraId="6A9F9B7E" w14:textId="77777777" w:rsidTr="0098638C">
        <w:trPr>
          <w:jc w:val="center"/>
        </w:trPr>
        <w:tc>
          <w:tcPr>
            <w:tcW w:w="4320" w:type="dxa"/>
          </w:tcPr>
          <w:p w14:paraId="7E92D3E1" w14:textId="7FA05BCC" w:rsidR="0026680B" w:rsidRPr="00F87E34" w:rsidRDefault="0026680B" w:rsidP="00D23712">
            <w:pPr>
              <w:widowControl w:val="0"/>
              <w:numPr>
                <w:ilvl w:val="0"/>
                <w:numId w:val="21"/>
              </w:numPr>
              <w:tabs>
                <w:tab w:val="clear" w:pos="720"/>
                <w:tab w:val="num" w:pos="318"/>
              </w:tabs>
              <w:spacing w:before="40"/>
              <w:ind w:left="323" w:hanging="289"/>
              <w:jc w:val="left"/>
              <w:rPr>
                <w:snapToGrid w:val="0"/>
                <w:sz w:val="20"/>
                <w:szCs w:val="20"/>
              </w:rPr>
            </w:pPr>
            <w:r w:rsidRPr="00F87E34">
              <w:rPr>
                <w:snapToGrid w:val="0"/>
                <w:sz w:val="20"/>
                <w:szCs w:val="20"/>
              </w:rPr>
              <w:t>Abarrotes, alimentos, bebidas, hielo y tabaco</w:t>
            </w:r>
            <w:r w:rsidR="0025588E">
              <w:rPr>
                <w:snapToGrid w:val="0"/>
                <w:sz w:val="20"/>
                <w:szCs w:val="20"/>
              </w:rPr>
              <w:t>.</w:t>
            </w:r>
          </w:p>
          <w:p w14:paraId="61D76861" w14:textId="45EE9686" w:rsidR="0026680B" w:rsidRPr="00F87E34" w:rsidRDefault="0026680B" w:rsidP="00D23712">
            <w:pPr>
              <w:widowControl w:val="0"/>
              <w:numPr>
                <w:ilvl w:val="0"/>
                <w:numId w:val="21"/>
              </w:numPr>
              <w:tabs>
                <w:tab w:val="clear" w:pos="720"/>
                <w:tab w:val="num" w:pos="318"/>
              </w:tabs>
              <w:spacing w:before="40"/>
              <w:ind w:left="323" w:hanging="289"/>
              <w:jc w:val="left"/>
              <w:rPr>
                <w:snapToGrid w:val="0"/>
                <w:sz w:val="20"/>
                <w:szCs w:val="20"/>
              </w:rPr>
            </w:pPr>
            <w:r w:rsidRPr="00F87E34">
              <w:rPr>
                <w:snapToGrid w:val="0"/>
                <w:sz w:val="20"/>
                <w:szCs w:val="20"/>
              </w:rPr>
              <w:t>Productos textiles y calzado</w:t>
            </w:r>
            <w:r w:rsidR="0025588E">
              <w:rPr>
                <w:snapToGrid w:val="0"/>
                <w:sz w:val="20"/>
                <w:szCs w:val="20"/>
              </w:rPr>
              <w:t>.</w:t>
            </w:r>
          </w:p>
          <w:p w14:paraId="1FCC4501" w14:textId="6D115E6E" w:rsidR="0026680B" w:rsidRPr="00F87E34" w:rsidRDefault="0026680B" w:rsidP="00D23712">
            <w:pPr>
              <w:widowControl w:val="0"/>
              <w:numPr>
                <w:ilvl w:val="0"/>
                <w:numId w:val="21"/>
              </w:numPr>
              <w:tabs>
                <w:tab w:val="clear" w:pos="720"/>
                <w:tab w:val="num" w:pos="318"/>
              </w:tabs>
              <w:spacing w:before="40"/>
              <w:ind w:left="326" w:hanging="292"/>
              <w:jc w:val="left"/>
              <w:rPr>
                <w:snapToGrid w:val="0"/>
                <w:sz w:val="20"/>
                <w:szCs w:val="20"/>
              </w:rPr>
            </w:pPr>
            <w:r w:rsidRPr="00F87E34">
              <w:rPr>
                <w:snapToGrid w:val="0"/>
                <w:sz w:val="20"/>
                <w:szCs w:val="20"/>
              </w:rPr>
              <w:t>Productos farmacéuticos, de perfumería, artículos para el esparcimiento</w:t>
            </w:r>
            <w:r w:rsidR="002F61CD">
              <w:rPr>
                <w:snapToGrid w:val="0"/>
                <w:sz w:val="20"/>
                <w:szCs w:val="20"/>
              </w:rPr>
              <w:t>,</w:t>
            </w:r>
            <w:r w:rsidRPr="00F87E34">
              <w:rPr>
                <w:snapToGrid w:val="0"/>
                <w:sz w:val="20"/>
                <w:szCs w:val="20"/>
              </w:rPr>
              <w:t xml:space="preserve"> electrodomésticos menores y aparatos de línea blanca</w:t>
            </w:r>
            <w:r w:rsidR="0025588E">
              <w:rPr>
                <w:snapToGrid w:val="0"/>
                <w:sz w:val="20"/>
                <w:szCs w:val="20"/>
              </w:rPr>
              <w:t>.</w:t>
            </w:r>
          </w:p>
          <w:p w14:paraId="7A800330" w14:textId="4E60944D" w:rsidR="0026680B" w:rsidRPr="00F87E34" w:rsidRDefault="0026680B" w:rsidP="00D23712">
            <w:pPr>
              <w:widowControl w:val="0"/>
              <w:numPr>
                <w:ilvl w:val="0"/>
                <w:numId w:val="21"/>
              </w:numPr>
              <w:tabs>
                <w:tab w:val="clear" w:pos="720"/>
                <w:tab w:val="num" w:pos="318"/>
              </w:tabs>
              <w:spacing w:before="40"/>
              <w:ind w:left="326" w:hanging="292"/>
              <w:jc w:val="left"/>
              <w:rPr>
                <w:snapToGrid w:val="0"/>
                <w:sz w:val="20"/>
                <w:szCs w:val="20"/>
              </w:rPr>
            </w:pPr>
            <w:r w:rsidRPr="00F87E34">
              <w:rPr>
                <w:snapToGrid w:val="0"/>
                <w:sz w:val="20"/>
                <w:szCs w:val="20"/>
              </w:rPr>
              <w:t>Materias primas agropecuarias y forestales, para la industria, y materiales de desecho</w:t>
            </w:r>
            <w:r w:rsidR="0025588E">
              <w:rPr>
                <w:snapToGrid w:val="0"/>
                <w:sz w:val="20"/>
                <w:szCs w:val="20"/>
              </w:rPr>
              <w:t>.</w:t>
            </w:r>
          </w:p>
          <w:p w14:paraId="1C0741C0" w14:textId="6A262F01" w:rsidR="0026680B" w:rsidRPr="00F87E34" w:rsidRDefault="0026680B" w:rsidP="00D23712">
            <w:pPr>
              <w:widowControl w:val="0"/>
              <w:numPr>
                <w:ilvl w:val="0"/>
                <w:numId w:val="21"/>
              </w:numPr>
              <w:tabs>
                <w:tab w:val="clear" w:pos="720"/>
                <w:tab w:val="num" w:pos="318"/>
              </w:tabs>
              <w:spacing w:before="40"/>
              <w:ind w:left="326" w:hanging="292"/>
              <w:jc w:val="left"/>
              <w:rPr>
                <w:snapToGrid w:val="0"/>
                <w:sz w:val="20"/>
                <w:szCs w:val="20"/>
              </w:rPr>
            </w:pPr>
            <w:r w:rsidRPr="00F87E34">
              <w:rPr>
                <w:snapToGrid w:val="0"/>
                <w:sz w:val="20"/>
                <w:szCs w:val="20"/>
              </w:rPr>
              <w:t>Maquinaria, equipo y mobiliario para actividades agropecuarias, industriales, de servicios y comerciales, y de otra maquinaria y equipo de uso general</w:t>
            </w:r>
            <w:r w:rsidR="0025588E">
              <w:rPr>
                <w:snapToGrid w:val="0"/>
                <w:sz w:val="20"/>
                <w:szCs w:val="20"/>
              </w:rPr>
              <w:t>.</w:t>
            </w:r>
          </w:p>
          <w:p w14:paraId="5D721939" w14:textId="55E61BD1" w:rsidR="0026680B" w:rsidRPr="00F87E34" w:rsidRDefault="0026680B" w:rsidP="0025588E">
            <w:pPr>
              <w:widowControl w:val="0"/>
              <w:numPr>
                <w:ilvl w:val="0"/>
                <w:numId w:val="21"/>
              </w:numPr>
              <w:tabs>
                <w:tab w:val="clear" w:pos="720"/>
                <w:tab w:val="num" w:pos="318"/>
              </w:tabs>
              <w:spacing w:before="40"/>
              <w:ind w:left="326" w:right="-22" w:hanging="292"/>
              <w:jc w:val="left"/>
              <w:rPr>
                <w:snapToGrid w:val="0"/>
                <w:sz w:val="20"/>
                <w:szCs w:val="20"/>
              </w:rPr>
            </w:pPr>
            <w:r w:rsidRPr="00F87E34">
              <w:rPr>
                <w:snapToGrid w:val="0"/>
                <w:sz w:val="20"/>
                <w:szCs w:val="20"/>
              </w:rPr>
              <w:t>Camiones y partes y refacciones nuevas para automóviles, camionetas y camiones</w:t>
            </w:r>
            <w:r w:rsidR="0025588E">
              <w:rPr>
                <w:snapToGrid w:val="0"/>
                <w:sz w:val="20"/>
                <w:szCs w:val="20"/>
              </w:rPr>
              <w:t>.</w:t>
            </w:r>
          </w:p>
          <w:p w14:paraId="7D3E7B91" w14:textId="77C614B0" w:rsidR="0026680B" w:rsidRPr="00F87E34" w:rsidRDefault="0026680B" w:rsidP="00D23712">
            <w:pPr>
              <w:widowControl w:val="0"/>
              <w:numPr>
                <w:ilvl w:val="0"/>
                <w:numId w:val="21"/>
              </w:numPr>
              <w:tabs>
                <w:tab w:val="clear" w:pos="720"/>
                <w:tab w:val="num" w:pos="318"/>
              </w:tabs>
              <w:spacing w:before="40"/>
              <w:ind w:left="326" w:hanging="292"/>
              <w:jc w:val="left"/>
              <w:rPr>
                <w:snapToGrid w:val="0"/>
                <w:sz w:val="20"/>
                <w:szCs w:val="20"/>
              </w:rPr>
            </w:pPr>
            <w:r w:rsidRPr="00F87E34">
              <w:rPr>
                <w:snapToGrid w:val="0"/>
                <w:sz w:val="20"/>
                <w:szCs w:val="20"/>
              </w:rPr>
              <w:t>Intermediación de comercio al por mayor</w:t>
            </w:r>
            <w:r w:rsidR="0025588E">
              <w:rPr>
                <w:snapToGrid w:val="0"/>
                <w:sz w:val="20"/>
                <w:szCs w:val="20"/>
              </w:rPr>
              <w:t>.</w:t>
            </w:r>
          </w:p>
        </w:tc>
        <w:tc>
          <w:tcPr>
            <w:tcW w:w="4611" w:type="dxa"/>
          </w:tcPr>
          <w:p w14:paraId="61175E0A" w14:textId="05149622"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Abarrotes, alimentos, bebidas, hielo y tabaco</w:t>
            </w:r>
            <w:r w:rsidR="0025588E">
              <w:rPr>
                <w:snapToGrid w:val="0"/>
                <w:sz w:val="20"/>
                <w:szCs w:val="20"/>
              </w:rPr>
              <w:t>.</w:t>
            </w:r>
          </w:p>
          <w:p w14:paraId="587F82EB" w14:textId="01D042F0" w:rsidR="0026680B" w:rsidRPr="00F87E34" w:rsidRDefault="0026680B" w:rsidP="00D23712">
            <w:pPr>
              <w:widowControl w:val="0"/>
              <w:numPr>
                <w:ilvl w:val="0"/>
                <w:numId w:val="22"/>
              </w:numPr>
              <w:tabs>
                <w:tab w:val="clear" w:pos="720"/>
                <w:tab w:val="num" w:pos="318"/>
              </w:tabs>
              <w:spacing w:before="40"/>
              <w:ind w:left="335" w:hanging="301"/>
              <w:jc w:val="left"/>
              <w:rPr>
                <w:snapToGrid w:val="0"/>
                <w:sz w:val="20"/>
                <w:szCs w:val="20"/>
              </w:rPr>
            </w:pPr>
            <w:r w:rsidRPr="00F87E34">
              <w:rPr>
                <w:snapToGrid w:val="0"/>
                <w:sz w:val="20"/>
                <w:szCs w:val="20"/>
              </w:rPr>
              <w:t>Tiendas de autoservicio y departamentales</w:t>
            </w:r>
            <w:r w:rsidR="0025588E">
              <w:rPr>
                <w:snapToGrid w:val="0"/>
                <w:sz w:val="20"/>
                <w:szCs w:val="20"/>
              </w:rPr>
              <w:t>.</w:t>
            </w:r>
          </w:p>
          <w:p w14:paraId="2ECE50AE" w14:textId="2DA4A796"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Productos textiles, bisutería, accesorios de vestir y calzado</w:t>
            </w:r>
            <w:r w:rsidR="0025588E">
              <w:rPr>
                <w:snapToGrid w:val="0"/>
                <w:sz w:val="20"/>
                <w:szCs w:val="20"/>
              </w:rPr>
              <w:t>.</w:t>
            </w:r>
          </w:p>
          <w:p w14:paraId="3BF9FED9" w14:textId="20BDFA64"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Artículos para el cuidado de la salud</w:t>
            </w:r>
            <w:r w:rsidR="0025588E">
              <w:rPr>
                <w:snapToGrid w:val="0"/>
                <w:sz w:val="20"/>
                <w:szCs w:val="20"/>
              </w:rPr>
              <w:t>.</w:t>
            </w:r>
          </w:p>
          <w:p w14:paraId="00B2AA4B" w14:textId="333B9117"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Artículos de papelería, para el esparcimiento y otros artículos de uso personal</w:t>
            </w:r>
            <w:r w:rsidR="0025588E">
              <w:rPr>
                <w:snapToGrid w:val="0"/>
                <w:sz w:val="20"/>
                <w:szCs w:val="20"/>
              </w:rPr>
              <w:t>.</w:t>
            </w:r>
          </w:p>
          <w:p w14:paraId="613BC274" w14:textId="0F39F321"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Enseres domésticos, computadoras, artículos para la decoración de interiores y artículos usados</w:t>
            </w:r>
            <w:r w:rsidR="0025588E">
              <w:rPr>
                <w:snapToGrid w:val="0"/>
                <w:sz w:val="20"/>
                <w:szCs w:val="20"/>
              </w:rPr>
              <w:t>.</w:t>
            </w:r>
          </w:p>
          <w:p w14:paraId="4C9FD9B9" w14:textId="3D30EF50"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Artículos de ferretería, tlapalería y vidrios</w:t>
            </w:r>
            <w:r w:rsidR="0025588E">
              <w:rPr>
                <w:snapToGrid w:val="0"/>
                <w:sz w:val="20"/>
                <w:szCs w:val="20"/>
              </w:rPr>
              <w:t>.</w:t>
            </w:r>
          </w:p>
          <w:p w14:paraId="2B705DA2" w14:textId="19599DFE"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Vehículos de motor, refacciones, combustibles y lubricantes</w:t>
            </w:r>
            <w:r w:rsidR="0025588E">
              <w:rPr>
                <w:snapToGrid w:val="0"/>
                <w:sz w:val="20"/>
                <w:szCs w:val="20"/>
              </w:rPr>
              <w:t>.</w:t>
            </w:r>
          </w:p>
          <w:p w14:paraId="10C4D803" w14:textId="1E0EC928" w:rsidR="0026680B" w:rsidRPr="00F87E34" w:rsidRDefault="00053BE1" w:rsidP="00D23712">
            <w:pPr>
              <w:widowControl w:val="0"/>
              <w:numPr>
                <w:ilvl w:val="0"/>
                <w:numId w:val="22"/>
              </w:numPr>
              <w:tabs>
                <w:tab w:val="clear" w:pos="720"/>
                <w:tab w:val="num" w:pos="318"/>
              </w:tabs>
              <w:spacing w:before="40"/>
              <w:ind w:left="332" w:hanging="298"/>
              <w:jc w:val="left"/>
              <w:rPr>
                <w:snapToGrid w:val="0"/>
                <w:sz w:val="20"/>
                <w:szCs w:val="20"/>
              </w:rPr>
            </w:pPr>
            <w:r>
              <w:rPr>
                <w:snapToGrid w:val="0"/>
                <w:sz w:val="20"/>
                <w:szCs w:val="20"/>
              </w:rPr>
              <w:t>E</w:t>
            </w:r>
            <w:r w:rsidR="0026680B" w:rsidRPr="00F87E34">
              <w:rPr>
                <w:snapToGrid w:val="0"/>
                <w:sz w:val="20"/>
                <w:szCs w:val="20"/>
              </w:rPr>
              <w:t xml:space="preserve">xclusivamente a través de </w:t>
            </w:r>
            <w:r w:rsidR="003D0BF3">
              <w:rPr>
                <w:snapToGrid w:val="0"/>
                <w:sz w:val="20"/>
                <w:szCs w:val="20"/>
              </w:rPr>
              <w:t>i</w:t>
            </w:r>
            <w:r w:rsidR="0026680B" w:rsidRPr="00F87E34">
              <w:rPr>
                <w:snapToGrid w:val="0"/>
                <w:sz w:val="20"/>
                <w:szCs w:val="20"/>
              </w:rPr>
              <w:t>nternet, y catálogos impresos, televisión y similares</w:t>
            </w:r>
            <w:r w:rsidR="0025588E">
              <w:rPr>
                <w:snapToGrid w:val="0"/>
                <w:sz w:val="20"/>
                <w:szCs w:val="20"/>
              </w:rPr>
              <w:t>.</w:t>
            </w:r>
          </w:p>
        </w:tc>
      </w:tr>
    </w:tbl>
    <w:p w14:paraId="0FC4201A" w14:textId="5C7B469A" w:rsidR="0026680B" w:rsidRPr="00F87E34" w:rsidRDefault="0026680B" w:rsidP="00864D0A">
      <w:pPr>
        <w:pStyle w:val="p0"/>
        <w:keepLines w:val="0"/>
        <w:rPr>
          <w:rFonts w:ascii="Arial" w:hAnsi="Arial"/>
          <w:color w:val="auto"/>
        </w:rPr>
      </w:pPr>
      <w:bookmarkStart w:id="5" w:name="_Hlk137811670"/>
      <w:r w:rsidRPr="00F87E34">
        <w:rPr>
          <w:rFonts w:ascii="Arial" w:hAnsi="Arial"/>
          <w:color w:val="auto"/>
        </w:rPr>
        <w:t>La cobertura geográfica es a nivel nacional</w:t>
      </w:r>
      <w:r w:rsidR="0029407F">
        <w:rPr>
          <w:rFonts w:ascii="Arial" w:hAnsi="Arial"/>
          <w:color w:val="auto"/>
        </w:rPr>
        <w:t>.</w:t>
      </w:r>
      <w:r w:rsidRPr="00F87E34">
        <w:rPr>
          <w:rFonts w:ascii="Arial" w:hAnsi="Arial"/>
          <w:color w:val="auto"/>
        </w:rPr>
        <w:t xml:space="preserve"> </w:t>
      </w:r>
      <w:r w:rsidR="0029407F">
        <w:rPr>
          <w:rFonts w:ascii="Arial" w:hAnsi="Arial"/>
          <w:color w:val="auto"/>
        </w:rPr>
        <w:t>P</w:t>
      </w:r>
      <w:r w:rsidRPr="00F87E34">
        <w:rPr>
          <w:rFonts w:ascii="Arial" w:hAnsi="Arial"/>
          <w:color w:val="auto"/>
        </w:rPr>
        <w:t>or entidad federativa</w:t>
      </w:r>
      <w:r w:rsidR="004C6CC0">
        <w:rPr>
          <w:rFonts w:ascii="Arial" w:hAnsi="Arial"/>
          <w:color w:val="auto"/>
        </w:rPr>
        <w:t>,</w:t>
      </w:r>
      <w:r w:rsidRPr="00F87E34">
        <w:rPr>
          <w:rFonts w:ascii="Arial" w:hAnsi="Arial"/>
          <w:color w:val="auto"/>
        </w:rPr>
        <w:t xml:space="preserve"> se dispone de información </w:t>
      </w:r>
      <w:r w:rsidR="002D2237">
        <w:rPr>
          <w:rFonts w:ascii="Arial" w:hAnsi="Arial"/>
          <w:color w:val="auto"/>
        </w:rPr>
        <w:t>desag</w:t>
      </w:r>
      <w:r w:rsidR="008C6D63">
        <w:rPr>
          <w:rFonts w:ascii="Arial" w:hAnsi="Arial"/>
          <w:color w:val="auto"/>
        </w:rPr>
        <w:t xml:space="preserve">regada </w:t>
      </w:r>
      <w:r w:rsidR="00E5563A">
        <w:rPr>
          <w:rFonts w:ascii="Arial" w:hAnsi="Arial"/>
          <w:color w:val="auto"/>
        </w:rPr>
        <w:t>a partir de los datos nacionales</w:t>
      </w:r>
      <w:r w:rsidRPr="00F87E34">
        <w:rPr>
          <w:rFonts w:ascii="Arial" w:hAnsi="Arial"/>
          <w:color w:val="auto"/>
        </w:rPr>
        <w:t xml:space="preserve"> por sector de actividad</w:t>
      </w:r>
      <w:r w:rsidR="001D1D31" w:rsidRPr="00F87E34">
        <w:rPr>
          <w:rFonts w:ascii="Arial" w:hAnsi="Arial"/>
          <w:color w:val="auto"/>
        </w:rPr>
        <w:t>:</w:t>
      </w:r>
      <w:r w:rsidRPr="00F87E34">
        <w:rPr>
          <w:rFonts w:ascii="Arial" w:hAnsi="Arial"/>
          <w:color w:val="auto"/>
        </w:rPr>
        <w:t xml:space="preserve"> 43</w:t>
      </w:r>
      <w:r w:rsidR="00EB65AF" w:rsidRPr="00F87E34">
        <w:rPr>
          <w:rFonts w:ascii="Arial" w:hAnsi="Arial"/>
          <w:color w:val="auto"/>
        </w:rPr>
        <w:t>,</w:t>
      </w:r>
      <w:r w:rsidRPr="00F87E34">
        <w:rPr>
          <w:rFonts w:ascii="Arial" w:hAnsi="Arial"/>
          <w:color w:val="auto"/>
        </w:rPr>
        <w:t xml:space="preserve"> Comercio al por </w:t>
      </w:r>
      <w:r w:rsidR="001D1D31" w:rsidRPr="00F87E34">
        <w:rPr>
          <w:rFonts w:ascii="Arial" w:hAnsi="Arial"/>
          <w:color w:val="auto"/>
        </w:rPr>
        <w:t>m</w:t>
      </w:r>
      <w:r w:rsidRPr="00F87E34">
        <w:rPr>
          <w:rFonts w:ascii="Arial" w:hAnsi="Arial"/>
          <w:color w:val="auto"/>
        </w:rPr>
        <w:t>ayor y 46</w:t>
      </w:r>
      <w:r w:rsidR="00EB65AF" w:rsidRPr="00F87E34">
        <w:rPr>
          <w:rFonts w:ascii="Arial" w:hAnsi="Arial"/>
          <w:color w:val="auto"/>
        </w:rPr>
        <w:t>,</w:t>
      </w:r>
      <w:r w:rsidRPr="00F87E34">
        <w:rPr>
          <w:rFonts w:ascii="Arial" w:hAnsi="Arial"/>
          <w:color w:val="auto"/>
        </w:rPr>
        <w:t xml:space="preserve"> Comercio al por </w:t>
      </w:r>
      <w:r w:rsidR="001D1D31" w:rsidRPr="00F87E34">
        <w:rPr>
          <w:rFonts w:ascii="Arial" w:hAnsi="Arial"/>
          <w:color w:val="auto"/>
        </w:rPr>
        <w:t>m</w:t>
      </w:r>
      <w:r w:rsidRPr="00F87E34">
        <w:rPr>
          <w:rFonts w:ascii="Arial" w:hAnsi="Arial"/>
          <w:color w:val="auto"/>
        </w:rPr>
        <w:t>enor.</w:t>
      </w:r>
    </w:p>
    <w:p w14:paraId="1FBF935C" w14:textId="6026F280" w:rsidR="002E761C" w:rsidRDefault="0026680B" w:rsidP="002E761C">
      <w:pPr>
        <w:pStyle w:val="p0"/>
        <w:keepLines w:val="0"/>
        <w:rPr>
          <w:rFonts w:ascii="Arial" w:hAnsi="Arial"/>
          <w:color w:val="auto"/>
        </w:rPr>
      </w:pPr>
      <w:r w:rsidRPr="00F87E34">
        <w:rPr>
          <w:rFonts w:ascii="Arial" w:hAnsi="Arial"/>
          <w:color w:val="auto"/>
        </w:rPr>
        <w:t>La construcción de los índices agregados</w:t>
      </w:r>
      <w:r w:rsidR="00977BEF">
        <w:rPr>
          <w:rFonts w:ascii="Arial" w:hAnsi="Arial"/>
          <w:color w:val="auto"/>
        </w:rPr>
        <w:t xml:space="preserve"> </w:t>
      </w:r>
      <w:r w:rsidRPr="00F87E34">
        <w:rPr>
          <w:rFonts w:ascii="Arial" w:hAnsi="Arial"/>
          <w:color w:val="auto"/>
        </w:rPr>
        <w:t>de cada sector, subsector y rama</w:t>
      </w:r>
      <w:r w:rsidR="008C6D63">
        <w:rPr>
          <w:rFonts w:ascii="Arial" w:hAnsi="Arial"/>
          <w:color w:val="auto"/>
        </w:rPr>
        <w:t>,</w:t>
      </w:r>
      <w:r w:rsidR="008C6D63" w:rsidRPr="00F87E34">
        <w:rPr>
          <w:rFonts w:ascii="Arial" w:hAnsi="Arial"/>
          <w:color w:val="auto"/>
        </w:rPr>
        <w:t xml:space="preserve"> base 201</w:t>
      </w:r>
      <w:r w:rsidR="008C6D63">
        <w:rPr>
          <w:rFonts w:ascii="Arial" w:hAnsi="Arial"/>
          <w:color w:val="auto"/>
        </w:rPr>
        <w:t>8,</w:t>
      </w:r>
      <w:r w:rsidR="008C6D63" w:rsidRPr="00F87E34">
        <w:rPr>
          <w:rFonts w:ascii="Arial" w:hAnsi="Arial"/>
          <w:color w:val="auto"/>
        </w:rPr>
        <w:t xml:space="preserve"> </w:t>
      </w:r>
      <w:r w:rsidRPr="00F87E34">
        <w:rPr>
          <w:rFonts w:ascii="Arial" w:hAnsi="Arial"/>
          <w:color w:val="auto"/>
        </w:rPr>
        <w:t xml:space="preserve">se realiza </w:t>
      </w:r>
      <w:r w:rsidR="006B2826">
        <w:rPr>
          <w:rFonts w:ascii="Arial" w:hAnsi="Arial"/>
          <w:color w:val="auto"/>
        </w:rPr>
        <w:t xml:space="preserve">con </w:t>
      </w:r>
      <w:r w:rsidRPr="00F87E34">
        <w:rPr>
          <w:rFonts w:ascii="Arial" w:hAnsi="Arial"/>
          <w:color w:val="auto"/>
        </w:rPr>
        <w:t>las ponderaciones de los índices que los constituyen y los pesos relativos de las estructuras de las ramas de actividad, según corresponda a cada sector comercial</w:t>
      </w:r>
      <w:r w:rsidR="00C74EFA">
        <w:rPr>
          <w:rFonts w:ascii="Arial" w:hAnsi="Arial"/>
          <w:color w:val="auto"/>
        </w:rPr>
        <w:t xml:space="preserve"> </w:t>
      </w:r>
      <w:r w:rsidRPr="00F87E34">
        <w:rPr>
          <w:rFonts w:ascii="Arial" w:hAnsi="Arial"/>
          <w:color w:val="auto"/>
        </w:rPr>
        <w:t xml:space="preserve">con la información de los </w:t>
      </w:r>
      <w:r w:rsidR="0043072A" w:rsidRPr="0043072A">
        <w:rPr>
          <w:rFonts w:ascii="Arial" w:hAnsi="Arial"/>
          <w:smallCaps/>
          <w:color w:val="auto"/>
        </w:rPr>
        <w:t>ce</w:t>
      </w:r>
      <w:r w:rsidR="000F3ADD" w:rsidRPr="000F3ADD">
        <w:rPr>
          <w:rFonts w:ascii="Arial" w:hAnsi="Arial"/>
          <w:color w:val="auto"/>
        </w:rPr>
        <w:t xml:space="preserve"> 201</w:t>
      </w:r>
      <w:r w:rsidR="00BE4B77">
        <w:rPr>
          <w:rFonts w:ascii="Arial" w:hAnsi="Arial"/>
          <w:color w:val="auto"/>
        </w:rPr>
        <w:t>9</w:t>
      </w:r>
      <w:r w:rsidRPr="00F87E34">
        <w:rPr>
          <w:rFonts w:ascii="Arial" w:hAnsi="Arial"/>
          <w:color w:val="auto"/>
        </w:rPr>
        <w:t>.</w:t>
      </w:r>
      <w:r w:rsidR="002E761C" w:rsidRPr="002E761C">
        <w:rPr>
          <w:rFonts w:ascii="Arial" w:hAnsi="Arial"/>
          <w:color w:val="auto"/>
        </w:rPr>
        <w:t xml:space="preserve"> </w:t>
      </w:r>
      <w:r w:rsidR="002E761C">
        <w:rPr>
          <w:rFonts w:ascii="Arial" w:hAnsi="Arial"/>
          <w:color w:val="auto"/>
        </w:rPr>
        <w:t xml:space="preserve">Considérense </w:t>
      </w:r>
      <w:r w:rsidR="00506F35" w:rsidRPr="00F87E34">
        <w:rPr>
          <w:rFonts w:ascii="Arial" w:hAnsi="Arial"/>
          <w:color w:val="auto"/>
        </w:rPr>
        <w:t>como preliminares</w:t>
      </w:r>
      <w:r w:rsidR="00506F35">
        <w:rPr>
          <w:rFonts w:ascii="Arial" w:hAnsi="Arial"/>
          <w:color w:val="auto"/>
        </w:rPr>
        <w:t xml:space="preserve"> </w:t>
      </w:r>
      <w:r w:rsidR="002E761C">
        <w:rPr>
          <w:rFonts w:ascii="Arial" w:hAnsi="Arial"/>
          <w:color w:val="auto"/>
        </w:rPr>
        <w:t>l</w:t>
      </w:r>
      <w:r w:rsidR="002E761C" w:rsidRPr="00F87E34">
        <w:rPr>
          <w:rFonts w:ascii="Arial" w:hAnsi="Arial"/>
          <w:color w:val="auto"/>
        </w:rPr>
        <w:t>os resultados que se presentan en las series</w:t>
      </w:r>
      <w:r w:rsidR="002E761C">
        <w:rPr>
          <w:rFonts w:ascii="Arial" w:hAnsi="Arial"/>
          <w:color w:val="auto"/>
        </w:rPr>
        <w:t>. Estos</w:t>
      </w:r>
      <w:r w:rsidR="002E761C" w:rsidRPr="00F87E34">
        <w:rPr>
          <w:rFonts w:ascii="Arial" w:hAnsi="Arial"/>
          <w:color w:val="auto"/>
        </w:rPr>
        <w:t xml:space="preserve"> se revisan y actualizan de manera continua, con base en la investigación constante de las categorías que componen las actividades en estudio.</w:t>
      </w:r>
    </w:p>
    <w:bookmarkEnd w:id="5"/>
    <w:p w14:paraId="0A1E9EB0" w14:textId="61667DB4" w:rsidR="00B97A3F" w:rsidRPr="00F70DF7" w:rsidRDefault="00977BEF" w:rsidP="0030298C">
      <w:pPr>
        <w:pStyle w:val="p0"/>
        <w:keepLines w:val="0"/>
        <w:rPr>
          <w:rStyle w:val="Hipervnculo"/>
          <w:lang w:eastAsia="en-US"/>
        </w:rPr>
      </w:pPr>
      <w:r>
        <w:rPr>
          <w:rFonts w:ascii="Arial" w:hAnsi="Arial"/>
          <w:color w:val="auto"/>
        </w:rPr>
        <w:t xml:space="preserve">El </w:t>
      </w:r>
      <w:r w:rsidR="00B97A3F" w:rsidRPr="00F70DF7">
        <w:rPr>
          <w:rFonts w:ascii="Arial" w:hAnsi="Arial"/>
          <w:color w:val="auto"/>
        </w:rPr>
        <w:t xml:space="preserve">personal ocupado que se reporta en este programa estadístico es conceptualmente diferente al que se obtiene con la definición de puestos de trabajo afiliados al Instituto Mexicano del Seguro Social. Para mayores detalles, consúltese la sección </w:t>
      </w:r>
      <w:r w:rsidR="009F6CBC">
        <w:rPr>
          <w:rFonts w:ascii="Arial" w:hAnsi="Arial"/>
          <w:color w:val="auto"/>
        </w:rPr>
        <w:t>«</w:t>
      </w:r>
      <w:r w:rsidR="00B97A3F" w:rsidRPr="00F70DF7">
        <w:rPr>
          <w:rFonts w:ascii="Arial" w:hAnsi="Arial"/>
          <w:color w:val="auto"/>
        </w:rPr>
        <w:t>metadatos</w:t>
      </w:r>
      <w:r w:rsidR="009F6CBC">
        <w:rPr>
          <w:rFonts w:ascii="Arial" w:hAnsi="Arial"/>
          <w:color w:val="auto"/>
        </w:rPr>
        <w:t>»</w:t>
      </w:r>
      <w:r w:rsidR="00B97A3F" w:rsidRPr="00F70DF7">
        <w:rPr>
          <w:rFonts w:ascii="Arial" w:hAnsi="Arial"/>
          <w:color w:val="auto"/>
        </w:rPr>
        <w:t xml:space="preserve"> de la </w:t>
      </w:r>
      <w:r w:rsidR="0043072A" w:rsidRPr="0043072A">
        <w:rPr>
          <w:rFonts w:ascii="Arial" w:hAnsi="Arial"/>
          <w:smallCaps/>
          <w:color w:val="auto"/>
        </w:rPr>
        <w:t>emec</w:t>
      </w:r>
      <w:r w:rsidR="00B97A3F" w:rsidRPr="00DD75E8">
        <w:rPr>
          <w:rFonts w:ascii="Arial" w:hAnsi="Arial"/>
          <w:color w:val="242424"/>
          <w:shd w:val="clear" w:color="auto" w:fill="FFFFFF"/>
        </w:rPr>
        <w:t>:</w:t>
      </w:r>
      <w:r w:rsidR="00BF1BD3">
        <w:rPr>
          <w:rFonts w:ascii="Arial" w:hAnsi="Arial"/>
          <w:color w:val="242424"/>
          <w:shd w:val="clear" w:color="auto" w:fill="FFFFFF"/>
        </w:rPr>
        <w:t xml:space="preserve"> </w:t>
      </w:r>
      <w:hyperlink r:id="rId30" w:history="1">
        <w:r w:rsidR="00BE4B77" w:rsidRPr="00B3677E">
          <w:rPr>
            <w:rStyle w:val="Hipervnculo"/>
            <w:lang w:eastAsia="en-US"/>
          </w:rPr>
          <w:t>https://www.inegi.org.mx/programas/emec/2018/</w:t>
        </w:r>
      </w:hyperlink>
    </w:p>
    <w:p w14:paraId="5CFB0E8A" w14:textId="7AF3CCF0" w:rsidR="00822E2D" w:rsidRPr="00F87E34" w:rsidRDefault="004F1857" w:rsidP="0030298C">
      <w:pPr>
        <w:pStyle w:val="p0"/>
        <w:keepLines w:val="0"/>
        <w:rPr>
          <w:rFonts w:ascii="Arial" w:hAnsi="Arial"/>
          <w:color w:val="auto"/>
        </w:rPr>
      </w:pPr>
      <w:r>
        <w:rPr>
          <w:rFonts w:ascii="Arial" w:hAnsi="Arial"/>
          <w:color w:val="auto"/>
        </w:rPr>
        <w:t xml:space="preserve">La </w:t>
      </w:r>
      <w:r w:rsidR="00822E2D" w:rsidRPr="00F87E34">
        <w:rPr>
          <w:rFonts w:ascii="Arial" w:hAnsi="Arial"/>
          <w:color w:val="auto"/>
        </w:rPr>
        <w:t>mayoría de las series económicas se ve afectada por factores estacionales</w:t>
      </w:r>
      <w:r>
        <w:rPr>
          <w:rFonts w:ascii="Arial" w:hAnsi="Arial"/>
          <w:color w:val="auto"/>
        </w:rPr>
        <w:t>:</w:t>
      </w:r>
      <w:r w:rsidR="00822E2D" w:rsidRPr="00F87E34">
        <w:rPr>
          <w:rFonts w:ascii="Arial" w:hAnsi="Arial"/>
          <w:color w:val="auto"/>
        </w:rPr>
        <w:t xml:space="preserve"> efectos periódicos que se repiten cada año y cuyas causas </w:t>
      </w:r>
      <w:r>
        <w:rPr>
          <w:rFonts w:ascii="Arial" w:hAnsi="Arial"/>
          <w:color w:val="auto"/>
        </w:rPr>
        <w:t>so</w:t>
      </w:r>
      <w:r w:rsidR="00822E2D" w:rsidRPr="00F87E34">
        <w:rPr>
          <w:rFonts w:ascii="Arial" w:hAnsi="Arial"/>
          <w:color w:val="auto"/>
        </w:rPr>
        <w:t>n ajenas a la naturaleza económica de las series</w:t>
      </w:r>
      <w:r w:rsidR="0069132A" w:rsidRPr="00F87E34">
        <w:rPr>
          <w:rFonts w:ascii="Arial" w:hAnsi="Arial"/>
          <w:color w:val="auto"/>
        </w:rPr>
        <w:t xml:space="preserve">. </w:t>
      </w:r>
      <w:r w:rsidR="00252168">
        <w:rPr>
          <w:rFonts w:ascii="Arial" w:hAnsi="Arial"/>
          <w:color w:val="auto"/>
        </w:rPr>
        <w:t>E</w:t>
      </w:r>
      <w:r w:rsidR="0069132A" w:rsidRPr="00F87E34">
        <w:rPr>
          <w:rFonts w:ascii="Arial" w:hAnsi="Arial"/>
          <w:color w:val="auto"/>
        </w:rPr>
        <w:t>stas</w:t>
      </w:r>
      <w:r w:rsidR="00822E2D" w:rsidRPr="00F87E34">
        <w:rPr>
          <w:rFonts w:ascii="Arial" w:hAnsi="Arial"/>
          <w:color w:val="auto"/>
        </w:rPr>
        <w:t xml:space="preserve"> </w:t>
      </w:r>
      <w:r w:rsidR="0069132A" w:rsidRPr="00F87E34">
        <w:rPr>
          <w:rFonts w:ascii="Arial" w:hAnsi="Arial"/>
          <w:color w:val="auto"/>
        </w:rPr>
        <w:t>pueden ser:</w:t>
      </w:r>
      <w:r w:rsidR="00822E2D" w:rsidRPr="00F87E34">
        <w:rPr>
          <w:rFonts w:ascii="Arial" w:hAnsi="Arial"/>
          <w:color w:val="auto"/>
        </w:rPr>
        <w:t xml:space="preserve"> las festividades, meses </w:t>
      </w:r>
      <w:r w:rsidR="000300A4">
        <w:rPr>
          <w:rFonts w:ascii="Arial" w:hAnsi="Arial"/>
          <w:color w:val="auto"/>
        </w:rPr>
        <w:t>más largos que otros</w:t>
      </w:r>
      <w:r w:rsidR="00822E2D" w:rsidRPr="00F87E34">
        <w:rPr>
          <w:rFonts w:ascii="Arial" w:hAnsi="Arial"/>
          <w:color w:val="auto"/>
        </w:rPr>
        <w:t xml:space="preserve">, </w:t>
      </w:r>
      <w:r>
        <w:rPr>
          <w:rFonts w:ascii="Arial" w:hAnsi="Arial"/>
          <w:color w:val="auto"/>
        </w:rPr>
        <w:t>las</w:t>
      </w:r>
      <w:r w:rsidR="00822E2D" w:rsidRPr="00F87E34">
        <w:rPr>
          <w:rFonts w:ascii="Arial" w:hAnsi="Arial"/>
          <w:color w:val="auto"/>
        </w:rPr>
        <w:t xml:space="preserve"> vacaciones escolares, el clima</w:t>
      </w:r>
      <w:r>
        <w:rPr>
          <w:rFonts w:ascii="Arial" w:hAnsi="Arial"/>
          <w:color w:val="auto"/>
        </w:rPr>
        <w:t xml:space="preserve"> y o</w:t>
      </w:r>
      <w:r w:rsidR="00822E2D" w:rsidRPr="00F87E34">
        <w:rPr>
          <w:rFonts w:ascii="Arial" w:hAnsi="Arial"/>
          <w:color w:val="auto"/>
        </w:rPr>
        <w:t>tras fluctuaciones</w:t>
      </w:r>
      <w:r w:rsidR="00EA093F">
        <w:rPr>
          <w:rFonts w:ascii="Arial" w:hAnsi="Arial"/>
          <w:color w:val="auto"/>
        </w:rPr>
        <w:t xml:space="preserve">, </w:t>
      </w:r>
      <w:r w:rsidR="0069132A" w:rsidRPr="00F87E34">
        <w:rPr>
          <w:rFonts w:ascii="Arial" w:hAnsi="Arial"/>
          <w:color w:val="auto"/>
        </w:rPr>
        <w:t xml:space="preserve">como </w:t>
      </w:r>
      <w:r w:rsidR="00822E2D" w:rsidRPr="00F87E34">
        <w:rPr>
          <w:rFonts w:ascii="Arial" w:hAnsi="Arial"/>
          <w:color w:val="auto"/>
        </w:rPr>
        <w:t>la elevada adquisición de juguetes en los meses previos a la Navidad.</w:t>
      </w:r>
    </w:p>
    <w:p w14:paraId="775237EB" w14:textId="544F7CA8" w:rsidR="002E761C" w:rsidRPr="00F87E34" w:rsidRDefault="00EA093F" w:rsidP="00EC2BB6">
      <w:pPr>
        <w:spacing w:before="240"/>
      </w:pPr>
      <w:r>
        <w:t>L</w:t>
      </w:r>
      <w:r w:rsidR="00822E2D" w:rsidRPr="00F87E34">
        <w:t>a desestacionalización o ajuste estacional de series económicas consiste en remover estas influencias intra</w:t>
      </w:r>
      <w:r w:rsidR="00D6059E">
        <w:noBreakHyphen/>
      </w:r>
      <w:r w:rsidR="00822E2D" w:rsidRPr="00F87E34">
        <w:t>anuales periódicas</w:t>
      </w:r>
      <w:r>
        <w:t>:</w:t>
      </w:r>
      <w:r w:rsidR="00822E2D" w:rsidRPr="00F87E34">
        <w:t xml:space="preserve"> su presencia dificulta diagnosticar </w:t>
      </w:r>
      <w:r>
        <w:t>y</w:t>
      </w:r>
      <w:r w:rsidR="00822E2D" w:rsidRPr="00F87E34">
        <w:t xml:space="preserve"> describir el comportamiento de una serie económica</w:t>
      </w:r>
      <w:r>
        <w:t>, pues no permite</w:t>
      </w:r>
      <w:r w:rsidR="00822E2D" w:rsidRPr="00F87E34">
        <w:t xml:space="preserve"> comparar adecuadamente un determinado mes con el inmediato anterior. </w:t>
      </w:r>
      <w:r w:rsidR="007F5187" w:rsidRPr="00F87E34">
        <w:t xml:space="preserve">Analizar la serie desestacionalizada ayuda a </w:t>
      </w:r>
      <w:r w:rsidR="007F5187" w:rsidRPr="00F87E34">
        <w:lastRenderedPageBreak/>
        <w:t>realizar un mejor diagnóstico y pronóstico de su evolución</w:t>
      </w:r>
      <w:r w:rsidR="007F5187">
        <w:t>, pues</w:t>
      </w:r>
      <w:r w:rsidR="002370D6">
        <w:t>,</w:t>
      </w:r>
      <w:r w:rsidR="007F5187">
        <w:t xml:space="preserve"> en el corto plazo,</w:t>
      </w:r>
      <w:r w:rsidR="007F5187" w:rsidRPr="00F87E34">
        <w:t xml:space="preserve"> identifica la posible dirección de los movimientos </w:t>
      </w:r>
      <w:r w:rsidR="007F5187">
        <w:t>de</w:t>
      </w:r>
      <w:r w:rsidR="007F5187" w:rsidRPr="00F87E34">
        <w:t xml:space="preserve"> la variable en cuestión</w:t>
      </w:r>
      <w:r w:rsidR="007F5187">
        <w:t>.</w:t>
      </w:r>
      <w:r w:rsidR="002E761C" w:rsidRPr="002E761C">
        <w:t xml:space="preserve"> </w:t>
      </w:r>
      <w:r w:rsidR="002E761C">
        <w:t>A</w:t>
      </w:r>
      <w:r w:rsidR="002E761C" w:rsidRPr="00F87E34">
        <w:t>l agregar la información de noviembre de los últimos años, el efecto del Buen Fin se ha incorporado de forma gradual en el ajuste estacional de las ventas al por menor</w:t>
      </w:r>
      <w:r w:rsidR="002E761C" w:rsidRPr="00F87E34">
        <w:rPr>
          <w:color w:val="000000" w:themeColor="text1"/>
        </w:rPr>
        <w:t>.</w:t>
      </w:r>
    </w:p>
    <w:p w14:paraId="5B93CFBB" w14:textId="7374C982" w:rsidR="00822E2D" w:rsidRPr="00F87E34" w:rsidRDefault="00822E2D" w:rsidP="0015603F">
      <w:pPr>
        <w:widowControl w:val="0"/>
        <w:spacing w:before="240"/>
        <w:rPr>
          <w:szCs w:val="20"/>
        </w:rPr>
      </w:pPr>
      <w:r w:rsidRPr="00F87E34">
        <w:rPr>
          <w:szCs w:val="20"/>
        </w:rPr>
        <w:t>Las series originales se ajustan estacional</w:t>
      </w:r>
      <w:r w:rsidR="00497972">
        <w:rPr>
          <w:szCs w:val="20"/>
        </w:rPr>
        <w:t>mente</w:t>
      </w:r>
      <w:r w:rsidRPr="00F87E34">
        <w:rPr>
          <w:szCs w:val="20"/>
        </w:rPr>
        <w:t xml:space="preserve"> mediante el paquete estadístico X</w:t>
      </w:r>
      <w:r w:rsidRPr="00F87E34">
        <w:rPr>
          <w:szCs w:val="20"/>
        </w:rPr>
        <w:noBreakHyphen/>
        <w:t>13ARIMA</w:t>
      </w:r>
      <w:r w:rsidRPr="00F87E34">
        <w:rPr>
          <w:szCs w:val="20"/>
        </w:rPr>
        <w:noBreakHyphen/>
        <w:t>SEATS. Para conocer la metodología</w:t>
      </w:r>
      <w:r w:rsidR="00392C10">
        <w:rPr>
          <w:szCs w:val="20"/>
        </w:rPr>
        <w:t>,</w:t>
      </w:r>
      <w:r w:rsidRPr="00F87E34">
        <w:rPr>
          <w:szCs w:val="20"/>
        </w:rPr>
        <w:t xml:space="preserve"> </w:t>
      </w:r>
      <w:r w:rsidR="008B62C5">
        <w:rPr>
          <w:szCs w:val="20"/>
        </w:rPr>
        <w:t>consúltese</w:t>
      </w:r>
      <w:r w:rsidRPr="00F87E34">
        <w:rPr>
          <w:szCs w:val="20"/>
        </w:rPr>
        <w:t xml:space="preserve"> la siguiente liga:</w:t>
      </w:r>
    </w:p>
    <w:p w14:paraId="50951445" w14:textId="77777777" w:rsidR="00822E2D" w:rsidRPr="00F87E34" w:rsidRDefault="00000000" w:rsidP="0015603F">
      <w:pPr>
        <w:pStyle w:val="parrafo1"/>
        <w:widowControl w:val="0"/>
        <w:spacing w:before="0"/>
        <w:ind w:left="0" w:right="0"/>
        <w:rPr>
          <w:rStyle w:val="Hipervnculo"/>
          <w:rFonts w:cs="Arial"/>
          <w:lang w:eastAsia="en-US"/>
        </w:rPr>
      </w:pPr>
      <w:hyperlink r:id="rId31" w:history="1">
        <w:r w:rsidR="00822E2D" w:rsidRPr="00F87E34">
          <w:rPr>
            <w:rStyle w:val="Hipervnculo"/>
            <w:rFonts w:cs="Arial"/>
            <w:lang w:eastAsia="en-US"/>
          </w:rPr>
          <w:t>https://www.inegi.org.mx/app/biblioteca/ficha.html?upc=702825099060</w:t>
        </w:r>
      </w:hyperlink>
    </w:p>
    <w:p w14:paraId="02378505" w14:textId="3D67DA9B" w:rsidR="00822E2D" w:rsidRPr="00F87E34" w:rsidRDefault="00610543" w:rsidP="0015603F">
      <w:pPr>
        <w:pStyle w:val="p0"/>
        <w:keepLines w:val="0"/>
        <w:rPr>
          <w:rFonts w:ascii="Arial" w:hAnsi="Arial"/>
          <w:color w:val="auto"/>
        </w:rPr>
      </w:pPr>
      <w:r>
        <w:rPr>
          <w:rFonts w:ascii="Arial" w:hAnsi="Arial"/>
          <w:color w:val="auto"/>
        </w:rPr>
        <w:t>L</w:t>
      </w:r>
      <w:r w:rsidR="00822E2D" w:rsidRPr="00F87E34">
        <w:rPr>
          <w:rFonts w:ascii="Arial" w:hAnsi="Arial"/>
          <w:color w:val="auto"/>
        </w:rPr>
        <w:t>as especificaciones de los modelos utilizados para realizar el ajuste estacional están disponibles en el Banco de Información Económica</w:t>
      </w:r>
      <w:r w:rsidR="001C47BD">
        <w:rPr>
          <w:rFonts w:ascii="Arial" w:hAnsi="Arial"/>
          <w:color w:val="auto"/>
        </w:rPr>
        <w:t xml:space="preserve"> (</w:t>
      </w:r>
      <w:r w:rsidR="0043072A" w:rsidRPr="0043072A">
        <w:rPr>
          <w:rFonts w:ascii="Arial" w:hAnsi="Arial"/>
          <w:smallCaps/>
          <w:color w:val="auto"/>
        </w:rPr>
        <w:t>bie</w:t>
      </w:r>
      <w:r w:rsidR="001C47BD">
        <w:rPr>
          <w:rFonts w:ascii="Arial" w:hAnsi="Arial"/>
          <w:color w:val="auto"/>
        </w:rPr>
        <w:t>)</w:t>
      </w:r>
      <w:r w:rsidR="00EA093F">
        <w:rPr>
          <w:rFonts w:ascii="Arial" w:hAnsi="Arial"/>
          <w:color w:val="auto"/>
        </w:rPr>
        <w:t>. Selecci</w:t>
      </w:r>
      <w:r w:rsidR="001C47BD">
        <w:rPr>
          <w:rFonts w:ascii="Arial" w:hAnsi="Arial"/>
          <w:color w:val="auto"/>
        </w:rPr>
        <w:t>one</w:t>
      </w:r>
      <w:r w:rsidR="00822E2D" w:rsidRPr="00F87E34">
        <w:rPr>
          <w:rFonts w:ascii="Arial" w:hAnsi="Arial"/>
          <w:color w:val="auto"/>
        </w:rPr>
        <w:t xml:space="preserve"> </w:t>
      </w:r>
      <w:r w:rsidR="001C47BD" w:rsidRPr="001C47BD">
        <w:rPr>
          <w:rFonts w:ascii="Arial" w:hAnsi="Arial"/>
          <w:color w:val="auto"/>
        </w:rPr>
        <w:t xml:space="preserve">«Indicadores económicos de coyuntura, Encuesta </w:t>
      </w:r>
      <w:r w:rsidR="00B231B0">
        <w:rPr>
          <w:rFonts w:ascii="Arial" w:hAnsi="Arial"/>
          <w:color w:val="auto"/>
        </w:rPr>
        <w:t>M</w:t>
      </w:r>
      <w:r w:rsidR="001C47BD" w:rsidRPr="001C47BD">
        <w:rPr>
          <w:rFonts w:ascii="Arial" w:hAnsi="Arial"/>
          <w:color w:val="auto"/>
        </w:rPr>
        <w:t xml:space="preserve">ensual </w:t>
      </w:r>
      <w:r w:rsidR="001C47BD">
        <w:rPr>
          <w:rFonts w:ascii="Arial" w:hAnsi="Arial"/>
          <w:color w:val="auto"/>
        </w:rPr>
        <w:t xml:space="preserve">sobre </w:t>
      </w:r>
      <w:r w:rsidR="00B231B0">
        <w:rPr>
          <w:rFonts w:ascii="Arial" w:hAnsi="Arial"/>
          <w:color w:val="auto"/>
        </w:rPr>
        <w:t>E</w:t>
      </w:r>
      <w:r w:rsidR="001C47BD">
        <w:rPr>
          <w:rFonts w:ascii="Arial" w:hAnsi="Arial"/>
          <w:color w:val="auto"/>
        </w:rPr>
        <w:t>mpresas</w:t>
      </w:r>
      <w:r w:rsidR="001C47BD" w:rsidRPr="001C47BD">
        <w:rPr>
          <w:rFonts w:ascii="Arial" w:hAnsi="Arial"/>
          <w:color w:val="auto"/>
        </w:rPr>
        <w:t xml:space="preserve"> </w:t>
      </w:r>
      <w:r w:rsidR="00B231B0">
        <w:rPr>
          <w:rFonts w:ascii="Arial" w:hAnsi="Arial"/>
          <w:color w:val="auto"/>
        </w:rPr>
        <w:t>C</w:t>
      </w:r>
      <w:r w:rsidR="001C47BD">
        <w:rPr>
          <w:rFonts w:ascii="Arial" w:hAnsi="Arial"/>
          <w:color w:val="auto"/>
        </w:rPr>
        <w:t>omerciales</w:t>
      </w:r>
      <w:r w:rsidR="001C47BD" w:rsidRPr="001C47BD">
        <w:rPr>
          <w:rFonts w:ascii="Arial" w:hAnsi="Arial"/>
          <w:color w:val="auto"/>
        </w:rPr>
        <w:t xml:space="preserve">» </w:t>
      </w:r>
      <w:r w:rsidR="001C47BD">
        <w:rPr>
          <w:rFonts w:ascii="Arial" w:hAnsi="Arial"/>
          <w:color w:val="auto"/>
        </w:rPr>
        <w:t>y vaya a</w:t>
      </w:r>
      <w:r w:rsidR="00822E2D" w:rsidRPr="00F87E34">
        <w:rPr>
          <w:rFonts w:ascii="Arial" w:hAnsi="Arial"/>
          <w:color w:val="auto"/>
        </w:rPr>
        <w:t>l icono de</w:t>
      </w:r>
      <w:r w:rsidR="00541197">
        <w:rPr>
          <w:rFonts w:ascii="Arial" w:hAnsi="Arial"/>
          <w:color w:val="auto"/>
        </w:rPr>
        <w:t xml:space="preserve"> </w:t>
      </w:r>
      <w:r w:rsidR="00822E2D" w:rsidRPr="00F87E34">
        <w:rPr>
          <w:rFonts w:ascii="Arial" w:hAnsi="Arial"/>
          <w:color w:val="auto"/>
        </w:rPr>
        <w:t>información</w:t>
      </w:r>
      <w:r w:rsidR="009B6BBB">
        <w:rPr>
          <w:rFonts w:ascii="Arial" w:hAnsi="Arial"/>
          <w:color w:val="auto"/>
        </w:rPr>
        <w:t> </w:t>
      </w:r>
      <w:r w:rsidR="009B6BBB">
        <w:rPr>
          <w:rFonts w:ascii="Arial" w:hAnsi="Arial"/>
          <w:noProof/>
          <w:color w:val="auto"/>
        </w:rPr>
        <w:drawing>
          <wp:inline distT="0" distB="0" distL="0" distR="0" wp14:anchorId="144DEE21" wp14:editId="2E7292D3">
            <wp:extent cx="149860" cy="136525"/>
            <wp:effectExtent l="0" t="0" r="2540" b="0"/>
            <wp:docPr id="2485197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9860" cy="136525"/>
                    </a:xfrm>
                    <a:prstGeom prst="rect">
                      <a:avLst/>
                    </a:prstGeom>
                    <a:noFill/>
                    <a:ln>
                      <a:noFill/>
                    </a:ln>
                  </pic:spPr>
                </pic:pic>
              </a:graphicData>
            </a:graphic>
          </wp:inline>
        </w:drawing>
      </w:r>
      <w:r w:rsidR="00C74EFA">
        <w:rPr>
          <w:rFonts w:ascii="Arial" w:hAnsi="Arial"/>
          <w:color w:val="auto"/>
        </w:rPr>
        <w:t xml:space="preserve"> </w:t>
      </w:r>
      <w:r w:rsidR="00822E2D" w:rsidRPr="00F87E34">
        <w:rPr>
          <w:rFonts w:ascii="Arial" w:hAnsi="Arial"/>
          <w:color w:val="auto"/>
        </w:rPr>
        <w:t xml:space="preserve">correspondiente a las </w:t>
      </w:r>
      <w:r w:rsidR="00E66DD7" w:rsidRPr="00E66DD7">
        <w:rPr>
          <w:rFonts w:ascii="Arial" w:hAnsi="Arial"/>
          <w:color w:val="auto"/>
        </w:rPr>
        <w:t>«</w:t>
      </w:r>
      <w:r w:rsidR="00822E2D" w:rsidRPr="00F87E34">
        <w:rPr>
          <w:rFonts w:ascii="Arial" w:hAnsi="Arial"/>
          <w:color w:val="auto"/>
        </w:rPr>
        <w:t>series desestacionalizadas y de tendencia</w:t>
      </w:r>
      <w:r w:rsidR="00822E2D" w:rsidRPr="00F87E34">
        <w:rPr>
          <w:rFonts w:ascii="Arial" w:hAnsi="Arial"/>
          <w:color w:val="auto"/>
        </w:rPr>
        <w:noBreakHyphen/>
        <w:t>ciclo</w:t>
      </w:r>
      <w:r w:rsidR="00E66DD7" w:rsidRPr="00E66DD7">
        <w:rPr>
          <w:rFonts w:ascii="Arial" w:hAnsi="Arial"/>
          <w:color w:val="auto"/>
        </w:rPr>
        <w:t>»</w:t>
      </w:r>
      <w:r w:rsidR="001C47BD">
        <w:rPr>
          <w:rFonts w:ascii="Arial" w:hAnsi="Arial"/>
          <w:color w:val="auto"/>
        </w:rPr>
        <w:t>.</w:t>
      </w:r>
    </w:p>
    <w:p w14:paraId="2938F558" w14:textId="4A54635F" w:rsidR="000F0B0F" w:rsidRDefault="00E72EF6" w:rsidP="000F0B0F">
      <w:pPr>
        <w:pStyle w:val="p0"/>
        <w:keepLines w:val="0"/>
        <w:rPr>
          <w:rFonts w:ascii="Arial" w:hAnsi="Arial"/>
          <w:color w:val="auto"/>
        </w:rPr>
      </w:pPr>
      <w:r>
        <w:rPr>
          <w:rFonts w:ascii="Arial" w:hAnsi="Arial"/>
          <w:color w:val="auto"/>
        </w:rPr>
        <w:t>M</w:t>
      </w:r>
      <w:r w:rsidR="00756572" w:rsidRPr="00F87E34">
        <w:rPr>
          <w:rFonts w:ascii="Arial" w:hAnsi="Arial"/>
          <w:color w:val="auto"/>
        </w:rPr>
        <w:t xml:space="preserve">ediante la </w:t>
      </w:r>
      <w:r w:rsidR="0043072A" w:rsidRPr="0043072A">
        <w:rPr>
          <w:rFonts w:ascii="Arial" w:hAnsi="Arial"/>
          <w:smallCaps/>
          <w:color w:val="auto"/>
        </w:rPr>
        <w:t>emec</w:t>
      </w:r>
      <w:r>
        <w:rPr>
          <w:rFonts w:ascii="Arial" w:hAnsi="Arial"/>
          <w:color w:val="auto"/>
        </w:rPr>
        <w:t>,</w:t>
      </w:r>
      <w:r w:rsidRPr="00E72EF6">
        <w:rPr>
          <w:rFonts w:ascii="Arial" w:hAnsi="Arial"/>
          <w:color w:val="auto"/>
        </w:rPr>
        <w:t xml:space="preserve"> </w:t>
      </w:r>
      <w:r>
        <w:rPr>
          <w:rFonts w:ascii="Arial" w:hAnsi="Arial"/>
          <w:color w:val="auto"/>
        </w:rPr>
        <w:t>el</w:t>
      </w:r>
      <w:r w:rsidRPr="00F87E34">
        <w:rPr>
          <w:rFonts w:ascii="Arial" w:hAnsi="Arial"/>
          <w:color w:val="auto"/>
        </w:rPr>
        <w:t xml:space="preserve"> </w:t>
      </w:r>
      <w:r w:rsidR="0043072A" w:rsidRPr="0043072A">
        <w:rPr>
          <w:rFonts w:ascii="Arial" w:hAnsi="Arial"/>
          <w:smallCaps/>
          <w:color w:val="auto"/>
        </w:rPr>
        <w:t>inegi</w:t>
      </w:r>
      <w:r w:rsidR="00756572">
        <w:rPr>
          <w:rFonts w:ascii="Arial" w:hAnsi="Arial"/>
          <w:color w:val="auto"/>
        </w:rPr>
        <w:t xml:space="preserve"> genera l</w:t>
      </w:r>
      <w:r w:rsidR="0026680B" w:rsidRPr="00F87E34">
        <w:rPr>
          <w:rFonts w:ascii="Arial" w:hAnsi="Arial"/>
          <w:color w:val="auto"/>
        </w:rPr>
        <w:t xml:space="preserve">a información contenida en este documento y </w:t>
      </w:r>
      <w:r w:rsidR="00756572">
        <w:rPr>
          <w:rFonts w:ascii="Arial" w:hAnsi="Arial"/>
          <w:color w:val="auto"/>
        </w:rPr>
        <w:t>la</w:t>
      </w:r>
      <w:r w:rsidR="0026680B" w:rsidRPr="00F87E34">
        <w:rPr>
          <w:rFonts w:ascii="Arial" w:hAnsi="Arial"/>
          <w:color w:val="auto"/>
        </w:rPr>
        <w:t xml:space="preserve"> da a conocer </w:t>
      </w:r>
      <w:r w:rsidR="00756572">
        <w:rPr>
          <w:rFonts w:ascii="Arial" w:hAnsi="Arial"/>
          <w:color w:val="auto"/>
        </w:rPr>
        <w:t>con base</w:t>
      </w:r>
      <w:r w:rsidR="0026680B" w:rsidRPr="00F87E34">
        <w:rPr>
          <w:rFonts w:ascii="Arial" w:hAnsi="Arial"/>
          <w:color w:val="auto"/>
        </w:rPr>
        <w:t xml:space="preserve"> en el Calendario de </w:t>
      </w:r>
      <w:r w:rsidR="00A41C2D" w:rsidRPr="00F87E34">
        <w:rPr>
          <w:rFonts w:ascii="Arial" w:hAnsi="Arial"/>
          <w:color w:val="auto"/>
        </w:rPr>
        <w:t>D</w:t>
      </w:r>
      <w:r w:rsidR="0026680B" w:rsidRPr="00F87E34">
        <w:rPr>
          <w:rFonts w:ascii="Arial" w:hAnsi="Arial"/>
          <w:color w:val="auto"/>
        </w:rPr>
        <w:t xml:space="preserve">ifusión de </w:t>
      </w:r>
      <w:r w:rsidR="00A41C2D" w:rsidRPr="00F87E34">
        <w:rPr>
          <w:rFonts w:ascii="Arial" w:hAnsi="Arial"/>
          <w:color w:val="auto"/>
        </w:rPr>
        <w:t>I</w:t>
      </w:r>
      <w:r w:rsidR="0026680B" w:rsidRPr="00F87E34">
        <w:rPr>
          <w:rFonts w:ascii="Arial" w:hAnsi="Arial"/>
          <w:color w:val="auto"/>
        </w:rPr>
        <w:t xml:space="preserve">nformación </w:t>
      </w:r>
      <w:r w:rsidR="00A41C2D" w:rsidRPr="00F87E34">
        <w:rPr>
          <w:rFonts w:ascii="Arial" w:hAnsi="Arial"/>
          <w:color w:val="auto"/>
        </w:rPr>
        <w:t>E</w:t>
      </w:r>
      <w:r w:rsidR="0026680B" w:rsidRPr="00F87E34">
        <w:rPr>
          <w:rFonts w:ascii="Arial" w:hAnsi="Arial"/>
          <w:color w:val="auto"/>
        </w:rPr>
        <w:t xml:space="preserve">stadística y </w:t>
      </w:r>
      <w:r w:rsidR="00A41C2D" w:rsidRPr="00F87E34">
        <w:rPr>
          <w:rFonts w:ascii="Arial" w:hAnsi="Arial"/>
          <w:color w:val="auto"/>
        </w:rPr>
        <w:t>G</w:t>
      </w:r>
      <w:r w:rsidR="0026680B" w:rsidRPr="00F87E34">
        <w:rPr>
          <w:rFonts w:ascii="Arial" w:hAnsi="Arial"/>
          <w:color w:val="auto"/>
        </w:rPr>
        <w:t>eográfica y de Interés Nacional</w:t>
      </w:r>
      <w:r w:rsidR="00770BFA" w:rsidRPr="00F87E34">
        <w:rPr>
          <w:rFonts w:ascii="Arial" w:hAnsi="Arial"/>
          <w:color w:val="auto"/>
        </w:rPr>
        <w:t>.</w:t>
      </w:r>
    </w:p>
    <w:p w14:paraId="5E0170E9" w14:textId="3EA9432D" w:rsidR="00705182" w:rsidRDefault="006144F9" w:rsidP="00EC2BB6">
      <w:pPr>
        <w:pStyle w:val="p0"/>
        <w:keepLines w:val="0"/>
        <w:rPr>
          <w:rFonts w:ascii="Arial" w:hAnsi="Arial"/>
          <w:color w:val="auto"/>
        </w:rPr>
      </w:pPr>
      <w:r>
        <w:rPr>
          <w:rFonts w:ascii="Arial" w:hAnsi="Arial"/>
          <w:color w:val="auto"/>
        </w:rPr>
        <w:t xml:space="preserve">Todos los resultados </w:t>
      </w:r>
      <w:r w:rsidR="005E78FF">
        <w:rPr>
          <w:rFonts w:ascii="Arial" w:hAnsi="Arial"/>
          <w:color w:val="auto"/>
        </w:rPr>
        <w:t>pueden</w:t>
      </w:r>
      <w:r w:rsidR="005E78FF" w:rsidRPr="00F87E34">
        <w:rPr>
          <w:rFonts w:ascii="Arial" w:hAnsi="Arial"/>
          <w:color w:val="auto"/>
        </w:rPr>
        <w:t xml:space="preserve"> consulta</w:t>
      </w:r>
      <w:r w:rsidR="005E78FF">
        <w:rPr>
          <w:rFonts w:ascii="Arial" w:hAnsi="Arial"/>
          <w:color w:val="auto"/>
        </w:rPr>
        <w:t>r</w:t>
      </w:r>
      <w:r w:rsidR="00364F95">
        <w:rPr>
          <w:rFonts w:ascii="Arial" w:hAnsi="Arial"/>
          <w:color w:val="auto"/>
        </w:rPr>
        <w:t>se</w:t>
      </w:r>
      <w:r w:rsidR="005E78FF" w:rsidRPr="00F87E34">
        <w:rPr>
          <w:rFonts w:ascii="Arial" w:hAnsi="Arial"/>
          <w:color w:val="auto"/>
        </w:rPr>
        <w:t xml:space="preserve"> en la página del </w:t>
      </w:r>
      <w:r w:rsidR="0025588E" w:rsidRPr="0025588E">
        <w:rPr>
          <w:rFonts w:ascii="Arial" w:hAnsi="Arial"/>
          <w:smallCaps/>
          <w:color w:val="auto"/>
        </w:rPr>
        <w:t>inegi</w:t>
      </w:r>
      <w:r w:rsidR="00E66DD7">
        <w:rPr>
          <w:rFonts w:ascii="Arial" w:hAnsi="Arial"/>
          <w:color w:val="auto"/>
        </w:rPr>
        <w:t>, en las siguientes secciones:</w:t>
      </w:r>
    </w:p>
    <w:p w14:paraId="3A9D642C" w14:textId="407184D3" w:rsidR="005E78FF" w:rsidRPr="008B05A9" w:rsidRDefault="005E78FF" w:rsidP="00EC2BB6">
      <w:pPr>
        <w:pStyle w:val="p0"/>
        <w:keepLines w:val="0"/>
        <w:tabs>
          <w:tab w:val="left" w:pos="1218"/>
        </w:tabs>
        <w:spacing w:before="0"/>
        <w:rPr>
          <w:rFonts w:ascii="Arial" w:hAnsi="Arial"/>
        </w:rPr>
      </w:pPr>
      <w:r w:rsidRPr="008B05A9">
        <w:rPr>
          <w:rFonts w:ascii="Arial" w:hAnsi="Arial"/>
          <w:color w:val="auto"/>
        </w:rPr>
        <w:t>Tema:</w:t>
      </w:r>
      <w:r w:rsidRPr="008B05A9">
        <w:rPr>
          <w:rFonts w:ascii="Arial" w:hAnsi="Arial"/>
        </w:rPr>
        <w:t xml:space="preserve"> </w:t>
      </w:r>
      <w:hyperlink r:id="rId33" w:history="1">
        <w:r w:rsidRPr="0097758E">
          <w:rPr>
            <w:rStyle w:val="Hipervnculo"/>
            <w:rFonts w:ascii="Arial" w:hAnsi="Arial"/>
          </w:rPr>
          <w:t>https://www.inegi.org.mx/temas/comercioemp/</w:t>
        </w:r>
      </w:hyperlink>
    </w:p>
    <w:p w14:paraId="4318B1E5" w14:textId="456A059C" w:rsidR="005E78FF" w:rsidRPr="008B05A9" w:rsidRDefault="005E78FF" w:rsidP="00DD75E8">
      <w:pPr>
        <w:pStyle w:val="p0"/>
        <w:keepLines w:val="0"/>
        <w:tabs>
          <w:tab w:val="left" w:pos="1218"/>
        </w:tabs>
        <w:spacing w:before="0"/>
        <w:rPr>
          <w:rFonts w:ascii="Arial" w:hAnsi="Arial"/>
        </w:rPr>
      </w:pPr>
      <w:r w:rsidRPr="008B05A9">
        <w:rPr>
          <w:rFonts w:ascii="Arial" w:hAnsi="Arial"/>
          <w:color w:val="auto"/>
        </w:rPr>
        <w:t>Programa:</w:t>
      </w:r>
      <w:r w:rsidRPr="008B05A9">
        <w:rPr>
          <w:rFonts w:ascii="Arial" w:hAnsi="Arial"/>
        </w:rPr>
        <w:t xml:space="preserve"> </w:t>
      </w:r>
      <w:hyperlink r:id="rId34" w:history="1">
        <w:r w:rsidR="004B09B0" w:rsidRPr="0097758E">
          <w:rPr>
            <w:rStyle w:val="Hipervnculo"/>
            <w:rFonts w:ascii="Arial" w:hAnsi="Arial"/>
          </w:rPr>
          <w:t>https://www.inegi.org.mx/programas/emec/2018/</w:t>
        </w:r>
      </w:hyperlink>
    </w:p>
    <w:p w14:paraId="61F97D85" w14:textId="409C3FD6" w:rsidR="0026680B" w:rsidRPr="008B05A9" w:rsidRDefault="0043072A" w:rsidP="00DD75E8">
      <w:pPr>
        <w:pStyle w:val="p0"/>
        <w:keepLines w:val="0"/>
        <w:tabs>
          <w:tab w:val="left" w:pos="1218"/>
        </w:tabs>
        <w:spacing w:before="0"/>
        <w:rPr>
          <w:rFonts w:ascii="Arial" w:hAnsi="Arial"/>
        </w:rPr>
      </w:pPr>
      <w:r w:rsidRPr="0043072A">
        <w:rPr>
          <w:rFonts w:ascii="Arial" w:hAnsi="Arial"/>
          <w:smallCaps/>
          <w:color w:val="auto"/>
        </w:rPr>
        <w:t>bie</w:t>
      </w:r>
      <w:r w:rsidR="005E78FF" w:rsidRPr="008B05A9">
        <w:rPr>
          <w:rFonts w:ascii="Arial" w:hAnsi="Arial"/>
          <w:color w:val="auto"/>
        </w:rPr>
        <w:t>:</w:t>
      </w:r>
      <w:r w:rsidR="005E78FF" w:rsidRPr="008B05A9">
        <w:rPr>
          <w:rFonts w:ascii="Arial" w:hAnsi="Arial"/>
        </w:rPr>
        <w:t xml:space="preserve"> </w:t>
      </w:r>
      <w:hyperlink r:id="rId35" w:history="1">
        <w:r w:rsidR="00B231B0" w:rsidRPr="0097758E">
          <w:rPr>
            <w:rStyle w:val="Hipervnculo"/>
            <w:rFonts w:ascii="Arial" w:hAnsi="Arial"/>
          </w:rPr>
          <w:t>https://www.inegi.org.mx/app/indicadores/?tm=0</w:t>
        </w:r>
      </w:hyperlink>
    </w:p>
    <w:sectPr w:rsidR="0026680B" w:rsidRPr="008B05A9" w:rsidSect="00074DE7">
      <w:headerReference w:type="default" r:id="rId36"/>
      <w:footerReference w:type="default" r:id="rId37"/>
      <w:pgSz w:w="12242" w:h="15842" w:code="119"/>
      <w:pgMar w:top="1134" w:right="1134" w:bottom="1134" w:left="1134" w:header="567" w:footer="567" w:gutter="0"/>
      <w:paperSrc w:first="15" w:other="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E69F2" w14:textId="77777777" w:rsidR="002E4040" w:rsidRDefault="002E4040">
      <w:r>
        <w:separator/>
      </w:r>
    </w:p>
  </w:endnote>
  <w:endnote w:type="continuationSeparator" w:id="0">
    <w:p w14:paraId="538C079E" w14:textId="77777777" w:rsidR="002E4040" w:rsidRDefault="002E4040">
      <w:r>
        <w:continuationSeparator/>
      </w:r>
    </w:p>
  </w:endnote>
  <w:endnote w:type="continuationNotice" w:id="1">
    <w:p w14:paraId="19BA91B9" w14:textId="77777777" w:rsidR="002E4040" w:rsidRDefault="002E40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egrita">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6AEE6" w14:textId="73ABAC70" w:rsidR="00B215AB" w:rsidRPr="00074DE7" w:rsidRDefault="00074DE7" w:rsidP="00074DE7">
    <w:pPr>
      <w:pStyle w:val="Piedepgina"/>
      <w:jc w:val="center"/>
    </w:pPr>
    <w:bookmarkStart w:id="6" w:name="_Hlk147145069"/>
    <w:r w:rsidRPr="00204167">
      <w:rPr>
        <w:b/>
        <w:color w:val="003057"/>
        <w:sz w:val="20"/>
      </w:rPr>
      <w:t>Comunicación social</w:t>
    </w:r>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10753" w14:textId="77777777" w:rsidR="002E4040" w:rsidRDefault="002E4040">
      <w:r>
        <w:separator/>
      </w:r>
    </w:p>
  </w:footnote>
  <w:footnote w:type="continuationSeparator" w:id="0">
    <w:p w14:paraId="1F982838" w14:textId="77777777" w:rsidR="002E4040" w:rsidRDefault="002E4040">
      <w:r>
        <w:continuationSeparator/>
      </w:r>
    </w:p>
  </w:footnote>
  <w:footnote w:type="continuationNotice" w:id="1">
    <w:p w14:paraId="11DCCED5" w14:textId="77777777" w:rsidR="002E4040" w:rsidRDefault="002E4040"/>
  </w:footnote>
  <w:footnote w:id="2">
    <w:p w14:paraId="6D7568C1" w14:textId="77777777" w:rsidR="00F83790" w:rsidRPr="003C3740" w:rsidRDefault="00F83790" w:rsidP="00F83790">
      <w:pPr>
        <w:pStyle w:val="Textonotapie"/>
        <w:ind w:left="168" w:hanging="168"/>
        <w:rPr>
          <w:sz w:val="16"/>
        </w:rPr>
      </w:pPr>
      <w:r w:rsidRPr="00914A0F">
        <w:rPr>
          <w:rStyle w:val="Refdenotaalpie"/>
          <w:sz w:val="18"/>
          <w:szCs w:val="18"/>
        </w:rPr>
        <w:footnoteRef/>
      </w:r>
      <w:r w:rsidRPr="00914A0F">
        <w:tab/>
      </w:r>
      <w:r w:rsidRPr="00140D9C">
        <w:rPr>
          <w:sz w:val="16"/>
          <w:szCs w:val="16"/>
        </w:rPr>
        <w:t>La mayoría de las series económicas se ve afectada por factores estacionales y de calendario. El ajuste de l</w:t>
      </w:r>
      <w:r>
        <w:rPr>
          <w:sz w:val="16"/>
          <w:szCs w:val="16"/>
        </w:rPr>
        <w:t>o</w:t>
      </w:r>
      <w:r w:rsidRPr="00140D9C">
        <w:rPr>
          <w:sz w:val="16"/>
          <w:szCs w:val="16"/>
        </w:rPr>
        <w:t xml:space="preserve">s </w:t>
      </w:r>
      <w:r>
        <w:rPr>
          <w:sz w:val="16"/>
          <w:szCs w:val="16"/>
        </w:rPr>
        <w:t xml:space="preserve">datos </w:t>
      </w:r>
      <w:r w:rsidRPr="00140D9C">
        <w:rPr>
          <w:sz w:val="16"/>
          <w:szCs w:val="16"/>
        </w:rPr>
        <w:t>por dichos factores permite obtener las cifras desestacionalizadas</w:t>
      </w:r>
      <w:r>
        <w:rPr>
          <w:sz w:val="16"/>
          <w:szCs w:val="16"/>
        </w:rPr>
        <w:t>. Su</w:t>
      </w:r>
      <w:r w:rsidRPr="00140D9C">
        <w:rPr>
          <w:sz w:val="16"/>
          <w:szCs w:val="16"/>
        </w:rPr>
        <w:t xml:space="preserve"> análisis ayuda a realizar un mejor diagnóstico de la evolución de las variables.</w:t>
      </w:r>
    </w:p>
  </w:footnote>
  <w:footnote w:id="3">
    <w:p w14:paraId="5C66387B" w14:textId="77777777" w:rsidR="00F83790" w:rsidRPr="003C3740" w:rsidRDefault="00F83790" w:rsidP="00F83790">
      <w:pPr>
        <w:pStyle w:val="Textonotapie"/>
        <w:ind w:left="168" w:hanging="168"/>
        <w:rPr>
          <w:sz w:val="16"/>
          <w:szCs w:val="16"/>
          <w:lang w:val="es-ES"/>
        </w:rPr>
      </w:pPr>
      <w:r w:rsidRPr="00914A0F">
        <w:rPr>
          <w:rStyle w:val="Refdenotaalpie"/>
          <w:sz w:val="18"/>
          <w:szCs w:val="18"/>
        </w:rPr>
        <w:footnoteRef/>
      </w:r>
      <w:r w:rsidRPr="00914A0F">
        <w:tab/>
      </w:r>
      <w:r w:rsidRPr="00914A0F">
        <w:rPr>
          <w:sz w:val="16"/>
          <w:szCs w:val="16"/>
          <w:lang w:val="es-ES"/>
        </w:rPr>
        <w:t>Se refiere al monto que obtuv</w:t>
      </w:r>
      <w:r>
        <w:rPr>
          <w:sz w:val="16"/>
          <w:szCs w:val="16"/>
          <w:lang w:val="es-ES"/>
        </w:rPr>
        <w:t>ieron</w:t>
      </w:r>
      <w:r w:rsidRPr="00914A0F">
        <w:rPr>
          <w:sz w:val="16"/>
          <w:szCs w:val="16"/>
          <w:lang w:val="es-ES"/>
        </w:rPr>
        <w:t xml:space="preserve"> la</w:t>
      </w:r>
      <w:r>
        <w:rPr>
          <w:sz w:val="16"/>
          <w:szCs w:val="16"/>
          <w:lang w:val="es-ES"/>
        </w:rPr>
        <w:t>s</w:t>
      </w:r>
      <w:r w:rsidRPr="00914A0F">
        <w:rPr>
          <w:sz w:val="16"/>
          <w:szCs w:val="16"/>
          <w:lang w:val="es-ES"/>
        </w:rPr>
        <w:t xml:space="preserve"> empresa</w:t>
      </w:r>
      <w:r>
        <w:rPr>
          <w:sz w:val="16"/>
          <w:szCs w:val="16"/>
          <w:lang w:val="es-ES"/>
        </w:rPr>
        <w:t>s</w:t>
      </w:r>
      <w:r w:rsidRPr="00914A0F">
        <w:rPr>
          <w:sz w:val="16"/>
          <w:szCs w:val="16"/>
          <w:lang w:val="es-ES"/>
        </w:rPr>
        <w:t xml:space="preserve"> por todas aquellas actividades de producción, comercialización o prestación de servicios que realiz</w:t>
      </w:r>
      <w:r>
        <w:rPr>
          <w:sz w:val="16"/>
          <w:szCs w:val="16"/>
          <w:lang w:val="es-ES"/>
        </w:rPr>
        <w:t>aron</w:t>
      </w:r>
      <w:r w:rsidRPr="00914A0F">
        <w:rPr>
          <w:sz w:val="16"/>
          <w:szCs w:val="16"/>
          <w:lang w:val="es-ES"/>
        </w:rPr>
        <w:t xml:space="preserve"> en el mes de referencia</w:t>
      </w:r>
      <w:r w:rsidRPr="003C3740">
        <w:rPr>
          <w:sz w:val="16"/>
          <w:szCs w:val="16"/>
          <w:lang w:val="es-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A3FCA" w14:textId="77777777" w:rsidR="00074DE7" w:rsidRDefault="00074DE7" w:rsidP="00074DE7">
    <w:pPr>
      <w:pStyle w:val="Encabezado"/>
      <w:ind w:left="-142" w:right="49" w:hanging="142"/>
      <w:jc w:val="right"/>
      <w:rPr>
        <w:b/>
        <w:color w:val="002060"/>
      </w:rPr>
    </w:pPr>
    <w:r>
      <w:t xml:space="preserve">                                  </w:t>
    </w:r>
    <w:r>
      <w:rPr>
        <w:noProof/>
        <w14:ligatures w14:val="standardContextual"/>
      </w:rPr>
      <w:drawing>
        <wp:anchor distT="0" distB="0" distL="114300" distR="114300" simplePos="0" relativeHeight="251659264" behindDoc="0" locked="0" layoutInCell="1" allowOverlap="1" wp14:anchorId="46CC68B4" wp14:editId="2AD9A9C4">
          <wp:simplePos x="0" y="0"/>
          <wp:positionH relativeFrom="margin">
            <wp:posOffset>-104775</wp:posOffset>
          </wp:positionH>
          <wp:positionV relativeFrom="paragraph">
            <wp:posOffset>-2540</wp:posOffset>
          </wp:positionV>
          <wp:extent cx="2761200" cy="795600"/>
          <wp:effectExtent l="0" t="0" r="1270" b="5080"/>
          <wp:wrapSquare wrapText="bothSides"/>
          <wp:docPr id="1799583202" name="Imagen 1799583202" descr="Un letrero de color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466350" name="Imagen 2" descr="Un letrero de color negr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2761200" cy="795600"/>
                  </a:xfrm>
                  <a:prstGeom prst="rect">
                    <a:avLst/>
                  </a:prstGeom>
                </pic:spPr>
              </pic:pic>
            </a:graphicData>
          </a:graphic>
          <wp14:sizeRelH relativeFrom="page">
            <wp14:pctWidth>0</wp14:pctWidth>
          </wp14:sizeRelH>
          <wp14:sizeRelV relativeFrom="page">
            <wp14:pctHeight>0</wp14:pctHeight>
          </wp14:sizeRelV>
        </wp:anchor>
      </w:drawing>
    </w:r>
  </w:p>
  <w:p w14:paraId="42EE17A7" w14:textId="4E00D032" w:rsidR="00074DE7" w:rsidRPr="00306ECD" w:rsidRDefault="00074DE7" w:rsidP="00074DE7">
    <w:pPr>
      <w:pStyle w:val="Encabezado"/>
      <w:ind w:left="-142" w:right="49" w:hanging="142"/>
      <w:jc w:val="right"/>
      <w:rPr>
        <w:b/>
        <w:color w:val="002060"/>
        <w:lang w:val="pt-BR"/>
      </w:rPr>
    </w:pPr>
    <w:r w:rsidRPr="00306ECD">
      <w:rPr>
        <w:b/>
        <w:color w:val="002060"/>
      </w:rPr>
      <w:t>Comunicado de prensa núm</w:t>
    </w:r>
    <w:r>
      <w:rPr>
        <w:b/>
        <w:color w:val="002060"/>
      </w:rPr>
      <w:t>ero</w:t>
    </w:r>
    <w:r w:rsidRPr="00306ECD">
      <w:rPr>
        <w:b/>
        <w:color w:val="002060"/>
      </w:rPr>
      <w:t xml:space="preserve"> </w:t>
    </w:r>
    <w:r>
      <w:rPr>
        <w:b/>
        <w:color w:val="002060"/>
      </w:rPr>
      <w:t>701</w:t>
    </w:r>
    <w:r w:rsidRPr="00306ECD">
      <w:rPr>
        <w:b/>
        <w:color w:val="002060"/>
      </w:rPr>
      <w:t>/2</w:t>
    </w:r>
    <w:r>
      <w:rPr>
        <w:b/>
        <w:color w:val="002060"/>
      </w:rPr>
      <w:t>3</w:t>
    </w:r>
  </w:p>
  <w:p w14:paraId="430E3164" w14:textId="71D62388" w:rsidR="00074DE7" w:rsidRPr="00306ECD" w:rsidRDefault="00074DE7" w:rsidP="00074DE7">
    <w:pPr>
      <w:pStyle w:val="Encabezado"/>
      <w:tabs>
        <w:tab w:val="clear" w:pos="4320"/>
        <w:tab w:val="clear" w:pos="8640"/>
      </w:tabs>
      <w:ind w:left="-567" w:right="49"/>
      <w:jc w:val="right"/>
      <w:rPr>
        <w:b/>
        <w:color w:val="002060"/>
        <w:lang w:val="pt-BR"/>
      </w:rPr>
    </w:pPr>
    <w:r>
      <w:rPr>
        <w:b/>
        <w:color w:val="002060"/>
        <w:lang w:val="pt-BR"/>
      </w:rPr>
      <w:t xml:space="preserve">22 de noviembre de </w:t>
    </w:r>
    <w:r w:rsidRPr="00306ECD">
      <w:rPr>
        <w:b/>
        <w:color w:val="002060"/>
        <w:lang w:val="pt-BR"/>
      </w:rPr>
      <w:t>202</w:t>
    </w:r>
    <w:r>
      <w:rPr>
        <w:b/>
        <w:color w:val="002060"/>
        <w:lang w:val="pt-BR"/>
      </w:rPr>
      <w:t>3</w:t>
    </w:r>
  </w:p>
  <w:p w14:paraId="1289AD5C" w14:textId="6439C22B" w:rsidR="00074DE7" w:rsidRPr="00F22E89" w:rsidRDefault="00074DE7" w:rsidP="00074DE7">
    <w:pPr>
      <w:pStyle w:val="Encabezado"/>
      <w:ind w:left="-567" w:right="49"/>
      <w:jc w:val="right"/>
      <w:rPr>
        <w:b/>
        <w:color w:val="002060"/>
      </w:rPr>
    </w:pPr>
    <w:r w:rsidRPr="006B2980">
      <w:rPr>
        <w:b/>
        <w:color w:val="002060"/>
      </w:rPr>
      <w:t xml:space="preserve">Página </w:t>
    </w:r>
    <w:r w:rsidRPr="006B2980">
      <w:rPr>
        <w:b/>
        <w:color w:val="002060"/>
      </w:rPr>
      <w:fldChar w:fldCharType="begin"/>
    </w:r>
    <w:r w:rsidRPr="006B2980">
      <w:rPr>
        <w:b/>
        <w:color w:val="002060"/>
      </w:rPr>
      <w:instrText xml:space="preserve"> PAGE  \* Arabic </w:instrText>
    </w:r>
    <w:r w:rsidRPr="006B2980">
      <w:rPr>
        <w:b/>
        <w:color w:val="002060"/>
      </w:rPr>
      <w:fldChar w:fldCharType="separate"/>
    </w:r>
    <w:r>
      <w:rPr>
        <w:b/>
        <w:color w:val="002060"/>
      </w:rPr>
      <w:t>2</w:t>
    </w:r>
    <w:r w:rsidRPr="006B2980">
      <w:rPr>
        <w:b/>
        <w:color w:val="002060"/>
      </w:rPr>
      <w:fldChar w:fldCharType="end"/>
    </w:r>
    <w:r w:rsidRPr="006B2980">
      <w:rPr>
        <w:b/>
        <w:color w:val="002060"/>
      </w:rPr>
      <w:t>/</w:t>
    </w:r>
    <w:r>
      <w:rPr>
        <w:b/>
        <w:color w:val="002060"/>
      </w:rPr>
      <w:t>1</w:t>
    </w:r>
    <w:r w:rsidR="009B6BBB">
      <w:rPr>
        <w:b/>
        <w:color w:val="002060"/>
      </w:rPr>
      <w:t>2</w:t>
    </w:r>
  </w:p>
  <w:p w14:paraId="6BCE5C07" w14:textId="60267458" w:rsidR="00B215AB" w:rsidRDefault="00B215AB" w:rsidP="00126B6E">
    <w:pPr>
      <w:pStyle w:val="Encabezado"/>
      <w:tabs>
        <w:tab w:val="clear" w:pos="4320"/>
        <w:tab w:val="clear" w:pos="8640"/>
      </w:tabs>
    </w:pPr>
  </w:p>
  <w:p w14:paraId="1D4D73ED" w14:textId="77777777" w:rsidR="00074DE7" w:rsidRPr="00B8365A" w:rsidRDefault="00074DE7" w:rsidP="00126B6E">
    <w:pPr>
      <w:pStyle w:val="Encabezado"/>
      <w:tabs>
        <w:tab w:val="clear" w:pos="4320"/>
        <w:tab w:val="clear" w:pos="8640"/>
      </w:tabs>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1F2BAE"/>
    <w:multiLevelType w:val="singleLevel"/>
    <w:tmpl w:val="FFFFFFFF"/>
    <w:lvl w:ilvl="0">
      <w:numFmt w:val="decimal"/>
      <w:lvlText w:val="*"/>
      <w:lvlJc w:val="left"/>
    </w:lvl>
  </w:abstractNum>
  <w:abstractNum w:abstractNumId="6" w15:restartNumberingAfterBreak="0">
    <w:nsid w:val="28E16C6E"/>
    <w:multiLevelType w:val="hybridMultilevel"/>
    <w:tmpl w:val="C496301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DBC38F5"/>
    <w:multiLevelType w:val="hybridMultilevel"/>
    <w:tmpl w:val="C08E9FB6"/>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8" w15:restartNumberingAfterBreak="0">
    <w:nsid w:val="2E386850"/>
    <w:multiLevelType w:val="hybridMultilevel"/>
    <w:tmpl w:val="03D8D15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1E718A3"/>
    <w:multiLevelType w:val="singleLevel"/>
    <w:tmpl w:val="3148E2B4"/>
    <w:lvl w:ilvl="0">
      <w:start w:val="1"/>
      <w:numFmt w:val="bullet"/>
      <w:lvlText w:val=""/>
      <w:lvlJc w:val="left"/>
      <w:pPr>
        <w:tabs>
          <w:tab w:val="num" w:pos="720"/>
        </w:tabs>
        <w:ind w:left="720" w:hanging="360"/>
      </w:pPr>
      <w:rPr>
        <w:rFonts w:ascii="Symbol" w:hAnsi="Symbol" w:hint="default"/>
        <w:lang w:val="es-ES_tradnl"/>
      </w:rPr>
    </w:lvl>
  </w:abstractNum>
  <w:abstractNum w:abstractNumId="12"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80C7DE1"/>
    <w:multiLevelType w:val="hybridMultilevel"/>
    <w:tmpl w:val="F878B8E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7"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8" w15:restartNumberingAfterBreak="0">
    <w:nsid w:val="6C2064AD"/>
    <w:multiLevelType w:val="hybridMultilevel"/>
    <w:tmpl w:val="2D40341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9" w15:restartNumberingAfterBreak="0">
    <w:nsid w:val="78AD5396"/>
    <w:multiLevelType w:val="hybridMultilevel"/>
    <w:tmpl w:val="BDD079A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1"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2054765240">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16cid:durableId="1528567717">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16cid:durableId="2058704044">
    <w:abstractNumId w:val="2"/>
  </w:num>
  <w:num w:numId="4" w16cid:durableId="1962758582">
    <w:abstractNumId w:val="5"/>
  </w:num>
  <w:num w:numId="5" w16cid:durableId="1436167533">
    <w:abstractNumId w:val="9"/>
  </w:num>
  <w:num w:numId="6" w16cid:durableId="2129815366">
    <w:abstractNumId w:val="1"/>
  </w:num>
  <w:num w:numId="7" w16cid:durableId="467744658">
    <w:abstractNumId w:val="3"/>
  </w:num>
  <w:num w:numId="8" w16cid:durableId="1252591067">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16cid:durableId="933320932">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16cid:durableId="948774612">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16cid:durableId="1075470575">
    <w:abstractNumId w:val="17"/>
  </w:num>
  <w:num w:numId="12" w16cid:durableId="602151760">
    <w:abstractNumId w:val="20"/>
  </w:num>
  <w:num w:numId="13" w16cid:durableId="935400483">
    <w:abstractNumId w:val="21"/>
  </w:num>
  <w:num w:numId="14" w16cid:durableId="1399726">
    <w:abstractNumId w:val="13"/>
  </w:num>
  <w:num w:numId="15" w16cid:durableId="1807115690">
    <w:abstractNumId w:val="10"/>
  </w:num>
  <w:num w:numId="16" w16cid:durableId="420683245">
    <w:abstractNumId w:val="15"/>
  </w:num>
  <w:num w:numId="17" w16cid:durableId="1009018998">
    <w:abstractNumId w:val="12"/>
  </w:num>
  <w:num w:numId="18" w16cid:durableId="906917250">
    <w:abstractNumId w:val="14"/>
  </w:num>
  <w:num w:numId="19" w16cid:durableId="566887738">
    <w:abstractNumId w:val="4"/>
  </w:num>
  <w:num w:numId="20" w16cid:durableId="814758321">
    <w:abstractNumId w:val="11"/>
  </w:num>
  <w:num w:numId="21" w16cid:durableId="1847743537">
    <w:abstractNumId w:val="8"/>
  </w:num>
  <w:num w:numId="22" w16cid:durableId="692389099">
    <w:abstractNumId w:val="19"/>
  </w:num>
  <w:num w:numId="23" w16cid:durableId="1030425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87278497">
    <w:abstractNumId w:val="18"/>
  </w:num>
  <w:num w:numId="25" w16cid:durableId="1847593820">
    <w:abstractNumId w:val="7"/>
  </w:num>
  <w:num w:numId="26" w16cid:durableId="10084088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style="mso-position-horizontal-relative:margin;mso-position-vertical-relative:margin" o:allowincell="f" fillcolor="none [1311]" stroke="f">
      <v:fill color="none [1311]" opacity=".5" color2="none [1311]" o:opacity2=".5" type="pattern"/>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BD1"/>
    <w:rsid w:val="000000CA"/>
    <w:rsid w:val="0000043F"/>
    <w:rsid w:val="00000789"/>
    <w:rsid w:val="00000A97"/>
    <w:rsid w:val="00000BEA"/>
    <w:rsid w:val="00001390"/>
    <w:rsid w:val="0000180F"/>
    <w:rsid w:val="0000181C"/>
    <w:rsid w:val="00001DBF"/>
    <w:rsid w:val="00002146"/>
    <w:rsid w:val="00002466"/>
    <w:rsid w:val="00002665"/>
    <w:rsid w:val="000026BE"/>
    <w:rsid w:val="000027BD"/>
    <w:rsid w:val="00002B26"/>
    <w:rsid w:val="000032AE"/>
    <w:rsid w:val="00003C25"/>
    <w:rsid w:val="00003C68"/>
    <w:rsid w:val="00004291"/>
    <w:rsid w:val="0000458A"/>
    <w:rsid w:val="00005039"/>
    <w:rsid w:val="000050C6"/>
    <w:rsid w:val="00005940"/>
    <w:rsid w:val="00006B5A"/>
    <w:rsid w:val="00006D26"/>
    <w:rsid w:val="000078B1"/>
    <w:rsid w:val="00007972"/>
    <w:rsid w:val="00007A1A"/>
    <w:rsid w:val="0001038F"/>
    <w:rsid w:val="00010A59"/>
    <w:rsid w:val="000112A7"/>
    <w:rsid w:val="0001151F"/>
    <w:rsid w:val="00011840"/>
    <w:rsid w:val="00011AC0"/>
    <w:rsid w:val="00011BD3"/>
    <w:rsid w:val="00012278"/>
    <w:rsid w:val="00012A27"/>
    <w:rsid w:val="00012E16"/>
    <w:rsid w:val="0001302A"/>
    <w:rsid w:val="000132A4"/>
    <w:rsid w:val="00013319"/>
    <w:rsid w:val="00013E55"/>
    <w:rsid w:val="00013F6E"/>
    <w:rsid w:val="0001447E"/>
    <w:rsid w:val="000144ED"/>
    <w:rsid w:val="00014FBD"/>
    <w:rsid w:val="00015302"/>
    <w:rsid w:val="00016590"/>
    <w:rsid w:val="00016B4E"/>
    <w:rsid w:val="00016D3A"/>
    <w:rsid w:val="0001718D"/>
    <w:rsid w:val="000176AC"/>
    <w:rsid w:val="000177F8"/>
    <w:rsid w:val="00020389"/>
    <w:rsid w:val="000205F2"/>
    <w:rsid w:val="00021432"/>
    <w:rsid w:val="00021492"/>
    <w:rsid w:val="000216A3"/>
    <w:rsid w:val="000228C4"/>
    <w:rsid w:val="00022CA3"/>
    <w:rsid w:val="00022F65"/>
    <w:rsid w:val="000231F6"/>
    <w:rsid w:val="0002385A"/>
    <w:rsid w:val="000247BB"/>
    <w:rsid w:val="00024F64"/>
    <w:rsid w:val="000260EE"/>
    <w:rsid w:val="00026B3C"/>
    <w:rsid w:val="00026B52"/>
    <w:rsid w:val="00027C7B"/>
    <w:rsid w:val="000300A4"/>
    <w:rsid w:val="00030480"/>
    <w:rsid w:val="0003065F"/>
    <w:rsid w:val="00030D10"/>
    <w:rsid w:val="00031231"/>
    <w:rsid w:val="000314D3"/>
    <w:rsid w:val="00031BCF"/>
    <w:rsid w:val="00032B16"/>
    <w:rsid w:val="00033603"/>
    <w:rsid w:val="0003363D"/>
    <w:rsid w:val="0003377E"/>
    <w:rsid w:val="00033A14"/>
    <w:rsid w:val="00033C6E"/>
    <w:rsid w:val="0003447A"/>
    <w:rsid w:val="00034BC3"/>
    <w:rsid w:val="000353F3"/>
    <w:rsid w:val="00035600"/>
    <w:rsid w:val="00035B2D"/>
    <w:rsid w:val="00035DA7"/>
    <w:rsid w:val="00036D72"/>
    <w:rsid w:val="00037089"/>
    <w:rsid w:val="00037177"/>
    <w:rsid w:val="00037CC4"/>
    <w:rsid w:val="000402DA"/>
    <w:rsid w:val="0004066E"/>
    <w:rsid w:val="00040F75"/>
    <w:rsid w:val="00041FF7"/>
    <w:rsid w:val="0004225C"/>
    <w:rsid w:val="00042A96"/>
    <w:rsid w:val="00043535"/>
    <w:rsid w:val="00043B32"/>
    <w:rsid w:val="00043E2B"/>
    <w:rsid w:val="00043FBE"/>
    <w:rsid w:val="00044296"/>
    <w:rsid w:val="000442BB"/>
    <w:rsid w:val="000442FD"/>
    <w:rsid w:val="00044699"/>
    <w:rsid w:val="00044700"/>
    <w:rsid w:val="00044781"/>
    <w:rsid w:val="00044C5E"/>
    <w:rsid w:val="0004596A"/>
    <w:rsid w:val="00045AF1"/>
    <w:rsid w:val="00045D98"/>
    <w:rsid w:val="00045E9B"/>
    <w:rsid w:val="00046139"/>
    <w:rsid w:val="000465BF"/>
    <w:rsid w:val="000467A6"/>
    <w:rsid w:val="00046822"/>
    <w:rsid w:val="00046AB6"/>
    <w:rsid w:val="00046C2C"/>
    <w:rsid w:val="00046D06"/>
    <w:rsid w:val="00046E75"/>
    <w:rsid w:val="000471CD"/>
    <w:rsid w:val="0004735D"/>
    <w:rsid w:val="0004777C"/>
    <w:rsid w:val="000478A1"/>
    <w:rsid w:val="000501E0"/>
    <w:rsid w:val="00050934"/>
    <w:rsid w:val="00050FB5"/>
    <w:rsid w:val="0005114E"/>
    <w:rsid w:val="00051C72"/>
    <w:rsid w:val="00051D1C"/>
    <w:rsid w:val="00051D9E"/>
    <w:rsid w:val="000523F8"/>
    <w:rsid w:val="00052F04"/>
    <w:rsid w:val="00052F1E"/>
    <w:rsid w:val="000531A8"/>
    <w:rsid w:val="00053448"/>
    <w:rsid w:val="000536D2"/>
    <w:rsid w:val="00053B2C"/>
    <w:rsid w:val="00053BE1"/>
    <w:rsid w:val="00053EB7"/>
    <w:rsid w:val="00053EC5"/>
    <w:rsid w:val="00054A4F"/>
    <w:rsid w:val="00055047"/>
    <w:rsid w:val="00055332"/>
    <w:rsid w:val="00055B54"/>
    <w:rsid w:val="00056594"/>
    <w:rsid w:val="00056F51"/>
    <w:rsid w:val="000573F5"/>
    <w:rsid w:val="00057F37"/>
    <w:rsid w:val="000602B0"/>
    <w:rsid w:val="00060419"/>
    <w:rsid w:val="0006056C"/>
    <w:rsid w:val="00060F31"/>
    <w:rsid w:val="00061DEB"/>
    <w:rsid w:val="0006228A"/>
    <w:rsid w:val="00062D99"/>
    <w:rsid w:val="00063614"/>
    <w:rsid w:val="00063838"/>
    <w:rsid w:val="000641A4"/>
    <w:rsid w:val="0006433F"/>
    <w:rsid w:val="000646BA"/>
    <w:rsid w:val="00064BBC"/>
    <w:rsid w:val="00064E9D"/>
    <w:rsid w:val="00064FDB"/>
    <w:rsid w:val="000650BA"/>
    <w:rsid w:val="00065106"/>
    <w:rsid w:val="00065189"/>
    <w:rsid w:val="000651F1"/>
    <w:rsid w:val="00065249"/>
    <w:rsid w:val="00065708"/>
    <w:rsid w:val="00065A07"/>
    <w:rsid w:val="00065BC1"/>
    <w:rsid w:val="00066638"/>
    <w:rsid w:val="000667F0"/>
    <w:rsid w:val="000668F6"/>
    <w:rsid w:val="00066EA7"/>
    <w:rsid w:val="00066EBE"/>
    <w:rsid w:val="0006734E"/>
    <w:rsid w:val="0007012A"/>
    <w:rsid w:val="0007017F"/>
    <w:rsid w:val="00070431"/>
    <w:rsid w:val="000707FF"/>
    <w:rsid w:val="00070864"/>
    <w:rsid w:val="0007145A"/>
    <w:rsid w:val="00071749"/>
    <w:rsid w:val="00071F33"/>
    <w:rsid w:val="000725AC"/>
    <w:rsid w:val="00072B18"/>
    <w:rsid w:val="000730F3"/>
    <w:rsid w:val="00073491"/>
    <w:rsid w:val="000739D2"/>
    <w:rsid w:val="00073EF4"/>
    <w:rsid w:val="00074DAD"/>
    <w:rsid w:val="00074DE7"/>
    <w:rsid w:val="000753EC"/>
    <w:rsid w:val="0007567F"/>
    <w:rsid w:val="00075B3A"/>
    <w:rsid w:val="00075DEC"/>
    <w:rsid w:val="0007614C"/>
    <w:rsid w:val="00076234"/>
    <w:rsid w:val="000767F7"/>
    <w:rsid w:val="00076EE9"/>
    <w:rsid w:val="0007776C"/>
    <w:rsid w:val="00077C0B"/>
    <w:rsid w:val="00077C46"/>
    <w:rsid w:val="0008000C"/>
    <w:rsid w:val="000800F3"/>
    <w:rsid w:val="0008027F"/>
    <w:rsid w:val="0008084D"/>
    <w:rsid w:val="000814ED"/>
    <w:rsid w:val="000815FB"/>
    <w:rsid w:val="0008175A"/>
    <w:rsid w:val="0008195B"/>
    <w:rsid w:val="000826F7"/>
    <w:rsid w:val="00082801"/>
    <w:rsid w:val="00082B7D"/>
    <w:rsid w:val="00082F11"/>
    <w:rsid w:val="000830D4"/>
    <w:rsid w:val="0008325D"/>
    <w:rsid w:val="000834DD"/>
    <w:rsid w:val="00084687"/>
    <w:rsid w:val="00084A57"/>
    <w:rsid w:val="00084BED"/>
    <w:rsid w:val="00084EDB"/>
    <w:rsid w:val="00084FF2"/>
    <w:rsid w:val="0008524D"/>
    <w:rsid w:val="00085572"/>
    <w:rsid w:val="000856E9"/>
    <w:rsid w:val="00086295"/>
    <w:rsid w:val="000864FF"/>
    <w:rsid w:val="00086525"/>
    <w:rsid w:val="00086737"/>
    <w:rsid w:val="000874E1"/>
    <w:rsid w:val="0008756B"/>
    <w:rsid w:val="00087DAE"/>
    <w:rsid w:val="00087DB7"/>
    <w:rsid w:val="00087ECE"/>
    <w:rsid w:val="0009025D"/>
    <w:rsid w:val="00090B42"/>
    <w:rsid w:val="00090B9C"/>
    <w:rsid w:val="00090D7B"/>
    <w:rsid w:val="00091474"/>
    <w:rsid w:val="000914C0"/>
    <w:rsid w:val="000915F7"/>
    <w:rsid w:val="00092764"/>
    <w:rsid w:val="000928E7"/>
    <w:rsid w:val="0009292F"/>
    <w:rsid w:val="00092F4C"/>
    <w:rsid w:val="00094496"/>
    <w:rsid w:val="00094D76"/>
    <w:rsid w:val="000950E7"/>
    <w:rsid w:val="00095360"/>
    <w:rsid w:val="000955AA"/>
    <w:rsid w:val="000957BC"/>
    <w:rsid w:val="000964AE"/>
    <w:rsid w:val="00096515"/>
    <w:rsid w:val="00096737"/>
    <w:rsid w:val="00096967"/>
    <w:rsid w:val="00097C0A"/>
    <w:rsid w:val="00097D4F"/>
    <w:rsid w:val="000A0344"/>
    <w:rsid w:val="000A0823"/>
    <w:rsid w:val="000A1595"/>
    <w:rsid w:val="000A212D"/>
    <w:rsid w:val="000A21D6"/>
    <w:rsid w:val="000A2A49"/>
    <w:rsid w:val="000A2F4F"/>
    <w:rsid w:val="000A31EF"/>
    <w:rsid w:val="000A3354"/>
    <w:rsid w:val="000A3733"/>
    <w:rsid w:val="000A3B8F"/>
    <w:rsid w:val="000A3BED"/>
    <w:rsid w:val="000A43B0"/>
    <w:rsid w:val="000A4E99"/>
    <w:rsid w:val="000A53E6"/>
    <w:rsid w:val="000A574B"/>
    <w:rsid w:val="000A5B04"/>
    <w:rsid w:val="000A5E2A"/>
    <w:rsid w:val="000A643B"/>
    <w:rsid w:val="000A6733"/>
    <w:rsid w:val="000A707A"/>
    <w:rsid w:val="000A78BA"/>
    <w:rsid w:val="000A7F2F"/>
    <w:rsid w:val="000B0710"/>
    <w:rsid w:val="000B13D0"/>
    <w:rsid w:val="000B1812"/>
    <w:rsid w:val="000B1C11"/>
    <w:rsid w:val="000B1D13"/>
    <w:rsid w:val="000B29B8"/>
    <w:rsid w:val="000B2A27"/>
    <w:rsid w:val="000B3679"/>
    <w:rsid w:val="000B3715"/>
    <w:rsid w:val="000B433C"/>
    <w:rsid w:val="000B4A6A"/>
    <w:rsid w:val="000B50FB"/>
    <w:rsid w:val="000B515D"/>
    <w:rsid w:val="000B531F"/>
    <w:rsid w:val="000B55A5"/>
    <w:rsid w:val="000B5A74"/>
    <w:rsid w:val="000B5FA3"/>
    <w:rsid w:val="000B6AF4"/>
    <w:rsid w:val="000B6AF6"/>
    <w:rsid w:val="000B6CEC"/>
    <w:rsid w:val="000B6E8A"/>
    <w:rsid w:val="000C1051"/>
    <w:rsid w:val="000C1098"/>
    <w:rsid w:val="000C1F04"/>
    <w:rsid w:val="000C2693"/>
    <w:rsid w:val="000C2892"/>
    <w:rsid w:val="000C2B3C"/>
    <w:rsid w:val="000C30D7"/>
    <w:rsid w:val="000C3105"/>
    <w:rsid w:val="000C34DD"/>
    <w:rsid w:val="000C37BC"/>
    <w:rsid w:val="000C4103"/>
    <w:rsid w:val="000C4185"/>
    <w:rsid w:val="000C482F"/>
    <w:rsid w:val="000C4992"/>
    <w:rsid w:val="000C51D4"/>
    <w:rsid w:val="000C5299"/>
    <w:rsid w:val="000C5468"/>
    <w:rsid w:val="000C55CC"/>
    <w:rsid w:val="000C5852"/>
    <w:rsid w:val="000C5D0E"/>
    <w:rsid w:val="000C6A4A"/>
    <w:rsid w:val="000C6AFD"/>
    <w:rsid w:val="000C7F42"/>
    <w:rsid w:val="000D06FA"/>
    <w:rsid w:val="000D0DDA"/>
    <w:rsid w:val="000D0ED5"/>
    <w:rsid w:val="000D113E"/>
    <w:rsid w:val="000D1169"/>
    <w:rsid w:val="000D15C5"/>
    <w:rsid w:val="000D2449"/>
    <w:rsid w:val="000D28A5"/>
    <w:rsid w:val="000D31C1"/>
    <w:rsid w:val="000D36B2"/>
    <w:rsid w:val="000D39FD"/>
    <w:rsid w:val="000D3A24"/>
    <w:rsid w:val="000D4833"/>
    <w:rsid w:val="000D49D2"/>
    <w:rsid w:val="000D4A88"/>
    <w:rsid w:val="000D4BBC"/>
    <w:rsid w:val="000D4D90"/>
    <w:rsid w:val="000D4E26"/>
    <w:rsid w:val="000D5176"/>
    <w:rsid w:val="000D54F0"/>
    <w:rsid w:val="000D5EDB"/>
    <w:rsid w:val="000D6746"/>
    <w:rsid w:val="000D677E"/>
    <w:rsid w:val="000D6C0F"/>
    <w:rsid w:val="000D6F1E"/>
    <w:rsid w:val="000D7A2D"/>
    <w:rsid w:val="000D7A95"/>
    <w:rsid w:val="000D7BBD"/>
    <w:rsid w:val="000D7E73"/>
    <w:rsid w:val="000E03C0"/>
    <w:rsid w:val="000E0654"/>
    <w:rsid w:val="000E10B7"/>
    <w:rsid w:val="000E15D1"/>
    <w:rsid w:val="000E1928"/>
    <w:rsid w:val="000E19B3"/>
    <w:rsid w:val="000E1FDA"/>
    <w:rsid w:val="000E2970"/>
    <w:rsid w:val="000E2F5B"/>
    <w:rsid w:val="000E378F"/>
    <w:rsid w:val="000E3CC1"/>
    <w:rsid w:val="000E5331"/>
    <w:rsid w:val="000E5526"/>
    <w:rsid w:val="000E5D6B"/>
    <w:rsid w:val="000E5FE0"/>
    <w:rsid w:val="000E6513"/>
    <w:rsid w:val="000E6D5D"/>
    <w:rsid w:val="000E7BD9"/>
    <w:rsid w:val="000F04B7"/>
    <w:rsid w:val="000F05D5"/>
    <w:rsid w:val="000F0B0F"/>
    <w:rsid w:val="000F1577"/>
    <w:rsid w:val="000F1DEB"/>
    <w:rsid w:val="000F2C78"/>
    <w:rsid w:val="000F3491"/>
    <w:rsid w:val="000F3ADD"/>
    <w:rsid w:val="000F3DE6"/>
    <w:rsid w:val="000F44E7"/>
    <w:rsid w:val="000F49F1"/>
    <w:rsid w:val="000F4C41"/>
    <w:rsid w:val="000F4FA7"/>
    <w:rsid w:val="000F536A"/>
    <w:rsid w:val="000F541D"/>
    <w:rsid w:val="000F5AD1"/>
    <w:rsid w:val="000F5F79"/>
    <w:rsid w:val="000F6236"/>
    <w:rsid w:val="000F69C1"/>
    <w:rsid w:val="000F69FA"/>
    <w:rsid w:val="000F7577"/>
    <w:rsid w:val="000F7974"/>
    <w:rsid w:val="000F7ECD"/>
    <w:rsid w:val="000F7FB5"/>
    <w:rsid w:val="00100317"/>
    <w:rsid w:val="0010056E"/>
    <w:rsid w:val="001011EC"/>
    <w:rsid w:val="001017C1"/>
    <w:rsid w:val="00101A54"/>
    <w:rsid w:val="00101E92"/>
    <w:rsid w:val="00101F40"/>
    <w:rsid w:val="00101F61"/>
    <w:rsid w:val="00102C70"/>
    <w:rsid w:val="0010329E"/>
    <w:rsid w:val="00103847"/>
    <w:rsid w:val="00103913"/>
    <w:rsid w:val="00105234"/>
    <w:rsid w:val="00105740"/>
    <w:rsid w:val="00105AA0"/>
    <w:rsid w:val="00105E2B"/>
    <w:rsid w:val="0010619C"/>
    <w:rsid w:val="001061DC"/>
    <w:rsid w:val="0010664D"/>
    <w:rsid w:val="00107284"/>
    <w:rsid w:val="00110510"/>
    <w:rsid w:val="0011076D"/>
    <w:rsid w:val="00110935"/>
    <w:rsid w:val="00110A4A"/>
    <w:rsid w:val="00110DB1"/>
    <w:rsid w:val="00110DF0"/>
    <w:rsid w:val="0011111A"/>
    <w:rsid w:val="001114D0"/>
    <w:rsid w:val="00111703"/>
    <w:rsid w:val="00111AA3"/>
    <w:rsid w:val="00111EB2"/>
    <w:rsid w:val="00111F29"/>
    <w:rsid w:val="00112A0B"/>
    <w:rsid w:val="00112C7F"/>
    <w:rsid w:val="00113348"/>
    <w:rsid w:val="00113404"/>
    <w:rsid w:val="001134B4"/>
    <w:rsid w:val="00113DE8"/>
    <w:rsid w:val="0011424C"/>
    <w:rsid w:val="0011478A"/>
    <w:rsid w:val="00114B56"/>
    <w:rsid w:val="00114B96"/>
    <w:rsid w:val="00114E47"/>
    <w:rsid w:val="00115A20"/>
    <w:rsid w:val="00116647"/>
    <w:rsid w:val="00116F84"/>
    <w:rsid w:val="00117D7A"/>
    <w:rsid w:val="00120112"/>
    <w:rsid w:val="00120C37"/>
    <w:rsid w:val="00120DCB"/>
    <w:rsid w:val="00120EA1"/>
    <w:rsid w:val="0012181E"/>
    <w:rsid w:val="00122048"/>
    <w:rsid w:val="001228A0"/>
    <w:rsid w:val="0012296B"/>
    <w:rsid w:val="00123157"/>
    <w:rsid w:val="00123408"/>
    <w:rsid w:val="00123EFF"/>
    <w:rsid w:val="001241F7"/>
    <w:rsid w:val="00124D18"/>
    <w:rsid w:val="00124D1A"/>
    <w:rsid w:val="001251AF"/>
    <w:rsid w:val="001252E5"/>
    <w:rsid w:val="0012562E"/>
    <w:rsid w:val="00125654"/>
    <w:rsid w:val="00125D0D"/>
    <w:rsid w:val="00125D9D"/>
    <w:rsid w:val="001263E8"/>
    <w:rsid w:val="00126B6E"/>
    <w:rsid w:val="00127039"/>
    <w:rsid w:val="00127810"/>
    <w:rsid w:val="001301E6"/>
    <w:rsid w:val="001304F2"/>
    <w:rsid w:val="001305B7"/>
    <w:rsid w:val="00130C4C"/>
    <w:rsid w:val="00130C88"/>
    <w:rsid w:val="001313EB"/>
    <w:rsid w:val="00131869"/>
    <w:rsid w:val="0013222E"/>
    <w:rsid w:val="001323BB"/>
    <w:rsid w:val="00132A32"/>
    <w:rsid w:val="00132CEE"/>
    <w:rsid w:val="001334F0"/>
    <w:rsid w:val="001345AB"/>
    <w:rsid w:val="00134904"/>
    <w:rsid w:val="001349AB"/>
    <w:rsid w:val="00134F49"/>
    <w:rsid w:val="00134F4E"/>
    <w:rsid w:val="00134FB0"/>
    <w:rsid w:val="00134FBC"/>
    <w:rsid w:val="001350AC"/>
    <w:rsid w:val="001352EC"/>
    <w:rsid w:val="001353BF"/>
    <w:rsid w:val="00135E0B"/>
    <w:rsid w:val="00135F34"/>
    <w:rsid w:val="001361A8"/>
    <w:rsid w:val="001365A5"/>
    <w:rsid w:val="001368CC"/>
    <w:rsid w:val="001372CA"/>
    <w:rsid w:val="00137AFD"/>
    <w:rsid w:val="0014012A"/>
    <w:rsid w:val="00140AD8"/>
    <w:rsid w:val="00140BE4"/>
    <w:rsid w:val="001411DE"/>
    <w:rsid w:val="00141399"/>
    <w:rsid w:val="0014145D"/>
    <w:rsid w:val="00141A0B"/>
    <w:rsid w:val="00141AF4"/>
    <w:rsid w:val="00141C8C"/>
    <w:rsid w:val="00142E09"/>
    <w:rsid w:val="00143422"/>
    <w:rsid w:val="0014377B"/>
    <w:rsid w:val="00143D3A"/>
    <w:rsid w:val="00144829"/>
    <w:rsid w:val="0014535F"/>
    <w:rsid w:val="00145482"/>
    <w:rsid w:val="00145C2D"/>
    <w:rsid w:val="00145F65"/>
    <w:rsid w:val="001460E0"/>
    <w:rsid w:val="001462E7"/>
    <w:rsid w:val="00146902"/>
    <w:rsid w:val="00146DFA"/>
    <w:rsid w:val="0014714F"/>
    <w:rsid w:val="00147278"/>
    <w:rsid w:val="00147FA4"/>
    <w:rsid w:val="0015018D"/>
    <w:rsid w:val="00150228"/>
    <w:rsid w:val="001502C3"/>
    <w:rsid w:val="001504E8"/>
    <w:rsid w:val="00150536"/>
    <w:rsid w:val="00150596"/>
    <w:rsid w:val="00150E7A"/>
    <w:rsid w:val="001532F7"/>
    <w:rsid w:val="001533B2"/>
    <w:rsid w:val="001534CA"/>
    <w:rsid w:val="0015369A"/>
    <w:rsid w:val="0015386A"/>
    <w:rsid w:val="001540F9"/>
    <w:rsid w:val="00154E90"/>
    <w:rsid w:val="001557A9"/>
    <w:rsid w:val="00155878"/>
    <w:rsid w:val="0015599D"/>
    <w:rsid w:val="00155A36"/>
    <w:rsid w:val="00155A48"/>
    <w:rsid w:val="0015603F"/>
    <w:rsid w:val="001566A4"/>
    <w:rsid w:val="00156BEF"/>
    <w:rsid w:val="00157435"/>
    <w:rsid w:val="0015755C"/>
    <w:rsid w:val="001600C9"/>
    <w:rsid w:val="00160308"/>
    <w:rsid w:val="0016052B"/>
    <w:rsid w:val="00160867"/>
    <w:rsid w:val="00160957"/>
    <w:rsid w:val="00160B56"/>
    <w:rsid w:val="0016159C"/>
    <w:rsid w:val="00161833"/>
    <w:rsid w:val="00161E62"/>
    <w:rsid w:val="00162793"/>
    <w:rsid w:val="00162797"/>
    <w:rsid w:val="00162A20"/>
    <w:rsid w:val="00162C58"/>
    <w:rsid w:val="00163301"/>
    <w:rsid w:val="0016464B"/>
    <w:rsid w:val="001648BC"/>
    <w:rsid w:val="00164A84"/>
    <w:rsid w:val="00164CD1"/>
    <w:rsid w:val="001655BD"/>
    <w:rsid w:val="00165810"/>
    <w:rsid w:val="00165E36"/>
    <w:rsid w:val="00165F6B"/>
    <w:rsid w:val="0016614B"/>
    <w:rsid w:val="001665FD"/>
    <w:rsid w:val="00167A72"/>
    <w:rsid w:val="00167D2F"/>
    <w:rsid w:val="001705B3"/>
    <w:rsid w:val="0017080F"/>
    <w:rsid w:val="00170972"/>
    <w:rsid w:val="00170BD4"/>
    <w:rsid w:val="001711E3"/>
    <w:rsid w:val="00171F36"/>
    <w:rsid w:val="00172464"/>
    <w:rsid w:val="00172600"/>
    <w:rsid w:val="00172614"/>
    <w:rsid w:val="0017274F"/>
    <w:rsid w:val="001728BE"/>
    <w:rsid w:val="00172AA4"/>
    <w:rsid w:val="0017308E"/>
    <w:rsid w:val="001731F7"/>
    <w:rsid w:val="00173309"/>
    <w:rsid w:val="0017357E"/>
    <w:rsid w:val="001735A8"/>
    <w:rsid w:val="00173881"/>
    <w:rsid w:val="00173ECB"/>
    <w:rsid w:val="001740E5"/>
    <w:rsid w:val="00174587"/>
    <w:rsid w:val="0017474C"/>
    <w:rsid w:val="00174783"/>
    <w:rsid w:val="00175CF4"/>
    <w:rsid w:val="001763FA"/>
    <w:rsid w:val="001763FC"/>
    <w:rsid w:val="00176592"/>
    <w:rsid w:val="00176E7D"/>
    <w:rsid w:val="00177010"/>
    <w:rsid w:val="00177026"/>
    <w:rsid w:val="00177187"/>
    <w:rsid w:val="001773BC"/>
    <w:rsid w:val="00177648"/>
    <w:rsid w:val="00177B48"/>
    <w:rsid w:val="00177EAB"/>
    <w:rsid w:val="00180887"/>
    <w:rsid w:val="00180A83"/>
    <w:rsid w:val="001813AB"/>
    <w:rsid w:val="001819C6"/>
    <w:rsid w:val="00181B78"/>
    <w:rsid w:val="0018211C"/>
    <w:rsid w:val="001821F8"/>
    <w:rsid w:val="00182CBE"/>
    <w:rsid w:val="0018308D"/>
    <w:rsid w:val="001831B3"/>
    <w:rsid w:val="00184034"/>
    <w:rsid w:val="001845FA"/>
    <w:rsid w:val="0018522B"/>
    <w:rsid w:val="001854A8"/>
    <w:rsid w:val="00185D40"/>
    <w:rsid w:val="00186C17"/>
    <w:rsid w:val="00186FEB"/>
    <w:rsid w:val="001871C3"/>
    <w:rsid w:val="00190180"/>
    <w:rsid w:val="00190A43"/>
    <w:rsid w:val="00190CBF"/>
    <w:rsid w:val="00190D0B"/>
    <w:rsid w:val="001911C9"/>
    <w:rsid w:val="001912FB"/>
    <w:rsid w:val="00191608"/>
    <w:rsid w:val="00191664"/>
    <w:rsid w:val="00191A8C"/>
    <w:rsid w:val="00192065"/>
    <w:rsid w:val="0019276B"/>
    <w:rsid w:val="001941AA"/>
    <w:rsid w:val="00194F73"/>
    <w:rsid w:val="00194F86"/>
    <w:rsid w:val="0019579A"/>
    <w:rsid w:val="00195EC2"/>
    <w:rsid w:val="00195F99"/>
    <w:rsid w:val="00196B54"/>
    <w:rsid w:val="001A016C"/>
    <w:rsid w:val="001A0422"/>
    <w:rsid w:val="001A0556"/>
    <w:rsid w:val="001A102F"/>
    <w:rsid w:val="001A1A27"/>
    <w:rsid w:val="001A1ED0"/>
    <w:rsid w:val="001A2519"/>
    <w:rsid w:val="001A2954"/>
    <w:rsid w:val="001A3152"/>
    <w:rsid w:val="001A35A6"/>
    <w:rsid w:val="001A35C9"/>
    <w:rsid w:val="001A368A"/>
    <w:rsid w:val="001A3714"/>
    <w:rsid w:val="001A3963"/>
    <w:rsid w:val="001A41DF"/>
    <w:rsid w:val="001A4222"/>
    <w:rsid w:val="001A43F5"/>
    <w:rsid w:val="001A4476"/>
    <w:rsid w:val="001A4E0E"/>
    <w:rsid w:val="001A4E8C"/>
    <w:rsid w:val="001A4EF7"/>
    <w:rsid w:val="001A4F6E"/>
    <w:rsid w:val="001A5283"/>
    <w:rsid w:val="001A5ABD"/>
    <w:rsid w:val="001A5CE0"/>
    <w:rsid w:val="001A60E2"/>
    <w:rsid w:val="001A69F0"/>
    <w:rsid w:val="001A6A3F"/>
    <w:rsid w:val="001A79AA"/>
    <w:rsid w:val="001A7F95"/>
    <w:rsid w:val="001B07B0"/>
    <w:rsid w:val="001B0992"/>
    <w:rsid w:val="001B0AC4"/>
    <w:rsid w:val="001B1120"/>
    <w:rsid w:val="001B15E2"/>
    <w:rsid w:val="001B163A"/>
    <w:rsid w:val="001B1B68"/>
    <w:rsid w:val="001B253D"/>
    <w:rsid w:val="001B277C"/>
    <w:rsid w:val="001B2C6A"/>
    <w:rsid w:val="001B2F19"/>
    <w:rsid w:val="001B35ED"/>
    <w:rsid w:val="001B369D"/>
    <w:rsid w:val="001B41BE"/>
    <w:rsid w:val="001B450E"/>
    <w:rsid w:val="001B46DB"/>
    <w:rsid w:val="001B4F75"/>
    <w:rsid w:val="001B5DDB"/>
    <w:rsid w:val="001B62D3"/>
    <w:rsid w:val="001B64BE"/>
    <w:rsid w:val="001B6BDA"/>
    <w:rsid w:val="001B72A9"/>
    <w:rsid w:val="001B74F4"/>
    <w:rsid w:val="001B75DC"/>
    <w:rsid w:val="001C0136"/>
    <w:rsid w:val="001C0A6E"/>
    <w:rsid w:val="001C0AD1"/>
    <w:rsid w:val="001C0BCC"/>
    <w:rsid w:val="001C117D"/>
    <w:rsid w:val="001C1F9C"/>
    <w:rsid w:val="001C20AE"/>
    <w:rsid w:val="001C212F"/>
    <w:rsid w:val="001C226A"/>
    <w:rsid w:val="001C236E"/>
    <w:rsid w:val="001C25AA"/>
    <w:rsid w:val="001C29E7"/>
    <w:rsid w:val="001C32C6"/>
    <w:rsid w:val="001C3BDD"/>
    <w:rsid w:val="001C3E2D"/>
    <w:rsid w:val="001C444E"/>
    <w:rsid w:val="001C4607"/>
    <w:rsid w:val="001C47BD"/>
    <w:rsid w:val="001C48C7"/>
    <w:rsid w:val="001C4A9E"/>
    <w:rsid w:val="001C5154"/>
    <w:rsid w:val="001C5BD0"/>
    <w:rsid w:val="001C63C5"/>
    <w:rsid w:val="001C6CAB"/>
    <w:rsid w:val="001C6CC1"/>
    <w:rsid w:val="001C7130"/>
    <w:rsid w:val="001C7E70"/>
    <w:rsid w:val="001D0068"/>
    <w:rsid w:val="001D01C6"/>
    <w:rsid w:val="001D05A9"/>
    <w:rsid w:val="001D092F"/>
    <w:rsid w:val="001D1AC6"/>
    <w:rsid w:val="001D1AEF"/>
    <w:rsid w:val="001D1D31"/>
    <w:rsid w:val="001D244E"/>
    <w:rsid w:val="001D24F1"/>
    <w:rsid w:val="001D2BBD"/>
    <w:rsid w:val="001D3619"/>
    <w:rsid w:val="001D3AD1"/>
    <w:rsid w:val="001D3EF7"/>
    <w:rsid w:val="001D478B"/>
    <w:rsid w:val="001D4970"/>
    <w:rsid w:val="001D5403"/>
    <w:rsid w:val="001D5F02"/>
    <w:rsid w:val="001D6186"/>
    <w:rsid w:val="001D62AF"/>
    <w:rsid w:val="001D637E"/>
    <w:rsid w:val="001D643F"/>
    <w:rsid w:val="001D6652"/>
    <w:rsid w:val="001D69E5"/>
    <w:rsid w:val="001D6AE8"/>
    <w:rsid w:val="001D6B3D"/>
    <w:rsid w:val="001D7104"/>
    <w:rsid w:val="001D7A50"/>
    <w:rsid w:val="001E016D"/>
    <w:rsid w:val="001E01B3"/>
    <w:rsid w:val="001E0497"/>
    <w:rsid w:val="001E075F"/>
    <w:rsid w:val="001E0933"/>
    <w:rsid w:val="001E0B42"/>
    <w:rsid w:val="001E14E8"/>
    <w:rsid w:val="001E1627"/>
    <w:rsid w:val="001E18BD"/>
    <w:rsid w:val="001E1DBA"/>
    <w:rsid w:val="001E1EF2"/>
    <w:rsid w:val="001E274D"/>
    <w:rsid w:val="001E290B"/>
    <w:rsid w:val="001E385F"/>
    <w:rsid w:val="001E39E4"/>
    <w:rsid w:val="001E3B8B"/>
    <w:rsid w:val="001E490C"/>
    <w:rsid w:val="001E4C68"/>
    <w:rsid w:val="001E50FD"/>
    <w:rsid w:val="001E5310"/>
    <w:rsid w:val="001E59DC"/>
    <w:rsid w:val="001E5DD7"/>
    <w:rsid w:val="001E5EEE"/>
    <w:rsid w:val="001E6129"/>
    <w:rsid w:val="001E7358"/>
    <w:rsid w:val="001E7777"/>
    <w:rsid w:val="001E7C72"/>
    <w:rsid w:val="001E7EDD"/>
    <w:rsid w:val="001F02CD"/>
    <w:rsid w:val="001F0B7F"/>
    <w:rsid w:val="001F0CD0"/>
    <w:rsid w:val="001F0F71"/>
    <w:rsid w:val="001F19D1"/>
    <w:rsid w:val="001F1B69"/>
    <w:rsid w:val="001F1D9A"/>
    <w:rsid w:val="001F250D"/>
    <w:rsid w:val="001F2740"/>
    <w:rsid w:val="001F2A04"/>
    <w:rsid w:val="001F2AF0"/>
    <w:rsid w:val="001F2C3A"/>
    <w:rsid w:val="001F3531"/>
    <w:rsid w:val="001F3696"/>
    <w:rsid w:val="001F42FF"/>
    <w:rsid w:val="001F44B4"/>
    <w:rsid w:val="001F44D3"/>
    <w:rsid w:val="001F4510"/>
    <w:rsid w:val="001F454F"/>
    <w:rsid w:val="001F5572"/>
    <w:rsid w:val="001F58D3"/>
    <w:rsid w:val="001F5C4E"/>
    <w:rsid w:val="001F65A4"/>
    <w:rsid w:val="001F65E0"/>
    <w:rsid w:val="001F681B"/>
    <w:rsid w:val="001F6EE3"/>
    <w:rsid w:val="001F702F"/>
    <w:rsid w:val="001F7362"/>
    <w:rsid w:val="001F7AE9"/>
    <w:rsid w:val="001F7CFD"/>
    <w:rsid w:val="001F7D48"/>
    <w:rsid w:val="002009DA"/>
    <w:rsid w:val="002009E4"/>
    <w:rsid w:val="002011D5"/>
    <w:rsid w:val="00201C2D"/>
    <w:rsid w:val="00201D88"/>
    <w:rsid w:val="00203367"/>
    <w:rsid w:val="00203ADC"/>
    <w:rsid w:val="002042DC"/>
    <w:rsid w:val="00204438"/>
    <w:rsid w:val="002047A0"/>
    <w:rsid w:val="00204A44"/>
    <w:rsid w:val="00206147"/>
    <w:rsid w:val="002064F3"/>
    <w:rsid w:val="002069A8"/>
    <w:rsid w:val="00206EE7"/>
    <w:rsid w:val="00207801"/>
    <w:rsid w:val="0020789A"/>
    <w:rsid w:val="00207C83"/>
    <w:rsid w:val="002100C5"/>
    <w:rsid w:val="00210869"/>
    <w:rsid w:val="002116AD"/>
    <w:rsid w:val="00211999"/>
    <w:rsid w:val="002123A4"/>
    <w:rsid w:val="002126CD"/>
    <w:rsid w:val="00213773"/>
    <w:rsid w:val="00213B0E"/>
    <w:rsid w:val="00213CBC"/>
    <w:rsid w:val="002141FB"/>
    <w:rsid w:val="002146CA"/>
    <w:rsid w:val="002147D6"/>
    <w:rsid w:val="002149FC"/>
    <w:rsid w:val="00214D0B"/>
    <w:rsid w:val="0021575B"/>
    <w:rsid w:val="00215783"/>
    <w:rsid w:val="0021669B"/>
    <w:rsid w:val="002166EB"/>
    <w:rsid w:val="00216876"/>
    <w:rsid w:val="00216A33"/>
    <w:rsid w:val="00217E5F"/>
    <w:rsid w:val="0022018A"/>
    <w:rsid w:val="00220ADA"/>
    <w:rsid w:val="00220B7B"/>
    <w:rsid w:val="0022180E"/>
    <w:rsid w:val="00221E2B"/>
    <w:rsid w:val="002220BA"/>
    <w:rsid w:val="002227B3"/>
    <w:rsid w:val="00222960"/>
    <w:rsid w:val="00222CE3"/>
    <w:rsid w:val="002235D7"/>
    <w:rsid w:val="002239C4"/>
    <w:rsid w:val="00224617"/>
    <w:rsid w:val="00225591"/>
    <w:rsid w:val="00225690"/>
    <w:rsid w:val="0022574F"/>
    <w:rsid w:val="0022593A"/>
    <w:rsid w:val="00225B3F"/>
    <w:rsid w:val="00225B52"/>
    <w:rsid w:val="00225C9C"/>
    <w:rsid w:val="00225CE3"/>
    <w:rsid w:val="002260D7"/>
    <w:rsid w:val="00226B17"/>
    <w:rsid w:val="00226F30"/>
    <w:rsid w:val="0022712B"/>
    <w:rsid w:val="0022758C"/>
    <w:rsid w:val="002276A4"/>
    <w:rsid w:val="002276E6"/>
    <w:rsid w:val="00227843"/>
    <w:rsid w:val="00227A99"/>
    <w:rsid w:val="00227C8B"/>
    <w:rsid w:val="00230A44"/>
    <w:rsid w:val="00230A52"/>
    <w:rsid w:val="00230FA5"/>
    <w:rsid w:val="00231131"/>
    <w:rsid w:val="0023118F"/>
    <w:rsid w:val="0023170E"/>
    <w:rsid w:val="00231839"/>
    <w:rsid w:val="002319D0"/>
    <w:rsid w:val="0023262B"/>
    <w:rsid w:val="00232A4E"/>
    <w:rsid w:val="00232ADD"/>
    <w:rsid w:val="00233307"/>
    <w:rsid w:val="00233A7D"/>
    <w:rsid w:val="0023482B"/>
    <w:rsid w:val="0023482C"/>
    <w:rsid w:val="00234AA4"/>
    <w:rsid w:val="00234BD8"/>
    <w:rsid w:val="00234C7F"/>
    <w:rsid w:val="00234E62"/>
    <w:rsid w:val="00234F8F"/>
    <w:rsid w:val="00235CD9"/>
    <w:rsid w:val="0023658F"/>
    <w:rsid w:val="00236872"/>
    <w:rsid w:val="00236890"/>
    <w:rsid w:val="002368C0"/>
    <w:rsid w:val="00236CC2"/>
    <w:rsid w:val="00236CDE"/>
    <w:rsid w:val="002370D6"/>
    <w:rsid w:val="0023763A"/>
    <w:rsid w:val="00237D7D"/>
    <w:rsid w:val="00240236"/>
    <w:rsid w:val="002404D1"/>
    <w:rsid w:val="002405C8"/>
    <w:rsid w:val="00240ECB"/>
    <w:rsid w:val="002415AE"/>
    <w:rsid w:val="002415DA"/>
    <w:rsid w:val="00241857"/>
    <w:rsid w:val="0024285E"/>
    <w:rsid w:val="00242D86"/>
    <w:rsid w:val="00242F79"/>
    <w:rsid w:val="00242FA8"/>
    <w:rsid w:val="0024310E"/>
    <w:rsid w:val="00243204"/>
    <w:rsid w:val="00243AC5"/>
    <w:rsid w:val="00243B5C"/>
    <w:rsid w:val="0024405D"/>
    <w:rsid w:val="00244330"/>
    <w:rsid w:val="00244516"/>
    <w:rsid w:val="002449A0"/>
    <w:rsid w:val="00244B83"/>
    <w:rsid w:val="00244CF8"/>
    <w:rsid w:val="002454F0"/>
    <w:rsid w:val="002459FD"/>
    <w:rsid w:val="00245B9E"/>
    <w:rsid w:val="002465AC"/>
    <w:rsid w:val="002465EC"/>
    <w:rsid w:val="00246614"/>
    <w:rsid w:val="00246907"/>
    <w:rsid w:val="00246C0E"/>
    <w:rsid w:val="00246DE3"/>
    <w:rsid w:val="00246EC9"/>
    <w:rsid w:val="00246FE9"/>
    <w:rsid w:val="00247130"/>
    <w:rsid w:val="0024723E"/>
    <w:rsid w:val="00247760"/>
    <w:rsid w:val="00247E6F"/>
    <w:rsid w:val="00247FD9"/>
    <w:rsid w:val="0025003A"/>
    <w:rsid w:val="00250260"/>
    <w:rsid w:val="0025092A"/>
    <w:rsid w:val="00250FD5"/>
    <w:rsid w:val="00251167"/>
    <w:rsid w:val="002511BA"/>
    <w:rsid w:val="00252168"/>
    <w:rsid w:val="00252199"/>
    <w:rsid w:val="002526B9"/>
    <w:rsid w:val="00252DD3"/>
    <w:rsid w:val="0025369E"/>
    <w:rsid w:val="0025394F"/>
    <w:rsid w:val="00253B97"/>
    <w:rsid w:val="002544CB"/>
    <w:rsid w:val="00254724"/>
    <w:rsid w:val="0025563F"/>
    <w:rsid w:val="0025588E"/>
    <w:rsid w:val="00255D8E"/>
    <w:rsid w:val="00256080"/>
    <w:rsid w:val="00256584"/>
    <w:rsid w:val="00256B78"/>
    <w:rsid w:val="00256C48"/>
    <w:rsid w:val="00256EF8"/>
    <w:rsid w:val="002570D5"/>
    <w:rsid w:val="00257177"/>
    <w:rsid w:val="00257730"/>
    <w:rsid w:val="00257803"/>
    <w:rsid w:val="00257B74"/>
    <w:rsid w:val="00257CD8"/>
    <w:rsid w:val="002610D8"/>
    <w:rsid w:val="00261A6C"/>
    <w:rsid w:val="00261BF2"/>
    <w:rsid w:val="002629E2"/>
    <w:rsid w:val="00262BA8"/>
    <w:rsid w:val="00262BC8"/>
    <w:rsid w:val="00262C2C"/>
    <w:rsid w:val="00262FDC"/>
    <w:rsid w:val="002641D9"/>
    <w:rsid w:val="002643C5"/>
    <w:rsid w:val="00264917"/>
    <w:rsid w:val="002651EC"/>
    <w:rsid w:val="0026546B"/>
    <w:rsid w:val="00265DC2"/>
    <w:rsid w:val="00266227"/>
    <w:rsid w:val="0026638C"/>
    <w:rsid w:val="0026680B"/>
    <w:rsid w:val="00266F00"/>
    <w:rsid w:val="002670EF"/>
    <w:rsid w:val="002671A2"/>
    <w:rsid w:val="002677D0"/>
    <w:rsid w:val="00267A38"/>
    <w:rsid w:val="00267EDC"/>
    <w:rsid w:val="00267F5F"/>
    <w:rsid w:val="00270867"/>
    <w:rsid w:val="00270965"/>
    <w:rsid w:val="00271BF8"/>
    <w:rsid w:val="00271E5D"/>
    <w:rsid w:val="00272082"/>
    <w:rsid w:val="0027349D"/>
    <w:rsid w:val="00273516"/>
    <w:rsid w:val="00273742"/>
    <w:rsid w:val="00273985"/>
    <w:rsid w:val="00273B82"/>
    <w:rsid w:val="00273B8A"/>
    <w:rsid w:val="00273C64"/>
    <w:rsid w:val="00273E7A"/>
    <w:rsid w:val="00274372"/>
    <w:rsid w:val="0027475A"/>
    <w:rsid w:val="002750C5"/>
    <w:rsid w:val="0027518A"/>
    <w:rsid w:val="00275671"/>
    <w:rsid w:val="00275AEF"/>
    <w:rsid w:val="00275F56"/>
    <w:rsid w:val="002765B7"/>
    <w:rsid w:val="00276EAA"/>
    <w:rsid w:val="00277713"/>
    <w:rsid w:val="00277DBC"/>
    <w:rsid w:val="00277F64"/>
    <w:rsid w:val="00280550"/>
    <w:rsid w:val="00280B03"/>
    <w:rsid w:val="00281063"/>
    <w:rsid w:val="00281413"/>
    <w:rsid w:val="00281676"/>
    <w:rsid w:val="00281E32"/>
    <w:rsid w:val="00282479"/>
    <w:rsid w:val="0028276E"/>
    <w:rsid w:val="002827F3"/>
    <w:rsid w:val="002829BD"/>
    <w:rsid w:val="00282B3E"/>
    <w:rsid w:val="00282C1F"/>
    <w:rsid w:val="00282C6C"/>
    <w:rsid w:val="00283B7F"/>
    <w:rsid w:val="0028444E"/>
    <w:rsid w:val="0028468D"/>
    <w:rsid w:val="0028470C"/>
    <w:rsid w:val="00284B5F"/>
    <w:rsid w:val="00284DBB"/>
    <w:rsid w:val="002850C1"/>
    <w:rsid w:val="0028562F"/>
    <w:rsid w:val="0028596B"/>
    <w:rsid w:val="00285F22"/>
    <w:rsid w:val="00285FB9"/>
    <w:rsid w:val="00286219"/>
    <w:rsid w:val="00286A03"/>
    <w:rsid w:val="00286D20"/>
    <w:rsid w:val="00286D8A"/>
    <w:rsid w:val="002870B1"/>
    <w:rsid w:val="00287514"/>
    <w:rsid w:val="0028791B"/>
    <w:rsid w:val="00287E44"/>
    <w:rsid w:val="00287F79"/>
    <w:rsid w:val="002900A9"/>
    <w:rsid w:val="002903B4"/>
    <w:rsid w:val="00290C43"/>
    <w:rsid w:val="00290C90"/>
    <w:rsid w:val="00291283"/>
    <w:rsid w:val="002916DB"/>
    <w:rsid w:val="0029190A"/>
    <w:rsid w:val="00291D6A"/>
    <w:rsid w:val="00293271"/>
    <w:rsid w:val="00293587"/>
    <w:rsid w:val="00293896"/>
    <w:rsid w:val="00293ED1"/>
    <w:rsid w:val="00293F81"/>
    <w:rsid w:val="0029407F"/>
    <w:rsid w:val="00294A06"/>
    <w:rsid w:val="00294FFB"/>
    <w:rsid w:val="00295357"/>
    <w:rsid w:val="002954FD"/>
    <w:rsid w:val="002955D8"/>
    <w:rsid w:val="00296242"/>
    <w:rsid w:val="00296CE6"/>
    <w:rsid w:val="0029732B"/>
    <w:rsid w:val="002973DF"/>
    <w:rsid w:val="002978A2"/>
    <w:rsid w:val="00297D6A"/>
    <w:rsid w:val="002A0190"/>
    <w:rsid w:val="002A0983"/>
    <w:rsid w:val="002A0AB4"/>
    <w:rsid w:val="002A0BF5"/>
    <w:rsid w:val="002A1128"/>
    <w:rsid w:val="002A12E5"/>
    <w:rsid w:val="002A158C"/>
    <w:rsid w:val="002A22D5"/>
    <w:rsid w:val="002A24EB"/>
    <w:rsid w:val="002A2C5E"/>
    <w:rsid w:val="002A2D66"/>
    <w:rsid w:val="002A37FC"/>
    <w:rsid w:val="002A428E"/>
    <w:rsid w:val="002A46FA"/>
    <w:rsid w:val="002A4826"/>
    <w:rsid w:val="002A5227"/>
    <w:rsid w:val="002A5493"/>
    <w:rsid w:val="002A57BC"/>
    <w:rsid w:val="002A581C"/>
    <w:rsid w:val="002A5E4E"/>
    <w:rsid w:val="002A777C"/>
    <w:rsid w:val="002A7CC5"/>
    <w:rsid w:val="002B00FE"/>
    <w:rsid w:val="002B03EC"/>
    <w:rsid w:val="002B0E27"/>
    <w:rsid w:val="002B0E4C"/>
    <w:rsid w:val="002B10B6"/>
    <w:rsid w:val="002B10D3"/>
    <w:rsid w:val="002B1113"/>
    <w:rsid w:val="002B1867"/>
    <w:rsid w:val="002B1EA3"/>
    <w:rsid w:val="002B2A55"/>
    <w:rsid w:val="002B2CF1"/>
    <w:rsid w:val="002B2DA9"/>
    <w:rsid w:val="002B30C8"/>
    <w:rsid w:val="002B31FA"/>
    <w:rsid w:val="002B33D5"/>
    <w:rsid w:val="002B370B"/>
    <w:rsid w:val="002B398D"/>
    <w:rsid w:val="002B3A06"/>
    <w:rsid w:val="002B4552"/>
    <w:rsid w:val="002B4C84"/>
    <w:rsid w:val="002B5746"/>
    <w:rsid w:val="002B60A9"/>
    <w:rsid w:val="002B63D3"/>
    <w:rsid w:val="002B6733"/>
    <w:rsid w:val="002B6815"/>
    <w:rsid w:val="002B6AB1"/>
    <w:rsid w:val="002B71D1"/>
    <w:rsid w:val="002B7D3C"/>
    <w:rsid w:val="002C0144"/>
    <w:rsid w:val="002C0A8D"/>
    <w:rsid w:val="002C0CAC"/>
    <w:rsid w:val="002C1425"/>
    <w:rsid w:val="002C1F28"/>
    <w:rsid w:val="002C254B"/>
    <w:rsid w:val="002C25DE"/>
    <w:rsid w:val="002C27E8"/>
    <w:rsid w:val="002C28A2"/>
    <w:rsid w:val="002C2ACB"/>
    <w:rsid w:val="002C2EE4"/>
    <w:rsid w:val="002C2F60"/>
    <w:rsid w:val="002C3CB7"/>
    <w:rsid w:val="002C415B"/>
    <w:rsid w:val="002C41CB"/>
    <w:rsid w:val="002C5811"/>
    <w:rsid w:val="002C58F1"/>
    <w:rsid w:val="002C5A8C"/>
    <w:rsid w:val="002C5C58"/>
    <w:rsid w:val="002C6A1A"/>
    <w:rsid w:val="002C6B67"/>
    <w:rsid w:val="002C73EE"/>
    <w:rsid w:val="002C7660"/>
    <w:rsid w:val="002C7718"/>
    <w:rsid w:val="002C77DB"/>
    <w:rsid w:val="002C77F7"/>
    <w:rsid w:val="002C79D3"/>
    <w:rsid w:val="002C7A50"/>
    <w:rsid w:val="002C7CD4"/>
    <w:rsid w:val="002D0321"/>
    <w:rsid w:val="002D0952"/>
    <w:rsid w:val="002D0E7A"/>
    <w:rsid w:val="002D1030"/>
    <w:rsid w:val="002D155B"/>
    <w:rsid w:val="002D1AD3"/>
    <w:rsid w:val="002D1F5D"/>
    <w:rsid w:val="002D2237"/>
    <w:rsid w:val="002D32A8"/>
    <w:rsid w:val="002D40A5"/>
    <w:rsid w:val="002D46CA"/>
    <w:rsid w:val="002D476C"/>
    <w:rsid w:val="002D48E1"/>
    <w:rsid w:val="002D4CA6"/>
    <w:rsid w:val="002D61C8"/>
    <w:rsid w:val="002D629E"/>
    <w:rsid w:val="002D6AD3"/>
    <w:rsid w:val="002D6E9A"/>
    <w:rsid w:val="002D724F"/>
    <w:rsid w:val="002D726B"/>
    <w:rsid w:val="002D75DB"/>
    <w:rsid w:val="002E0067"/>
    <w:rsid w:val="002E02D0"/>
    <w:rsid w:val="002E0489"/>
    <w:rsid w:val="002E04C0"/>
    <w:rsid w:val="002E0544"/>
    <w:rsid w:val="002E0C15"/>
    <w:rsid w:val="002E0C79"/>
    <w:rsid w:val="002E1177"/>
    <w:rsid w:val="002E1480"/>
    <w:rsid w:val="002E1DF4"/>
    <w:rsid w:val="002E2C3B"/>
    <w:rsid w:val="002E3C37"/>
    <w:rsid w:val="002E4040"/>
    <w:rsid w:val="002E4BA7"/>
    <w:rsid w:val="002E4D3D"/>
    <w:rsid w:val="002E57C8"/>
    <w:rsid w:val="002E5CA7"/>
    <w:rsid w:val="002E668B"/>
    <w:rsid w:val="002E6BE2"/>
    <w:rsid w:val="002E6FF8"/>
    <w:rsid w:val="002E7235"/>
    <w:rsid w:val="002E761C"/>
    <w:rsid w:val="002E7DEA"/>
    <w:rsid w:val="002F0276"/>
    <w:rsid w:val="002F06D4"/>
    <w:rsid w:val="002F10E7"/>
    <w:rsid w:val="002F11F9"/>
    <w:rsid w:val="002F1274"/>
    <w:rsid w:val="002F13E0"/>
    <w:rsid w:val="002F16CB"/>
    <w:rsid w:val="002F1742"/>
    <w:rsid w:val="002F189D"/>
    <w:rsid w:val="002F1AB0"/>
    <w:rsid w:val="002F1CE6"/>
    <w:rsid w:val="002F1F70"/>
    <w:rsid w:val="002F3C64"/>
    <w:rsid w:val="002F4295"/>
    <w:rsid w:val="002F4431"/>
    <w:rsid w:val="002F47E7"/>
    <w:rsid w:val="002F4D9C"/>
    <w:rsid w:val="002F510D"/>
    <w:rsid w:val="002F55DA"/>
    <w:rsid w:val="002F580E"/>
    <w:rsid w:val="002F5F61"/>
    <w:rsid w:val="002F61CD"/>
    <w:rsid w:val="002F7CAB"/>
    <w:rsid w:val="00300081"/>
    <w:rsid w:val="003000F0"/>
    <w:rsid w:val="0030023E"/>
    <w:rsid w:val="0030059B"/>
    <w:rsid w:val="00300FC5"/>
    <w:rsid w:val="00301277"/>
    <w:rsid w:val="003012FA"/>
    <w:rsid w:val="00301837"/>
    <w:rsid w:val="003019CD"/>
    <w:rsid w:val="0030298C"/>
    <w:rsid w:val="0030341B"/>
    <w:rsid w:val="003034D2"/>
    <w:rsid w:val="0030373E"/>
    <w:rsid w:val="00303A1B"/>
    <w:rsid w:val="00303D47"/>
    <w:rsid w:val="00303DF0"/>
    <w:rsid w:val="003045BE"/>
    <w:rsid w:val="0030521F"/>
    <w:rsid w:val="00305F53"/>
    <w:rsid w:val="003060F3"/>
    <w:rsid w:val="0030612A"/>
    <w:rsid w:val="003064C4"/>
    <w:rsid w:val="003068EC"/>
    <w:rsid w:val="00306C01"/>
    <w:rsid w:val="003073B5"/>
    <w:rsid w:val="0030759B"/>
    <w:rsid w:val="003076C4"/>
    <w:rsid w:val="003079A6"/>
    <w:rsid w:val="00310027"/>
    <w:rsid w:val="00310623"/>
    <w:rsid w:val="003106C8"/>
    <w:rsid w:val="00310A57"/>
    <w:rsid w:val="00310E3F"/>
    <w:rsid w:val="00311270"/>
    <w:rsid w:val="0031175D"/>
    <w:rsid w:val="003119DD"/>
    <w:rsid w:val="00312297"/>
    <w:rsid w:val="00312326"/>
    <w:rsid w:val="00312A1F"/>
    <w:rsid w:val="00312DDE"/>
    <w:rsid w:val="00313367"/>
    <w:rsid w:val="0031354F"/>
    <w:rsid w:val="003136EF"/>
    <w:rsid w:val="00313893"/>
    <w:rsid w:val="00314614"/>
    <w:rsid w:val="00314739"/>
    <w:rsid w:val="00314773"/>
    <w:rsid w:val="00314F8A"/>
    <w:rsid w:val="00314FA7"/>
    <w:rsid w:val="003151F3"/>
    <w:rsid w:val="003152FA"/>
    <w:rsid w:val="003154DB"/>
    <w:rsid w:val="003156DB"/>
    <w:rsid w:val="003163FB"/>
    <w:rsid w:val="00316779"/>
    <w:rsid w:val="0031678F"/>
    <w:rsid w:val="00316BCD"/>
    <w:rsid w:val="00317242"/>
    <w:rsid w:val="003173FA"/>
    <w:rsid w:val="0031742C"/>
    <w:rsid w:val="00317DA5"/>
    <w:rsid w:val="00317DF9"/>
    <w:rsid w:val="003201C8"/>
    <w:rsid w:val="003201D0"/>
    <w:rsid w:val="003205E0"/>
    <w:rsid w:val="0032096A"/>
    <w:rsid w:val="00321386"/>
    <w:rsid w:val="00321788"/>
    <w:rsid w:val="00321848"/>
    <w:rsid w:val="00321CB3"/>
    <w:rsid w:val="00322341"/>
    <w:rsid w:val="0032322E"/>
    <w:rsid w:val="0032345B"/>
    <w:rsid w:val="003235FE"/>
    <w:rsid w:val="003239DB"/>
    <w:rsid w:val="00324FF5"/>
    <w:rsid w:val="003256A0"/>
    <w:rsid w:val="003265DE"/>
    <w:rsid w:val="00326A08"/>
    <w:rsid w:val="003275D6"/>
    <w:rsid w:val="0032767E"/>
    <w:rsid w:val="003277C6"/>
    <w:rsid w:val="00327845"/>
    <w:rsid w:val="00327B0E"/>
    <w:rsid w:val="003302CF"/>
    <w:rsid w:val="00330559"/>
    <w:rsid w:val="00330751"/>
    <w:rsid w:val="00330A9B"/>
    <w:rsid w:val="00330B86"/>
    <w:rsid w:val="00330DB5"/>
    <w:rsid w:val="003311B1"/>
    <w:rsid w:val="00331306"/>
    <w:rsid w:val="00331659"/>
    <w:rsid w:val="003319C5"/>
    <w:rsid w:val="00331A58"/>
    <w:rsid w:val="003320F9"/>
    <w:rsid w:val="003327BD"/>
    <w:rsid w:val="003338C9"/>
    <w:rsid w:val="003338EB"/>
    <w:rsid w:val="00334446"/>
    <w:rsid w:val="0033444C"/>
    <w:rsid w:val="00334725"/>
    <w:rsid w:val="00334A38"/>
    <w:rsid w:val="00334AF1"/>
    <w:rsid w:val="0033515F"/>
    <w:rsid w:val="003353D5"/>
    <w:rsid w:val="00335797"/>
    <w:rsid w:val="00335A53"/>
    <w:rsid w:val="00336D62"/>
    <w:rsid w:val="00336FA8"/>
    <w:rsid w:val="003376EC"/>
    <w:rsid w:val="003379A4"/>
    <w:rsid w:val="00337BB0"/>
    <w:rsid w:val="00337CB6"/>
    <w:rsid w:val="003403AE"/>
    <w:rsid w:val="003409BD"/>
    <w:rsid w:val="0034111B"/>
    <w:rsid w:val="0034244F"/>
    <w:rsid w:val="00342559"/>
    <w:rsid w:val="00342D1A"/>
    <w:rsid w:val="0034339B"/>
    <w:rsid w:val="003434BD"/>
    <w:rsid w:val="00343860"/>
    <w:rsid w:val="00343AB5"/>
    <w:rsid w:val="00343F92"/>
    <w:rsid w:val="00344705"/>
    <w:rsid w:val="00344CEF"/>
    <w:rsid w:val="00344F44"/>
    <w:rsid w:val="0034511C"/>
    <w:rsid w:val="00345191"/>
    <w:rsid w:val="0034550A"/>
    <w:rsid w:val="00345512"/>
    <w:rsid w:val="00345B7B"/>
    <w:rsid w:val="0034620C"/>
    <w:rsid w:val="00346579"/>
    <w:rsid w:val="00346583"/>
    <w:rsid w:val="00346C50"/>
    <w:rsid w:val="003474B3"/>
    <w:rsid w:val="00347683"/>
    <w:rsid w:val="00347A1B"/>
    <w:rsid w:val="00347B5C"/>
    <w:rsid w:val="00347CA3"/>
    <w:rsid w:val="00347F9F"/>
    <w:rsid w:val="003504A0"/>
    <w:rsid w:val="003509A4"/>
    <w:rsid w:val="00351020"/>
    <w:rsid w:val="00351032"/>
    <w:rsid w:val="003513CE"/>
    <w:rsid w:val="0035149A"/>
    <w:rsid w:val="00351668"/>
    <w:rsid w:val="003516F2"/>
    <w:rsid w:val="00351D1A"/>
    <w:rsid w:val="00352775"/>
    <w:rsid w:val="00352F14"/>
    <w:rsid w:val="003530B3"/>
    <w:rsid w:val="0035546F"/>
    <w:rsid w:val="003554BD"/>
    <w:rsid w:val="003554CE"/>
    <w:rsid w:val="003559AD"/>
    <w:rsid w:val="00355E32"/>
    <w:rsid w:val="00356586"/>
    <w:rsid w:val="00356792"/>
    <w:rsid w:val="003571E2"/>
    <w:rsid w:val="0036034B"/>
    <w:rsid w:val="003606F0"/>
    <w:rsid w:val="003607D7"/>
    <w:rsid w:val="00360A82"/>
    <w:rsid w:val="00361062"/>
    <w:rsid w:val="003610F5"/>
    <w:rsid w:val="00361595"/>
    <w:rsid w:val="003616F4"/>
    <w:rsid w:val="00361BC8"/>
    <w:rsid w:val="00362B5E"/>
    <w:rsid w:val="00363448"/>
    <w:rsid w:val="003638E9"/>
    <w:rsid w:val="003643A5"/>
    <w:rsid w:val="0036484D"/>
    <w:rsid w:val="00364D97"/>
    <w:rsid w:val="00364F95"/>
    <w:rsid w:val="0036533F"/>
    <w:rsid w:val="00365370"/>
    <w:rsid w:val="00365D24"/>
    <w:rsid w:val="003661C9"/>
    <w:rsid w:val="00366356"/>
    <w:rsid w:val="0036693A"/>
    <w:rsid w:val="00366947"/>
    <w:rsid w:val="00366AFA"/>
    <w:rsid w:val="00366C31"/>
    <w:rsid w:val="00366E4E"/>
    <w:rsid w:val="003676E5"/>
    <w:rsid w:val="003676EA"/>
    <w:rsid w:val="00367886"/>
    <w:rsid w:val="00367AD9"/>
    <w:rsid w:val="00367CC7"/>
    <w:rsid w:val="00367CD5"/>
    <w:rsid w:val="00367F19"/>
    <w:rsid w:val="00370219"/>
    <w:rsid w:val="0037051E"/>
    <w:rsid w:val="00370859"/>
    <w:rsid w:val="00370A0E"/>
    <w:rsid w:val="00371208"/>
    <w:rsid w:val="003718D9"/>
    <w:rsid w:val="00371C9A"/>
    <w:rsid w:val="0037207D"/>
    <w:rsid w:val="00372389"/>
    <w:rsid w:val="00372564"/>
    <w:rsid w:val="00372644"/>
    <w:rsid w:val="0037334A"/>
    <w:rsid w:val="003734B3"/>
    <w:rsid w:val="0037443B"/>
    <w:rsid w:val="003748DA"/>
    <w:rsid w:val="00374D3E"/>
    <w:rsid w:val="00374E5B"/>
    <w:rsid w:val="00375820"/>
    <w:rsid w:val="00375907"/>
    <w:rsid w:val="00375B14"/>
    <w:rsid w:val="00375D85"/>
    <w:rsid w:val="00375FDA"/>
    <w:rsid w:val="003760FD"/>
    <w:rsid w:val="0037644B"/>
    <w:rsid w:val="003769D5"/>
    <w:rsid w:val="00377475"/>
    <w:rsid w:val="003774D9"/>
    <w:rsid w:val="00377A6A"/>
    <w:rsid w:val="00377A8C"/>
    <w:rsid w:val="0038054C"/>
    <w:rsid w:val="0038061C"/>
    <w:rsid w:val="00381168"/>
    <w:rsid w:val="00381591"/>
    <w:rsid w:val="00381E3D"/>
    <w:rsid w:val="003825F4"/>
    <w:rsid w:val="00382985"/>
    <w:rsid w:val="00382CDA"/>
    <w:rsid w:val="00383181"/>
    <w:rsid w:val="003831C2"/>
    <w:rsid w:val="00383338"/>
    <w:rsid w:val="0038339B"/>
    <w:rsid w:val="00383701"/>
    <w:rsid w:val="003840B4"/>
    <w:rsid w:val="00384187"/>
    <w:rsid w:val="0038458A"/>
    <w:rsid w:val="00384744"/>
    <w:rsid w:val="00384900"/>
    <w:rsid w:val="00384997"/>
    <w:rsid w:val="00384D8F"/>
    <w:rsid w:val="00384DCE"/>
    <w:rsid w:val="00384EF8"/>
    <w:rsid w:val="00385F5C"/>
    <w:rsid w:val="003866DC"/>
    <w:rsid w:val="00386891"/>
    <w:rsid w:val="00386A21"/>
    <w:rsid w:val="003872C5"/>
    <w:rsid w:val="0038735C"/>
    <w:rsid w:val="003874B4"/>
    <w:rsid w:val="00387631"/>
    <w:rsid w:val="00387745"/>
    <w:rsid w:val="00387823"/>
    <w:rsid w:val="00390044"/>
    <w:rsid w:val="003903FB"/>
    <w:rsid w:val="00390644"/>
    <w:rsid w:val="0039066F"/>
    <w:rsid w:val="00390D50"/>
    <w:rsid w:val="00390EAD"/>
    <w:rsid w:val="00390EAF"/>
    <w:rsid w:val="00391641"/>
    <w:rsid w:val="00391CBB"/>
    <w:rsid w:val="00391D90"/>
    <w:rsid w:val="00391DDE"/>
    <w:rsid w:val="0039208E"/>
    <w:rsid w:val="003923A6"/>
    <w:rsid w:val="0039257A"/>
    <w:rsid w:val="00392C10"/>
    <w:rsid w:val="0039304A"/>
    <w:rsid w:val="00393231"/>
    <w:rsid w:val="0039372B"/>
    <w:rsid w:val="0039383D"/>
    <w:rsid w:val="0039392C"/>
    <w:rsid w:val="00393AD3"/>
    <w:rsid w:val="00394D56"/>
    <w:rsid w:val="00394FE8"/>
    <w:rsid w:val="00395069"/>
    <w:rsid w:val="0039541D"/>
    <w:rsid w:val="003955AD"/>
    <w:rsid w:val="00395A0A"/>
    <w:rsid w:val="003966D8"/>
    <w:rsid w:val="00396C46"/>
    <w:rsid w:val="003973DA"/>
    <w:rsid w:val="003977F3"/>
    <w:rsid w:val="00397BF1"/>
    <w:rsid w:val="003A03C5"/>
    <w:rsid w:val="003A0A67"/>
    <w:rsid w:val="003A1273"/>
    <w:rsid w:val="003A1596"/>
    <w:rsid w:val="003A1FEA"/>
    <w:rsid w:val="003A247D"/>
    <w:rsid w:val="003A344A"/>
    <w:rsid w:val="003A3622"/>
    <w:rsid w:val="003A36D4"/>
    <w:rsid w:val="003A3868"/>
    <w:rsid w:val="003A4074"/>
    <w:rsid w:val="003A4139"/>
    <w:rsid w:val="003A495B"/>
    <w:rsid w:val="003A4B2F"/>
    <w:rsid w:val="003A4C4A"/>
    <w:rsid w:val="003A4F9E"/>
    <w:rsid w:val="003A5033"/>
    <w:rsid w:val="003A53AA"/>
    <w:rsid w:val="003A57FD"/>
    <w:rsid w:val="003A5A98"/>
    <w:rsid w:val="003A5EEB"/>
    <w:rsid w:val="003A5EF6"/>
    <w:rsid w:val="003A6BF6"/>
    <w:rsid w:val="003A701E"/>
    <w:rsid w:val="003A7161"/>
    <w:rsid w:val="003A7200"/>
    <w:rsid w:val="003A72F1"/>
    <w:rsid w:val="003A75C6"/>
    <w:rsid w:val="003A79FF"/>
    <w:rsid w:val="003A7DFF"/>
    <w:rsid w:val="003A7F78"/>
    <w:rsid w:val="003B00E9"/>
    <w:rsid w:val="003B02DF"/>
    <w:rsid w:val="003B0A8B"/>
    <w:rsid w:val="003B0BA7"/>
    <w:rsid w:val="003B1083"/>
    <w:rsid w:val="003B12DB"/>
    <w:rsid w:val="003B1371"/>
    <w:rsid w:val="003B17F4"/>
    <w:rsid w:val="003B1B8E"/>
    <w:rsid w:val="003B1C5D"/>
    <w:rsid w:val="003B1EAD"/>
    <w:rsid w:val="003B1F1C"/>
    <w:rsid w:val="003B23A8"/>
    <w:rsid w:val="003B2ED6"/>
    <w:rsid w:val="003B3812"/>
    <w:rsid w:val="003B3822"/>
    <w:rsid w:val="003B3BAD"/>
    <w:rsid w:val="003B3F02"/>
    <w:rsid w:val="003B3F64"/>
    <w:rsid w:val="003B43BA"/>
    <w:rsid w:val="003B4644"/>
    <w:rsid w:val="003B4B26"/>
    <w:rsid w:val="003B4E29"/>
    <w:rsid w:val="003B5306"/>
    <w:rsid w:val="003B5757"/>
    <w:rsid w:val="003B6179"/>
    <w:rsid w:val="003B69D0"/>
    <w:rsid w:val="003B6FBA"/>
    <w:rsid w:val="003B7B4D"/>
    <w:rsid w:val="003C0125"/>
    <w:rsid w:val="003C03F7"/>
    <w:rsid w:val="003C05CD"/>
    <w:rsid w:val="003C0FE5"/>
    <w:rsid w:val="003C1CAF"/>
    <w:rsid w:val="003C22AC"/>
    <w:rsid w:val="003C22D4"/>
    <w:rsid w:val="003C29AF"/>
    <w:rsid w:val="003C2AC8"/>
    <w:rsid w:val="003C3740"/>
    <w:rsid w:val="003C3F73"/>
    <w:rsid w:val="003C40A2"/>
    <w:rsid w:val="003C5519"/>
    <w:rsid w:val="003C5A97"/>
    <w:rsid w:val="003C60AF"/>
    <w:rsid w:val="003C616B"/>
    <w:rsid w:val="003C6215"/>
    <w:rsid w:val="003C6629"/>
    <w:rsid w:val="003C681D"/>
    <w:rsid w:val="003C6BED"/>
    <w:rsid w:val="003C7263"/>
    <w:rsid w:val="003C7965"/>
    <w:rsid w:val="003C7D06"/>
    <w:rsid w:val="003C7EF7"/>
    <w:rsid w:val="003D0152"/>
    <w:rsid w:val="003D0BF3"/>
    <w:rsid w:val="003D0E1F"/>
    <w:rsid w:val="003D1182"/>
    <w:rsid w:val="003D1AE0"/>
    <w:rsid w:val="003D22DA"/>
    <w:rsid w:val="003D2C19"/>
    <w:rsid w:val="003D3779"/>
    <w:rsid w:val="003D3889"/>
    <w:rsid w:val="003D425A"/>
    <w:rsid w:val="003D4866"/>
    <w:rsid w:val="003D4A98"/>
    <w:rsid w:val="003D507A"/>
    <w:rsid w:val="003D5729"/>
    <w:rsid w:val="003D6280"/>
    <w:rsid w:val="003D66CB"/>
    <w:rsid w:val="003D687A"/>
    <w:rsid w:val="003D6E45"/>
    <w:rsid w:val="003D7882"/>
    <w:rsid w:val="003D7A2D"/>
    <w:rsid w:val="003D7C91"/>
    <w:rsid w:val="003E043F"/>
    <w:rsid w:val="003E07F1"/>
    <w:rsid w:val="003E0E40"/>
    <w:rsid w:val="003E0E8C"/>
    <w:rsid w:val="003E113F"/>
    <w:rsid w:val="003E1418"/>
    <w:rsid w:val="003E4979"/>
    <w:rsid w:val="003E4B79"/>
    <w:rsid w:val="003E4B85"/>
    <w:rsid w:val="003E581F"/>
    <w:rsid w:val="003E5F16"/>
    <w:rsid w:val="003E634D"/>
    <w:rsid w:val="003E6442"/>
    <w:rsid w:val="003E64BB"/>
    <w:rsid w:val="003E6AC1"/>
    <w:rsid w:val="003E704C"/>
    <w:rsid w:val="003E7EEA"/>
    <w:rsid w:val="003F01E7"/>
    <w:rsid w:val="003F0296"/>
    <w:rsid w:val="003F18CF"/>
    <w:rsid w:val="003F1AAD"/>
    <w:rsid w:val="003F2BFE"/>
    <w:rsid w:val="003F3A44"/>
    <w:rsid w:val="003F3DAF"/>
    <w:rsid w:val="003F5F0A"/>
    <w:rsid w:val="003F6DD5"/>
    <w:rsid w:val="003F6DF4"/>
    <w:rsid w:val="003F7022"/>
    <w:rsid w:val="003F7263"/>
    <w:rsid w:val="003F7A2D"/>
    <w:rsid w:val="003F7D77"/>
    <w:rsid w:val="003F7FAF"/>
    <w:rsid w:val="004000C8"/>
    <w:rsid w:val="00400896"/>
    <w:rsid w:val="00400A5E"/>
    <w:rsid w:val="004015B0"/>
    <w:rsid w:val="004016AD"/>
    <w:rsid w:val="00401777"/>
    <w:rsid w:val="00401A15"/>
    <w:rsid w:val="00401C5B"/>
    <w:rsid w:val="00401DB1"/>
    <w:rsid w:val="004020FB"/>
    <w:rsid w:val="0040230D"/>
    <w:rsid w:val="004028D0"/>
    <w:rsid w:val="00402940"/>
    <w:rsid w:val="00403226"/>
    <w:rsid w:val="00403827"/>
    <w:rsid w:val="004039FF"/>
    <w:rsid w:val="004040E3"/>
    <w:rsid w:val="00404D4D"/>
    <w:rsid w:val="00404FC1"/>
    <w:rsid w:val="00405C30"/>
    <w:rsid w:val="00406E64"/>
    <w:rsid w:val="004075C7"/>
    <w:rsid w:val="00407CDA"/>
    <w:rsid w:val="004100FD"/>
    <w:rsid w:val="0041029D"/>
    <w:rsid w:val="00410347"/>
    <w:rsid w:val="004104BF"/>
    <w:rsid w:val="0041068A"/>
    <w:rsid w:val="00410DEC"/>
    <w:rsid w:val="0041138F"/>
    <w:rsid w:val="004118D5"/>
    <w:rsid w:val="004126E4"/>
    <w:rsid w:val="004128FB"/>
    <w:rsid w:val="00412EF3"/>
    <w:rsid w:val="004133CD"/>
    <w:rsid w:val="00413549"/>
    <w:rsid w:val="00413B23"/>
    <w:rsid w:val="00414538"/>
    <w:rsid w:val="0041479C"/>
    <w:rsid w:val="00414D50"/>
    <w:rsid w:val="00414FBD"/>
    <w:rsid w:val="00416787"/>
    <w:rsid w:val="004203CA"/>
    <w:rsid w:val="004208D7"/>
    <w:rsid w:val="00420CA2"/>
    <w:rsid w:val="00420F52"/>
    <w:rsid w:val="00421878"/>
    <w:rsid w:val="004218AF"/>
    <w:rsid w:val="00421B63"/>
    <w:rsid w:val="004221BC"/>
    <w:rsid w:val="004228EE"/>
    <w:rsid w:val="00422BB1"/>
    <w:rsid w:val="00422D87"/>
    <w:rsid w:val="0042300E"/>
    <w:rsid w:val="0042325A"/>
    <w:rsid w:val="0042336F"/>
    <w:rsid w:val="004234EF"/>
    <w:rsid w:val="00423D33"/>
    <w:rsid w:val="004242DF"/>
    <w:rsid w:val="004242F2"/>
    <w:rsid w:val="004249DB"/>
    <w:rsid w:val="00424C76"/>
    <w:rsid w:val="0042516D"/>
    <w:rsid w:val="00425554"/>
    <w:rsid w:val="0042556A"/>
    <w:rsid w:val="00425915"/>
    <w:rsid w:val="00425B68"/>
    <w:rsid w:val="00425C9F"/>
    <w:rsid w:val="004262E5"/>
    <w:rsid w:val="004268A5"/>
    <w:rsid w:val="00427A53"/>
    <w:rsid w:val="00427F6A"/>
    <w:rsid w:val="004300E1"/>
    <w:rsid w:val="00430294"/>
    <w:rsid w:val="0043072A"/>
    <w:rsid w:val="004309CF"/>
    <w:rsid w:val="00430AB9"/>
    <w:rsid w:val="00430B44"/>
    <w:rsid w:val="00430F27"/>
    <w:rsid w:val="0043104B"/>
    <w:rsid w:val="0043181D"/>
    <w:rsid w:val="004324A0"/>
    <w:rsid w:val="004328E4"/>
    <w:rsid w:val="00432937"/>
    <w:rsid w:val="00433166"/>
    <w:rsid w:val="00433460"/>
    <w:rsid w:val="00433D87"/>
    <w:rsid w:val="00433ECE"/>
    <w:rsid w:val="0043428A"/>
    <w:rsid w:val="00434657"/>
    <w:rsid w:val="004347A7"/>
    <w:rsid w:val="00434800"/>
    <w:rsid w:val="00434F9C"/>
    <w:rsid w:val="004359F3"/>
    <w:rsid w:val="00435F09"/>
    <w:rsid w:val="00435F6F"/>
    <w:rsid w:val="0043617A"/>
    <w:rsid w:val="0043650E"/>
    <w:rsid w:val="00436548"/>
    <w:rsid w:val="0043664D"/>
    <w:rsid w:val="00436C1A"/>
    <w:rsid w:val="00436C20"/>
    <w:rsid w:val="0043729C"/>
    <w:rsid w:val="004373A1"/>
    <w:rsid w:val="00440392"/>
    <w:rsid w:val="00440502"/>
    <w:rsid w:val="00440621"/>
    <w:rsid w:val="004412E5"/>
    <w:rsid w:val="004415FC"/>
    <w:rsid w:val="00441989"/>
    <w:rsid w:val="00442112"/>
    <w:rsid w:val="004426A2"/>
    <w:rsid w:val="00442822"/>
    <w:rsid w:val="004437F3"/>
    <w:rsid w:val="00443A3A"/>
    <w:rsid w:val="00443AE0"/>
    <w:rsid w:val="00443D1A"/>
    <w:rsid w:val="004442B1"/>
    <w:rsid w:val="004443FB"/>
    <w:rsid w:val="0044476D"/>
    <w:rsid w:val="004447CF"/>
    <w:rsid w:val="004448CD"/>
    <w:rsid w:val="00444FBF"/>
    <w:rsid w:val="00445064"/>
    <w:rsid w:val="00445172"/>
    <w:rsid w:val="004455C4"/>
    <w:rsid w:val="00445A32"/>
    <w:rsid w:val="00445B9A"/>
    <w:rsid w:val="004462CB"/>
    <w:rsid w:val="00446F4F"/>
    <w:rsid w:val="00447603"/>
    <w:rsid w:val="00447999"/>
    <w:rsid w:val="00447AC5"/>
    <w:rsid w:val="00447EAD"/>
    <w:rsid w:val="004504A7"/>
    <w:rsid w:val="00450899"/>
    <w:rsid w:val="004508AA"/>
    <w:rsid w:val="004508B7"/>
    <w:rsid w:val="00450ECF"/>
    <w:rsid w:val="00450FE9"/>
    <w:rsid w:val="00451A7B"/>
    <w:rsid w:val="00451DBB"/>
    <w:rsid w:val="004522A6"/>
    <w:rsid w:val="004529D7"/>
    <w:rsid w:val="00452A11"/>
    <w:rsid w:val="00452EA0"/>
    <w:rsid w:val="0045370D"/>
    <w:rsid w:val="00453BF4"/>
    <w:rsid w:val="00453DF7"/>
    <w:rsid w:val="00454571"/>
    <w:rsid w:val="00454813"/>
    <w:rsid w:val="00454E2E"/>
    <w:rsid w:val="00455667"/>
    <w:rsid w:val="00455A23"/>
    <w:rsid w:val="00455AFA"/>
    <w:rsid w:val="00456308"/>
    <w:rsid w:val="0045665A"/>
    <w:rsid w:val="004566BE"/>
    <w:rsid w:val="0045682E"/>
    <w:rsid w:val="004568B4"/>
    <w:rsid w:val="00457142"/>
    <w:rsid w:val="004573A4"/>
    <w:rsid w:val="00457493"/>
    <w:rsid w:val="00457519"/>
    <w:rsid w:val="0045761E"/>
    <w:rsid w:val="00457958"/>
    <w:rsid w:val="00457A06"/>
    <w:rsid w:val="00457D38"/>
    <w:rsid w:val="0046115F"/>
    <w:rsid w:val="0046148D"/>
    <w:rsid w:val="00461535"/>
    <w:rsid w:val="00462301"/>
    <w:rsid w:val="004627CF"/>
    <w:rsid w:val="00462977"/>
    <w:rsid w:val="00462DBA"/>
    <w:rsid w:val="004635A5"/>
    <w:rsid w:val="004635B7"/>
    <w:rsid w:val="00464027"/>
    <w:rsid w:val="004641CB"/>
    <w:rsid w:val="0046443B"/>
    <w:rsid w:val="00464963"/>
    <w:rsid w:val="00464BC7"/>
    <w:rsid w:val="00464C61"/>
    <w:rsid w:val="004651B8"/>
    <w:rsid w:val="00465580"/>
    <w:rsid w:val="00465972"/>
    <w:rsid w:val="00465E7E"/>
    <w:rsid w:val="00466BB5"/>
    <w:rsid w:val="004672E8"/>
    <w:rsid w:val="004677E9"/>
    <w:rsid w:val="0046784F"/>
    <w:rsid w:val="00467BD1"/>
    <w:rsid w:val="00470535"/>
    <w:rsid w:val="00470C10"/>
    <w:rsid w:val="00470E63"/>
    <w:rsid w:val="00471183"/>
    <w:rsid w:val="0047123C"/>
    <w:rsid w:val="004714F6"/>
    <w:rsid w:val="0047184F"/>
    <w:rsid w:val="00471921"/>
    <w:rsid w:val="00471EA8"/>
    <w:rsid w:val="0047289C"/>
    <w:rsid w:val="00472E22"/>
    <w:rsid w:val="00472F67"/>
    <w:rsid w:val="004739A1"/>
    <w:rsid w:val="004742D0"/>
    <w:rsid w:val="0047430D"/>
    <w:rsid w:val="00474371"/>
    <w:rsid w:val="00474FDF"/>
    <w:rsid w:val="00475688"/>
    <w:rsid w:val="004758F6"/>
    <w:rsid w:val="004759E3"/>
    <w:rsid w:val="00475C51"/>
    <w:rsid w:val="00476161"/>
    <w:rsid w:val="00476658"/>
    <w:rsid w:val="00476E34"/>
    <w:rsid w:val="00476EE1"/>
    <w:rsid w:val="00477163"/>
    <w:rsid w:val="004773E3"/>
    <w:rsid w:val="00477B0E"/>
    <w:rsid w:val="00480DE4"/>
    <w:rsid w:val="00481413"/>
    <w:rsid w:val="00481688"/>
    <w:rsid w:val="004817D3"/>
    <w:rsid w:val="004820E0"/>
    <w:rsid w:val="004822CA"/>
    <w:rsid w:val="00482979"/>
    <w:rsid w:val="00483F95"/>
    <w:rsid w:val="00484D20"/>
    <w:rsid w:val="004850C1"/>
    <w:rsid w:val="004852DC"/>
    <w:rsid w:val="00486577"/>
    <w:rsid w:val="00486751"/>
    <w:rsid w:val="00486F54"/>
    <w:rsid w:val="004871B4"/>
    <w:rsid w:val="004876DD"/>
    <w:rsid w:val="004905E4"/>
    <w:rsid w:val="0049087C"/>
    <w:rsid w:val="004909D5"/>
    <w:rsid w:val="0049178A"/>
    <w:rsid w:val="00491C1D"/>
    <w:rsid w:val="00491DF1"/>
    <w:rsid w:val="0049231D"/>
    <w:rsid w:val="00492535"/>
    <w:rsid w:val="00493435"/>
    <w:rsid w:val="004944A0"/>
    <w:rsid w:val="00494826"/>
    <w:rsid w:val="00494B28"/>
    <w:rsid w:val="004950F7"/>
    <w:rsid w:val="004953E1"/>
    <w:rsid w:val="00495441"/>
    <w:rsid w:val="00495FFF"/>
    <w:rsid w:val="00496A9F"/>
    <w:rsid w:val="00497358"/>
    <w:rsid w:val="00497641"/>
    <w:rsid w:val="00497972"/>
    <w:rsid w:val="00497C98"/>
    <w:rsid w:val="00497FA5"/>
    <w:rsid w:val="004A03B3"/>
    <w:rsid w:val="004A04D5"/>
    <w:rsid w:val="004A0616"/>
    <w:rsid w:val="004A0D65"/>
    <w:rsid w:val="004A1AA2"/>
    <w:rsid w:val="004A1B07"/>
    <w:rsid w:val="004A2265"/>
    <w:rsid w:val="004A2693"/>
    <w:rsid w:val="004A2E04"/>
    <w:rsid w:val="004A3226"/>
    <w:rsid w:val="004A32E9"/>
    <w:rsid w:val="004A399F"/>
    <w:rsid w:val="004A4096"/>
    <w:rsid w:val="004A4670"/>
    <w:rsid w:val="004A4692"/>
    <w:rsid w:val="004A52F6"/>
    <w:rsid w:val="004A5D08"/>
    <w:rsid w:val="004A5E9A"/>
    <w:rsid w:val="004A669F"/>
    <w:rsid w:val="004A6842"/>
    <w:rsid w:val="004A6A98"/>
    <w:rsid w:val="004A6BC3"/>
    <w:rsid w:val="004A718C"/>
    <w:rsid w:val="004A7DBE"/>
    <w:rsid w:val="004A7F94"/>
    <w:rsid w:val="004B08AC"/>
    <w:rsid w:val="004B09B0"/>
    <w:rsid w:val="004B0D88"/>
    <w:rsid w:val="004B0F7D"/>
    <w:rsid w:val="004B1358"/>
    <w:rsid w:val="004B19DC"/>
    <w:rsid w:val="004B1D13"/>
    <w:rsid w:val="004B1D41"/>
    <w:rsid w:val="004B1F6C"/>
    <w:rsid w:val="004B206E"/>
    <w:rsid w:val="004B229E"/>
    <w:rsid w:val="004B290D"/>
    <w:rsid w:val="004B29C2"/>
    <w:rsid w:val="004B29E1"/>
    <w:rsid w:val="004B2C52"/>
    <w:rsid w:val="004B2F46"/>
    <w:rsid w:val="004B395D"/>
    <w:rsid w:val="004B4121"/>
    <w:rsid w:val="004B4194"/>
    <w:rsid w:val="004B457E"/>
    <w:rsid w:val="004B55F0"/>
    <w:rsid w:val="004B56C3"/>
    <w:rsid w:val="004B6928"/>
    <w:rsid w:val="004B79FA"/>
    <w:rsid w:val="004B7D94"/>
    <w:rsid w:val="004C0FB7"/>
    <w:rsid w:val="004C104B"/>
    <w:rsid w:val="004C1094"/>
    <w:rsid w:val="004C164A"/>
    <w:rsid w:val="004C1E8D"/>
    <w:rsid w:val="004C2E14"/>
    <w:rsid w:val="004C2FE3"/>
    <w:rsid w:val="004C305A"/>
    <w:rsid w:val="004C35EF"/>
    <w:rsid w:val="004C37D3"/>
    <w:rsid w:val="004C3BCF"/>
    <w:rsid w:val="004C47BF"/>
    <w:rsid w:val="004C481C"/>
    <w:rsid w:val="004C4829"/>
    <w:rsid w:val="004C4D30"/>
    <w:rsid w:val="004C4EAB"/>
    <w:rsid w:val="004C5570"/>
    <w:rsid w:val="004C5BD0"/>
    <w:rsid w:val="004C5D52"/>
    <w:rsid w:val="004C5DB0"/>
    <w:rsid w:val="004C60D8"/>
    <w:rsid w:val="004C62EE"/>
    <w:rsid w:val="004C6755"/>
    <w:rsid w:val="004C6954"/>
    <w:rsid w:val="004C6A0D"/>
    <w:rsid w:val="004C6CC0"/>
    <w:rsid w:val="004C7112"/>
    <w:rsid w:val="004C75FC"/>
    <w:rsid w:val="004D0462"/>
    <w:rsid w:val="004D0836"/>
    <w:rsid w:val="004D1000"/>
    <w:rsid w:val="004D1417"/>
    <w:rsid w:val="004D1D27"/>
    <w:rsid w:val="004D2A4A"/>
    <w:rsid w:val="004D2EC3"/>
    <w:rsid w:val="004D2FF6"/>
    <w:rsid w:val="004D332F"/>
    <w:rsid w:val="004D3FD6"/>
    <w:rsid w:val="004D405F"/>
    <w:rsid w:val="004D55CA"/>
    <w:rsid w:val="004D570A"/>
    <w:rsid w:val="004D5A27"/>
    <w:rsid w:val="004D5F0E"/>
    <w:rsid w:val="004D6626"/>
    <w:rsid w:val="004D6758"/>
    <w:rsid w:val="004D68B1"/>
    <w:rsid w:val="004D6E04"/>
    <w:rsid w:val="004D707E"/>
    <w:rsid w:val="004D7907"/>
    <w:rsid w:val="004D7B1A"/>
    <w:rsid w:val="004E0830"/>
    <w:rsid w:val="004E0A24"/>
    <w:rsid w:val="004E169C"/>
    <w:rsid w:val="004E1BF0"/>
    <w:rsid w:val="004E1E6A"/>
    <w:rsid w:val="004E22A9"/>
    <w:rsid w:val="004E26AB"/>
    <w:rsid w:val="004E28E1"/>
    <w:rsid w:val="004E2B01"/>
    <w:rsid w:val="004E3065"/>
    <w:rsid w:val="004E3430"/>
    <w:rsid w:val="004E34C7"/>
    <w:rsid w:val="004E356A"/>
    <w:rsid w:val="004E375D"/>
    <w:rsid w:val="004E3850"/>
    <w:rsid w:val="004E3FC1"/>
    <w:rsid w:val="004E44CE"/>
    <w:rsid w:val="004E54DE"/>
    <w:rsid w:val="004E58EA"/>
    <w:rsid w:val="004E5BC6"/>
    <w:rsid w:val="004E5F65"/>
    <w:rsid w:val="004E6981"/>
    <w:rsid w:val="004E6A0C"/>
    <w:rsid w:val="004E6C7A"/>
    <w:rsid w:val="004E7615"/>
    <w:rsid w:val="004E7CDF"/>
    <w:rsid w:val="004F078C"/>
    <w:rsid w:val="004F1324"/>
    <w:rsid w:val="004F1857"/>
    <w:rsid w:val="004F1C7D"/>
    <w:rsid w:val="004F1D24"/>
    <w:rsid w:val="004F21D2"/>
    <w:rsid w:val="004F23B6"/>
    <w:rsid w:val="004F2641"/>
    <w:rsid w:val="004F27F3"/>
    <w:rsid w:val="004F29B9"/>
    <w:rsid w:val="004F2B8E"/>
    <w:rsid w:val="004F2C85"/>
    <w:rsid w:val="004F32BF"/>
    <w:rsid w:val="004F33A8"/>
    <w:rsid w:val="004F3C63"/>
    <w:rsid w:val="004F3E6A"/>
    <w:rsid w:val="004F469D"/>
    <w:rsid w:val="004F5346"/>
    <w:rsid w:val="004F5C09"/>
    <w:rsid w:val="004F5E4E"/>
    <w:rsid w:val="004F63CC"/>
    <w:rsid w:val="004F64CA"/>
    <w:rsid w:val="004F6678"/>
    <w:rsid w:val="004F6B28"/>
    <w:rsid w:val="004F6C65"/>
    <w:rsid w:val="004F6D2E"/>
    <w:rsid w:val="004F72FA"/>
    <w:rsid w:val="004F7706"/>
    <w:rsid w:val="004F78E2"/>
    <w:rsid w:val="004F7900"/>
    <w:rsid w:val="004F7F0F"/>
    <w:rsid w:val="004F7FBC"/>
    <w:rsid w:val="005001AE"/>
    <w:rsid w:val="005007E7"/>
    <w:rsid w:val="005012FC"/>
    <w:rsid w:val="00501EBE"/>
    <w:rsid w:val="00503398"/>
    <w:rsid w:val="00503551"/>
    <w:rsid w:val="0050388F"/>
    <w:rsid w:val="00503F38"/>
    <w:rsid w:val="00504134"/>
    <w:rsid w:val="005043FC"/>
    <w:rsid w:val="00504A55"/>
    <w:rsid w:val="00505878"/>
    <w:rsid w:val="0050587C"/>
    <w:rsid w:val="00505F08"/>
    <w:rsid w:val="0050671D"/>
    <w:rsid w:val="0050672C"/>
    <w:rsid w:val="00506C4C"/>
    <w:rsid w:val="00506F35"/>
    <w:rsid w:val="0050700E"/>
    <w:rsid w:val="0050734C"/>
    <w:rsid w:val="005079D7"/>
    <w:rsid w:val="00507B2A"/>
    <w:rsid w:val="00510A22"/>
    <w:rsid w:val="00510D8A"/>
    <w:rsid w:val="00511EBC"/>
    <w:rsid w:val="005125D5"/>
    <w:rsid w:val="00512D51"/>
    <w:rsid w:val="00512E95"/>
    <w:rsid w:val="00514674"/>
    <w:rsid w:val="00514676"/>
    <w:rsid w:val="0051477F"/>
    <w:rsid w:val="00514C46"/>
    <w:rsid w:val="0051541E"/>
    <w:rsid w:val="00515BCF"/>
    <w:rsid w:val="00516083"/>
    <w:rsid w:val="0051635A"/>
    <w:rsid w:val="0051646E"/>
    <w:rsid w:val="005166C3"/>
    <w:rsid w:val="00516EA5"/>
    <w:rsid w:val="005179DA"/>
    <w:rsid w:val="00517E2A"/>
    <w:rsid w:val="00520C1C"/>
    <w:rsid w:val="00520CFD"/>
    <w:rsid w:val="00520F71"/>
    <w:rsid w:val="00521278"/>
    <w:rsid w:val="00521439"/>
    <w:rsid w:val="00522133"/>
    <w:rsid w:val="005225E5"/>
    <w:rsid w:val="005226D1"/>
    <w:rsid w:val="0052292E"/>
    <w:rsid w:val="005232E0"/>
    <w:rsid w:val="0052373B"/>
    <w:rsid w:val="00523E00"/>
    <w:rsid w:val="0052439F"/>
    <w:rsid w:val="005243EB"/>
    <w:rsid w:val="00525230"/>
    <w:rsid w:val="00525789"/>
    <w:rsid w:val="00525890"/>
    <w:rsid w:val="005262A1"/>
    <w:rsid w:val="00526452"/>
    <w:rsid w:val="00526816"/>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A84"/>
    <w:rsid w:val="00533EE8"/>
    <w:rsid w:val="0053417D"/>
    <w:rsid w:val="0053490C"/>
    <w:rsid w:val="00534D9E"/>
    <w:rsid w:val="0053523F"/>
    <w:rsid w:val="00535585"/>
    <w:rsid w:val="00536A58"/>
    <w:rsid w:val="00536AB4"/>
    <w:rsid w:val="00537127"/>
    <w:rsid w:val="005374C0"/>
    <w:rsid w:val="0053764B"/>
    <w:rsid w:val="00537750"/>
    <w:rsid w:val="0054069F"/>
    <w:rsid w:val="00540D6C"/>
    <w:rsid w:val="00541197"/>
    <w:rsid w:val="00541307"/>
    <w:rsid w:val="00541B60"/>
    <w:rsid w:val="00541DB8"/>
    <w:rsid w:val="00541F9A"/>
    <w:rsid w:val="00542599"/>
    <w:rsid w:val="00542EB4"/>
    <w:rsid w:val="005448B9"/>
    <w:rsid w:val="00545136"/>
    <w:rsid w:val="005452C1"/>
    <w:rsid w:val="00545869"/>
    <w:rsid w:val="00545B42"/>
    <w:rsid w:val="0054612B"/>
    <w:rsid w:val="00546339"/>
    <w:rsid w:val="00546FF4"/>
    <w:rsid w:val="00547753"/>
    <w:rsid w:val="005479F5"/>
    <w:rsid w:val="00547D90"/>
    <w:rsid w:val="00550747"/>
    <w:rsid w:val="005508EF"/>
    <w:rsid w:val="005510E3"/>
    <w:rsid w:val="005511AF"/>
    <w:rsid w:val="0055173F"/>
    <w:rsid w:val="00551AE8"/>
    <w:rsid w:val="00551D57"/>
    <w:rsid w:val="005526DB"/>
    <w:rsid w:val="00552E11"/>
    <w:rsid w:val="00552FEB"/>
    <w:rsid w:val="00553202"/>
    <w:rsid w:val="0055326B"/>
    <w:rsid w:val="005532A3"/>
    <w:rsid w:val="00553395"/>
    <w:rsid w:val="00553567"/>
    <w:rsid w:val="005538EF"/>
    <w:rsid w:val="00553CE5"/>
    <w:rsid w:val="0055400F"/>
    <w:rsid w:val="005548DD"/>
    <w:rsid w:val="00555500"/>
    <w:rsid w:val="00555FC3"/>
    <w:rsid w:val="00556027"/>
    <w:rsid w:val="00556506"/>
    <w:rsid w:val="0055659A"/>
    <w:rsid w:val="00556731"/>
    <w:rsid w:val="00556DEF"/>
    <w:rsid w:val="00557401"/>
    <w:rsid w:val="0055747C"/>
    <w:rsid w:val="00557D41"/>
    <w:rsid w:val="00557F5B"/>
    <w:rsid w:val="00557FE2"/>
    <w:rsid w:val="00560729"/>
    <w:rsid w:val="00560A86"/>
    <w:rsid w:val="0056186D"/>
    <w:rsid w:val="00561C64"/>
    <w:rsid w:val="00561D9D"/>
    <w:rsid w:val="0056218D"/>
    <w:rsid w:val="00562EAD"/>
    <w:rsid w:val="00562F81"/>
    <w:rsid w:val="00563222"/>
    <w:rsid w:val="005635BE"/>
    <w:rsid w:val="00563AEB"/>
    <w:rsid w:val="00564775"/>
    <w:rsid w:val="00565300"/>
    <w:rsid w:val="00565664"/>
    <w:rsid w:val="005662BF"/>
    <w:rsid w:val="00566C28"/>
    <w:rsid w:val="00566EBC"/>
    <w:rsid w:val="005672F8"/>
    <w:rsid w:val="00567500"/>
    <w:rsid w:val="0056753D"/>
    <w:rsid w:val="00567811"/>
    <w:rsid w:val="00567CDA"/>
    <w:rsid w:val="00570163"/>
    <w:rsid w:val="005701B3"/>
    <w:rsid w:val="005702BD"/>
    <w:rsid w:val="005704B1"/>
    <w:rsid w:val="00571A38"/>
    <w:rsid w:val="00571D2D"/>
    <w:rsid w:val="00572356"/>
    <w:rsid w:val="00572582"/>
    <w:rsid w:val="00572749"/>
    <w:rsid w:val="00573802"/>
    <w:rsid w:val="005739F4"/>
    <w:rsid w:val="00573A7F"/>
    <w:rsid w:val="00573EE1"/>
    <w:rsid w:val="0057406C"/>
    <w:rsid w:val="00575051"/>
    <w:rsid w:val="005750B6"/>
    <w:rsid w:val="005758E3"/>
    <w:rsid w:val="00576D35"/>
    <w:rsid w:val="005773A7"/>
    <w:rsid w:val="005777C8"/>
    <w:rsid w:val="00577AD5"/>
    <w:rsid w:val="00577DEE"/>
    <w:rsid w:val="00577F23"/>
    <w:rsid w:val="005808DD"/>
    <w:rsid w:val="00580A72"/>
    <w:rsid w:val="00580ED9"/>
    <w:rsid w:val="0058107B"/>
    <w:rsid w:val="0058149F"/>
    <w:rsid w:val="0058161B"/>
    <w:rsid w:val="005817A5"/>
    <w:rsid w:val="00581DF3"/>
    <w:rsid w:val="0058266D"/>
    <w:rsid w:val="00582853"/>
    <w:rsid w:val="00582893"/>
    <w:rsid w:val="00582C76"/>
    <w:rsid w:val="00583A87"/>
    <w:rsid w:val="0058403B"/>
    <w:rsid w:val="005842BA"/>
    <w:rsid w:val="005843E6"/>
    <w:rsid w:val="0058448B"/>
    <w:rsid w:val="005845FA"/>
    <w:rsid w:val="00584AC0"/>
    <w:rsid w:val="00584BA2"/>
    <w:rsid w:val="00584E28"/>
    <w:rsid w:val="0058540A"/>
    <w:rsid w:val="00585988"/>
    <w:rsid w:val="00585C21"/>
    <w:rsid w:val="005871D0"/>
    <w:rsid w:val="005874CD"/>
    <w:rsid w:val="00587597"/>
    <w:rsid w:val="00587EEE"/>
    <w:rsid w:val="00590D18"/>
    <w:rsid w:val="00590EDD"/>
    <w:rsid w:val="005911F4"/>
    <w:rsid w:val="00591988"/>
    <w:rsid w:val="005921C8"/>
    <w:rsid w:val="005922A3"/>
    <w:rsid w:val="0059239E"/>
    <w:rsid w:val="005924DB"/>
    <w:rsid w:val="00592875"/>
    <w:rsid w:val="005929E8"/>
    <w:rsid w:val="00592A2E"/>
    <w:rsid w:val="00593155"/>
    <w:rsid w:val="0059353B"/>
    <w:rsid w:val="005938DB"/>
    <w:rsid w:val="005949FB"/>
    <w:rsid w:val="00594C1A"/>
    <w:rsid w:val="00595106"/>
    <w:rsid w:val="00595692"/>
    <w:rsid w:val="00595B7B"/>
    <w:rsid w:val="00596020"/>
    <w:rsid w:val="0059619E"/>
    <w:rsid w:val="0059632F"/>
    <w:rsid w:val="005971A1"/>
    <w:rsid w:val="00597503"/>
    <w:rsid w:val="00597799"/>
    <w:rsid w:val="005977F9"/>
    <w:rsid w:val="00597BA8"/>
    <w:rsid w:val="00597C53"/>
    <w:rsid w:val="00597FB2"/>
    <w:rsid w:val="005A01E7"/>
    <w:rsid w:val="005A02C8"/>
    <w:rsid w:val="005A03D4"/>
    <w:rsid w:val="005A09E5"/>
    <w:rsid w:val="005A1473"/>
    <w:rsid w:val="005A14D6"/>
    <w:rsid w:val="005A1926"/>
    <w:rsid w:val="005A19FF"/>
    <w:rsid w:val="005A1B5B"/>
    <w:rsid w:val="005A2074"/>
    <w:rsid w:val="005A24AE"/>
    <w:rsid w:val="005A2942"/>
    <w:rsid w:val="005A3394"/>
    <w:rsid w:val="005A403A"/>
    <w:rsid w:val="005A43BE"/>
    <w:rsid w:val="005A4624"/>
    <w:rsid w:val="005A5011"/>
    <w:rsid w:val="005A508D"/>
    <w:rsid w:val="005A5C5C"/>
    <w:rsid w:val="005A60BA"/>
    <w:rsid w:val="005A6156"/>
    <w:rsid w:val="005A761B"/>
    <w:rsid w:val="005A7814"/>
    <w:rsid w:val="005B096F"/>
    <w:rsid w:val="005B0987"/>
    <w:rsid w:val="005B0FB5"/>
    <w:rsid w:val="005B1191"/>
    <w:rsid w:val="005B1205"/>
    <w:rsid w:val="005B1D3B"/>
    <w:rsid w:val="005B2088"/>
    <w:rsid w:val="005B22CB"/>
    <w:rsid w:val="005B2466"/>
    <w:rsid w:val="005B2BBB"/>
    <w:rsid w:val="005B2BF5"/>
    <w:rsid w:val="005B2FD3"/>
    <w:rsid w:val="005B3BE3"/>
    <w:rsid w:val="005B3DCC"/>
    <w:rsid w:val="005B3EDE"/>
    <w:rsid w:val="005B41B3"/>
    <w:rsid w:val="005B4289"/>
    <w:rsid w:val="005B4ADD"/>
    <w:rsid w:val="005B5926"/>
    <w:rsid w:val="005B5A74"/>
    <w:rsid w:val="005B5DBE"/>
    <w:rsid w:val="005B5F7D"/>
    <w:rsid w:val="005B5FCC"/>
    <w:rsid w:val="005B6007"/>
    <w:rsid w:val="005B66DA"/>
    <w:rsid w:val="005B6927"/>
    <w:rsid w:val="005B698D"/>
    <w:rsid w:val="005B6B33"/>
    <w:rsid w:val="005B6B72"/>
    <w:rsid w:val="005B6BFD"/>
    <w:rsid w:val="005B7331"/>
    <w:rsid w:val="005B75B6"/>
    <w:rsid w:val="005B7F6E"/>
    <w:rsid w:val="005C00C8"/>
    <w:rsid w:val="005C0592"/>
    <w:rsid w:val="005C12AC"/>
    <w:rsid w:val="005C1AA4"/>
    <w:rsid w:val="005C1C90"/>
    <w:rsid w:val="005C1CEF"/>
    <w:rsid w:val="005C352E"/>
    <w:rsid w:val="005C3964"/>
    <w:rsid w:val="005C428A"/>
    <w:rsid w:val="005C4330"/>
    <w:rsid w:val="005C4787"/>
    <w:rsid w:val="005C4B60"/>
    <w:rsid w:val="005C4BF5"/>
    <w:rsid w:val="005C50D1"/>
    <w:rsid w:val="005C5113"/>
    <w:rsid w:val="005C54B8"/>
    <w:rsid w:val="005C557C"/>
    <w:rsid w:val="005C56B7"/>
    <w:rsid w:val="005C5CDF"/>
    <w:rsid w:val="005C5EAF"/>
    <w:rsid w:val="005C655E"/>
    <w:rsid w:val="005C677E"/>
    <w:rsid w:val="005C6CD0"/>
    <w:rsid w:val="005C7072"/>
    <w:rsid w:val="005C7554"/>
    <w:rsid w:val="005C785E"/>
    <w:rsid w:val="005C78D5"/>
    <w:rsid w:val="005D00B6"/>
    <w:rsid w:val="005D0D51"/>
    <w:rsid w:val="005D101F"/>
    <w:rsid w:val="005D1247"/>
    <w:rsid w:val="005D1D60"/>
    <w:rsid w:val="005D205D"/>
    <w:rsid w:val="005D2AAB"/>
    <w:rsid w:val="005D2F54"/>
    <w:rsid w:val="005D33D2"/>
    <w:rsid w:val="005D353D"/>
    <w:rsid w:val="005D3C52"/>
    <w:rsid w:val="005D3FD5"/>
    <w:rsid w:val="005D49E5"/>
    <w:rsid w:val="005D593D"/>
    <w:rsid w:val="005D63A5"/>
    <w:rsid w:val="005D6833"/>
    <w:rsid w:val="005D69A4"/>
    <w:rsid w:val="005D7206"/>
    <w:rsid w:val="005D74F8"/>
    <w:rsid w:val="005D79B5"/>
    <w:rsid w:val="005D7BDA"/>
    <w:rsid w:val="005E0A1F"/>
    <w:rsid w:val="005E0DEA"/>
    <w:rsid w:val="005E1667"/>
    <w:rsid w:val="005E17B3"/>
    <w:rsid w:val="005E1BB5"/>
    <w:rsid w:val="005E1BD6"/>
    <w:rsid w:val="005E20D0"/>
    <w:rsid w:val="005E2A79"/>
    <w:rsid w:val="005E2D15"/>
    <w:rsid w:val="005E2EDB"/>
    <w:rsid w:val="005E2FB1"/>
    <w:rsid w:val="005E37BC"/>
    <w:rsid w:val="005E3850"/>
    <w:rsid w:val="005E3EB4"/>
    <w:rsid w:val="005E40C8"/>
    <w:rsid w:val="005E43DF"/>
    <w:rsid w:val="005E48DE"/>
    <w:rsid w:val="005E527F"/>
    <w:rsid w:val="005E54CF"/>
    <w:rsid w:val="005E566F"/>
    <w:rsid w:val="005E6390"/>
    <w:rsid w:val="005E64AF"/>
    <w:rsid w:val="005E6BE9"/>
    <w:rsid w:val="005E6F81"/>
    <w:rsid w:val="005E71A5"/>
    <w:rsid w:val="005E777B"/>
    <w:rsid w:val="005E78FF"/>
    <w:rsid w:val="005E7B96"/>
    <w:rsid w:val="005E7BA7"/>
    <w:rsid w:val="005F03D5"/>
    <w:rsid w:val="005F0718"/>
    <w:rsid w:val="005F0860"/>
    <w:rsid w:val="005F14A7"/>
    <w:rsid w:val="005F1B20"/>
    <w:rsid w:val="005F1E18"/>
    <w:rsid w:val="005F2307"/>
    <w:rsid w:val="005F2639"/>
    <w:rsid w:val="005F27E0"/>
    <w:rsid w:val="005F29C0"/>
    <w:rsid w:val="005F2A66"/>
    <w:rsid w:val="005F2B32"/>
    <w:rsid w:val="005F3176"/>
    <w:rsid w:val="005F3549"/>
    <w:rsid w:val="005F39C3"/>
    <w:rsid w:val="005F3A7E"/>
    <w:rsid w:val="005F3D8C"/>
    <w:rsid w:val="005F4DDB"/>
    <w:rsid w:val="005F54B4"/>
    <w:rsid w:val="005F5576"/>
    <w:rsid w:val="005F5A4E"/>
    <w:rsid w:val="005F5A6F"/>
    <w:rsid w:val="005F5C6D"/>
    <w:rsid w:val="005F5E8E"/>
    <w:rsid w:val="005F60E6"/>
    <w:rsid w:val="005F61DD"/>
    <w:rsid w:val="005F6822"/>
    <w:rsid w:val="005F72CB"/>
    <w:rsid w:val="005F736F"/>
    <w:rsid w:val="005F764A"/>
    <w:rsid w:val="005F79EF"/>
    <w:rsid w:val="0060008E"/>
    <w:rsid w:val="0060045C"/>
    <w:rsid w:val="006005C1"/>
    <w:rsid w:val="00600ED9"/>
    <w:rsid w:val="0060116B"/>
    <w:rsid w:val="006011A0"/>
    <w:rsid w:val="00602A78"/>
    <w:rsid w:val="00602BCA"/>
    <w:rsid w:val="0060305F"/>
    <w:rsid w:val="006034C7"/>
    <w:rsid w:val="00603802"/>
    <w:rsid w:val="0060381D"/>
    <w:rsid w:val="00603D08"/>
    <w:rsid w:val="00604617"/>
    <w:rsid w:val="00604730"/>
    <w:rsid w:val="006049CE"/>
    <w:rsid w:val="00604AE3"/>
    <w:rsid w:val="00604D1B"/>
    <w:rsid w:val="006052A3"/>
    <w:rsid w:val="006053D8"/>
    <w:rsid w:val="006057CF"/>
    <w:rsid w:val="00605895"/>
    <w:rsid w:val="006059A0"/>
    <w:rsid w:val="00605A1A"/>
    <w:rsid w:val="00606054"/>
    <w:rsid w:val="0060611E"/>
    <w:rsid w:val="00606295"/>
    <w:rsid w:val="006063E0"/>
    <w:rsid w:val="00606906"/>
    <w:rsid w:val="00606EE7"/>
    <w:rsid w:val="00606FAA"/>
    <w:rsid w:val="0060769A"/>
    <w:rsid w:val="006078FD"/>
    <w:rsid w:val="00607C10"/>
    <w:rsid w:val="00610543"/>
    <w:rsid w:val="00610A0E"/>
    <w:rsid w:val="00610F47"/>
    <w:rsid w:val="00611B77"/>
    <w:rsid w:val="00611BA6"/>
    <w:rsid w:val="00612497"/>
    <w:rsid w:val="00612D19"/>
    <w:rsid w:val="0061330F"/>
    <w:rsid w:val="00613641"/>
    <w:rsid w:val="00614139"/>
    <w:rsid w:val="00614483"/>
    <w:rsid w:val="006144F9"/>
    <w:rsid w:val="0061478C"/>
    <w:rsid w:val="0061516E"/>
    <w:rsid w:val="006151BC"/>
    <w:rsid w:val="00615204"/>
    <w:rsid w:val="006154F0"/>
    <w:rsid w:val="00615CB8"/>
    <w:rsid w:val="00615E77"/>
    <w:rsid w:val="00616172"/>
    <w:rsid w:val="006162A3"/>
    <w:rsid w:val="00616543"/>
    <w:rsid w:val="00616A94"/>
    <w:rsid w:val="00616C7D"/>
    <w:rsid w:val="006170E3"/>
    <w:rsid w:val="0061735F"/>
    <w:rsid w:val="006174C4"/>
    <w:rsid w:val="0061785E"/>
    <w:rsid w:val="006205E1"/>
    <w:rsid w:val="006208EE"/>
    <w:rsid w:val="0062091D"/>
    <w:rsid w:val="00620C44"/>
    <w:rsid w:val="0062100E"/>
    <w:rsid w:val="00621013"/>
    <w:rsid w:val="006211A5"/>
    <w:rsid w:val="006212A7"/>
    <w:rsid w:val="006219BC"/>
    <w:rsid w:val="00621AC7"/>
    <w:rsid w:val="00621DD8"/>
    <w:rsid w:val="00621DE8"/>
    <w:rsid w:val="00621F54"/>
    <w:rsid w:val="00622789"/>
    <w:rsid w:val="006233C1"/>
    <w:rsid w:val="00623854"/>
    <w:rsid w:val="00623910"/>
    <w:rsid w:val="00624649"/>
    <w:rsid w:val="0062499D"/>
    <w:rsid w:val="006249A7"/>
    <w:rsid w:val="006249D1"/>
    <w:rsid w:val="00624D4F"/>
    <w:rsid w:val="00625713"/>
    <w:rsid w:val="00625B22"/>
    <w:rsid w:val="00625C53"/>
    <w:rsid w:val="006261E8"/>
    <w:rsid w:val="00626415"/>
    <w:rsid w:val="00627357"/>
    <w:rsid w:val="0062768B"/>
    <w:rsid w:val="00627A49"/>
    <w:rsid w:val="00627CBA"/>
    <w:rsid w:val="00627D60"/>
    <w:rsid w:val="00627E30"/>
    <w:rsid w:val="006303FC"/>
    <w:rsid w:val="006309D1"/>
    <w:rsid w:val="00631716"/>
    <w:rsid w:val="0063179F"/>
    <w:rsid w:val="006317A4"/>
    <w:rsid w:val="00632259"/>
    <w:rsid w:val="00632765"/>
    <w:rsid w:val="00632DD8"/>
    <w:rsid w:val="006338DA"/>
    <w:rsid w:val="0063390C"/>
    <w:rsid w:val="00633A5E"/>
    <w:rsid w:val="00633F74"/>
    <w:rsid w:val="00635625"/>
    <w:rsid w:val="00635AEB"/>
    <w:rsid w:val="00636EF8"/>
    <w:rsid w:val="00636FEF"/>
    <w:rsid w:val="0063715F"/>
    <w:rsid w:val="0063722B"/>
    <w:rsid w:val="006377DB"/>
    <w:rsid w:val="0064058F"/>
    <w:rsid w:val="006405A2"/>
    <w:rsid w:val="00640699"/>
    <w:rsid w:val="0064096C"/>
    <w:rsid w:val="006417E0"/>
    <w:rsid w:val="006418D2"/>
    <w:rsid w:val="006419D4"/>
    <w:rsid w:val="00641E1E"/>
    <w:rsid w:val="00642453"/>
    <w:rsid w:val="006443B2"/>
    <w:rsid w:val="00645210"/>
    <w:rsid w:val="00645933"/>
    <w:rsid w:val="006459B3"/>
    <w:rsid w:val="00645D57"/>
    <w:rsid w:val="00645EEC"/>
    <w:rsid w:val="00645F02"/>
    <w:rsid w:val="00646970"/>
    <w:rsid w:val="00646FDD"/>
    <w:rsid w:val="00647401"/>
    <w:rsid w:val="00647C38"/>
    <w:rsid w:val="00647C54"/>
    <w:rsid w:val="00647D39"/>
    <w:rsid w:val="006500A2"/>
    <w:rsid w:val="00650498"/>
    <w:rsid w:val="0065058D"/>
    <w:rsid w:val="00650C5E"/>
    <w:rsid w:val="00651147"/>
    <w:rsid w:val="0065131D"/>
    <w:rsid w:val="00651B06"/>
    <w:rsid w:val="00651DC1"/>
    <w:rsid w:val="00651FD6"/>
    <w:rsid w:val="0065234B"/>
    <w:rsid w:val="0065252C"/>
    <w:rsid w:val="0065384A"/>
    <w:rsid w:val="00653AC4"/>
    <w:rsid w:val="00653C52"/>
    <w:rsid w:val="006540C1"/>
    <w:rsid w:val="00654642"/>
    <w:rsid w:val="0065468F"/>
    <w:rsid w:val="00654851"/>
    <w:rsid w:val="00654AF4"/>
    <w:rsid w:val="00654CB8"/>
    <w:rsid w:val="00654EB2"/>
    <w:rsid w:val="0065561D"/>
    <w:rsid w:val="0065565B"/>
    <w:rsid w:val="00655F61"/>
    <w:rsid w:val="006562F3"/>
    <w:rsid w:val="006565D3"/>
    <w:rsid w:val="00656F87"/>
    <w:rsid w:val="00656FC3"/>
    <w:rsid w:val="00656FD3"/>
    <w:rsid w:val="00657693"/>
    <w:rsid w:val="00657861"/>
    <w:rsid w:val="00657B97"/>
    <w:rsid w:val="00660010"/>
    <w:rsid w:val="00660083"/>
    <w:rsid w:val="00660680"/>
    <w:rsid w:val="00660BFB"/>
    <w:rsid w:val="00660E23"/>
    <w:rsid w:val="006628CE"/>
    <w:rsid w:val="00662A70"/>
    <w:rsid w:val="00662AF9"/>
    <w:rsid w:val="00662C14"/>
    <w:rsid w:val="00662C97"/>
    <w:rsid w:val="00662CBB"/>
    <w:rsid w:val="00662F3E"/>
    <w:rsid w:val="0066398B"/>
    <w:rsid w:val="00663F53"/>
    <w:rsid w:val="00664719"/>
    <w:rsid w:val="0066486A"/>
    <w:rsid w:val="0066500B"/>
    <w:rsid w:val="0066527F"/>
    <w:rsid w:val="00666754"/>
    <w:rsid w:val="00666AEA"/>
    <w:rsid w:val="00667AA7"/>
    <w:rsid w:val="00667FB2"/>
    <w:rsid w:val="006700C2"/>
    <w:rsid w:val="006707B6"/>
    <w:rsid w:val="00670D2E"/>
    <w:rsid w:val="0067269F"/>
    <w:rsid w:val="006726CB"/>
    <w:rsid w:val="0067272F"/>
    <w:rsid w:val="00672F30"/>
    <w:rsid w:val="00673458"/>
    <w:rsid w:val="0067388B"/>
    <w:rsid w:val="00673BA4"/>
    <w:rsid w:val="00674C5D"/>
    <w:rsid w:val="00674ED8"/>
    <w:rsid w:val="0067572D"/>
    <w:rsid w:val="00675793"/>
    <w:rsid w:val="00675880"/>
    <w:rsid w:val="00675B92"/>
    <w:rsid w:val="00675C5E"/>
    <w:rsid w:val="00676543"/>
    <w:rsid w:val="00676F0B"/>
    <w:rsid w:val="006772AB"/>
    <w:rsid w:val="006773D1"/>
    <w:rsid w:val="006773EC"/>
    <w:rsid w:val="006801BB"/>
    <w:rsid w:val="006802E3"/>
    <w:rsid w:val="00680545"/>
    <w:rsid w:val="00680CC6"/>
    <w:rsid w:val="006814DE"/>
    <w:rsid w:val="0068241B"/>
    <w:rsid w:val="00683889"/>
    <w:rsid w:val="006842A2"/>
    <w:rsid w:val="006844F1"/>
    <w:rsid w:val="006848BB"/>
    <w:rsid w:val="00684B65"/>
    <w:rsid w:val="00685075"/>
    <w:rsid w:val="00685339"/>
    <w:rsid w:val="00685597"/>
    <w:rsid w:val="00686338"/>
    <w:rsid w:val="0068644A"/>
    <w:rsid w:val="006867CC"/>
    <w:rsid w:val="0068731C"/>
    <w:rsid w:val="00687BBD"/>
    <w:rsid w:val="006904AD"/>
    <w:rsid w:val="006905F1"/>
    <w:rsid w:val="006909F9"/>
    <w:rsid w:val="006912E6"/>
    <w:rsid w:val="0069132A"/>
    <w:rsid w:val="006914E9"/>
    <w:rsid w:val="00691815"/>
    <w:rsid w:val="00691E51"/>
    <w:rsid w:val="006920CA"/>
    <w:rsid w:val="006927F0"/>
    <w:rsid w:val="00692C4E"/>
    <w:rsid w:val="006936DB"/>
    <w:rsid w:val="00693801"/>
    <w:rsid w:val="006944B8"/>
    <w:rsid w:val="00694706"/>
    <w:rsid w:val="00694DF8"/>
    <w:rsid w:val="006954B8"/>
    <w:rsid w:val="006956E0"/>
    <w:rsid w:val="00695C16"/>
    <w:rsid w:val="00695D95"/>
    <w:rsid w:val="00695DDA"/>
    <w:rsid w:val="00696136"/>
    <w:rsid w:val="00696243"/>
    <w:rsid w:val="006962E6"/>
    <w:rsid w:val="00696566"/>
    <w:rsid w:val="0069657D"/>
    <w:rsid w:val="00696A8E"/>
    <w:rsid w:val="0069703E"/>
    <w:rsid w:val="00697208"/>
    <w:rsid w:val="00697A32"/>
    <w:rsid w:val="006A06C4"/>
    <w:rsid w:val="006A06E3"/>
    <w:rsid w:val="006A0B03"/>
    <w:rsid w:val="006A0ECA"/>
    <w:rsid w:val="006A11F4"/>
    <w:rsid w:val="006A14A8"/>
    <w:rsid w:val="006A182D"/>
    <w:rsid w:val="006A1ADF"/>
    <w:rsid w:val="006A23AC"/>
    <w:rsid w:val="006A2835"/>
    <w:rsid w:val="006A3A19"/>
    <w:rsid w:val="006A3B9E"/>
    <w:rsid w:val="006A3D6D"/>
    <w:rsid w:val="006A3D73"/>
    <w:rsid w:val="006A43EA"/>
    <w:rsid w:val="006A471A"/>
    <w:rsid w:val="006A4A94"/>
    <w:rsid w:val="006A5163"/>
    <w:rsid w:val="006A5290"/>
    <w:rsid w:val="006A55BF"/>
    <w:rsid w:val="006A5791"/>
    <w:rsid w:val="006A726B"/>
    <w:rsid w:val="006A777A"/>
    <w:rsid w:val="006A7AE9"/>
    <w:rsid w:val="006A7C4A"/>
    <w:rsid w:val="006A7C9D"/>
    <w:rsid w:val="006B0264"/>
    <w:rsid w:val="006B1D4D"/>
    <w:rsid w:val="006B1D76"/>
    <w:rsid w:val="006B1E59"/>
    <w:rsid w:val="006B2636"/>
    <w:rsid w:val="006B2826"/>
    <w:rsid w:val="006B2995"/>
    <w:rsid w:val="006B2F13"/>
    <w:rsid w:val="006B3B09"/>
    <w:rsid w:val="006B3EFD"/>
    <w:rsid w:val="006B40C8"/>
    <w:rsid w:val="006B472A"/>
    <w:rsid w:val="006B542B"/>
    <w:rsid w:val="006B549F"/>
    <w:rsid w:val="006B64B8"/>
    <w:rsid w:val="006B65CB"/>
    <w:rsid w:val="006B73DF"/>
    <w:rsid w:val="006B765D"/>
    <w:rsid w:val="006C015B"/>
    <w:rsid w:val="006C03BA"/>
    <w:rsid w:val="006C0867"/>
    <w:rsid w:val="006C0986"/>
    <w:rsid w:val="006C12F3"/>
    <w:rsid w:val="006C166C"/>
    <w:rsid w:val="006C1C0D"/>
    <w:rsid w:val="006C215A"/>
    <w:rsid w:val="006C24C7"/>
    <w:rsid w:val="006C24D3"/>
    <w:rsid w:val="006C273C"/>
    <w:rsid w:val="006C33BA"/>
    <w:rsid w:val="006C374A"/>
    <w:rsid w:val="006C3A0F"/>
    <w:rsid w:val="006C479E"/>
    <w:rsid w:val="006C55C8"/>
    <w:rsid w:val="006C57FE"/>
    <w:rsid w:val="006C5AB5"/>
    <w:rsid w:val="006C5B70"/>
    <w:rsid w:val="006C5B77"/>
    <w:rsid w:val="006C6E36"/>
    <w:rsid w:val="006C704F"/>
    <w:rsid w:val="006C705E"/>
    <w:rsid w:val="006C7216"/>
    <w:rsid w:val="006C7266"/>
    <w:rsid w:val="006C7309"/>
    <w:rsid w:val="006D01F3"/>
    <w:rsid w:val="006D045E"/>
    <w:rsid w:val="006D0B6D"/>
    <w:rsid w:val="006D1549"/>
    <w:rsid w:val="006D1666"/>
    <w:rsid w:val="006D1A5F"/>
    <w:rsid w:val="006D2182"/>
    <w:rsid w:val="006D3409"/>
    <w:rsid w:val="006D381C"/>
    <w:rsid w:val="006D39EA"/>
    <w:rsid w:val="006D3CE0"/>
    <w:rsid w:val="006D406A"/>
    <w:rsid w:val="006D4230"/>
    <w:rsid w:val="006D4801"/>
    <w:rsid w:val="006D487E"/>
    <w:rsid w:val="006D4A33"/>
    <w:rsid w:val="006D4D9C"/>
    <w:rsid w:val="006D53DF"/>
    <w:rsid w:val="006D54F7"/>
    <w:rsid w:val="006D5604"/>
    <w:rsid w:val="006D5A0E"/>
    <w:rsid w:val="006D5CDA"/>
    <w:rsid w:val="006D73FD"/>
    <w:rsid w:val="006D7902"/>
    <w:rsid w:val="006D7C9D"/>
    <w:rsid w:val="006D7D85"/>
    <w:rsid w:val="006E045E"/>
    <w:rsid w:val="006E05AA"/>
    <w:rsid w:val="006E09A9"/>
    <w:rsid w:val="006E09E9"/>
    <w:rsid w:val="006E0A47"/>
    <w:rsid w:val="006E0B21"/>
    <w:rsid w:val="006E0E3F"/>
    <w:rsid w:val="006E0E6E"/>
    <w:rsid w:val="006E171B"/>
    <w:rsid w:val="006E2018"/>
    <w:rsid w:val="006E2BA3"/>
    <w:rsid w:val="006E2C6D"/>
    <w:rsid w:val="006E33D2"/>
    <w:rsid w:val="006E374B"/>
    <w:rsid w:val="006E37B5"/>
    <w:rsid w:val="006E3830"/>
    <w:rsid w:val="006E3B50"/>
    <w:rsid w:val="006E44D3"/>
    <w:rsid w:val="006E4705"/>
    <w:rsid w:val="006E470D"/>
    <w:rsid w:val="006E49DF"/>
    <w:rsid w:val="006E4E81"/>
    <w:rsid w:val="006E50A1"/>
    <w:rsid w:val="006E58CF"/>
    <w:rsid w:val="006E6051"/>
    <w:rsid w:val="006E6241"/>
    <w:rsid w:val="006E645F"/>
    <w:rsid w:val="006E65F3"/>
    <w:rsid w:val="006E663A"/>
    <w:rsid w:val="006E6DB5"/>
    <w:rsid w:val="006E6DCD"/>
    <w:rsid w:val="006E6F23"/>
    <w:rsid w:val="006E6F3D"/>
    <w:rsid w:val="006E7FD7"/>
    <w:rsid w:val="006F008A"/>
    <w:rsid w:val="006F117D"/>
    <w:rsid w:val="006F1195"/>
    <w:rsid w:val="006F13F3"/>
    <w:rsid w:val="006F14F2"/>
    <w:rsid w:val="006F1DBD"/>
    <w:rsid w:val="006F1E00"/>
    <w:rsid w:val="006F2313"/>
    <w:rsid w:val="006F243A"/>
    <w:rsid w:val="006F301F"/>
    <w:rsid w:val="006F3C96"/>
    <w:rsid w:val="006F5847"/>
    <w:rsid w:val="006F5B1A"/>
    <w:rsid w:val="006F5F76"/>
    <w:rsid w:val="006F6790"/>
    <w:rsid w:val="00700821"/>
    <w:rsid w:val="007010A7"/>
    <w:rsid w:val="007010F4"/>
    <w:rsid w:val="007011D1"/>
    <w:rsid w:val="007011D8"/>
    <w:rsid w:val="00701929"/>
    <w:rsid w:val="007021B1"/>
    <w:rsid w:val="00702521"/>
    <w:rsid w:val="0070263D"/>
    <w:rsid w:val="00702723"/>
    <w:rsid w:val="0070303A"/>
    <w:rsid w:val="0070318F"/>
    <w:rsid w:val="0070328F"/>
    <w:rsid w:val="00704346"/>
    <w:rsid w:val="007043D3"/>
    <w:rsid w:val="00704464"/>
    <w:rsid w:val="00704527"/>
    <w:rsid w:val="00705182"/>
    <w:rsid w:val="0070522E"/>
    <w:rsid w:val="007057C7"/>
    <w:rsid w:val="007057D1"/>
    <w:rsid w:val="00705BD7"/>
    <w:rsid w:val="007061EC"/>
    <w:rsid w:val="00706461"/>
    <w:rsid w:val="00706717"/>
    <w:rsid w:val="007068C5"/>
    <w:rsid w:val="00706995"/>
    <w:rsid w:val="00706C3A"/>
    <w:rsid w:val="00706CFF"/>
    <w:rsid w:val="00706E1E"/>
    <w:rsid w:val="007071D4"/>
    <w:rsid w:val="007071EE"/>
    <w:rsid w:val="00707C37"/>
    <w:rsid w:val="00710164"/>
    <w:rsid w:val="00710167"/>
    <w:rsid w:val="00710595"/>
    <w:rsid w:val="00710870"/>
    <w:rsid w:val="007110B3"/>
    <w:rsid w:val="00712020"/>
    <w:rsid w:val="00712026"/>
    <w:rsid w:val="007121C0"/>
    <w:rsid w:val="00712638"/>
    <w:rsid w:val="0071276A"/>
    <w:rsid w:val="00712B22"/>
    <w:rsid w:val="00712D93"/>
    <w:rsid w:val="00712E16"/>
    <w:rsid w:val="007139BF"/>
    <w:rsid w:val="00713C11"/>
    <w:rsid w:val="00714358"/>
    <w:rsid w:val="00714A38"/>
    <w:rsid w:val="00714B10"/>
    <w:rsid w:val="00714B64"/>
    <w:rsid w:val="00714BA7"/>
    <w:rsid w:val="00714F03"/>
    <w:rsid w:val="00715C06"/>
    <w:rsid w:val="00716D4E"/>
    <w:rsid w:val="0071717E"/>
    <w:rsid w:val="00720A2C"/>
    <w:rsid w:val="00720B85"/>
    <w:rsid w:val="00720C22"/>
    <w:rsid w:val="00720C6E"/>
    <w:rsid w:val="00720E58"/>
    <w:rsid w:val="00720E79"/>
    <w:rsid w:val="00722BE6"/>
    <w:rsid w:val="00722CD9"/>
    <w:rsid w:val="00722EF9"/>
    <w:rsid w:val="007232F1"/>
    <w:rsid w:val="00723529"/>
    <w:rsid w:val="00723F60"/>
    <w:rsid w:val="00724260"/>
    <w:rsid w:val="0072454A"/>
    <w:rsid w:val="007245B1"/>
    <w:rsid w:val="00724952"/>
    <w:rsid w:val="00724CD4"/>
    <w:rsid w:val="00724E0B"/>
    <w:rsid w:val="00724F45"/>
    <w:rsid w:val="00725011"/>
    <w:rsid w:val="00725AB1"/>
    <w:rsid w:val="00725B90"/>
    <w:rsid w:val="00725D1A"/>
    <w:rsid w:val="00725DF3"/>
    <w:rsid w:val="00725F44"/>
    <w:rsid w:val="00726400"/>
    <w:rsid w:val="00726B7D"/>
    <w:rsid w:val="00727285"/>
    <w:rsid w:val="00727380"/>
    <w:rsid w:val="00727D91"/>
    <w:rsid w:val="00727E44"/>
    <w:rsid w:val="00730152"/>
    <w:rsid w:val="007301B7"/>
    <w:rsid w:val="007305F2"/>
    <w:rsid w:val="0073065B"/>
    <w:rsid w:val="0073071A"/>
    <w:rsid w:val="00730D7C"/>
    <w:rsid w:val="00730DD2"/>
    <w:rsid w:val="007310E4"/>
    <w:rsid w:val="00731129"/>
    <w:rsid w:val="00731EEC"/>
    <w:rsid w:val="00731FA6"/>
    <w:rsid w:val="007320CE"/>
    <w:rsid w:val="00732732"/>
    <w:rsid w:val="0073397C"/>
    <w:rsid w:val="00733993"/>
    <w:rsid w:val="00734051"/>
    <w:rsid w:val="00734519"/>
    <w:rsid w:val="0073458B"/>
    <w:rsid w:val="00734B84"/>
    <w:rsid w:val="00734E36"/>
    <w:rsid w:val="007350DF"/>
    <w:rsid w:val="007352C8"/>
    <w:rsid w:val="00735EBF"/>
    <w:rsid w:val="007361C8"/>
    <w:rsid w:val="00736443"/>
    <w:rsid w:val="007365ED"/>
    <w:rsid w:val="00736927"/>
    <w:rsid w:val="0073719A"/>
    <w:rsid w:val="00737A41"/>
    <w:rsid w:val="00737A4B"/>
    <w:rsid w:val="00737EAA"/>
    <w:rsid w:val="00740008"/>
    <w:rsid w:val="0074056F"/>
    <w:rsid w:val="00740F70"/>
    <w:rsid w:val="00741355"/>
    <w:rsid w:val="00741C56"/>
    <w:rsid w:val="00741C83"/>
    <w:rsid w:val="00741E9A"/>
    <w:rsid w:val="00742891"/>
    <w:rsid w:val="00742C3D"/>
    <w:rsid w:val="00742DAD"/>
    <w:rsid w:val="00743455"/>
    <w:rsid w:val="007435B8"/>
    <w:rsid w:val="0074412C"/>
    <w:rsid w:val="0074432D"/>
    <w:rsid w:val="00744413"/>
    <w:rsid w:val="007444AE"/>
    <w:rsid w:val="007447C6"/>
    <w:rsid w:val="007449FE"/>
    <w:rsid w:val="00744CEC"/>
    <w:rsid w:val="00745698"/>
    <w:rsid w:val="00745A05"/>
    <w:rsid w:val="00745F8E"/>
    <w:rsid w:val="00746564"/>
    <w:rsid w:val="00746721"/>
    <w:rsid w:val="007469D9"/>
    <w:rsid w:val="00747741"/>
    <w:rsid w:val="00747901"/>
    <w:rsid w:val="007505F4"/>
    <w:rsid w:val="00750979"/>
    <w:rsid w:val="00751313"/>
    <w:rsid w:val="007514AA"/>
    <w:rsid w:val="00751760"/>
    <w:rsid w:val="007518C9"/>
    <w:rsid w:val="00751A4A"/>
    <w:rsid w:val="00751EF1"/>
    <w:rsid w:val="0075218A"/>
    <w:rsid w:val="00752238"/>
    <w:rsid w:val="007526FB"/>
    <w:rsid w:val="00752DE0"/>
    <w:rsid w:val="00752E14"/>
    <w:rsid w:val="00753DA5"/>
    <w:rsid w:val="00754250"/>
    <w:rsid w:val="00754E53"/>
    <w:rsid w:val="0075502B"/>
    <w:rsid w:val="00755633"/>
    <w:rsid w:val="00755B6F"/>
    <w:rsid w:val="00755B8E"/>
    <w:rsid w:val="007562DF"/>
    <w:rsid w:val="00756572"/>
    <w:rsid w:val="00756A17"/>
    <w:rsid w:val="00756A1A"/>
    <w:rsid w:val="00756B41"/>
    <w:rsid w:val="00756D1B"/>
    <w:rsid w:val="007573A0"/>
    <w:rsid w:val="007576EC"/>
    <w:rsid w:val="00757957"/>
    <w:rsid w:val="00757F65"/>
    <w:rsid w:val="00760978"/>
    <w:rsid w:val="00760D42"/>
    <w:rsid w:val="007623B0"/>
    <w:rsid w:val="00762A7D"/>
    <w:rsid w:val="00763B9E"/>
    <w:rsid w:val="00764588"/>
    <w:rsid w:val="007646C1"/>
    <w:rsid w:val="007648FE"/>
    <w:rsid w:val="00764A06"/>
    <w:rsid w:val="00764B39"/>
    <w:rsid w:val="00766009"/>
    <w:rsid w:val="007664EA"/>
    <w:rsid w:val="00766512"/>
    <w:rsid w:val="007667C4"/>
    <w:rsid w:val="007670FC"/>
    <w:rsid w:val="00767156"/>
    <w:rsid w:val="00767282"/>
    <w:rsid w:val="007678B9"/>
    <w:rsid w:val="00767C68"/>
    <w:rsid w:val="00767DDD"/>
    <w:rsid w:val="00767F7F"/>
    <w:rsid w:val="007703EA"/>
    <w:rsid w:val="00770BFA"/>
    <w:rsid w:val="00770C49"/>
    <w:rsid w:val="0077130E"/>
    <w:rsid w:val="007713D7"/>
    <w:rsid w:val="00771BF6"/>
    <w:rsid w:val="0077249A"/>
    <w:rsid w:val="0077262C"/>
    <w:rsid w:val="00772A29"/>
    <w:rsid w:val="00773B3E"/>
    <w:rsid w:val="00773E65"/>
    <w:rsid w:val="007741B0"/>
    <w:rsid w:val="007745D3"/>
    <w:rsid w:val="007746DC"/>
    <w:rsid w:val="00774873"/>
    <w:rsid w:val="00774F5B"/>
    <w:rsid w:val="0077558B"/>
    <w:rsid w:val="00775601"/>
    <w:rsid w:val="007756E4"/>
    <w:rsid w:val="00775A59"/>
    <w:rsid w:val="007760C6"/>
    <w:rsid w:val="00776787"/>
    <w:rsid w:val="00776874"/>
    <w:rsid w:val="00776E40"/>
    <w:rsid w:val="0077726C"/>
    <w:rsid w:val="00777AAB"/>
    <w:rsid w:val="00780045"/>
    <w:rsid w:val="00780FF9"/>
    <w:rsid w:val="007815E8"/>
    <w:rsid w:val="0078285C"/>
    <w:rsid w:val="00782B30"/>
    <w:rsid w:val="0078328E"/>
    <w:rsid w:val="0078352E"/>
    <w:rsid w:val="00783A36"/>
    <w:rsid w:val="007841AF"/>
    <w:rsid w:val="007845D4"/>
    <w:rsid w:val="00784CFC"/>
    <w:rsid w:val="00784DF0"/>
    <w:rsid w:val="00785A38"/>
    <w:rsid w:val="00785C2A"/>
    <w:rsid w:val="0078668F"/>
    <w:rsid w:val="00786703"/>
    <w:rsid w:val="0078700E"/>
    <w:rsid w:val="00787339"/>
    <w:rsid w:val="00787818"/>
    <w:rsid w:val="00787B59"/>
    <w:rsid w:val="007900A9"/>
    <w:rsid w:val="007910C3"/>
    <w:rsid w:val="00791110"/>
    <w:rsid w:val="00791250"/>
    <w:rsid w:val="0079150D"/>
    <w:rsid w:val="00791DE1"/>
    <w:rsid w:val="00793181"/>
    <w:rsid w:val="007936BD"/>
    <w:rsid w:val="007936C1"/>
    <w:rsid w:val="00793802"/>
    <w:rsid w:val="00793D45"/>
    <w:rsid w:val="007944FD"/>
    <w:rsid w:val="00795AC1"/>
    <w:rsid w:val="00795E20"/>
    <w:rsid w:val="00796084"/>
    <w:rsid w:val="00796787"/>
    <w:rsid w:val="007975BD"/>
    <w:rsid w:val="00797B7E"/>
    <w:rsid w:val="007A05A2"/>
    <w:rsid w:val="007A0CBB"/>
    <w:rsid w:val="007A10D6"/>
    <w:rsid w:val="007A12EE"/>
    <w:rsid w:val="007A138C"/>
    <w:rsid w:val="007A1834"/>
    <w:rsid w:val="007A1856"/>
    <w:rsid w:val="007A1E52"/>
    <w:rsid w:val="007A1ECC"/>
    <w:rsid w:val="007A1EF6"/>
    <w:rsid w:val="007A2A4D"/>
    <w:rsid w:val="007A31B2"/>
    <w:rsid w:val="007A3629"/>
    <w:rsid w:val="007A385C"/>
    <w:rsid w:val="007A38F5"/>
    <w:rsid w:val="007A3D24"/>
    <w:rsid w:val="007A3DE7"/>
    <w:rsid w:val="007A3EB2"/>
    <w:rsid w:val="007A484F"/>
    <w:rsid w:val="007A4860"/>
    <w:rsid w:val="007A49F7"/>
    <w:rsid w:val="007A4CAF"/>
    <w:rsid w:val="007A4D41"/>
    <w:rsid w:val="007A4F52"/>
    <w:rsid w:val="007A4F7B"/>
    <w:rsid w:val="007A61E4"/>
    <w:rsid w:val="007A704A"/>
    <w:rsid w:val="007A7242"/>
    <w:rsid w:val="007B0C14"/>
    <w:rsid w:val="007B12B0"/>
    <w:rsid w:val="007B1392"/>
    <w:rsid w:val="007B1785"/>
    <w:rsid w:val="007B180C"/>
    <w:rsid w:val="007B215A"/>
    <w:rsid w:val="007B22DC"/>
    <w:rsid w:val="007B24F0"/>
    <w:rsid w:val="007B34DC"/>
    <w:rsid w:val="007B3A98"/>
    <w:rsid w:val="007B4008"/>
    <w:rsid w:val="007B4421"/>
    <w:rsid w:val="007B44D3"/>
    <w:rsid w:val="007B49C4"/>
    <w:rsid w:val="007B4D74"/>
    <w:rsid w:val="007B4DC6"/>
    <w:rsid w:val="007B5132"/>
    <w:rsid w:val="007B69E8"/>
    <w:rsid w:val="007B6C17"/>
    <w:rsid w:val="007B743C"/>
    <w:rsid w:val="007C0165"/>
    <w:rsid w:val="007C048B"/>
    <w:rsid w:val="007C0508"/>
    <w:rsid w:val="007C057E"/>
    <w:rsid w:val="007C0B38"/>
    <w:rsid w:val="007C1203"/>
    <w:rsid w:val="007C1541"/>
    <w:rsid w:val="007C168D"/>
    <w:rsid w:val="007C19DF"/>
    <w:rsid w:val="007C25F8"/>
    <w:rsid w:val="007C298E"/>
    <w:rsid w:val="007C347A"/>
    <w:rsid w:val="007C44DC"/>
    <w:rsid w:val="007C4545"/>
    <w:rsid w:val="007C45F7"/>
    <w:rsid w:val="007C46D1"/>
    <w:rsid w:val="007C47C2"/>
    <w:rsid w:val="007C4822"/>
    <w:rsid w:val="007C490A"/>
    <w:rsid w:val="007C4DEF"/>
    <w:rsid w:val="007C5468"/>
    <w:rsid w:val="007C55F1"/>
    <w:rsid w:val="007C58AB"/>
    <w:rsid w:val="007C6148"/>
    <w:rsid w:val="007C6900"/>
    <w:rsid w:val="007C69A9"/>
    <w:rsid w:val="007C6C60"/>
    <w:rsid w:val="007C6D07"/>
    <w:rsid w:val="007C745C"/>
    <w:rsid w:val="007C7578"/>
    <w:rsid w:val="007C7A27"/>
    <w:rsid w:val="007C7E7C"/>
    <w:rsid w:val="007C7F4C"/>
    <w:rsid w:val="007D065E"/>
    <w:rsid w:val="007D077E"/>
    <w:rsid w:val="007D0A94"/>
    <w:rsid w:val="007D0B22"/>
    <w:rsid w:val="007D0BD6"/>
    <w:rsid w:val="007D0C4D"/>
    <w:rsid w:val="007D0D5B"/>
    <w:rsid w:val="007D13BB"/>
    <w:rsid w:val="007D143D"/>
    <w:rsid w:val="007D25B9"/>
    <w:rsid w:val="007D2954"/>
    <w:rsid w:val="007D2BE8"/>
    <w:rsid w:val="007D3066"/>
    <w:rsid w:val="007D3567"/>
    <w:rsid w:val="007D3F2A"/>
    <w:rsid w:val="007D421B"/>
    <w:rsid w:val="007D4490"/>
    <w:rsid w:val="007D4579"/>
    <w:rsid w:val="007D45DD"/>
    <w:rsid w:val="007D4738"/>
    <w:rsid w:val="007D4901"/>
    <w:rsid w:val="007D51EB"/>
    <w:rsid w:val="007D58BB"/>
    <w:rsid w:val="007D6835"/>
    <w:rsid w:val="007D6875"/>
    <w:rsid w:val="007D69FE"/>
    <w:rsid w:val="007D6A93"/>
    <w:rsid w:val="007D7CDE"/>
    <w:rsid w:val="007D7DC7"/>
    <w:rsid w:val="007E01AF"/>
    <w:rsid w:val="007E0772"/>
    <w:rsid w:val="007E0D31"/>
    <w:rsid w:val="007E0E04"/>
    <w:rsid w:val="007E0ECC"/>
    <w:rsid w:val="007E0EF9"/>
    <w:rsid w:val="007E1637"/>
    <w:rsid w:val="007E17BD"/>
    <w:rsid w:val="007E1D68"/>
    <w:rsid w:val="007E21D9"/>
    <w:rsid w:val="007E2BDD"/>
    <w:rsid w:val="007E440D"/>
    <w:rsid w:val="007E45CA"/>
    <w:rsid w:val="007E48C0"/>
    <w:rsid w:val="007E5885"/>
    <w:rsid w:val="007E599B"/>
    <w:rsid w:val="007E61B7"/>
    <w:rsid w:val="007E64B5"/>
    <w:rsid w:val="007E64FF"/>
    <w:rsid w:val="007E6F62"/>
    <w:rsid w:val="007E6FEA"/>
    <w:rsid w:val="007E756C"/>
    <w:rsid w:val="007E7C7B"/>
    <w:rsid w:val="007E7E0F"/>
    <w:rsid w:val="007E7F8F"/>
    <w:rsid w:val="007F014B"/>
    <w:rsid w:val="007F015E"/>
    <w:rsid w:val="007F1160"/>
    <w:rsid w:val="007F1197"/>
    <w:rsid w:val="007F12D1"/>
    <w:rsid w:val="007F21B0"/>
    <w:rsid w:val="007F2DE9"/>
    <w:rsid w:val="007F3225"/>
    <w:rsid w:val="007F341B"/>
    <w:rsid w:val="007F3682"/>
    <w:rsid w:val="007F393B"/>
    <w:rsid w:val="007F3AA2"/>
    <w:rsid w:val="007F3B45"/>
    <w:rsid w:val="007F3E3E"/>
    <w:rsid w:val="007F4A9E"/>
    <w:rsid w:val="007F4ABC"/>
    <w:rsid w:val="007F4D45"/>
    <w:rsid w:val="007F510F"/>
    <w:rsid w:val="007F5187"/>
    <w:rsid w:val="007F545B"/>
    <w:rsid w:val="007F59AE"/>
    <w:rsid w:val="007F59B2"/>
    <w:rsid w:val="007F6607"/>
    <w:rsid w:val="007F7865"/>
    <w:rsid w:val="007F797B"/>
    <w:rsid w:val="007F7FB3"/>
    <w:rsid w:val="0080026A"/>
    <w:rsid w:val="00800340"/>
    <w:rsid w:val="00800953"/>
    <w:rsid w:val="00801255"/>
    <w:rsid w:val="0080197B"/>
    <w:rsid w:val="00801C1F"/>
    <w:rsid w:val="008021D3"/>
    <w:rsid w:val="00802849"/>
    <w:rsid w:val="00802971"/>
    <w:rsid w:val="008038E3"/>
    <w:rsid w:val="008038F6"/>
    <w:rsid w:val="00803BE9"/>
    <w:rsid w:val="00803D7F"/>
    <w:rsid w:val="00804558"/>
    <w:rsid w:val="008047AE"/>
    <w:rsid w:val="00804855"/>
    <w:rsid w:val="00804B21"/>
    <w:rsid w:val="00805483"/>
    <w:rsid w:val="0080585D"/>
    <w:rsid w:val="00806273"/>
    <w:rsid w:val="0080661F"/>
    <w:rsid w:val="00806EFD"/>
    <w:rsid w:val="00807074"/>
    <w:rsid w:val="00807E43"/>
    <w:rsid w:val="00807F69"/>
    <w:rsid w:val="00810368"/>
    <w:rsid w:val="0081054A"/>
    <w:rsid w:val="008108B5"/>
    <w:rsid w:val="00810BE7"/>
    <w:rsid w:val="00811336"/>
    <w:rsid w:val="0081165D"/>
    <w:rsid w:val="0081192F"/>
    <w:rsid w:val="00811B28"/>
    <w:rsid w:val="00812862"/>
    <w:rsid w:val="00812A7A"/>
    <w:rsid w:val="00812BB7"/>
    <w:rsid w:val="0081362B"/>
    <w:rsid w:val="0081375A"/>
    <w:rsid w:val="0081450B"/>
    <w:rsid w:val="0081467F"/>
    <w:rsid w:val="00815339"/>
    <w:rsid w:val="008154F1"/>
    <w:rsid w:val="0081591F"/>
    <w:rsid w:val="00815A37"/>
    <w:rsid w:val="00815A99"/>
    <w:rsid w:val="00815E13"/>
    <w:rsid w:val="00815E5B"/>
    <w:rsid w:val="008160D1"/>
    <w:rsid w:val="008162B3"/>
    <w:rsid w:val="0081640D"/>
    <w:rsid w:val="008167D3"/>
    <w:rsid w:val="0081687A"/>
    <w:rsid w:val="008169A1"/>
    <w:rsid w:val="00816BDC"/>
    <w:rsid w:val="00816C20"/>
    <w:rsid w:val="00816CE8"/>
    <w:rsid w:val="00820160"/>
    <w:rsid w:val="0082022B"/>
    <w:rsid w:val="00820BBC"/>
    <w:rsid w:val="00820E0E"/>
    <w:rsid w:val="00820E9A"/>
    <w:rsid w:val="00821237"/>
    <w:rsid w:val="008216DA"/>
    <w:rsid w:val="008217C3"/>
    <w:rsid w:val="00821868"/>
    <w:rsid w:val="008219B8"/>
    <w:rsid w:val="00821ECA"/>
    <w:rsid w:val="00822414"/>
    <w:rsid w:val="00822A29"/>
    <w:rsid w:val="00822CB9"/>
    <w:rsid w:val="00822E2C"/>
    <w:rsid w:val="00822E2D"/>
    <w:rsid w:val="00823116"/>
    <w:rsid w:val="0082350E"/>
    <w:rsid w:val="00823658"/>
    <w:rsid w:val="008239BF"/>
    <w:rsid w:val="00823B36"/>
    <w:rsid w:val="0082488C"/>
    <w:rsid w:val="008251E7"/>
    <w:rsid w:val="00825336"/>
    <w:rsid w:val="00825417"/>
    <w:rsid w:val="008262BC"/>
    <w:rsid w:val="00826427"/>
    <w:rsid w:val="00826565"/>
    <w:rsid w:val="008266A2"/>
    <w:rsid w:val="008267AE"/>
    <w:rsid w:val="008277F4"/>
    <w:rsid w:val="00827A74"/>
    <w:rsid w:val="0083078C"/>
    <w:rsid w:val="00830B33"/>
    <w:rsid w:val="0083118A"/>
    <w:rsid w:val="00831284"/>
    <w:rsid w:val="00831784"/>
    <w:rsid w:val="00832727"/>
    <w:rsid w:val="00832780"/>
    <w:rsid w:val="00833196"/>
    <w:rsid w:val="00833718"/>
    <w:rsid w:val="008337C1"/>
    <w:rsid w:val="00834838"/>
    <w:rsid w:val="00834F23"/>
    <w:rsid w:val="008353B6"/>
    <w:rsid w:val="00835B40"/>
    <w:rsid w:val="00836A67"/>
    <w:rsid w:val="00836CEB"/>
    <w:rsid w:val="00837498"/>
    <w:rsid w:val="00840AB4"/>
    <w:rsid w:val="00840EAF"/>
    <w:rsid w:val="008416BF"/>
    <w:rsid w:val="008416FD"/>
    <w:rsid w:val="0084175C"/>
    <w:rsid w:val="0084188F"/>
    <w:rsid w:val="00842659"/>
    <w:rsid w:val="0084284A"/>
    <w:rsid w:val="0084293A"/>
    <w:rsid w:val="0084354C"/>
    <w:rsid w:val="0084375D"/>
    <w:rsid w:val="0084416F"/>
    <w:rsid w:val="00844462"/>
    <w:rsid w:val="008449FE"/>
    <w:rsid w:val="00845515"/>
    <w:rsid w:val="00845520"/>
    <w:rsid w:val="00845FC4"/>
    <w:rsid w:val="008461B0"/>
    <w:rsid w:val="008469E9"/>
    <w:rsid w:val="00846AD6"/>
    <w:rsid w:val="00846C9F"/>
    <w:rsid w:val="00846D16"/>
    <w:rsid w:val="00846F4C"/>
    <w:rsid w:val="008474BA"/>
    <w:rsid w:val="008475ED"/>
    <w:rsid w:val="00847B2C"/>
    <w:rsid w:val="0085044B"/>
    <w:rsid w:val="00850EE1"/>
    <w:rsid w:val="0085165B"/>
    <w:rsid w:val="00851720"/>
    <w:rsid w:val="0085179C"/>
    <w:rsid w:val="008518FA"/>
    <w:rsid w:val="00851903"/>
    <w:rsid w:val="00851B3F"/>
    <w:rsid w:val="00851DCB"/>
    <w:rsid w:val="00851E0C"/>
    <w:rsid w:val="00851F5F"/>
    <w:rsid w:val="00852142"/>
    <w:rsid w:val="008528CF"/>
    <w:rsid w:val="00853510"/>
    <w:rsid w:val="00853CEC"/>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76F"/>
    <w:rsid w:val="00856823"/>
    <w:rsid w:val="008568BB"/>
    <w:rsid w:val="00856E96"/>
    <w:rsid w:val="00857822"/>
    <w:rsid w:val="00857C93"/>
    <w:rsid w:val="0086028E"/>
    <w:rsid w:val="0086076D"/>
    <w:rsid w:val="00860D51"/>
    <w:rsid w:val="008611C1"/>
    <w:rsid w:val="0086151A"/>
    <w:rsid w:val="0086173C"/>
    <w:rsid w:val="00861A0D"/>
    <w:rsid w:val="00861DA4"/>
    <w:rsid w:val="00862330"/>
    <w:rsid w:val="0086264B"/>
    <w:rsid w:val="008626E9"/>
    <w:rsid w:val="008626EB"/>
    <w:rsid w:val="00862EFD"/>
    <w:rsid w:val="00863673"/>
    <w:rsid w:val="008638FB"/>
    <w:rsid w:val="00863D6F"/>
    <w:rsid w:val="00864017"/>
    <w:rsid w:val="0086444C"/>
    <w:rsid w:val="008644B1"/>
    <w:rsid w:val="008645DD"/>
    <w:rsid w:val="008646B9"/>
    <w:rsid w:val="00864768"/>
    <w:rsid w:val="00864CDF"/>
    <w:rsid w:val="00864D0A"/>
    <w:rsid w:val="008658AB"/>
    <w:rsid w:val="00865B18"/>
    <w:rsid w:val="00866073"/>
    <w:rsid w:val="0086672E"/>
    <w:rsid w:val="00866CF2"/>
    <w:rsid w:val="00866E1E"/>
    <w:rsid w:val="008675EC"/>
    <w:rsid w:val="008679CD"/>
    <w:rsid w:val="008679CE"/>
    <w:rsid w:val="00867DA7"/>
    <w:rsid w:val="008700A1"/>
    <w:rsid w:val="008705A8"/>
    <w:rsid w:val="00870828"/>
    <w:rsid w:val="00870A16"/>
    <w:rsid w:val="008718FC"/>
    <w:rsid w:val="00871CC2"/>
    <w:rsid w:val="00871F4F"/>
    <w:rsid w:val="0087200D"/>
    <w:rsid w:val="00872131"/>
    <w:rsid w:val="008723B8"/>
    <w:rsid w:val="008725F5"/>
    <w:rsid w:val="00873147"/>
    <w:rsid w:val="00873538"/>
    <w:rsid w:val="00873664"/>
    <w:rsid w:val="00873C1E"/>
    <w:rsid w:val="00873CD6"/>
    <w:rsid w:val="00873DE6"/>
    <w:rsid w:val="00873FBF"/>
    <w:rsid w:val="0087416C"/>
    <w:rsid w:val="00874178"/>
    <w:rsid w:val="00874272"/>
    <w:rsid w:val="008743DF"/>
    <w:rsid w:val="00874C66"/>
    <w:rsid w:val="00874F67"/>
    <w:rsid w:val="00875F4F"/>
    <w:rsid w:val="008762D8"/>
    <w:rsid w:val="00876DC6"/>
    <w:rsid w:val="008772D9"/>
    <w:rsid w:val="00877B29"/>
    <w:rsid w:val="008808B9"/>
    <w:rsid w:val="00880929"/>
    <w:rsid w:val="00880B30"/>
    <w:rsid w:val="00880F1D"/>
    <w:rsid w:val="0088172A"/>
    <w:rsid w:val="00881F90"/>
    <w:rsid w:val="0088360D"/>
    <w:rsid w:val="008838C9"/>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03B5"/>
    <w:rsid w:val="0089040D"/>
    <w:rsid w:val="008910F8"/>
    <w:rsid w:val="0089160E"/>
    <w:rsid w:val="00891E5D"/>
    <w:rsid w:val="008921B1"/>
    <w:rsid w:val="00892687"/>
    <w:rsid w:val="008928B8"/>
    <w:rsid w:val="00892F47"/>
    <w:rsid w:val="00893386"/>
    <w:rsid w:val="0089363C"/>
    <w:rsid w:val="00893657"/>
    <w:rsid w:val="00893671"/>
    <w:rsid w:val="00893FED"/>
    <w:rsid w:val="008940E3"/>
    <w:rsid w:val="008941FB"/>
    <w:rsid w:val="00894565"/>
    <w:rsid w:val="008950D6"/>
    <w:rsid w:val="0089558F"/>
    <w:rsid w:val="00895B46"/>
    <w:rsid w:val="00896474"/>
    <w:rsid w:val="008967B4"/>
    <w:rsid w:val="00896C41"/>
    <w:rsid w:val="00896DBC"/>
    <w:rsid w:val="00897B59"/>
    <w:rsid w:val="00897C6C"/>
    <w:rsid w:val="00897D1A"/>
    <w:rsid w:val="008A00F6"/>
    <w:rsid w:val="008A071F"/>
    <w:rsid w:val="008A0905"/>
    <w:rsid w:val="008A0B02"/>
    <w:rsid w:val="008A0E0D"/>
    <w:rsid w:val="008A1558"/>
    <w:rsid w:val="008A155C"/>
    <w:rsid w:val="008A180E"/>
    <w:rsid w:val="008A197C"/>
    <w:rsid w:val="008A2545"/>
    <w:rsid w:val="008A2636"/>
    <w:rsid w:val="008A35DB"/>
    <w:rsid w:val="008A3AF9"/>
    <w:rsid w:val="008A3FBE"/>
    <w:rsid w:val="008A4013"/>
    <w:rsid w:val="008A4406"/>
    <w:rsid w:val="008A48D7"/>
    <w:rsid w:val="008A4C9C"/>
    <w:rsid w:val="008A55F0"/>
    <w:rsid w:val="008A5B6C"/>
    <w:rsid w:val="008A5DBC"/>
    <w:rsid w:val="008A6041"/>
    <w:rsid w:val="008A60F8"/>
    <w:rsid w:val="008A69FE"/>
    <w:rsid w:val="008A6EC7"/>
    <w:rsid w:val="008A6F36"/>
    <w:rsid w:val="008A7286"/>
    <w:rsid w:val="008A7872"/>
    <w:rsid w:val="008A7B50"/>
    <w:rsid w:val="008B052B"/>
    <w:rsid w:val="008B05A9"/>
    <w:rsid w:val="008B0641"/>
    <w:rsid w:val="008B0EB7"/>
    <w:rsid w:val="008B1237"/>
    <w:rsid w:val="008B138E"/>
    <w:rsid w:val="008B1C78"/>
    <w:rsid w:val="008B1F87"/>
    <w:rsid w:val="008B241C"/>
    <w:rsid w:val="008B2646"/>
    <w:rsid w:val="008B28BD"/>
    <w:rsid w:val="008B2E96"/>
    <w:rsid w:val="008B2F53"/>
    <w:rsid w:val="008B3006"/>
    <w:rsid w:val="008B3139"/>
    <w:rsid w:val="008B3B50"/>
    <w:rsid w:val="008B3D47"/>
    <w:rsid w:val="008B3DEB"/>
    <w:rsid w:val="008B44CB"/>
    <w:rsid w:val="008B46D2"/>
    <w:rsid w:val="008B485E"/>
    <w:rsid w:val="008B4B23"/>
    <w:rsid w:val="008B4EE6"/>
    <w:rsid w:val="008B4F2D"/>
    <w:rsid w:val="008B5253"/>
    <w:rsid w:val="008B538C"/>
    <w:rsid w:val="008B53D8"/>
    <w:rsid w:val="008B62C5"/>
    <w:rsid w:val="008B63BE"/>
    <w:rsid w:val="008B640E"/>
    <w:rsid w:val="008B6505"/>
    <w:rsid w:val="008B688D"/>
    <w:rsid w:val="008B70EE"/>
    <w:rsid w:val="008B715C"/>
    <w:rsid w:val="008B75B8"/>
    <w:rsid w:val="008C0612"/>
    <w:rsid w:val="008C09F6"/>
    <w:rsid w:val="008C0EAD"/>
    <w:rsid w:val="008C1442"/>
    <w:rsid w:val="008C14C5"/>
    <w:rsid w:val="008C1693"/>
    <w:rsid w:val="008C19D9"/>
    <w:rsid w:val="008C1A5E"/>
    <w:rsid w:val="008C1A81"/>
    <w:rsid w:val="008C1DA5"/>
    <w:rsid w:val="008C29FE"/>
    <w:rsid w:val="008C32CA"/>
    <w:rsid w:val="008C3967"/>
    <w:rsid w:val="008C431E"/>
    <w:rsid w:val="008C4CA9"/>
    <w:rsid w:val="008C534D"/>
    <w:rsid w:val="008C54BD"/>
    <w:rsid w:val="008C54C4"/>
    <w:rsid w:val="008C58B5"/>
    <w:rsid w:val="008C5B5E"/>
    <w:rsid w:val="008C5B72"/>
    <w:rsid w:val="008C5D1F"/>
    <w:rsid w:val="008C5EDE"/>
    <w:rsid w:val="008C6056"/>
    <w:rsid w:val="008C6628"/>
    <w:rsid w:val="008C69C9"/>
    <w:rsid w:val="008C6D63"/>
    <w:rsid w:val="008C6E38"/>
    <w:rsid w:val="008C6F75"/>
    <w:rsid w:val="008C7C18"/>
    <w:rsid w:val="008C7CC4"/>
    <w:rsid w:val="008D047D"/>
    <w:rsid w:val="008D0B4C"/>
    <w:rsid w:val="008D0E0B"/>
    <w:rsid w:val="008D0FC3"/>
    <w:rsid w:val="008D14C4"/>
    <w:rsid w:val="008D1964"/>
    <w:rsid w:val="008D1F1C"/>
    <w:rsid w:val="008D221A"/>
    <w:rsid w:val="008D24D6"/>
    <w:rsid w:val="008D24E1"/>
    <w:rsid w:val="008D3E6A"/>
    <w:rsid w:val="008D4520"/>
    <w:rsid w:val="008D53E2"/>
    <w:rsid w:val="008D5908"/>
    <w:rsid w:val="008D5AF1"/>
    <w:rsid w:val="008D61B5"/>
    <w:rsid w:val="008D65CE"/>
    <w:rsid w:val="008D6A6E"/>
    <w:rsid w:val="008D7575"/>
    <w:rsid w:val="008D781F"/>
    <w:rsid w:val="008D7DBE"/>
    <w:rsid w:val="008E02B7"/>
    <w:rsid w:val="008E0AA6"/>
    <w:rsid w:val="008E20BE"/>
    <w:rsid w:val="008E241B"/>
    <w:rsid w:val="008E264E"/>
    <w:rsid w:val="008E27E9"/>
    <w:rsid w:val="008E2905"/>
    <w:rsid w:val="008E2B7E"/>
    <w:rsid w:val="008E3096"/>
    <w:rsid w:val="008E330C"/>
    <w:rsid w:val="008E332F"/>
    <w:rsid w:val="008E36A1"/>
    <w:rsid w:val="008E3E27"/>
    <w:rsid w:val="008E3F30"/>
    <w:rsid w:val="008E4114"/>
    <w:rsid w:val="008E45EA"/>
    <w:rsid w:val="008E4A1A"/>
    <w:rsid w:val="008E5528"/>
    <w:rsid w:val="008E5E01"/>
    <w:rsid w:val="008E639D"/>
    <w:rsid w:val="008E69A3"/>
    <w:rsid w:val="008E7CC9"/>
    <w:rsid w:val="008F02A1"/>
    <w:rsid w:val="008F0E69"/>
    <w:rsid w:val="008F12FF"/>
    <w:rsid w:val="008F2616"/>
    <w:rsid w:val="008F2E5D"/>
    <w:rsid w:val="008F33EA"/>
    <w:rsid w:val="008F3D3E"/>
    <w:rsid w:val="008F3F31"/>
    <w:rsid w:val="008F4036"/>
    <w:rsid w:val="008F464C"/>
    <w:rsid w:val="008F4655"/>
    <w:rsid w:val="008F4779"/>
    <w:rsid w:val="008F4BD1"/>
    <w:rsid w:val="008F542B"/>
    <w:rsid w:val="008F5645"/>
    <w:rsid w:val="008F5670"/>
    <w:rsid w:val="008F5924"/>
    <w:rsid w:val="008F599F"/>
    <w:rsid w:val="008F6004"/>
    <w:rsid w:val="008F63DF"/>
    <w:rsid w:val="008F64E5"/>
    <w:rsid w:val="008F677E"/>
    <w:rsid w:val="008F72B1"/>
    <w:rsid w:val="008F7382"/>
    <w:rsid w:val="008F7C28"/>
    <w:rsid w:val="00900222"/>
    <w:rsid w:val="009002A0"/>
    <w:rsid w:val="0090034D"/>
    <w:rsid w:val="009006EA"/>
    <w:rsid w:val="00900EC7"/>
    <w:rsid w:val="00900FFC"/>
    <w:rsid w:val="009011F9"/>
    <w:rsid w:val="00901244"/>
    <w:rsid w:val="00901366"/>
    <w:rsid w:val="00901979"/>
    <w:rsid w:val="00901C1C"/>
    <w:rsid w:val="00902357"/>
    <w:rsid w:val="0090242A"/>
    <w:rsid w:val="00902C85"/>
    <w:rsid w:val="009030F7"/>
    <w:rsid w:val="009034D9"/>
    <w:rsid w:val="00904659"/>
    <w:rsid w:val="009046C9"/>
    <w:rsid w:val="009046F1"/>
    <w:rsid w:val="00904883"/>
    <w:rsid w:val="00904B0A"/>
    <w:rsid w:val="00904F84"/>
    <w:rsid w:val="009055DD"/>
    <w:rsid w:val="00906168"/>
    <w:rsid w:val="0090616A"/>
    <w:rsid w:val="00906527"/>
    <w:rsid w:val="00906BD9"/>
    <w:rsid w:val="00906EA0"/>
    <w:rsid w:val="00907F4C"/>
    <w:rsid w:val="0091006A"/>
    <w:rsid w:val="00910B57"/>
    <w:rsid w:val="009113D5"/>
    <w:rsid w:val="009113DD"/>
    <w:rsid w:val="0091148A"/>
    <w:rsid w:val="009116EC"/>
    <w:rsid w:val="009117D6"/>
    <w:rsid w:val="009118F9"/>
    <w:rsid w:val="00912347"/>
    <w:rsid w:val="0091268D"/>
    <w:rsid w:val="009129C1"/>
    <w:rsid w:val="00913378"/>
    <w:rsid w:val="00913B74"/>
    <w:rsid w:val="00913EBB"/>
    <w:rsid w:val="00913F9D"/>
    <w:rsid w:val="0091401E"/>
    <w:rsid w:val="009141BB"/>
    <w:rsid w:val="00914B55"/>
    <w:rsid w:val="00914DC4"/>
    <w:rsid w:val="00915329"/>
    <w:rsid w:val="0091588C"/>
    <w:rsid w:val="00915DB5"/>
    <w:rsid w:val="00915DF4"/>
    <w:rsid w:val="00916068"/>
    <w:rsid w:val="00916BF5"/>
    <w:rsid w:val="00916CCB"/>
    <w:rsid w:val="00917DB8"/>
    <w:rsid w:val="00920C09"/>
    <w:rsid w:val="00920EC8"/>
    <w:rsid w:val="00921102"/>
    <w:rsid w:val="00921305"/>
    <w:rsid w:val="00921783"/>
    <w:rsid w:val="009217D9"/>
    <w:rsid w:val="00921AC8"/>
    <w:rsid w:val="0092206F"/>
    <w:rsid w:val="00922482"/>
    <w:rsid w:val="00922A2B"/>
    <w:rsid w:val="00922B25"/>
    <w:rsid w:val="00922C7E"/>
    <w:rsid w:val="00923710"/>
    <w:rsid w:val="00923F56"/>
    <w:rsid w:val="00924A6C"/>
    <w:rsid w:val="00924ED4"/>
    <w:rsid w:val="00924F63"/>
    <w:rsid w:val="00925C41"/>
    <w:rsid w:val="0092623B"/>
    <w:rsid w:val="00926C7F"/>
    <w:rsid w:val="009271AB"/>
    <w:rsid w:val="00927281"/>
    <w:rsid w:val="009273B8"/>
    <w:rsid w:val="00927A20"/>
    <w:rsid w:val="00930043"/>
    <w:rsid w:val="00930298"/>
    <w:rsid w:val="009302A6"/>
    <w:rsid w:val="00931281"/>
    <w:rsid w:val="00931325"/>
    <w:rsid w:val="009315F7"/>
    <w:rsid w:val="009319DC"/>
    <w:rsid w:val="00931AAD"/>
    <w:rsid w:val="00931E6D"/>
    <w:rsid w:val="00932D04"/>
    <w:rsid w:val="00932E9E"/>
    <w:rsid w:val="00933B8A"/>
    <w:rsid w:val="00934141"/>
    <w:rsid w:val="009341AA"/>
    <w:rsid w:val="0093429A"/>
    <w:rsid w:val="0093485F"/>
    <w:rsid w:val="009352D3"/>
    <w:rsid w:val="009355BB"/>
    <w:rsid w:val="00935789"/>
    <w:rsid w:val="009359C5"/>
    <w:rsid w:val="00935CFA"/>
    <w:rsid w:val="00936013"/>
    <w:rsid w:val="009361E8"/>
    <w:rsid w:val="00936247"/>
    <w:rsid w:val="00936501"/>
    <w:rsid w:val="009366AD"/>
    <w:rsid w:val="00936E7B"/>
    <w:rsid w:val="0093724D"/>
    <w:rsid w:val="009377A1"/>
    <w:rsid w:val="00940850"/>
    <w:rsid w:val="00940B1D"/>
    <w:rsid w:val="0094243B"/>
    <w:rsid w:val="009425EB"/>
    <w:rsid w:val="00942673"/>
    <w:rsid w:val="009428A4"/>
    <w:rsid w:val="00942B71"/>
    <w:rsid w:val="00942D13"/>
    <w:rsid w:val="00943157"/>
    <w:rsid w:val="0094368C"/>
    <w:rsid w:val="00943893"/>
    <w:rsid w:val="00944202"/>
    <w:rsid w:val="00944312"/>
    <w:rsid w:val="009443DC"/>
    <w:rsid w:val="00944AE2"/>
    <w:rsid w:val="00944C6C"/>
    <w:rsid w:val="0094526B"/>
    <w:rsid w:val="009456EB"/>
    <w:rsid w:val="00945E7E"/>
    <w:rsid w:val="00945E8F"/>
    <w:rsid w:val="009463FD"/>
    <w:rsid w:val="009467FD"/>
    <w:rsid w:val="00946B75"/>
    <w:rsid w:val="00946D2E"/>
    <w:rsid w:val="00946E64"/>
    <w:rsid w:val="009472F6"/>
    <w:rsid w:val="0094783F"/>
    <w:rsid w:val="00947C82"/>
    <w:rsid w:val="00950B18"/>
    <w:rsid w:val="00950C55"/>
    <w:rsid w:val="00950CB3"/>
    <w:rsid w:val="00952224"/>
    <w:rsid w:val="0095267E"/>
    <w:rsid w:val="00952EBB"/>
    <w:rsid w:val="00952F24"/>
    <w:rsid w:val="00953211"/>
    <w:rsid w:val="009533B7"/>
    <w:rsid w:val="0095370E"/>
    <w:rsid w:val="00953B5D"/>
    <w:rsid w:val="00953D3D"/>
    <w:rsid w:val="00953F68"/>
    <w:rsid w:val="009543D8"/>
    <w:rsid w:val="0095443C"/>
    <w:rsid w:val="009545D6"/>
    <w:rsid w:val="00954F67"/>
    <w:rsid w:val="00955294"/>
    <w:rsid w:val="00955AA9"/>
    <w:rsid w:val="00955AB2"/>
    <w:rsid w:val="00955E60"/>
    <w:rsid w:val="00955EC8"/>
    <w:rsid w:val="00956051"/>
    <w:rsid w:val="0095699A"/>
    <w:rsid w:val="00956B34"/>
    <w:rsid w:val="0095702D"/>
    <w:rsid w:val="009571A6"/>
    <w:rsid w:val="0095752A"/>
    <w:rsid w:val="009577C1"/>
    <w:rsid w:val="00957A3B"/>
    <w:rsid w:val="009602BA"/>
    <w:rsid w:val="0096129F"/>
    <w:rsid w:val="009615D7"/>
    <w:rsid w:val="009620CC"/>
    <w:rsid w:val="0096212C"/>
    <w:rsid w:val="00962D17"/>
    <w:rsid w:val="009633C2"/>
    <w:rsid w:val="00963947"/>
    <w:rsid w:val="00963A13"/>
    <w:rsid w:val="00963D17"/>
    <w:rsid w:val="00963D45"/>
    <w:rsid w:val="00963FEC"/>
    <w:rsid w:val="009640B5"/>
    <w:rsid w:val="00964459"/>
    <w:rsid w:val="009657BA"/>
    <w:rsid w:val="009657D5"/>
    <w:rsid w:val="00965F9F"/>
    <w:rsid w:val="00965FB2"/>
    <w:rsid w:val="00966141"/>
    <w:rsid w:val="00966179"/>
    <w:rsid w:val="009662EC"/>
    <w:rsid w:val="00966436"/>
    <w:rsid w:val="009665DE"/>
    <w:rsid w:val="00966611"/>
    <w:rsid w:val="009669CC"/>
    <w:rsid w:val="00967655"/>
    <w:rsid w:val="009678F5"/>
    <w:rsid w:val="00970F12"/>
    <w:rsid w:val="009710BF"/>
    <w:rsid w:val="009711A5"/>
    <w:rsid w:val="00971874"/>
    <w:rsid w:val="00971B65"/>
    <w:rsid w:val="00971F83"/>
    <w:rsid w:val="00972061"/>
    <w:rsid w:val="0097245C"/>
    <w:rsid w:val="009725FE"/>
    <w:rsid w:val="0097282B"/>
    <w:rsid w:val="00972BE5"/>
    <w:rsid w:val="00972DAC"/>
    <w:rsid w:val="009730AD"/>
    <w:rsid w:val="009738A3"/>
    <w:rsid w:val="00973A35"/>
    <w:rsid w:val="009740EA"/>
    <w:rsid w:val="00974690"/>
    <w:rsid w:val="00974A1E"/>
    <w:rsid w:val="00974B8A"/>
    <w:rsid w:val="00974B9A"/>
    <w:rsid w:val="0097559A"/>
    <w:rsid w:val="0097577F"/>
    <w:rsid w:val="00975D48"/>
    <w:rsid w:val="00975E49"/>
    <w:rsid w:val="00976546"/>
    <w:rsid w:val="00976CB4"/>
    <w:rsid w:val="00976FCF"/>
    <w:rsid w:val="00977202"/>
    <w:rsid w:val="00977480"/>
    <w:rsid w:val="0097758E"/>
    <w:rsid w:val="00977AEA"/>
    <w:rsid w:val="00977BEF"/>
    <w:rsid w:val="009808CF"/>
    <w:rsid w:val="00980AD0"/>
    <w:rsid w:val="00980BAC"/>
    <w:rsid w:val="00980DF0"/>
    <w:rsid w:val="00980F3F"/>
    <w:rsid w:val="00981289"/>
    <w:rsid w:val="00981D1C"/>
    <w:rsid w:val="0098208F"/>
    <w:rsid w:val="00982214"/>
    <w:rsid w:val="009823D4"/>
    <w:rsid w:val="00982474"/>
    <w:rsid w:val="00982628"/>
    <w:rsid w:val="00983285"/>
    <w:rsid w:val="00983FBC"/>
    <w:rsid w:val="00984672"/>
    <w:rsid w:val="009849BF"/>
    <w:rsid w:val="00984F97"/>
    <w:rsid w:val="0098569D"/>
    <w:rsid w:val="00985A09"/>
    <w:rsid w:val="00985C2E"/>
    <w:rsid w:val="00986277"/>
    <w:rsid w:val="0098638C"/>
    <w:rsid w:val="009866A3"/>
    <w:rsid w:val="0098693D"/>
    <w:rsid w:val="009873C1"/>
    <w:rsid w:val="00987B16"/>
    <w:rsid w:val="00987ECB"/>
    <w:rsid w:val="00990343"/>
    <w:rsid w:val="009905E1"/>
    <w:rsid w:val="0099064C"/>
    <w:rsid w:val="0099078A"/>
    <w:rsid w:val="0099097F"/>
    <w:rsid w:val="00992097"/>
    <w:rsid w:val="009923A9"/>
    <w:rsid w:val="00992869"/>
    <w:rsid w:val="00992914"/>
    <w:rsid w:val="00992C47"/>
    <w:rsid w:val="00993776"/>
    <w:rsid w:val="00993832"/>
    <w:rsid w:val="009939AF"/>
    <w:rsid w:val="00993ED8"/>
    <w:rsid w:val="00993F15"/>
    <w:rsid w:val="009944B9"/>
    <w:rsid w:val="009946FB"/>
    <w:rsid w:val="009947D5"/>
    <w:rsid w:val="00994B69"/>
    <w:rsid w:val="00994E90"/>
    <w:rsid w:val="0099551B"/>
    <w:rsid w:val="009955E2"/>
    <w:rsid w:val="00995629"/>
    <w:rsid w:val="009959A5"/>
    <w:rsid w:val="00995B68"/>
    <w:rsid w:val="00995C16"/>
    <w:rsid w:val="00995C24"/>
    <w:rsid w:val="0099625A"/>
    <w:rsid w:val="009965BC"/>
    <w:rsid w:val="0099662E"/>
    <w:rsid w:val="00997258"/>
    <w:rsid w:val="009972CB"/>
    <w:rsid w:val="00997C19"/>
    <w:rsid w:val="009A0094"/>
    <w:rsid w:val="009A0415"/>
    <w:rsid w:val="009A04CD"/>
    <w:rsid w:val="009A177E"/>
    <w:rsid w:val="009A1AE9"/>
    <w:rsid w:val="009A1D07"/>
    <w:rsid w:val="009A22E6"/>
    <w:rsid w:val="009A2486"/>
    <w:rsid w:val="009A2690"/>
    <w:rsid w:val="009A29C9"/>
    <w:rsid w:val="009A2EC0"/>
    <w:rsid w:val="009A3307"/>
    <w:rsid w:val="009A3520"/>
    <w:rsid w:val="009A3547"/>
    <w:rsid w:val="009A395E"/>
    <w:rsid w:val="009A39FF"/>
    <w:rsid w:val="009A3CB5"/>
    <w:rsid w:val="009A3D41"/>
    <w:rsid w:val="009A3EAF"/>
    <w:rsid w:val="009A3F33"/>
    <w:rsid w:val="009A5501"/>
    <w:rsid w:val="009A5AE0"/>
    <w:rsid w:val="009A6621"/>
    <w:rsid w:val="009A6AEA"/>
    <w:rsid w:val="009A6CC5"/>
    <w:rsid w:val="009A7150"/>
    <w:rsid w:val="009A7661"/>
    <w:rsid w:val="009A7BC4"/>
    <w:rsid w:val="009B057D"/>
    <w:rsid w:val="009B05C1"/>
    <w:rsid w:val="009B08B3"/>
    <w:rsid w:val="009B0EA9"/>
    <w:rsid w:val="009B1B7C"/>
    <w:rsid w:val="009B1F3A"/>
    <w:rsid w:val="009B225F"/>
    <w:rsid w:val="009B2766"/>
    <w:rsid w:val="009B290B"/>
    <w:rsid w:val="009B32F0"/>
    <w:rsid w:val="009B3DE0"/>
    <w:rsid w:val="009B3EB4"/>
    <w:rsid w:val="009B3F21"/>
    <w:rsid w:val="009B42BE"/>
    <w:rsid w:val="009B4817"/>
    <w:rsid w:val="009B543C"/>
    <w:rsid w:val="009B5973"/>
    <w:rsid w:val="009B5B48"/>
    <w:rsid w:val="009B62E6"/>
    <w:rsid w:val="009B67C4"/>
    <w:rsid w:val="009B6A3F"/>
    <w:rsid w:val="009B6BBB"/>
    <w:rsid w:val="009B6C5A"/>
    <w:rsid w:val="009B71E1"/>
    <w:rsid w:val="009C00F4"/>
    <w:rsid w:val="009C0448"/>
    <w:rsid w:val="009C0615"/>
    <w:rsid w:val="009C090A"/>
    <w:rsid w:val="009C0CF8"/>
    <w:rsid w:val="009C125A"/>
    <w:rsid w:val="009C1D57"/>
    <w:rsid w:val="009C1EB2"/>
    <w:rsid w:val="009C2675"/>
    <w:rsid w:val="009C2839"/>
    <w:rsid w:val="009C2DC4"/>
    <w:rsid w:val="009C3042"/>
    <w:rsid w:val="009C386A"/>
    <w:rsid w:val="009C3B12"/>
    <w:rsid w:val="009C3E9C"/>
    <w:rsid w:val="009C44D3"/>
    <w:rsid w:val="009C4A32"/>
    <w:rsid w:val="009C4C9A"/>
    <w:rsid w:val="009C5A10"/>
    <w:rsid w:val="009C63AB"/>
    <w:rsid w:val="009C69D0"/>
    <w:rsid w:val="009C69F4"/>
    <w:rsid w:val="009C6D92"/>
    <w:rsid w:val="009C7163"/>
    <w:rsid w:val="009C76AC"/>
    <w:rsid w:val="009C77A3"/>
    <w:rsid w:val="009C7DB8"/>
    <w:rsid w:val="009C7F7D"/>
    <w:rsid w:val="009C7FAA"/>
    <w:rsid w:val="009D1082"/>
    <w:rsid w:val="009D1317"/>
    <w:rsid w:val="009D1C00"/>
    <w:rsid w:val="009D1D1E"/>
    <w:rsid w:val="009D2066"/>
    <w:rsid w:val="009D20AC"/>
    <w:rsid w:val="009D20C9"/>
    <w:rsid w:val="009D21C8"/>
    <w:rsid w:val="009D26D8"/>
    <w:rsid w:val="009D30F9"/>
    <w:rsid w:val="009D3192"/>
    <w:rsid w:val="009D31C0"/>
    <w:rsid w:val="009D321F"/>
    <w:rsid w:val="009D322C"/>
    <w:rsid w:val="009D334F"/>
    <w:rsid w:val="009D347E"/>
    <w:rsid w:val="009D34BA"/>
    <w:rsid w:val="009D372A"/>
    <w:rsid w:val="009D3A26"/>
    <w:rsid w:val="009D3BAC"/>
    <w:rsid w:val="009D3CC2"/>
    <w:rsid w:val="009D3EDD"/>
    <w:rsid w:val="009D48BA"/>
    <w:rsid w:val="009D4B7E"/>
    <w:rsid w:val="009D4C7B"/>
    <w:rsid w:val="009D4D48"/>
    <w:rsid w:val="009D4DC6"/>
    <w:rsid w:val="009D5106"/>
    <w:rsid w:val="009D5570"/>
    <w:rsid w:val="009D58F9"/>
    <w:rsid w:val="009D66B9"/>
    <w:rsid w:val="009D6B77"/>
    <w:rsid w:val="009D6CE1"/>
    <w:rsid w:val="009D7AEB"/>
    <w:rsid w:val="009D7BC8"/>
    <w:rsid w:val="009E14B2"/>
    <w:rsid w:val="009E1D15"/>
    <w:rsid w:val="009E1DFA"/>
    <w:rsid w:val="009E23ED"/>
    <w:rsid w:val="009E26BC"/>
    <w:rsid w:val="009E2BC4"/>
    <w:rsid w:val="009E2FC7"/>
    <w:rsid w:val="009E322C"/>
    <w:rsid w:val="009E3352"/>
    <w:rsid w:val="009E3479"/>
    <w:rsid w:val="009E387D"/>
    <w:rsid w:val="009E453D"/>
    <w:rsid w:val="009E5013"/>
    <w:rsid w:val="009E56B0"/>
    <w:rsid w:val="009E5917"/>
    <w:rsid w:val="009E5CF7"/>
    <w:rsid w:val="009E6223"/>
    <w:rsid w:val="009E66C7"/>
    <w:rsid w:val="009E725F"/>
    <w:rsid w:val="009E79CF"/>
    <w:rsid w:val="009E7F2E"/>
    <w:rsid w:val="009F009C"/>
    <w:rsid w:val="009F0345"/>
    <w:rsid w:val="009F04F2"/>
    <w:rsid w:val="009F0A8F"/>
    <w:rsid w:val="009F0FB6"/>
    <w:rsid w:val="009F231C"/>
    <w:rsid w:val="009F237D"/>
    <w:rsid w:val="009F2512"/>
    <w:rsid w:val="009F2C7D"/>
    <w:rsid w:val="009F311F"/>
    <w:rsid w:val="009F32AF"/>
    <w:rsid w:val="009F344F"/>
    <w:rsid w:val="009F40CE"/>
    <w:rsid w:val="009F4CDA"/>
    <w:rsid w:val="009F4D89"/>
    <w:rsid w:val="009F53C8"/>
    <w:rsid w:val="009F59BF"/>
    <w:rsid w:val="009F59D1"/>
    <w:rsid w:val="009F5F68"/>
    <w:rsid w:val="009F6905"/>
    <w:rsid w:val="009F6CBC"/>
    <w:rsid w:val="009F776E"/>
    <w:rsid w:val="00A00F42"/>
    <w:rsid w:val="00A01519"/>
    <w:rsid w:val="00A0195A"/>
    <w:rsid w:val="00A02D3C"/>
    <w:rsid w:val="00A032EA"/>
    <w:rsid w:val="00A0408F"/>
    <w:rsid w:val="00A04868"/>
    <w:rsid w:val="00A04E68"/>
    <w:rsid w:val="00A05975"/>
    <w:rsid w:val="00A05EAA"/>
    <w:rsid w:val="00A0608D"/>
    <w:rsid w:val="00A060BE"/>
    <w:rsid w:val="00A0695E"/>
    <w:rsid w:val="00A06BEF"/>
    <w:rsid w:val="00A06D85"/>
    <w:rsid w:val="00A074BD"/>
    <w:rsid w:val="00A074E0"/>
    <w:rsid w:val="00A07D26"/>
    <w:rsid w:val="00A101B6"/>
    <w:rsid w:val="00A1036E"/>
    <w:rsid w:val="00A103D7"/>
    <w:rsid w:val="00A104A1"/>
    <w:rsid w:val="00A10D80"/>
    <w:rsid w:val="00A10FC7"/>
    <w:rsid w:val="00A11671"/>
    <w:rsid w:val="00A1187C"/>
    <w:rsid w:val="00A12CCC"/>
    <w:rsid w:val="00A12D1A"/>
    <w:rsid w:val="00A12E07"/>
    <w:rsid w:val="00A12F3D"/>
    <w:rsid w:val="00A1361B"/>
    <w:rsid w:val="00A13A4E"/>
    <w:rsid w:val="00A15566"/>
    <w:rsid w:val="00A15605"/>
    <w:rsid w:val="00A1572D"/>
    <w:rsid w:val="00A15B2D"/>
    <w:rsid w:val="00A163CD"/>
    <w:rsid w:val="00A16778"/>
    <w:rsid w:val="00A16B57"/>
    <w:rsid w:val="00A20224"/>
    <w:rsid w:val="00A20D0C"/>
    <w:rsid w:val="00A21424"/>
    <w:rsid w:val="00A21997"/>
    <w:rsid w:val="00A22095"/>
    <w:rsid w:val="00A22110"/>
    <w:rsid w:val="00A22233"/>
    <w:rsid w:val="00A2246F"/>
    <w:rsid w:val="00A229B7"/>
    <w:rsid w:val="00A23A98"/>
    <w:rsid w:val="00A24217"/>
    <w:rsid w:val="00A244E9"/>
    <w:rsid w:val="00A24622"/>
    <w:rsid w:val="00A246A3"/>
    <w:rsid w:val="00A259A8"/>
    <w:rsid w:val="00A25ABB"/>
    <w:rsid w:val="00A25E39"/>
    <w:rsid w:val="00A2626B"/>
    <w:rsid w:val="00A267CF"/>
    <w:rsid w:val="00A267F3"/>
    <w:rsid w:val="00A26827"/>
    <w:rsid w:val="00A26D47"/>
    <w:rsid w:val="00A26DA7"/>
    <w:rsid w:val="00A26F41"/>
    <w:rsid w:val="00A26F88"/>
    <w:rsid w:val="00A275D1"/>
    <w:rsid w:val="00A276B9"/>
    <w:rsid w:val="00A27B57"/>
    <w:rsid w:val="00A27DD1"/>
    <w:rsid w:val="00A30B8E"/>
    <w:rsid w:val="00A313B3"/>
    <w:rsid w:val="00A31CFD"/>
    <w:rsid w:val="00A31D00"/>
    <w:rsid w:val="00A32051"/>
    <w:rsid w:val="00A32AE0"/>
    <w:rsid w:val="00A32B77"/>
    <w:rsid w:val="00A32BB4"/>
    <w:rsid w:val="00A32D36"/>
    <w:rsid w:val="00A3306E"/>
    <w:rsid w:val="00A33CCF"/>
    <w:rsid w:val="00A3404D"/>
    <w:rsid w:val="00A35D65"/>
    <w:rsid w:val="00A35FDD"/>
    <w:rsid w:val="00A36CF6"/>
    <w:rsid w:val="00A36EC5"/>
    <w:rsid w:val="00A374F3"/>
    <w:rsid w:val="00A3759D"/>
    <w:rsid w:val="00A37EDA"/>
    <w:rsid w:val="00A4035D"/>
    <w:rsid w:val="00A413A3"/>
    <w:rsid w:val="00A415C5"/>
    <w:rsid w:val="00A41C2D"/>
    <w:rsid w:val="00A41D5A"/>
    <w:rsid w:val="00A41D7C"/>
    <w:rsid w:val="00A43159"/>
    <w:rsid w:val="00A43270"/>
    <w:rsid w:val="00A44CE4"/>
    <w:rsid w:val="00A45043"/>
    <w:rsid w:val="00A45355"/>
    <w:rsid w:val="00A4539E"/>
    <w:rsid w:val="00A45BE3"/>
    <w:rsid w:val="00A46080"/>
    <w:rsid w:val="00A461CB"/>
    <w:rsid w:val="00A4636B"/>
    <w:rsid w:val="00A46BA0"/>
    <w:rsid w:val="00A46C6C"/>
    <w:rsid w:val="00A46EB1"/>
    <w:rsid w:val="00A475E7"/>
    <w:rsid w:val="00A4794E"/>
    <w:rsid w:val="00A47A54"/>
    <w:rsid w:val="00A47C59"/>
    <w:rsid w:val="00A50405"/>
    <w:rsid w:val="00A50FEC"/>
    <w:rsid w:val="00A519F0"/>
    <w:rsid w:val="00A51FC3"/>
    <w:rsid w:val="00A522BF"/>
    <w:rsid w:val="00A532FC"/>
    <w:rsid w:val="00A53624"/>
    <w:rsid w:val="00A54676"/>
    <w:rsid w:val="00A5492C"/>
    <w:rsid w:val="00A54A8E"/>
    <w:rsid w:val="00A54F72"/>
    <w:rsid w:val="00A55307"/>
    <w:rsid w:val="00A553B0"/>
    <w:rsid w:val="00A565B6"/>
    <w:rsid w:val="00A567E2"/>
    <w:rsid w:val="00A56806"/>
    <w:rsid w:val="00A57F15"/>
    <w:rsid w:val="00A60066"/>
    <w:rsid w:val="00A60179"/>
    <w:rsid w:val="00A6066B"/>
    <w:rsid w:val="00A616D3"/>
    <w:rsid w:val="00A61782"/>
    <w:rsid w:val="00A61B4F"/>
    <w:rsid w:val="00A61FDA"/>
    <w:rsid w:val="00A62122"/>
    <w:rsid w:val="00A63850"/>
    <w:rsid w:val="00A64787"/>
    <w:rsid w:val="00A648E9"/>
    <w:rsid w:val="00A64EE6"/>
    <w:rsid w:val="00A6654A"/>
    <w:rsid w:val="00A665D6"/>
    <w:rsid w:val="00A66C0D"/>
    <w:rsid w:val="00A67118"/>
    <w:rsid w:val="00A6764D"/>
    <w:rsid w:val="00A67934"/>
    <w:rsid w:val="00A67D4A"/>
    <w:rsid w:val="00A703AE"/>
    <w:rsid w:val="00A70415"/>
    <w:rsid w:val="00A709AE"/>
    <w:rsid w:val="00A70DCB"/>
    <w:rsid w:val="00A70E5B"/>
    <w:rsid w:val="00A716E7"/>
    <w:rsid w:val="00A71FD1"/>
    <w:rsid w:val="00A720C2"/>
    <w:rsid w:val="00A7248F"/>
    <w:rsid w:val="00A72733"/>
    <w:rsid w:val="00A72958"/>
    <w:rsid w:val="00A72BC8"/>
    <w:rsid w:val="00A72C04"/>
    <w:rsid w:val="00A72C44"/>
    <w:rsid w:val="00A72FE2"/>
    <w:rsid w:val="00A73341"/>
    <w:rsid w:val="00A734F8"/>
    <w:rsid w:val="00A73BD3"/>
    <w:rsid w:val="00A748ED"/>
    <w:rsid w:val="00A75386"/>
    <w:rsid w:val="00A755BE"/>
    <w:rsid w:val="00A7593A"/>
    <w:rsid w:val="00A7597F"/>
    <w:rsid w:val="00A75D3F"/>
    <w:rsid w:val="00A7611F"/>
    <w:rsid w:val="00A768C8"/>
    <w:rsid w:val="00A76C21"/>
    <w:rsid w:val="00A77727"/>
    <w:rsid w:val="00A809DC"/>
    <w:rsid w:val="00A80AF3"/>
    <w:rsid w:val="00A8226A"/>
    <w:rsid w:val="00A82384"/>
    <w:rsid w:val="00A82501"/>
    <w:rsid w:val="00A82941"/>
    <w:rsid w:val="00A83139"/>
    <w:rsid w:val="00A834D6"/>
    <w:rsid w:val="00A839CF"/>
    <w:rsid w:val="00A83DBC"/>
    <w:rsid w:val="00A84746"/>
    <w:rsid w:val="00A847AE"/>
    <w:rsid w:val="00A84D2C"/>
    <w:rsid w:val="00A84D90"/>
    <w:rsid w:val="00A85084"/>
    <w:rsid w:val="00A855FE"/>
    <w:rsid w:val="00A85836"/>
    <w:rsid w:val="00A85DCE"/>
    <w:rsid w:val="00A85E79"/>
    <w:rsid w:val="00A85F29"/>
    <w:rsid w:val="00A8613B"/>
    <w:rsid w:val="00A86203"/>
    <w:rsid w:val="00A86D62"/>
    <w:rsid w:val="00A87073"/>
    <w:rsid w:val="00A87982"/>
    <w:rsid w:val="00A87C2F"/>
    <w:rsid w:val="00A904F2"/>
    <w:rsid w:val="00A90A9D"/>
    <w:rsid w:val="00A911A0"/>
    <w:rsid w:val="00A91363"/>
    <w:rsid w:val="00A91450"/>
    <w:rsid w:val="00A9186C"/>
    <w:rsid w:val="00A91B63"/>
    <w:rsid w:val="00A91E8D"/>
    <w:rsid w:val="00A920B1"/>
    <w:rsid w:val="00A92564"/>
    <w:rsid w:val="00A92DB9"/>
    <w:rsid w:val="00A92F6C"/>
    <w:rsid w:val="00A93738"/>
    <w:rsid w:val="00A94084"/>
    <w:rsid w:val="00A9446E"/>
    <w:rsid w:val="00A95FF2"/>
    <w:rsid w:val="00A96852"/>
    <w:rsid w:val="00A96C21"/>
    <w:rsid w:val="00A97034"/>
    <w:rsid w:val="00A9791D"/>
    <w:rsid w:val="00A97B2E"/>
    <w:rsid w:val="00A97BF7"/>
    <w:rsid w:val="00A97D4A"/>
    <w:rsid w:val="00A97DB8"/>
    <w:rsid w:val="00AA0209"/>
    <w:rsid w:val="00AA03A6"/>
    <w:rsid w:val="00AA041D"/>
    <w:rsid w:val="00AA04C5"/>
    <w:rsid w:val="00AA0BAD"/>
    <w:rsid w:val="00AA1011"/>
    <w:rsid w:val="00AA1128"/>
    <w:rsid w:val="00AA1A7C"/>
    <w:rsid w:val="00AA1ADA"/>
    <w:rsid w:val="00AA1D1C"/>
    <w:rsid w:val="00AA20B3"/>
    <w:rsid w:val="00AA2115"/>
    <w:rsid w:val="00AA2A7D"/>
    <w:rsid w:val="00AA2A95"/>
    <w:rsid w:val="00AA2E63"/>
    <w:rsid w:val="00AA2E95"/>
    <w:rsid w:val="00AA2ECC"/>
    <w:rsid w:val="00AA2F6D"/>
    <w:rsid w:val="00AA38B3"/>
    <w:rsid w:val="00AA3A3E"/>
    <w:rsid w:val="00AA3B94"/>
    <w:rsid w:val="00AA3C4A"/>
    <w:rsid w:val="00AA3C94"/>
    <w:rsid w:val="00AA41D4"/>
    <w:rsid w:val="00AA4203"/>
    <w:rsid w:val="00AA4775"/>
    <w:rsid w:val="00AA488F"/>
    <w:rsid w:val="00AA5515"/>
    <w:rsid w:val="00AA561A"/>
    <w:rsid w:val="00AA567F"/>
    <w:rsid w:val="00AA583C"/>
    <w:rsid w:val="00AA59E9"/>
    <w:rsid w:val="00AA65CF"/>
    <w:rsid w:val="00AA6A88"/>
    <w:rsid w:val="00AA7322"/>
    <w:rsid w:val="00AB02DD"/>
    <w:rsid w:val="00AB045C"/>
    <w:rsid w:val="00AB05BB"/>
    <w:rsid w:val="00AB090C"/>
    <w:rsid w:val="00AB0F9A"/>
    <w:rsid w:val="00AB1160"/>
    <w:rsid w:val="00AB1411"/>
    <w:rsid w:val="00AB142E"/>
    <w:rsid w:val="00AB1C10"/>
    <w:rsid w:val="00AB1E7A"/>
    <w:rsid w:val="00AB212D"/>
    <w:rsid w:val="00AB27C5"/>
    <w:rsid w:val="00AB32C1"/>
    <w:rsid w:val="00AB3552"/>
    <w:rsid w:val="00AB38B2"/>
    <w:rsid w:val="00AB3BA9"/>
    <w:rsid w:val="00AB49C3"/>
    <w:rsid w:val="00AB55F8"/>
    <w:rsid w:val="00AB5964"/>
    <w:rsid w:val="00AB5DF2"/>
    <w:rsid w:val="00AB6164"/>
    <w:rsid w:val="00AB6C4D"/>
    <w:rsid w:val="00AB6E00"/>
    <w:rsid w:val="00AB7866"/>
    <w:rsid w:val="00AC10F4"/>
    <w:rsid w:val="00AC1D3B"/>
    <w:rsid w:val="00AC1E67"/>
    <w:rsid w:val="00AC226A"/>
    <w:rsid w:val="00AC246C"/>
    <w:rsid w:val="00AC2EA7"/>
    <w:rsid w:val="00AC2FB2"/>
    <w:rsid w:val="00AC32FB"/>
    <w:rsid w:val="00AC35C3"/>
    <w:rsid w:val="00AC383B"/>
    <w:rsid w:val="00AC3ADE"/>
    <w:rsid w:val="00AC3BEF"/>
    <w:rsid w:val="00AC3F58"/>
    <w:rsid w:val="00AC40DA"/>
    <w:rsid w:val="00AC4C92"/>
    <w:rsid w:val="00AC4E28"/>
    <w:rsid w:val="00AC4E71"/>
    <w:rsid w:val="00AC4F7E"/>
    <w:rsid w:val="00AC5700"/>
    <w:rsid w:val="00AC5A64"/>
    <w:rsid w:val="00AC7042"/>
    <w:rsid w:val="00AC752F"/>
    <w:rsid w:val="00AC766D"/>
    <w:rsid w:val="00AC7B8D"/>
    <w:rsid w:val="00AC7E49"/>
    <w:rsid w:val="00AD099F"/>
    <w:rsid w:val="00AD1C10"/>
    <w:rsid w:val="00AD2E7B"/>
    <w:rsid w:val="00AD2F8F"/>
    <w:rsid w:val="00AD3685"/>
    <w:rsid w:val="00AD3F4F"/>
    <w:rsid w:val="00AD403C"/>
    <w:rsid w:val="00AD4153"/>
    <w:rsid w:val="00AD44D5"/>
    <w:rsid w:val="00AD4838"/>
    <w:rsid w:val="00AD4A48"/>
    <w:rsid w:val="00AD4AE1"/>
    <w:rsid w:val="00AD4BF2"/>
    <w:rsid w:val="00AD5420"/>
    <w:rsid w:val="00AD56CF"/>
    <w:rsid w:val="00AD5DDB"/>
    <w:rsid w:val="00AD5E3E"/>
    <w:rsid w:val="00AD60B8"/>
    <w:rsid w:val="00AD60EF"/>
    <w:rsid w:val="00AD612C"/>
    <w:rsid w:val="00AD734C"/>
    <w:rsid w:val="00AD7922"/>
    <w:rsid w:val="00AD7BC1"/>
    <w:rsid w:val="00AE0413"/>
    <w:rsid w:val="00AE05BF"/>
    <w:rsid w:val="00AE0929"/>
    <w:rsid w:val="00AE0D8D"/>
    <w:rsid w:val="00AE131D"/>
    <w:rsid w:val="00AE1789"/>
    <w:rsid w:val="00AE23C8"/>
    <w:rsid w:val="00AE265A"/>
    <w:rsid w:val="00AE308D"/>
    <w:rsid w:val="00AE36D1"/>
    <w:rsid w:val="00AE3DDB"/>
    <w:rsid w:val="00AE4639"/>
    <w:rsid w:val="00AE4752"/>
    <w:rsid w:val="00AE4A64"/>
    <w:rsid w:val="00AE5771"/>
    <w:rsid w:val="00AE59FC"/>
    <w:rsid w:val="00AE63A1"/>
    <w:rsid w:val="00AE63B4"/>
    <w:rsid w:val="00AE6AAF"/>
    <w:rsid w:val="00AE6E97"/>
    <w:rsid w:val="00AE758E"/>
    <w:rsid w:val="00AF059D"/>
    <w:rsid w:val="00AF077D"/>
    <w:rsid w:val="00AF0992"/>
    <w:rsid w:val="00AF0C7C"/>
    <w:rsid w:val="00AF0D62"/>
    <w:rsid w:val="00AF0EB3"/>
    <w:rsid w:val="00AF1281"/>
    <w:rsid w:val="00AF14C8"/>
    <w:rsid w:val="00AF15C1"/>
    <w:rsid w:val="00AF23D9"/>
    <w:rsid w:val="00AF2768"/>
    <w:rsid w:val="00AF27A3"/>
    <w:rsid w:val="00AF290E"/>
    <w:rsid w:val="00AF29FA"/>
    <w:rsid w:val="00AF2A99"/>
    <w:rsid w:val="00AF2F7E"/>
    <w:rsid w:val="00AF3074"/>
    <w:rsid w:val="00AF37D5"/>
    <w:rsid w:val="00AF381B"/>
    <w:rsid w:val="00AF3F63"/>
    <w:rsid w:val="00AF4345"/>
    <w:rsid w:val="00AF463B"/>
    <w:rsid w:val="00AF4CC5"/>
    <w:rsid w:val="00AF5319"/>
    <w:rsid w:val="00AF5F62"/>
    <w:rsid w:val="00AF608B"/>
    <w:rsid w:val="00AF6215"/>
    <w:rsid w:val="00AF671C"/>
    <w:rsid w:val="00AF6A59"/>
    <w:rsid w:val="00AF70A9"/>
    <w:rsid w:val="00AF7450"/>
    <w:rsid w:val="00AF7BDD"/>
    <w:rsid w:val="00B00396"/>
    <w:rsid w:val="00B004A3"/>
    <w:rsid w:val="00B00F8C"/>
    <w:rsid w:val="00B00FEC"/>
    <w:rsid w:val="00B0196F"/>
    <w:rsid w:val="00B02145"/>
    <w:rsid w:val="00B02A64"/>
    <w:rsid w:val="00B02C78"/>
    <w:rsid w:val="00B02F0C"/>
    <w:rsid w:val="00B03776"/>
    <w:rsid w:val="00B03AFB"/>
    <w:rsid w:val="00B03BFF"/>
    <w:rsid w:val="00B03ED8"/>
    <w:rsid w:val="00B0401D"/>
    <w:rsid w:val="00B042D2"/>
    <w:rsid w:val="00B04C48"/>
    <w:rsid w:val="00B04E01"/>
    <w:rsid w:val="00B04E8D"/>
    <w:rsid w:val="00B04F50"/>
    <w:rsid w:val="00B052DE"/>
    <w:rsid w:val="00B0542F"/>
    <w:rsid w:val="00B054FC"/>
    <w:rsid w:val="00B05531"/>
    <w:rsid w:val="00B05A05"/>
    <w:rsid w:val="00B05ACD"/>
    <w:rsid w:val="00B06495"/>
    <w:rsid w:val="00B064F1"/>
    <w:rsid w:val="00B06DA3"/>
    <w:rsid w:val="00B07372"/>
    <w:rsid w:val="00B10464"/>
    <w:rsid w:val="00B109DF"/>
    <w:rsid w:val="00B118E1"/>
    <w:rsid w:val="00B11A39"/>
    <w:rsid w:val="00B11A5F"/>
    <w:rsid w:val="00B11A9A"/>
    <w:rsid w:val="00B120CF"/>
    <w:rsid w:val="00B1210E"/>
    <w:rsid w:val="00B1243E"/>
    <w:rsid w:val="00B129BD"/>
    <w:rsid w:val="00B12BDA"/>
    <w:rsid w:val="00B12E19"/>
    <w:rsid w:val="00B131C4"/>
    <w:rsid w:val="00B13204"/>
    <w:rsid w:val="00B13D2B"/>
    <w:rsid w:val="00B13F2E"/>
    <w:rsid w:val="00B14011"/>
    <w:rsid w:val="00B14793"/>
    <w:rsid w:val="00B15075"/>
    <w:rsid w:val="00B152B9"/>
    <w:rsid w:val="00B15774"/>
    <w:rsid w:val="00B15975"/>
    <w:rsid w:val="00B15DB9"/>
    <w:rsid w:val="00B16182"/>
    <w:rsid w:val="00B1780E"/>
    <w:rsid w:val="00B17B26"/>
    <w:rsid w:val="00B17FB5"/>
    <w:rsid w:val="00B200D3"/>
    <w:rsid w:val="00B2060E"/>
    <w:rsid w:val="00B20DCF"/>
    <w:rsid w:val="00B20F8A"/>
    <w:rsid w:val="00B215AB"/>
    <w:rsid w:val="00B215EB"/>
    <w:rsid w:val="00B22522"/>
    <w:rsid w:val="00B2288A"/>
    <w:rsid w:val="00B231B0"/>
    <w:rsid w:val="00B23365"/>
    <w:rsid w:val="00B23C79"/>
    <w:rsid w:val="00B24D66"/>
    <w:rsid w:val="00B258AF"/>
    <w:rsid w:val="00B264B0"/>
    <w:rsid w:val="00B26CDB"/>
    <w:rsid w:val="00B26ECF"/>
    <w:rsid w:val="00B27201"/>
    <w:rsid w:val="00B27444"/>
    <w:rsid w:val="00B27734"/>
    <w:rsid w:val="00B27771"/>
    <w:rsid w:val="00B27787"/>
    <w:rsid w:val="00B278D7"/>
    <w:rsid w:val="00B3091E"/>
    <w:rsid w:val="00B30A3A"/>
    <w:rsid w:val="00B31293"/>
    <w:rsid w:val="00B31602"/>
    <w:rsid w:val="00B318FE"/>
    <w:rsid w:val="00B319FE"/>
    <w:rsid w:val="00B3232C"/>
    <w:rsid w:val="00B32508"/>
    <w:rsid w:val="00B3273E"/>
    <w:rsid w:val="00B331B8"/>
    <w:rsid w:val="00B33786"/>
    <w:rsid w:val="00B337A4"/>
    <w:rsid w:val="00B34725"/>
    <w:rsid w:val="00B34C3A"/>
    <w:rsid w:val="00B355F0"/>
    <w:rsid w:val="00B35656"/>
    <w:rsid w:val="00B3578C"/>
    <w:rsid w:val="00B363C7"/>
    <w:rsid w:val="00B36B9B"/>
    <w:rsid w:val="00B36CCA"/>
    <w:rsid w:val="00B36D9E"/>
    <w:rsid w:val="00B36FC2"/>
    <w:rsid w:val="00B37311"/>
    <w:rsid w:val="00B373FB"/>
    <w:rsid w:val="00B37975"/>
    <w:rsid w:val="00B4023B"/>
    <w:rsid w:val="00B4106F"/>
    <w:rsid w:val="00B418AC"/>
    <w:rsid w:val="00B41BE7"/>
    <w:rsid w:val="00B424F7"/>
    <w:rsid w:val="00B42530"/>
    <w:rsid w:val="00B42568"/>
    <w:rsid w:val="00B428C5"/>
    <w:rsid w:val="00B4316E"/>
    <w:rsid w:val="00B4339F"/>
    <w:rsid w:val="00B4381B"/>
    <w:rsid w:val="00B4383C"/>
    <w:rsid w:val="00B4403D"/>
    <w:rsid w:val="00B440FC"/>
    <w:rsid w:val="00B4411A"/>
    <w:rsid w:val="00B4471B"/>
    <w:rsid w:val="00B456C4"/>
    <w:rsid w:val="00B45847"/>
    <w:rsid w:val="00B460A1"/>
    <w:rsid w:val="00B46275"/>
    <w:rsid w:val="00B464C7"/>
    <w:rsid w:val="00B4658A"/>
    <w:rsid w:val="00B4733F"/>
    <w:rsid w:val="00B4758E"/>
    <w:rsid w:val="00B47CBB"/>
    <w:rsid w:val="00B47F36"/>
    <w:rsid w:val="00B5076A"/>
    <w:rsid w:val="00B5083E"/>
    <w:rsid w:val="00B50ADB"/>
    <w:rsid w:val="00B50B1E"/>
    <w:rsid w:val="00B51604"/>
    <w:rsid w:val="00B51A1A"/>
    <w:rsid w:val="00B51F64"/>
    <w:rsid w:val="00B52315"/>
    <w:rsid w:val="00B53B4E"/>
    <w:rsid w:val="00B53C5F"/>
    <w:rsid w:val="00B54BD8"/>
    <w:rsid w:val="00B5596C"/>
    <w:rsid w:val="00B5620F"/>
    <w:rsid w:val="00B569B2"/>
    <w:rsid w:val="00B56FBD"/>
    <w:rsid w:val="00B5715A"/>
    <w:rsid w:val="00B57327"/>
    <w:rsid w:val="00B57B33"/>
    <w:rsid w:val="00B6002D"/>
    <w:rsid w:val="00B6002F"/>
    <w:rsid w:val="00B6010B"/>
    <w:rsid w:val="00B611CD"/>
    <w:rsid w:val="00B61262"/>
    <w:rsid w:val="00B6210A"/>
    <w:rsid w:val="00B6220A"/>
    <w:rsid w:val="00B6264B"/>
    <w:rsid w:val="00B629F3"/>
    <w:rsid w:val="00B640CF"/>
    <w:rsid w:val="00B65828"/>
    <w:rsid w:val="00B65D7C"/>
    <w:rsid w:val="00B65E01"/>
    <w:rsid w:val="00B66141"/>
    <w:rsid w:val="00B6620C"/>
    <w:rsid w:val="00B662EB"/>
    <w:rsid w:val="00B665BB"/>
    <w:rsid w:val="00B66800"/>
    <w:rsid w:val="00B668CA"/>
    <w:rsid w:val="00B66AB0"/>
    <w:rsid w:val="00B677D7"/>
    <w:rsid w:val="00B701CC"/>
    <w:rsid w:val="00B7095E"/>
    <w:rsid w:val="00B70C27"/>
    <w:rsid w:val="00B70ED8"/>
    <w:rsid w:val="00B70F84"/>
    <w:rsid w:val="00B710E0"/>
    <w:rsid w:val="00B713C9"/>
    <w:rsid w:val="00B7162D"/>
    <w:rsid w:val="00B71E56"/>
    <w:rsid w:val="00B72281"/>
    <w:rsid w:val="00B727DF"/>
    <w:rsid w:val="00B72CF9"/>
    <w:rsid w:val="00B72EE9"/>
    <w:rsid w:val="00B73637"/>
    <w:rsid w:val="00B73D34"/>
    <w:rsid w:val="00B742C1"/>
    <w:rsid w:val="00B74326"/>
    <w:rsid w:val="00B74720"/>
    <w:rsid w:val="00B74C99"/>
    <w:rsid w:val="00B75032"/>
    <w:rsid w:val="00B750D5"/>
    <w:rsid w:val="00B755E7"/>
    <w:rsid w:val="00B7591C"/>
    <w:rsid w:val="00B75D1D"/>
    <w:rsid w:val="00B75E98"/>
    <w:rsid w:val="00B76A3F"/>
    <w:rsid w:val="00B76A7D"/>
    <w:rsid w:val="00B76CE1"/>
    <w:rsid w:val="00B776D5"/>
    <w:rsid w:val="00B77B7E"/>
    <w:rsid w:val="00B80744"/>
    <w:rsid w:val="00B80979"/>
    <w:rsid w:val="00B81854"/>
    <w:rsid w:val="00B818AA"/>
    <w:rsid w:val="00B81B66"/>
    <w:rsid w:val="00B81BC2"/>
    <w:rsid w:val="00B81C75"/>
    <w:rsid w:val="00B81D8F"/>
    <w:rsid w:val="00B81EEF"/>
    <w:rsid w:val="00B81F26"/>
    <w:rsid w:val="00B8365A"/>
    <w:rsid w:val="00B83732"/>
    <w:rsid w:val="00B840BB"/>
    <w:rsid w:val="00B84C9F"/>
    <w:rsid w:val="00B8515F"/>
    <w:rsid w:val="00B8525F"/>
    <w:rsid w:val="00B856E9"/>
    <w:rsid w:val="00B85774"/>
    <w:rsid w:val="00B86429"/>
    <w:rsid w:val="00B8648F"/>
    <w:rsid w:val="00B866C7"/>
    <w:rsid w:val="00B86EFB"/>
    <w:rsid w:val="00B87563"/>
    <w:rsid w:val="00B87D08"/>
    <w:rsid w:val="00B87EBC"/>
    <w:rsid w:val="00B87FF0"/>
    <w:rsid w:val="00B90825"/>
    <w:rsid w:val="00B9084F"/>
    <w:rsid w:val="00B90862"/>
    <w:rsid w:val="00B90DD5"/>
    <w:rsid w:val="00B912EC"/>
    <w:rsid w:val="00B917AC"/>
    <w:rsid w:val="00B91F77"/>
    <w:rsid w:val="00B9257B"/>
    <w:rsid w:val="00B926AC"/>
    <w:rsid w:val="00B929DC"/>
    <w:rsid w:val="00B92E6B"/>
    <w:rsid w:val="00B93043"/>
    <w:rsid w:val="00B93075"/>
    <w:rsid w:val="00B93431"/>
    <w:rsid w:val="00B93500"/>
    <w:rsid w:val="00B93D97"/>
    <w:rsid w:val="00B94392"/>
    <w:rsid w:val="00B95200"/>
    <w:rsid w:val="00B9545C"/>
    <w:rsid w:val="00B955F5"/>
    <w:rsid w:val="00B95663"/>
    <w:rsid w:val="00B95806"/>
    <w:rsid w:val="00B95A36"/>
    <w:rsid w:val="00B95CCC"/>
    <w:rsid w:val="00B95F44"/>
    <w:rsid w:val="00B96D3C"/>
    <w:rsid w:val="00B97577"/>
    <w:rsid w:val="00B9781E"/>
    <w:rsid w:val="00B97A1F"/>
    <w:rsid w:val="00B97A3F"/>
    <w:rsid w:val="00B97CCD"/>
    <w:rsid w:val="00BA0FE9"/>
    <w:rsid w:val="00BA139F"/>
    <w:rsid w:val="00BA1A0B"/>
    <w:rsid w:val="00BA1E85"/>
    <w:rsid w:val="00BA359B"/>
    <w:rsid w:val="00BA3A93"/>
    <w:rsid w:val="00BA4D05"/>
    <w:rsid w:val="00BA5165"/>
    <w:rsid w:val="00BA5599"/>
    <w:rsid w:val="00BA5A40"/>
    <w:rsid w:val="00BA5B4E"/>
    <w:rsid w:val="00BA5FD5"/>
    <w:rsid w:val="00BA6168"/>
    <w:rsid w:val="00BA62AB"/>
    <w:rsid w:val="00BA674C"/>
    <w:rsid w:val="00BA77BD"/>
    <w:rsid w:val="00BA7C17"/>
    <w:rsid w:val="00BA7E0B"/>
    <w:rsid w:val="00BB08D5"/>
    <w:rsid w:val="00BB0DE3"/>
    <w:rsid w:val="00BB0E14"/>
    <w:rsid w:val="00BB0EA0"/>
    <w:rsid w:val="00BB0ED7"/>
    <w:rsid w:val="00BB10CD"/>
    <w:rsid w:val="00BB10F0"/>
    <w:rsid w:val="00BB122E"/>
    <w:rsid w:val="00BB1994"/>
    <w:rsid w:val="00BB25BB"/>
    <w:rsid w:val="00BB3BBC"/>
    <w:rsid w:val="00BB4A1B"/>
    <w:rsid w:val="00BB4A6F"/>
    <w:rsid w:val="00BB52B4"/>
    <w:rsid w:val="00BB54E8"/>
    <w:rsid w:val="00BB56B1"/>
    <w:rsid w:val="00BB5759"/>
    <w:rsid w:val="00BB5A30"/>
    <w:rsid w:val="00BB5B98"/>
    <w:rsid w:val="00BB5DE3"/>
    <w:rsid w:val="00BB6B2F"/>
    <w:rsid w:val="00BB6B8B"/>
    <w:rsid w:val="00BB7BAC"/>
    <w:rsid w:val="00BC0138"/>
    <w:rsid w:val="00BC08D8"/>
    <w:rsid w:val="00BC08FC"/>
    <w:rsid w:val="00BC18E0"/>
    <w:rsid w:val="00BC202D"/>
    <w:rsid w:val="00BC213B"/>
    <w:rsid w:val="00BC2964"/>
    <w:rsid w:val="00BC3112"/>
    <w:rsid w:val="00BC3776"/>
    <w:rsid w:val="00BC3D8E"/>
    <w:rsid w:val="00BC3E7F"/>
    <w:rsid w:val="00BC41B5"/>
    <w:rsid w:val="00BC4734"/>
    <w:rsid w:val="00BC4C63"/>
    <w:rsid w:val="00BC54D1"/>
    <w:rsid w:val="00BC6308"/>
    <w:rsid w:val="00BC63FE"/>
    <w:rsid w:val="00BC640E"/>
    <w:rsid w:val="00BC666D"/>
    <w:rsid w:val="00BC67A4"/>
    <w:rsid w:val="00BC6B4D"/>
    <w:rsid w:val="00BC6C4F"/>
    <w:rsid w:val="00BC6E28"/>
    <w:rsid w:val="00BC76AA"/>
    <w:rsid w:val="00BD1290"/>
    <w:rsid w:val="00BD1CFB"/>
    <w:rsid w:val="00BD2B8F"/>
    <w:rsid w:val="00BD2EA0"/>
    <w:rsid w:val="00BD35B9"/>
    <w:rsid w:val="00BD36EC"/>
    <w:rsid w:val="00BD4068"/>
    <w:rsid w:val="00BD46B9"/>
    <w:rsid w:val="00BD4A52"/>
    <w:rsid w:val="00BD4BEF"/>
    <w:rsid w:val="00BD51CA"/>
    <w:rsid w:val="00BD5CD2"/>
    <w:rsid w:val="00BD60A9"/>
    <w:rsid w:val="00BD623B"/>
    <w:rsid w:val="00BD6B64"/>
    <w:rsid w:val="00BD719F"/>
    <w:rsid w:val="00BD77DE"/>
    <w:rsid w:val="00BD79C2"/>
    <w:rsid w:val="00BE0F5E"/>
    <w:rsid w:val="00BE1F2E"/>
    <w:rsid w:val="00BE1FA7"/>
    <w:rsid w:val="00BE2AD7"/>
    <w:rsid w:val="00BE2BAA"/>
    <w:rsid w:val="00BE2F96"/>
    <w:rsid w:val="00BE4B77"/>
    <w:rsid w:val="00BE4F8D"/>
    <w:rsid w:val="00BE57A9"/>
    <w:rsid w:val="00BE586F"/>
    <w:rsid w:val="00BE590A"/>
    <w:rsid w:val="00BE6E44"/>
    <w:rsid w:val="00BE716B"/>
    <w:rsid w:val="00BE770F"/>
    <w:rsid w:val="00BE778C"/>
    <w:rsid w:val="00BE7C4F"/>
    <w:rsid w:val="00BE7F74"/>
    <w:rsid w:val="00BF01D4"/>
    <w:rsid w:val="00BF0597"/>
    <w:rsid w:val="00BF1BD3"/>
    <w:rsid w:val="00BF1F70"/>
    <w:rsid w:val="00BF20FB"/>
    <w:rsid w:val="00BF2576"/>
    <w:rsid w:val="00BF2997"/>
    <w:rsid w:val="00BF3834"/>
    <w:rsid w:val="00BF3FAC"/>
    <w:rsid w:val="00BF47C5"/>
    <w:rsid w:val="00BF4C22"/>
    <w:rsid w:val="00BF4CD1"/>
    <w:rsid w:val="00BF4DD7"/>
    <w:rsid w:val="00BF51E4"/>
    <w:rsid w:val="00BF5ACF"/>
    <w:rsid w:val="00BF6043"/>
    <w:rsid w:val="00BF6585"/>
    <w:rsid w:val="00BF725E"/>
    <w:rsid w:val="00BF76ED"/>
    <w:rsid w:val="00C00156"/>
    <w:rsid w:val="00C003C3"/>
    <w:rsid w:val="00C006F6"/>
    <w:rsid w:val="00C00838"/>
    <w:rsid w:val="00C008C6"/>
    <w:rsid w:val="00C00BE6"/>
    <w:rsid w:val="00C00F80"/>
    <w:rsid w:val="00C011B7"/>
    <w:rsid w:val="00C011D0"/>
    <w:rsid w:val="00C01250"/>
    <w:rsid w:val="00C01619"/>
    <w:rsid w:val="00C01D1D"/>
    <w:rsid w:val="00C02E25"/>
    <w:rsid w:val="00C03041"/>
    <w:rsid w:val="00C03815"/>
    <w:rsid w:val="00C041F4"/>
    <w:rsid w:val="00C04C59"/>
    <w:rsid w:val="00C04FE7"/>
    <w:rsid w:val="00C05004"/>
    <w:rsid w:val="00C0524E"/>
    <w:rsid w:val="00C05428"/>
    <w:rsid w:val="00C05805"/>
    <w:rsid w:val="00C058A3"/>
    <w:rsid w:val="00C05E05"/>
    <w:rsid w:val="00C060B4"/>
    <w:rsid w:val="00C0711F"/>
    <w:rsid w:val="00C077E1"/>
    <w:rsid w:val="00C107BE"/>
    <w:rsid w:val="00C10BD0"/>
    <w:rsid w:val="00C10C03"/>
    <w:rsid w:val="00C112F7"/>
    <w:rsid w:val="00C1161D"/>
    <w:rsid w:val="00C12CC4"/>
    <w:rsid w:val="00C12CE6"/>
    <w:rsid w:val="00C12D9C"/>
    <w:rsid w:val="00C13208"/>
    <w:rsid w:val="00C133F5"/>
    <w:rsid w:val="00C1360E"/>
    <w:rsid w:val="00C13819"/>
    <w:rsid w:val="00C13CCA"/>
    <w:rsid w:val="00C13DFB"/>
    <w:rsid w:val="00C14130"/>
    <w:rsid w:val="00C142EA"/>
    <w:rsid w:val="00C14741"/>
    <w:rsid w:val="00C14AD2"/>
    <w:rsid w:val="00C14CA5"/>
    <w:rsid w:val="00C153CA"/>
    <w:rsid w:val="00C1592A"/>
    <w:rsid w:val="00C15BE1"/>
    <w:rsid w:val="00C160D9"/>
    <w:rsid w:val="00C16B32"/>
    <w:rsid w:val="00C16FF1"/>
    <w:rsid w:val="00C17089"/>
    <w:rsid w:val="00C1715B"/>
    <w:rsid w:val="00C1750F"/>
    <w:rsid w:val="00C1757F"/>
    <w:rsid w:val="00C17B74"/>
    <w:rsid w:val="00C17BCC"/>
    <w:rsid w:val="00C20356"/>
    <w:rsid w:val="00C20358"/>
    <w:rsid w:val="00C20A09"/>
    <w:rsid w:val="00C20AEB"/>
    <w:rsid w:val="00C20F22"/>
    <w:rsid w:val="00C214A9"/>
    <w:rsid w:val="00C21FF8"/>
    <w:rsid w:val="00C220F2"/>
    <w:rsid w:val="00C223A0"/>
    <w:rsid w:val="00C22B55"/>
    <w:rsid w:val="00C232FF"/>
    <w:rsid w:val="00C23924"/>
    <w:rsid w:val="00C23BBD"/>
    <w:rsid w:val="00C23D90"/>
    <w:rsid w:val="00C2455C"/>
    <w:rsid w:val="00C24638"/>
    <w:rsid w:val="00C24808"/>
    <w:rsid w:val="00C25FB1"/>
    <w:rsid w:val="00C26495"/>
    <w:rsid w:val="00C273ED"/>
    <w:rsid w:val="00C27447"/>
    <w:rsid w:val="00C27891"/>
    <w:rsid w:val="00C27D45"/>
    <w:rsid w:val="00C300F5"/>
    <w:rsid w:val="00C30AED"/>
    <w:rsid w:val="00C31073"/>
    <w:rsid w:val="00C314B5"/>
    <w:rsid w:val="00C32570"/>
    <w:rsid w:val="00C327D7"/>
    <w:rsid w:val="00C32C1E"/>
    <w:rsid w:val="00C32D53"/>
    <w:rsid w:val="00C32F69"/>
    <w:rsid w:val="00C3312E"/>
    <w:rsid w:val="00C33CD5"/>
    <w:rsid w:val="00C340CF"/>
    <w:rsid w:val="00C34101"/>
    <w:rsid w:val="00C344ED"/>
    <w:rsid w:val="00C348FE"/>
    <w:rsid w:val="00C34FBC"/>
    <w:rsid w:val="00C35087"/>
    <w:rsid w:val="00C3523B"/>
    <w:rsid w:val="00C35947"/>
    <w:rsid w:val="00C35F73"/>
    <w:rsid w:val="00C36FFE"/>
    <w:rsid w:val="00C37549"/>
    <w:rsid w:val="00C3795B"/>
    <w:rsid w:val="00C40A83"/>
    <w:rsid w:val="00C40D37"/>
    <w:rsid w:val="00C412E1"/>
    <w:rsid w:val="00C416FD"/>
    <w:rsid w:val="00C41E73"/>
    <w:rsid w:val="00C41FA0"/>
    <w:rsid w:val="00C4271F"/>
    <w:rsid w:val="00C42A6C"/>
    <w:rsid w:val="00C42B60"/>
    <w:rsid w:val="00C43E4A"/>
    <w:rsid w:val="00C43FD4"/>
    <w:rsid w:val="00C44431"/>
    <w:rsid w:val="00C4445E"/>
    <w:rsid w:val="00C44846"/>
    <w:rsid w:val="00C45539"/>
    <w:rsid w:val="00C45A51"/>
    <w:rsid w:val="00C45D38"/>
    <w:rsid w:val="00C469E3"/>
    <w:rsid w:val="00C47155"/>
    <w:rsid w:val="00C47987"/>
    <w:rsid w:val="00C47CD2"/>
    <w:rsid w:val="00C47D56"/>
    <w:rsid w:val="00C510DE"/>
    <w:rsid w:val="00C513B4"/>
    <w:rsid w:val="00C51816"/>
    <w:rsid w:val="00C52023"/>
    <w:rsid w:val="00C536E4"/>
    <w:rsid w:val="00C538AE"/>
    <w:rsid w:val="00C53B4A"/>
    <w:rsid w:val="00C53C32"/>
    <w:rsid w:val="00C53E7A"/>
    <w:rsid w:val="00C54492"/>
    <w:rsid w:val="00C544B6"/>
    <w:rsid w:val="00C54601"/>
    <w:rsid w:val="00C54E26"/>
    <w:rsid w:val="00C555EB"/>
    <w:rsid w:val="00C557C0"/>
    <w:rsid w:val="00C55B81"/>
    <w:rsid w:val="00C55BC9"/>
    <w:rsid w:val="00C565FF"/>
    <w:rsid w:val="00C56733"/>
    <w:rsid w:val="00C56A84"/>
    <w:rsid w:val="00C575E8"/>
    <w:rsid w:val="00C5777E"/>
    <w:rsid w:val="00C57913"/>
    <w:rsid w:val="00C57EB0"/>
    <w:rsid w:val="00C60984"/>
    <w:rsid w:val="00C60E33"/>
    <w:rsid w:val="00C6111A"/>
    <w:rsid w:val="00C61801"/>
    <w:rsid w:val="00C618DF"/>
    <w:rsid w:val="00C62EEA"/>
    <w:rsid w:val="00C63268"/>
    <w:rsid w:val="00C6379F"/>
    <w:rsid w:val="00C63E97"/>
    <w:rsid w:val="00C6455A"/>
    <w:rsid w:val="00C64813"/>
    <w:rsid w:val="00C65030"/>
    <w:rsid w:val="00C65069"/>
    <w:rsid w:val="00C652A1"/>
    <w:rsid w:val="00C655E4"/>
    <w:rsid w:val="00C65738"/>
    <w:rsid w:val="00C6590A"/>
    <w:rsid w:val="00C65FFB"/>
    <w:rsid w:val="00C6610D"/>
    <w:rsid w:val="00C66663"/>
    <w:rsid w:val="00C66850"/>
    <w:rsid w:val="00C668D8"/>
    <w:rsid w:val="00C66AB6"/>
    <w:rsid w:val="00C66BCD"/>
    <w:rsid w:val="00C66E74"/>
    <w:rsid w:val="00C67029"/>
    <w:rsid w:val="00C670D6"/>
    <w:rsid w:val="00C67190"/>
    <w:rsid w:val="00C702C6"/>
    <w:rsid w:val="00C70B38"/>
    <w:rsid w:val="00C70B43"/>
    <w:rsid w:val="00C70E55"/>
    <w:rsid w:val="00C71616"/>
    <w:rsid w:val="00C71A56"/>
    <w:rsid w:val="00C729D1"/>
    <w:rsid w:val="00C73026"/>
    <w:rsid w:val="00C730CC"/>
    <w:rsid w:val="00C740F2"/>
    <w:rsid w:val="00C74A66"/>
    <w:rsid w:val="00C74EFA"/>
    <w:rsid w:val="00C7532A"/>
    <w:rsid w:val="00C753D4"/>
    <w:rsid w:val="00C75721"/>
    <w:rsid w:val="00C760A6"/>
    <w:rsid w:val="00C762B7"/>
    <w:rsid w:val="00C76464"/>
    <w:rsid w:val="00C76825"/>
    <w:rsid w:val="00C77B16"/>
    <w:rsid w:val="00C77C4B"/>
    <w:rsid w:val="00C77D50"/>
    <w:rsid w:val="00C805F6"/>
    <w:rsid w:val="00C80DC6"/>
    <w:rsid w:val="00C815E4"/>
    <w:rsid w:val="00C81CFF"/>
    <w:rsid w:val="00C8290C"/>
    <w:rsid w:val="00C82C7A"/>
    <w:rsid w:val="00C833BA"/>
    <w:rsid w:val="00C83C2C"/>
    <w:rsid w:val="00C8415F"/>
    <w:rsid w:val="00C841FE"/>
    <w:rsid w:val="00C842BC"/>
    <w:rsid w:val="00C847A9"/>
    <w:rsid w:val="00C8512B"/>
    <w:rsid w:val="00C858C8"/>
    <w:rsid w:val="00C85976"/>
    <w:rsid w:val="00C85A79"/>
    <w:rsid w:val="00C86242"/>
    <w:rsid w:val="00C86D64"/>
    <w:rsid w:val="00C87826"/>
    <w:rsid w:val="00C87CDD"/>
    <w:rsid w:val="00C909EE"/>
    <w:rsid w:val="00C90E27"/>
    <w:rsid w:val="00C910ED"/>
    <w:rsid w:val="00C914C9"/>
    <w:rsid w:val="00C9156F"/>
    <w:rsid w:val="00C91E57"/>
    <w:rsid w:val="00C922E8"/>
    <w:rsid w:val="00C93188"/>
    <w:rsid w:val="00C9388D"/>
    <w:rsid w:val="00C93D17"/>
    <w:rsid w:val="00C94EF3"/>
    <w:rsid w:val="00C952A9"/>
    <w:rsid w:val="00C9533A"/>
    <w:rsid w:val="00C9534F"/>
    <w:rsid w:val="00C95E98"/>
    <w:rsid w:val="00C95F67"/>
    <w:rsid w:val="00C961C0"/>
    <w:rsid w:val="00C965E4"/>
    <w:rsid w:val="00C965FB"/>
    <w:rsid w:val="00C9739A"/>
    <w:rsid w:val="00C97860"/>
    <w:rsid w:val="00CA00C4"/>
    <w:rsid w:val="00CA13BF"/>
    <w:rsid w:val="00CA13F7"/>
    <w:rsid w:val="00CA1463"/>
    <w:rsid w:val="00CA14DE"/>
    <w:rsid w:val="00CA1DC9"/>
    <w:rsid w:val="00CA2057"/>
    <w:rsid w:val="00CA22F1"/>
    <w:rsid w:val="00CA2A57"/>
    <w:rsid w:val="00CA2C4B"/>
    <w:rsid w:val="00CA30A9"/>
    <w:rsid w:val="00CA35EC"/>
    <w:rsid w:val="00CA376C"/>
    <w:rsid w:val="00CA3D36"/>
    <w:rsid w:val="00CA3EC4"/>
    <w:rsid w:val="00CA4249"/>
    <w:rsid w:val="00CA4991"/>
    <w:rsid w:val="00CA4A1E"/>
    <w:rsid w:val="00CA4EF3"/>
    <w:rsid w:val="00CA575F"/>
    <w:rsid w:val="00CA586A"/>
    <w:rsid w:val="00CA6F7C"/>
    <w:rsid w:val="00CA6F8A"/>
    <w:rsid w:val="00CA75F4"/>
    <w:rsid w:val="00CA7D1B"/>
    <w:rsid w:val="00CB0652"/>
    <w:rsid w:val="00CB0A8A"/>
    <w:rsid w:val="00CB138C"/>
    <w:rsid w:val="00CB1BD3"/>
    <w:rsid w:val="00CB21EF"/>
    <w:rsid w:val="00CB26B1"/>
    <w:rsid w:val="00CB2714"/>
    <w:rsid w:val="00CB2824"/>
    <w:rsid w:val="00CB2C75"/>
    <w:rsid w:val="00CB2F95"/>
    <w:rsid w:val="00CB30E7"/>
    <w:rsid w:val="00CB3270"/>
    <w:rsid w:val="00CB38BF"/>
    <w:rsid w:val="00CB4DA4"/>
    <w:rsid w:val="00CB557A"/>
    <w:rsid w:val="00CB6108"/>
    <w:rsid w:val="00CB644A"/>
    <w:rsid w:val="00CB64FF"/>
    <w:rsid w:val="00CB689E"/>
    <w:rsid w:val="00CB7071"/>
    <w:rsid w:val="00CB74F0"/>
    <w:rsid w:val="00CB75F9"/>
    <w:rsid w:val="00CB7D14"/>
    <w:rsid w:val="00CB7D9F"/>
    <w:rsid w:val="00CC07A1"/>
    <w:rsid w:val="00CC0824"/>
    <w:rsid w:val="00CC08D7"/>
    <w:rsid w:val="00CC0A9A"/>
    <w:rsid w:val="00CC0EA3"/>
    <w:rsid w:val="00CC156F"/>
    <w:rsid w:val="00CC1D08"/>
    <w:rsid w:val="00CC21F9"/>
    <w:rsid w:val="00CC2B9C"/>
    <w:rsid w:val="00CC326E"/>
    <w:rsid w:val="00CC32E7"/>
    <w:rsid w:val="00CC38EE"/>
    <w:rsid w:val="00CC4133"/>
    <w:rsid w:val="00CC566D"/>
    <w:rsid w:val="00CC6405"/>
    <w:rsid w:val="00CC6AA6"/>
    <w:rsid w:val="00CC6ACF"/>
    <w:rsid w:val="00CC722F"/>
    <w:rsid w:val="00CC726E"/>
    <w:rsid w:val="00CC7476"/>
    <w:rsid w:val="00CC75EE"/>
    <w:rsid w:val="00CC7785"/>
    <w:rsid w:val="00CD087C"/>
    <w:rsid w:val="00CD0BAE"/>
    <w:rsid w:val="00CD1017"/>
    <w:rsid w:val="00CD129C"/>
    <w:rsid w:val="00CD12BA"/>
    <w:rsid w:val="00CD181E"/>
    <w:rsid w:val="00CD2C45"/>
    <w:rsid w:val="00CD387C"/>
    <w:rsid w:val="00CD474C"/>
    <w:rsid w:val="00CD49B6"/>
    <w:rsid w:val="00CD52E8"/>
    <w:rsid w:val="00CD5589"/>
    <w:rsid w:val="00CD5CCC"/>
    <w:rsid w:val="00CD6B16"/>
    <w:rsid w:val="00CD6B5E"/>
    <w:rsid w:val="00CD7422"/>
    <w:rsid w:val="00CD76B9"/>
    <w:rsid w:val="00CD7E7A"/>
    <w:rsid w:val="00CE01D8"/>
    <w:rsid w:val="00CE035F"/>
    <w:rsid w:val="00CE0458"/>
    <w:rsid w:val="00CE06C1"/>
    <w:rsid w:val="00CE0950"/>
    <w:rsid w:val="00CE0FC5"/>
    <w:rsid w:val="00CE11D8"/>
    <w:rsid w:val="00CE1648"/>
    <w:rsid w:val="00CE1A90"/>
    <w:rsid w:val="00CE1B83"/>
    <w:rsid w:val="00CE1C5C"/>
    <w:rsid w:val="00CE1CA9"/>
    <w:rsid w:val="00CE1D26"/>
    <w:rsid w:val="00CE1E07"/>
    <w:rsid w:val="00CE200B"/>
    <w:rsid w:val="00CE231D"/>
    <w:rsid w:val="00CE2567"/>
    <w:rsid w:val="00CE2A65"/>
    <w:rsid w:val="00CE3037"/>
    <w:rsid w:val="00CE32AD"/>
    <w:rsid w:val="00CE3361"/>
    <w:rsid w:val="00CE3F49"/>
    <w:rsid w:val="00CE49B0"/>
    <w:rsid w:val="00CE4EA8"/>
    <w:rsid w:val="00CE5261"/>
    <w:rsid w:val="00CE584B"/>
    <w:rsid w:val="00CE5A0A"/>
    <w:rsid w:val="00CE691A"/>
    <w:rsid w:val="00CE6C5C"/>
    <w:rsid w:val="00CE72F6"/>
    <w:rsid w:val="00CE7FE3"/>
    <w:rsid w:val="00CE7FF2"/>
    <w:rsid w:val="00CF0E5A"/>
    <w:rsid w:val="00CF0E8B"/>
    <w:rsid w:val="00CF1090"/>
    <w:rsid w:val="00CF12DA"/>
    <w:rsid w:val="00CF1AB9"/>
    <w:rsid w:val="00CF1B03"/>
    <w:rsid w:val="00CF1B1E"/>
    <w:rsid w:val="00CF1DEE"/>
    <w:rsid w:val="00CF1E58"/>
    <w:rsid w:val="00CF1F79"/>
    <w:rsid w:val="00CF2B1C"/>
    <w:rsid w:val="00CF2B8E"/>
    <w:rsid w:val="00CF35B6"/>
    <w:rsid w:val="00CF39B2"/>
    <w:rsid w:val="00CF3E3D"/>
    <w:rsid w:val="00CF3F86"/>
    <w:rsid w:val="00CF4060"/>
    <w:rsid w:val="00CF52EB"/>
    <w:rsid w:val="00CF585D"/>
    <w:rsid w:val="00CF5CA8"/>
    <w:rsid w:val="00CF72BD"/>
    <w:rsid w:val="00CF767E"/>
    <w:rsid w:val="00CF7873"/>
    <w:rsid w:val="00CF78C0"/>
    <w:rsid w:val="00D015A8"/>
    <w:rsid w:val="00D01C36"/>
    <w:rsid w:val="00D024F9"/>
    <w:rsid w:val="00D027F9"/>
    <w:rsid w:val="00D032AA"/>
    <w:rsid w:val="00D03A3E"/>
    <w:rsid w:val="00D03A5B"/>
    <w:rsid w:val="00D03AC4"/>
    <w:rsid w:val="00D03B1A"/>
    <w:rsid w:val="00D03E97"/>
    <w:rsid w:val="00D040BB"/>
    <w:rsid w:val="00D056E9"/>
    <w:rsid w:val="00D05CB6"/>
    <w:rsid w:val="00D05CF8"/>
    <w:rsid w:val="00D06325"/>
    <w:rsid w:val="00D07684"/>
    <w:rsid w:val="00D076A6"/>
    <w:rsid w:val="00D07F59"/>
    <w:rsid w:val="00D103FF"/>
    <w:rsid w:val="00D104B2"/>
    <w:rsid w:val="00D10986"/>
    <w:rsid w:val="00D111BC"/>
    <w:rsid w:val="00D115FC"/>
    <w:rsid w:val="00D11BB2"/>
    <w:rsid w:val="00D12C8B"/>
    <w:rsid w:val="00D12F1F"/>
    <w:rsid w:val="00D13207"/>
    <w:rsid w:val="00D13358"/>
    <w:rsid w:val="00D1342C"/>
    <w:rsid w:val="00D13809"/>
    <w:rsid w:val="00D13AE6"/>
    <w:rsid w:val="00D142FA"/>
    <w:rsid w:val="00D14873"/>
    <w:rsid w:val="00D14C06"/>
    <w:rsid w:val="00D14DAF"/>
    <w:rsid w:val="00D14E77"/>
    <w:rsid w:val="00D1564A"/>
    <w:rsid w:val="00D156E5"/>
    <w:rsid w:val="00D15AF0"/>
    <w:rsid w:val="00D16024"/>
    <w:rsid w:val="00D16747"/>
    <w:rsid w:val="00D16BA9"/>
    <w:rsid w:val="00D175C7"/>
    <w:rsid w:val="00D17E09"/>
    <w:rsid w:val="00D20886"/>
    <w:rsid w:val="00D209C5"/>
    <w:rsid w:val="00D20A09"/>
    <w:rsid w:val="00D20F34"/>
    <w:rsid w:val="00D21295"/>
    <w:rsid w:val="00D2187E"/>
    <w:rsid w:val="00D2211E"/>
    <w:rsid w:val="00D2272A"/>
    <w:rsid w:val="00D22E00"/>
    <w:rsid w:val="00D22EF6"/>
    <w:rsid w:val="00D23712"/>
    <w:rsid w:val="00D251E6"/>
    <w:rsid w:val="00D259B0"/>
    <w:rsid w:val="00D25ACE"/>
    <w:rsid w:val="00D25F4C"/>
    <w:rsid w:val="00D26097"/>
    <w:rsid w:val="00D261C5"/>
    <w:rsid w:val="00D26391"/>
    <w:rsid w:val="00D2651B"/>
    <w:rsid w:val="00D2699D"/>
    <w:rsid w:val="00D26C62"/>
    <w:rsid w:val="00D2710F"/>
    <w:rsid w:val="00D27747"/>
    <w:rsid w:val="00D27BF7"/>
    <w:rsid w:val="00D30729"/>
    <w:rsid w:val="00D30EAF"/>
    <w:rsid w:val="00D314F6"/>
    <w:rsid w:val="00D3187F"/>
    <w:rsid w:val="00D31A4F"/>
    <w:rsid w:val="00D31D6C"/>
    <w:rsid w:val="00D31D99"/>
    <w:rsid w:val="00D32083"/>
    <w:rsid w:val="00D32B3C"/>
    <w:rsid w:val="00D32CDD"/>
    <w:rsid w:val="00D32E0D"/>
    <w:rsid w:val="00D3314E"/>
    <w:rsid w:val="00D3326D"/>
    <w:rsid w:val="00D33977"/>
    <w:rsid w:val="00D34097"/>
    <w:rsid w:val="00D34374"/>
    <w:rsid w:val="00D34AAD"/>
    <w:rsid w:val="00D3544C"/>
    <w:rsid w:val="00D3591C"/>
    <w:rsid w:val="00D35B70"/>
    <w:rsid w:val="00D35F75"/>
    <w:rsid w:val="00D3719F"/>
    <w:rsid w:val="00D371C8"/>
    <w:rsid w:val="00D37742"/>
    <w:rsid w:val="00D4061B"/>
    <w:rsid w:val="00D406D5"/>
    <w:rsid w:val="00D40F25"/>
    <w:rsid w:val="00D42556"/>
    <w:rsid w:val="00D431DA"/>
    <w:rsid w:val="00D43450"/>
    <w:rsid w:val="00D43D75"/>
    <w:rsid w:val="00D43F48"/>
    <w:rsid w:val="00D43F90"/>
    <w:rsid w:val="00D44156"/>
    <w:rsid w:val="00D44198"/>
    <w:rsid w:val="00D445B3"/>
    <w:rsid w:val="00D453B5"/>
    <w:rsid w:val="00D45977"/>
    <w:rsid w:val="00D45CEF"/>
    <w:rsid w:val="00D4640F"/>
    <w:rsid w:val="00D46DBF"/>
    <w:rsid w:val="00D46F26"/>
    <w:rsid w:val="00D472FC"/>
    <w:rsid w:val="00D47591"/>
    <w:rsid w:val="00D47982"/>
    <w:rsid w:val="00D5022C"/>
    <w:rsid w:val="00D50F4A"/>
    <w:rsid w:val="00D51089"/>
    <w:rsid w:val="00D512E6"/>
    <w:rsid w:val="00D52173"/>
    <w:rsid w:val="00D5228C"/>
    <w:rsid w:val="00D52743"/>
    <w:rsid w:val="00D52E06"/>
    <w:rsid w:val="00D53650"/>
    <w:rsid w:val="00D543D2"/>
    <w:rsid w:val="00D5459F"/>
    <w:rsid w:val="00D54859"/>
    <w:rsid w:val="00D553C7"/>
    <w:rsid w:val="00D5648F"/>
    <w:rsid w:val="00D5651D"/>
    <w:rsid w:val="00D566C2"/>
    <w:rsid w:val="00D56981"/>
    <w:rsid w:val="00D56BD6"/>
    <w:rsid w:val="00D56D76"/>
    <w:rsid w:val="00D5708A"/>
    <w:rsid w:val="00D57B21"/>
    <w:rsid w:val="00D57B9A"/>
    <w:rsid w:val="00D60190"/>
    <w:rsid w:val="00D602D3"/>
    <w:rsid w:val="00D6059E"/>
    <w:rsid w:val="00D605A5"/>
    <w:rsid w:val="00D606A0"/>
    <w:rsid w:val="00D607F6"/>
    <w:rsid w:val="00D60A2F"/>
    <w:rsid w:val="00D60DAB"/>
    <w:rsid w:val="00D61A8A"/>
    <w:rsid w:val="00D61E9A"/>
    <w:rsid w:val="00D62369"/>
    <w:rsid w:val="00D623AA"/>
    <w:rsid w:val="00D62591"/>
    <w:rsid w:val="00D62A24"/>
    <w:rsid w:val="00D62FAC"/>
    <w:rsid w:val="00D635B0"/>
    <w:rsid w:val="00D636F2"/>
    <w:rsid w:val="00D637A9"/>
    <w:rsid w:val="00D63BE1"/>
    <w:rsid w:val="00D65280"/>
    <w:rsid w:val="00D65847"/>
    <w:rsid w:val="00D6616F"/>
    <w:rsid w:val="00D664F1"/>
    <w:rsid w:val="00D6699B"/>
    <w:rsid w:val="00D7009E"/>
    <w:rsid w:val="00D70B3B"/>
    <w:rsid w:val="00D70C63"/>
    <w:rsid w:val="00D710C5"/>
    <w:rsid w:val="00D7132D"/>
    <w:rsid w:val="00D71705"/>
    <w:rsid w:val="00D71888"/>
    <w:rsid w:val="00D71B45"/>
    <w:rsid w:val="00D722C1"/>
    <w:rsid w:val="00D72437"/>
    <w:rsid w:val="00D726A5"/>
    <w:rsid w:val="00D727AC"/>
    <w:rsid w:val="00D72AC2"/>
    <w:rsid w:val="00D72CAE"/>
    <w:rsid w:val="00D73EC5"/>
    <w:rsid w:val="00D742D6"/>
    <w:rsid w:val="00D74660"/>
    <w:rsid w:val="00D74797"/>
    <w:rsid w:val="00D74968"/>
    <w:rsid w:val="00D749D2"/>
    <w:rsid w:val="00D74D9B"/>
    <w:rsid w:val="00D750A2"/>
    <w:rsid w:val="00D75650"/>
    <w:rsid w:val="00D756A3"/>
    <w:rsid w:val="00D756E8"/>
    <w:rsid w:val="00D75E97"/>
    <w:rsid w:val="00D8000D"/>
    <w:rsid w:val="00D801EB"/>
    <w:rsid w:val="00D805CD"/>
    <w:rsid w:val="00D80747"/>
    <w:rsid w:val="00D8099F"/>
    <w:rsid w:val="00D809FF"/>
    <w:rsid w:val="00D80E48"/>
    <w:rsid w:val="00D810F2"/>
    <w:rsid w:val="00D81285"/>
    <w:rsid w:val="00D81B9A"/>
    <w:rsid w:val="00D822C6"/>
    <w:rsid w:val="00D824C0"/>
    <w:rsid w:val="00D82890"/>
    <w:rsid w:val="00D83944"/>
    <w:rsid w:val="00D843D6"/>
    <w:rsid w:val="00D85237"/>
    <w:rsid w:val="00D85475"/>
    <w:rsid w:val="00D85487"/>
    <w:rsid w:val="00D8550C"/>
    <w:rsid w:val="00D85A2F"/>
    <w:rsid w:val="00D86605"/>
    <w:rsid w:val="00D86C22"/>
    <w:rsid w:val="00D87433"/>
    <w:rsid w:val="00D8797F"/>
    <w:rsid w:val="00D87BDC"/>
    <w:rsid w:val="00D9006D"/>
    <w:rsid w:val="00D90406"/>
    <w:rsid w:val="00D9096B"/>
    <w:rsid w:val="00D90B27"/>
    <w:rsid w:val="00D90D1C"/>
    <w:rsid w:val="00D90D5C"/>
    <w:rsid w:val="00D90ED4"/>
    <w:rsid w:val="00D90F6A"/>
    <w:rsid w:val="00D90FF0"/>
    <w:rsid w:val="00D91838"/>
    <w:rsid w:val="00D920E8"/>
    <w:rsid w:val="00D92722"/>
    <w:rsid w:val="00D92BF2"/>
    <w:rsid w:val="00D93016"/>
    <w:rsid w:val="00D93295"/>
    <w:rsid w:val="00D9335B"/>
    <w:rsid w:val="00D93DAF"/>
    <w:rsid w:val="00D941AE"/>
    <w:rsid w:val="00D94E5E"/>
    <w:rsid w:val="00D94F2C"/>
    <w:rsid w:val="00D9542A"/>
    <w:rsid w:val="00D955FE"/>
    <w:rsid w:val="00D957CF"/>
    <w:rsid w:val="00D95CCC"/>
    <w:rsid w:val="00D96138"/>
    <w:rsid w:val="00D965AB"/>
    <w:rsid w:val="00D96B07"/>
    <w:rsid w:val="00D96BD2"/>
    <w:rsid w:val="00D974EC"/>
    <w:rsid w:val="00D97594"/>
    <w:rsid w:val="00DA002B"/>
    <w:rsid w:val="00DA0351"/>
    <w:rsid w:val="00DA0417"/>
    <w:rsid w:val="00DA059A"/>
    <w:rsid w:val="00DA0676"/>
    <w:rsid w:val="00DA08F0"/>
    <w:rsid w:val="00DA0F27"/>
    <w:rsid w:val="00DA156A"/>
    <w:rsid w:val="00DA1AD4"/>
    <w:rsid w:val="00DA1DA8"/>
    <w:rsid w:val="00DA22C1"/>
    <w:rsid w:val="00DA24B0"/>
    <w:rsid w:val="00DA2582"/>
    <w:rsid w:val="00DA2694"/>
    <w:rsid w:val="00DA362D"/>
    <w:rsid w:val="00DA3B5E"/>
    <w:rsid w:val="00DA3CF1"/>
    <w:rsid w:val="00DA449A"/>
    <w:rsid w:val="00DA4B0E"/>
    <w:rsid w:val="00DA50E4"/>
    <w:rsid w:val="00DA590B"/>
    <w:rsid w:val="00DA5BEB"/>
    <w:rsid w:val="00DA6BFD"/>
    <w:rsid w:val="00DA6D82"/>
    <w:rsid w:val="00DA7423"/>
    <w:rsid w:val="00DA7645"/>
    <w:rsid w:val="00DA7D02"/>
    <w:rsid w:val="00DA7E15"/>
    <w:rsid w:val="00DA7FC8"/>
    <w:rsid w:val="00DB0044"/>
    <w:rsid w:val="00DB0284"/>
    <w:rsid w:val="00DB02FF"/>
    <w:rsid w:val="00DB089C"/>
    <w:rsid w:val="00DB10BD"/>
    <w:rsid w:val="00DB1379"/>
    <w:rsid w:val="00DB1433"/>
    <w:rsid w:val="00DB197C"/>
    <w:rsid w:val="00DB1AAF"/>
    <w:rsid w:val="00DB1DB6"/>
    <w:rsid w:val="00DB252C"/>
    <w:rsid w:val="00DB26B5"/>
    <w:rsid w:val="00DB273A"/>
    <w:rsid w:val="00DB3AA0"/>
    <w:rsid w:val="00DB3C49"/>
    <w:rsid w:val="00DB41B9"/>
    <w:rsid w:val="00DB42C2"/>
    <w:rsid w:val="00DB444B"/>
    <w:rsid w:val="00DB4628"/>
    <w:rsid w:val="00DB4714"/>
    <w:rsid w:val="00DB4788"/>
    <w:rsid w:val="00DB4A48"/>
    <w:rsid w:val="00DB4B85"/>
    <w:rsid w:val="00DB4D04"/>
    <w:rsid w:val="00DB510A"/>
    <w:rsid w:val="00DB5178"/>
    <w:rsid w:val="00DB5386"/>
    <w:rsid w:val="00DB5ABE"/>
    <w:rsid w:val="00DB6292"/>
    <w:rsid w:val="00DB640A"/>
    <w:rsid w:val="00DB67E7"/>
    <w:rsid w:val="00DB68BB"/>
    <w:rsid w:val="00DB7F10"/>
    <w:rsid w:val="00DB7F3B"/>
    <w:rsid w:val="00DC1524"/>
    <w:rsid w:val="00DC1889"/>
    <w:rsid w:val="00DC1A3C"/>
    <w:rsid w:val="00DC1CA3"/>
    <w:rsid w:val="00DC2332"/>
    <w:rsid w:val="00DC2A33"/>
    <w:rsid w:val="00DC3214"/>
    <w:rsid w:val="00DC3579"/>
    <w:rsid w:val="00DC3CC2"/>
    <w:rsid w:val="00DC3E0F"/>
    <w:rsid w:val="00DC43AE"/>
    <w:rsid w:val="00DC466F"/>
    <w:rsid w:val="00DC4841"/>
    <w:rsid w:val="00DC4B77"/>
    <w:rsid w:val="00DC4F62"/>
    <w:rsid w:val="00DC4F97"/>
    <w:rsid w:val="00DC51EE"/>
    <w:rsid w:val="00DC5533"/>
    <w:rsid w:val="00DC5770"/>
    <w:rsid w:val="00DC59D7"/>
    <w:rsid w:val="00DC5C35"/>
    <w:rsid w:val="00DC63D7"/>
    <w:rsid w:val="00DC65CE"/>
    <w:rsid w:val="00DC6E13"/>
    <w:rsid w:val="00DC6E1B"/>
    <w:rsid w:val="00DC7EBE"/>
    <w:rsid w:val="00DC7FD5"/>
    <w:rsid w:val="00DD0020"/>
    <w:rsid w:val="00DD12EF"/>
    <w:rsid w:val="00DD158F"/>
    <w:rsid w:val="00DD16FB"/>
    <w:rsid w:val="00DD235A"/>
    <w:rsid w:val="00DD2381"/>
    <w:rsid w:val="00DD2B1D"/>
    <w:rsid w:val="00DD302D"/>
    <w:rsid w:val="00DD3821"/>
    <w:rsid w:val="00DD3882"/>
    <w:rsid w:val="00DD391B"/>
    <w:rsid w:val="00DD45D3"/>
    <w:rsid w:val="00DD48F3"/>
    <w:rsid w:val="00DD4E0C"/>
    <w:rsid w:val="00DD52C9"/>
    <w:rsid w:val="00DD5A2A"/>
    <w:rsid w:val="00DD662B"/>
    <w:rsid w:val="00DD6C92"/>
    <w:rsid w:val="00DD75E8"/>
    <w:rsid w:val="00DE0011"/>
    <w:rsid w:val="00DE01AB"/>
    <w:rsid w:val="00DE0B85"/>
    <w:rsid w:val="00DE12BD"/>
    <w:rsid w:val="00DE1532"/>
    <w:rsid w:val="00DE179B"/>
    <w:rsid w:val="00DE1DCD"/>
    <w:rsid w:val="00DE292D"/>
    <w:rsid w:val="00DE2AA3"/>
    <w:rsid w:val="00DE30D1"/>
    <w:rsid w:val="00DE3B74"/>
    <w:rsid w:val="00DE40F7"/>
    <w:rsid w:val="00DE4104"/>
    <w:rsid w:val="00DE463C"/>
    <w:rsid w:val="00DE47DF"/>
    <w:rsid w:val="00DE4D21"/>
    <w:rsid w:val="00DE556C"/>
    <w:rsid w:val="00DE5EA6"/>
    <w:rsid w:val="00DE5F41"/>
    <w:rsid w:val="00DE61FB"/>
    <w:rsid w:val="00DE6B6A"/>
    <w:rsid w:val="00DE730F"/>
    <w:rsid w:val="00DE731D"/>
    <w:rsid w:val="00DE7A1D"/>
    <w:rsid w:val="00DF0A8D"/>
    <w:rsid w:val="00DF0E97"/>
    <w:rsid w:val="00DF11F0"/>
    <w:rsid w:val="00DF12A4"/>
    <w:rsid w:val="00DF1956"/>
    <w:rsid w:val="00DF1A7B"/>
    <w:rsid w:val="00DF1AD2"/>
    <w:rsid w:val="00DF1C90"/>
    <w:rsid w:val="00DF1D62"/>
    <w:rsid w:val="00DF2170"/>
    <w:rsid w:val="00DF2FC2"/>
    <w:rsid w:val="00DF3D62"/>
    <w:rsid w:val="00DF4958"/>
    <w:rsid w:val="00DF572E"/>
    <w:rsid w:val="00DF5743"/>
    <w:rsid w:val="00DF596A"/>
    <w:rsid w:val="00DF5A6D"/>
    <w:rsid w:val="00DF64C6"/>
    <w:rsid w:val="00DF64F0"/>
    <w:rsid w:val="00DF65C0"/>
    <w:rsid w:val="00DF6DA6"/>
    <w:rsid w:val="00DF708D"/>
    <w:rsid w:val="00DF7EB8"/>
    <w:rsid w:val="00E0031E"/>
    <w:rsid w:val="00E00FD5"/>
    <w:rsid w:val="00E01956"/>
    <w:rsid w:val="00E01CF2"/>
    <w:rsid w:val="00E02047"/>
    <w:rsid w:val="00E023E5"/>
    <w:rsid w:val="00E02837"/>
    <w:rsid w:val="00E02C62"/>
    <w:rsid w:val="00E04347"/>
    <w:rsid w:val="00E043AD"/>
    <w:rsid w:val="00E0443C"/>
    <w:rsid w:val="00E0477C"/>
    <w:rsid w:val="00E04B4F"/>
    <w:rsid w:val="00E066E8"/>
    <w:rsid w:val="00E06FD6"/>
    <w:rsid w:val="00E074C1"/>
    <w:rsid w:val="00E07B79"/>
    <w:rsid w:val="00E07CDC"/>
    <w:rsid w:val="00E1006A"/>
    <w:rsid w:val="00E105B9"/>
    <w:rsid w:val="00E1079E"/>
    <w:rsid w:val="00E10A6F"/>
    <w:rsid w:val="00E10F6A"/>
    <w:rsid w:val="00E1101B"/>
    <w:rsid w:val="00E112FA"/>
    <w:rsid w:val="00E12298"/>
    <w:rsid w:val="00E12CED"/>
    <w:rsid w:val="00E13191"/>
    <w:rsid w:val="00E13D2C"/>
    <w:rsid w:val="00E13D90"/>
    <w:rsid w:val="00E13EE3"/>
    <w:rsid w:val="00E148CD"/>
    <w:rsid w:val="00E14E22"/>
    <w:rsid w:val="00E14FF5"/>
    <w:rsid w:val="00E15713"/>
    <w:rsid w:val="00E15AD8"/>
    <w:rsid w:val="00E16580"/>
    <w:rsid w:val="00E16682"/>
    <w:rsid w:val="00E1678A"/>
    <w:rsid w:val="00E17115"/>
    <w:rsid w:val="00E17549"/>
    <w:rsid w:val="00E17751"/>
    <w:rsid w:val="00E17BAE"/>
    <w:rsid w:val="00E17E85"/>
    <w:rsid w:val="00E17E99"/>
    <w:rsid w:val="00E2002A"/>
    <w:rsid w:val="00E2055A"/>
    <w:rsid w:val="00E21C45"/>
    <w:rsid w:val="00E21F2D"/>
    <w:rsid w:val="00E22A26"/>
    <w:rsid w:val="00E22C7F"/>
    <w:rsid w:val="00E22DD9"/>
    <w:rsid w:val="00E2336E"/>
    <w:rsid w:val="00E23655"/>
    <w:rsid w:val="00E23AB9"/>
    <w:rsid w:val="00E23AC4"/>
    <w:rsid w:val="00E23ED2"/>
    <w:rsid w:val="00E247EE"/>
    <w:rsid w:val="00E24EF0"/>
    <w:rsid w:val="00E256F7"/>
    <w:rsid w:val="00E25995"/>
    <w:rsid w:val="00E25D57"/>
    <w:rsid w:val="00E26257"/>
    <w:rsid w:val="00E26384"/>
    <w:rsid w:val="00E264AD"/>
    <w:rsid w:val="00E27074"/>
    <w:rsid w:val="00E27E1C"/>
    <w:rsid w:val="00E300F2"/>
    <w:rsid w:val="00E3023B"/>
    <w:rsid w:val="00E31800"/>
    <w:rsid w:val="00E31966"/>
    <w:rsid w:val="00E3203D"/>
    <w:rsid w:val="00E32AE4"/>
    <w:rsid w:val="00E32D6A"/>
    <w:rsid w:val="00E33396"/>
    <w:rsid w:val="00E335C5"/>
    <w:rsid w:val="00E33D24"/>
    <w:rsid w:val="00E33E8E"/>
    <w:rsid w:val="00E34706"/>
    <w:rsid w:val="00E34ABC"/>
    <w:rsid w:val="00E34ED4"/>
    <w:rsid w:val="00E350F2"/>
    <w:rsid w:val="00E351ED"/>
    <w:rsid w:val="00E35580"/>
    <w:rsid w:val="00E3635D"/>
    <w:rsid w:val="00E36470"/>
    <w:rsid w:val="00E36630"/>
    <w:rsid w:val="00E36DD5"/>
    <w:rsid w:val="00E3751A"/>
    <w:rsid w:val="00E376C3"/>
    <w:rsid w:val="00E377A6"/>
    <w:rsid w:val="00E37A2F"/>
    <w:rsid w:val="00E4005E"/>
    <w:rsid w:val="00E40A1E"/>
    <w:rsid w:val="00E415EF"/>
    <w:rsid w:val="00E41969"/>
    <w:rsid w:val="00E41CF2"/>
    <w:rsid w:val="00E41D23"/>
    <w:rsid w:val="00E4297F"/>
    <w:rsid w:val="00E42E19"/>
    <w:rsid w:val="00E438F7"/>
    <w:rsid w:val="00E43E29"/>
    <w:rsid w:val="00E43EE5"/>
    <w:rsid w:val="00E44ACD"/>
    <w:rsid w:val="00E44CB9"/>
    <w:rsid w:val="00E45343"/>
    <w:rsid w:val="00E4582A"/>
    <w:rsid w:val="00E45B97"/>
    <w:rsid w:val="00E46059"/>
    <w:rsid w:val="00E466D3"/>
    <w:rsid w:val="00E46852"/>
    <w:rsid w:val="00E468AD"/>
    <w:rsid w:val="00E46AB1"/>
    <w:rsid w:val="00E46B49"/>
    <w:rsid w:val="00E476C1"/>
    <w:rsid w:val="00E479FF"/>
    <w:rsid w:val="00E47DCC"/>
    <w:rsid w:val="00E47F8E"/>
    <w:rsid w:val="00E506C9"/>
    <w:rsid w:val="00E51392"/>
    <w:rsid w:val="00E515B1"/>
    <w:rsid w:val="00E51662"/>
    <w:rsid w:val="00E51EC2"/>
    <w:rsid w:val="00E5269A"/>
    <w:rsid w:val="00E5333D"/>
    <w:rsid w:val="00E535D1"/>
    <w:rsid w:val="00E536FC"/>
    <w:rsid w:val="00E53AA6"/>
    <w:rsid w:val="00E53C6C"/>
    <w:rsid w:val="00E53CB2"/>
    <w:rsid w:val="00E53D6A"/>
    <w:rsid w:val="00E54898"/>
    <w:rsid w:val="00E55558"/>
    <w:rsid w:val="00E5563A"/>
    <w:rsid w:val="00E55680"/>
    <w:rsid w:val="00E55BB8"/>
    <w:rsid w:val="00E56344"/>
    <w:rsid w:val="00E56A9D"/>
    <w:rsid w:val="00E56F59"/>
    <w:rsid w:val="00E571CF"/>
    <w:rsid w:val="00E5757E"/>
    <w:rsid w:val="00E57E87"/>
    <w:rsid w:val="00E60733"/>
    <w:rsid w:val="00E60DE1"/>
    <w:rsid w:val="00E61076"/>
    <w:rsid w:val="00E612D8"/>
    <w:rsid w:val="00E61812"/>
    <w:rsid w:val="00E62CF0"/>
    <w:rsid w:val="00E62D31"/>
    <w:rsid w:val="00E62E5D"/>
    <w:rsid w:val="00E633C8"/>
    <w:rsid w:val="00E64517"/>
    <w:rsid w:val="00E65073"/>
    <w:rsid w:val="00E65E8C"/>
    <w:rsid w:val="00E66265"/>
    <w:rsid w:val="00E66800"/>
    <w:rsid w:val="00E66D78"/>
    <w:rsid w:val="00E66DD7"/>
    <w:rsid w:val="00E673C1"/>
    <w:rsid w:val="00E67C5C"/>
    <w:rsid w:val="00E67E55"/>
    <w:rsid w:val="00E70504"/>
    <w:rsid w:val="00E70783"/>
    <w:rsid w:val="00E70E05"/>
    <w:rsid w:val="00E71198"/>
    <w:rsid w:val="00E71651"/>
    <w:rsid w:val="00E71E4F"/>
    <w:rsid w:val="00E72486"/>
    <w:rsid w:val="00E724EF"/>
    <w:rsid w:val="00E7264E"/>
    <w:rsid w:val="00E72651"/>
    <w:rsid w:val="00E72EF6"/>
    <w:rsid w:val="00E7303B"/>
    <w:rsid w:val="00E73957"/>
    <w:rsid w:val="00E73C90"/>
    <w:rsid w:val="00E73D3A"/>
    <w:rsid w:val="00E7412C"/>
    <w:rsid w:val="00E743A1"/>
    <w:rsid w:val="00E74BC5"/>
    <w:rsid w:val="00E74ED9"/>
    <w:rsid w:val="00E74F05"/>
    <w:rsid w:val="00E74F06"/>
    <w:rsid w:val="00E74F33"/>
    <w:rsid w:val="00E7518B"/>
    <w:rsid w:val="00E7593F"/>
    <w:rsid w:val="00E76497"/>
    <w:rsid w:val="00E765E0"/>
    <w:rsid w:val="00E76C33"/>
    <w:rsid w:val="00E8011B"/>
    <w:rsid w:val="00E801FE"/>
    <w:rsid w:val="00E80768"/>
    <w:rsid w:val="00E808ED"/>
    <w:rsid w:val="00E80E1E"/>
    <w:rsid w:val="00E80EB1"/>
    <w:rsid w:val="00E81220"/>
    <w:rsid w:val="00E82135"/>
    <w:rsid w:val="00E82862"/>
    <w:rsid w:val="00E82CA0"/>
    <w:rsid w:val="00E82E17"/>
    <w:rsid w:val="00E84AD4"/>
    <w:rsid w:val="00E84E2F"/>
    <w:rsid w:val="00E8534F"/>
    <w:rsid w:val="00E854EA"/>
    <w:rsid w:val="00E85EC9"/>
    <w:rsid w:val="00E85F05"/>
    <w:rsid w:val="00E86BAE"/>
    <w:rsid w:val="00E876A3"/>
    <w:rsid w:val="00E87DC5"/>
    <w:rsid w:val="00E90055"/>
    <w:rsid w:val="00E903A5"/>
    <w:rsid w:val="00E90A19"/>
    <w:rsid w:val="00E90A4D"/>
    <w:rsid w:val="00E91460"/>
    <w:rsid w:val="00E915F1"/>
    <w:rsid w:val="00E91C42"/>
    <w:rsid w:val="00E92341"/>
    <w:rsid w:val="00E93086"/>
    <w:rsid w:val="00E93599"/>
    <w:rsid w:val="00E93635"/>
    <w:rsid w:val="00E93BF3"/>
    <w:rsid w:val="00E941E4"/>
    <w:rsid w:val="00E94F06"/>
    <w:rsid w:val="00E95243"/>
    <w:rsid w:val="00E953D6"/>
    <w:rsid w:val="00E956CB"/>
    <w:rsid w:val="00E95968"/>
    <w:rsid w:val="00E95BE2"/>
    <w:rsid w:val="00E960B8"/>
    <w:rsid w:val="00E96AEE"/>
    <w:rsid w:val="00E96D1C"/>
    <w:rsid w:val="00E977CB"/>
    <w:rsid w:val="00E977CE"/>
    <w:rsid w:val="00E97990"/>
    <w:rsid w:val="00E97ADD"/>
    <w:rsid w:val="00E97D2F"/>
    <w:rsid w:val="00E97EA7"/>
    <w:rsid w:val="00E97FB1"/>
    <w:rsid w:val="00EA0514"/>
    <w:rsid w:val="00EA093F"/>
    <w:rsid w:val="00EA0B54"/>
    <w:rsid w:val="00EA0C4B"/>
    <w:rsid w:val="00EA1266"/>
    <w:rsid w:val="00EA1514"/>
    <w:rsid w:val="00EA16E1"/>
    <w:rsid w:val="00EA1767"/>
    <w:rsid w:val="00EA1D3A"/>
    <w:rsid w:val="00EA1F8E"/>
    <w:rsid w:val="00EA2360"/>
    <w:rsid w:val="00EA272B"/>
    <w:rsid w:val="00EA274B"/>
    <w:rsid w:val="00EA276F"/>
    <w:rsid w:val="00EA2AA3"/>
    <w:rsid w:val="00EA2C05"/>
    <w:rsid w:val="00EA2F5D"/>
    <w:rsid w:val="00EA301E"/>
    <w:rsid w:val="00EA37F7"/>
    <w:rsid w:val="00EA3BA1"/>
    <w:rsid w:val="00EA449C"/>
    <w:rsid w:val="00EA4F1E"/>
    <w:rsid w:val="00EA4F7D"/>
    <w:rsid w:val="00EA5F9C"/>
    <w:rsid w:val="00EA633B"/>
    <w:rsid w:val="00EA659C"/>
    <w:rsid w:val="00EA694F"/>
    <w:rsid w:val="00EA7206"/>
    <w:rsid w:val="00EA7C32"/>
    <w:rsid w:val="00EB0A68"/>
    <w:rsid w:val="00EB0E6A"/>
    <w:rsid w:val="00EB0FE6"/>
    <w:rsid w:val="00EB11EB"/>
    <w:rsid w:val="00EB16EB"/>
    <w:rsid w:val="00EB182C"/>
    <w:rsid w:val="00EB19D9"/>
    <w:rsid w:val="00EB2287"/>
    <w:rsid w:val="00EB243B"/>
    <w:rsid w:val="00EB269D"/>
    <w:rsid w:val="00EB30E8"/>
    <w:rsid w:val="00EB344E"/>
    <w:rsid w:val="00EB45D7"/>
    <w:rsid w:val="00EB47B3"/>
    <w:rsid w:val="00EB4926"/>
    <w:rsid w:val="00EB4B58"/>
    <w:rsid w:val="00EB4DDC"/>
    <w:rsid w:val="00EB4E5F"/>
    <w:rsid w:val="00EB5197"/>
    <w:rsid w:val="00EB5629"/>
    <w:rsid w:val="00EB5734"/>
    <w:rsid w:val="00EB65AF"/>
    <w:rsid w:val="00EB72B4"/>
    <w:rsid w:val="00EB75EB"/>
    <w:rsid w:val="00EB7605"/>
    <w:rsid w:val="00EB76CB"/>
    <w:rsid w:val="00EC0005"/>
    <w:rsid w:val="00EC055C"/>
    <w:rsid w:val="00EC089D"/>
    <w:rsid w:val="00EC0DD3"/>
    <w:rsid w:val="00EC101A"/>
    <w:rsid w:val="00EC101F"/>
    <w:rsid w:val="00EC1394"/>
    <w:rsid w:val="00EC20D7"/>
    <w:rsid w:val="00EC226A"/>
    <w:rsid w:val="00EC229B"/>
    <w:rsid w:val="00EC235C"/>
    <w:rsid w:val="00EC239B"/>
    <w:rsid w:val="00EC2480"/>
    <w:rsid w:val="00EC28DD"/>
    <w:rsid w:val="00EC2BB6"/>
    <w:rsid w:val="00EC2EE6"/>
    <w:rsid w:val="00EC3012"/>
    <w:rsid w:val="00EC3713"/>
    <w:rsid w:val="00EC37A0"/>
    <w:rsid w:val="00EC3FA5"/>
    <w:rsid w:val="00EC404D"/>
    <w:rsid w:val="00EC4F34"/>
    <w:rsid w:val="00EC5503"/>
    <w:rsid w:val="00EC552D"/>
    <w:rsid w:val="00EC5574"/>
    <w:rsid w:val="00EC5B93"/>
    <w:rsid w:val="00EC774B"/>
    <w:rsid w:val="00EC7C27"/>
    <w:rsid w:val="00ED1308"/>
    <w:rsid w:val="00ED13EB"/>
    <w:rsid w:val="00ED1441"/>
    <w:rsid w:val="00ED1462"/>
    <w:rsid w:val="00ED14A1"/>
    <w:rsid w:val="00ED17FA"/>
    <w:rsid w:val="00ED1856"/>
    <w:rsid w:val="00ED24B6"/>
    <w:rsid w:val="00ED25D2"/>
    <w:rsid w:val="00ED35C0"/>
    <w:rsid w:val="00ED36CC"/>
    <w:rsid w:val="00ED3F38"/>
    <w:rsid w:val="00ED4051"/>
    <w:rsid w:val="00ED4124"/>
    <w:rsid w:val="00ED4C97"/>
    <w:rsid w:val="00ED4D0D"/>
    <w:rsid w:val="00ED5030"/>
    <w:rsid w:val="00ED547D"/>
    <w:rsid w:val="00ED596C"/>
    <w:rsid w:val="00ED5986"/>
    <w:rsid w:val="00ED5ACF"/>
    <w:rsid w:val="00ED5CDD"/>
    <w:rsid w:val="00EE0174"/>
    <w:rsid w:val="00EE01D1"/>
    <w:rsid w:val="00EE083C"/>
    <w:rsid w:val="00EE0D6A"/>
    <w:rsid w:val="00EE12E9"/>
    <w:rsid w:val="00EE13A7"/>
    <w:rsid w:val="00EE1851"/>
    <w:rsid w:val="00EE22BE"/>
    <w:rsid w:val="00EE2B3E"/>
    <w:rsid w:val="00EE2B55"/>
    <w:rsid w:val="00EE2D03"/>
    <w:rsid w:val="00EE2E85"/>
    <w:rsid w:val="00EE3341"/>
    <w:rsid w:val="00EE3445"/>
    <w:rsid w:val="00EE3EF6"/>
    <w:rsid w:val="00EE407D"/>
    <w:rsid w:val="00EE4436"/>
    <w:rsid w:val="00EE4BBE"/>
    <w:rsid w:val="00EE546C"/>
    <w:rsid w:val="00EE563D"/>
    <w:rsid w:val="00EE5DFC"/>
    <w:rsid w:val="00EE5E6F"/>
    <w:rsid w:val="00EE60E7"/>
    <w:rsid w:val="00EE6940"/>
    <w:rsid w:val="00EE6A20"/>
    <w:rsid w:val="00EE7503"/>
    <w:rsid w:val="00EE7636"/>
    <w:rsid w:val="00EE7F14"/>
    <w:rsid w:val="00EF00A8"/>
    <w:rsid w:val="00EF02E6"/>
    <w:rsid w:val="00EF045D"/>
    <w:rsid w:val="00EF0908"/>
    <w:rsid w:val="00EF0983"/>
    <w:rsid w:val="00EF0C8C"/>
    <w:rsid w:val="00EF0E21"/>
    <w:rsid w:val="00EF138D"/>
    <w:rsid w:val="00EF1821"/>
    <w:rsid w:val="00EF1C11"/>
    <w:rsid w:val="00EF1D2F"/>
    <w:rsid w:val="00EF1D66"/>
    <w:rsid w:val="00EF20C3"/>
    <w:rsid w:val="00EF212E"/>
    <w:rsid w:val="00EF231B"/>
    <w:rsid w:val="00EF2449"/>
    <w:rsid w:val="00EF2467"/>
    <w:rsid w:val="00EF256C"/>
    <w:rsid w:val="00EF2E41"/>
    <w:rsid w:val="00EF3393"/>
    <w:rsid w:val="00EF3C6A"/>
    <w:rsid w:val="00EF3F1A"/>
    <w:rsid w:val="00EF463E"/>
    <w:rsid w:val="00EF541D"/>
    <w:rsid w:val="00EF571F"/>
    <w:rsid w:val="00EF579C"/>
    <w:rsid w:val="00EF57BB"/>
    <w:rsid w:val="00EF585C"/>
    <w:rsid w:val="00EF5B95"/>
    <w:rsid w:val="00EF60B7"/>
    <w:rsid w:val="00EF613D"/>
    <w:rsid w:val="00EF6DD8"/>
    <w:rsid w:val="00EF7683"/>
    <w:rsid w:val="00F00159"/>
    <w:rsid w:val="00F008C1"/>
    <w:rsid w:val="00F00922"/>
    <w:rsid w:val="00F0102C"/>
    <w:rsid w:val="00F0106B"/>
    <w:rsid w:val="00F0137B"/>
    <w:rsid w:val="00F0139C"/>
    <w:rsid w:val="00F020E1"/>
    <w:rsid w:val="00F0221D"/>
    <w:rsid w:val="00F02DE5"/>
    <w:rsid w:val="00F0324F"/>
    <w:rsid w:val="00F03AA2"/>
    <w:rsid w:val="00F043F9"/>
    <w:rsid w:val="00F04E02"/>
    <w:rsid w:val="00F054A3"/>
    <w:rsid w:val="00F05558"/>
    <w:rsid w:val="00F05733"/>
    <w:rsid w:val="00F058AD"/>
    <w:rsid w:val="00F0595E"/>
    <w:rsid w:val="00F05A7B"/>
    <w:rsid w:val="00F06033"/>
    <w:rsid w:val="00F06454"/>
    <w:rsid w:val="00F06A19"/>
    <w:rsid w:val="00F06CB2"/>
    <w:rsid w:val="00F06E72"/>
    <w:rsid w:val="00F07C8A"/>
    <w:rsid w:val="00F07D8B"/>
    <w:rsid w:val="00F104D0"/>
    <w:rsid w:val="00F10840"/>
    <w:rsid w:val="00F1163D"/>
    <w:rsid w:val="00F116E1"/>
    <w:rsid w:val="00F11E4F"/>
    <w:rsid w:val="00F1272B"/>
    <w:rsid w:val="00F12A01"/>
    <w:rsid w:val="00F13033"/>
    <w:rsid w:val="00F13232"/>
    <w:rsid w:val="00F132E7"/>
    <w:rsid w:val="00F13A85"/>
    <w:rsid w:val="00F13C6A"/>
    <w:rsid w:val="00F13C93"/>
    <w:rsid w:val="00F14212"/>
    <w:rsid w:val="00F14A1F"/>
    <w:rsid w:val="00F14D95"/>
    <w:rsid w:val="00F158EC"/>
    <w:rsid w:val="00F15D2C"/>
    <w:rsid w:val="00F16582"/>
    <w:rsid w:val="00F16B9D"/>
    <w:rsid w:val="00F16CE1"/>
    <w:rsid w:val="00F16F06"/>
    <w:rsid w:val="00F17125"/>
    <w:rsid w:val="00F175F6"/>
    <w:rsid w:val="00F179EF"/>
    <w:rsid w:val="00F17E02"/>
    <w:rsid w:val="00F17E22"/>
    <w:rsid w:val="00F20017"/>
    <w:rsid w:val="00F2006A"/>
    <w:rsid w:val="00F20776"/>
    <w:rsid w:val="00F20970"/>
    <w:rsid w:val="00F21051"/>
    <w:rsid w:val="00F2106E"/>
    <w:rsid w:val="00F2122C"/>
    <w:rsid w:val="00F21514"/>
    <w:rsid w:val="00F21755"/>
    <w:rsid w:val="00F21AE7"/>
    <w:rsid w:val="00F21B8E"/>
    <w:rsid w:val="00F21CAF"/>
    <w:rsid w:val="00F221A0"/>
    <w:rsid w:val="00F223BD"/>
    <w:rsid w:val="00F223EA"/>
    <w:rsid w:val="00F22D52"/>
    <w:rsid w:val="00F22EE2"/>
    <w:rsid w:val="00F2305F"/>
    <w:rsid w:val="00F232DA"/>
    <w:rsid w:val="00F23613"/>
    <w:rsid w:val="00F238E5"/>
    <w:rsid w:val="00F23BAC"/>
    <w:rsid w:val="00F24107"/>
    <w:rsid w:val="00F242B4"/>
    <w:rsid w:val="00F24874"/>
    <w:rsid w:val="00F24980"/>
    <w:rsid w:val="00F24B20"/>
    <w:rsid w:val="00F24BEA"/>
    <w:rsid w:val="00F24EF6"/>
    <w:rsid w:val="00F25A7A"/>
    <w:rsid w:val="00F25C36"/>
    <w:rsid w:val="00F25C9C"/>
    <w:rsid w:val="00F26145"/>
    <w:rsid w:val="00F26264"/>
    <w:rsid w:val="00F26345"/>
    <w:rsid w:val="00F2634C"/>
    <w:rsid w:val="00F26432"/>
    <w:rsid w:val="00F26D6D"/>
    <w:rsid w:val="00F27FD6"/>
    <w:rsid w:val="00F30616"/>
    <w:rsid w:val="00F319CF"/>
    <w:rsid w:val="00F319F9"/>
    <w:rsid w:val="00F32AF9"/>
    <w:rsid w:val="00F33B5F"/>
    <w:rsid w:val="00F33B96"/>
    <w:rsid w:val="00F346B1"/>
    <w:rsid w:val="00F34753"/>
    <w:rsid w:val="00F3484E"/>
    <w:rsid w:val="00F34E84"/>
    <w:rsid w:val="00F34FB3"/>
    <w:rsid w:val="00F35B9E"/>
    <w:rsid w:val="00F35F60"/>
    <w:rsid w:val="00F36323"/>
    <w:rsid w:val="00F3654F"/>
    <w:rsid w:val="00F366D6"/>
    <w:rsid w:val="00F36F16"/>
    <w:rsid w:val="00F37507"/>
    <w:rsid w:val="00F40042"/>
    <w:rsid w:val="00F415F2"/>
    <w:rsid w:val="00F41B50"/>
    <w:rsid w:val="00F42037"/>
    <w:rsid w:val="00F423F6"/>
    <w:rsid w:val="00F42415"/>
    <w:rsid w:val="00F424D3"/>
    <w:rsid w:val="00F4284C"/>
    <w:rsid w:val="00F4289C"/>
    <w:rsid w:val="00F443B0"/>
    <w:rsid w:val="00F444E7"/>
    <w:rsid w:val="00F447EA"/>
    <w:rsid w:val="00F44943"/>
    <w:rsid w:val="00F453DF"/>
    <w:rsid w:val="00F4588A"/>
    <w:rsid w:val="00F45CB5"/>
    <w:rsid w:val="00F46502"/>
    <w:rsid w:val="00F4737E"/>
    <w:rsid w:val="00F47D5F"/>
    <w:rsid w:val="00F47E5F"/>
    <w:rsid w:val="00F50623"/>
    <w:rsid w:val="00F511EE"/>
    <w:rsid w:val="00F51D28"/>
    <w:rsid w:val="00F51E4D"/>
    <w:rsid w:val="00F531CA"/>
    <w:rsid w:val="00F533F9"/>
    <w:rsid w:val="00F535F6"/>
    <w:rsid w:val="00F539AC"/>
    <w:rsid w:val="00F53D94"/>
    <w:rsid w:val="00F541CE"/>
    <w:rsid w:val="00F5420D"/>
    <w:rsid w:val="00F54768"/>
    <w:rsid w:val="00F547F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2177"/>
    <w:rsid w:val="00F626F5"/>
    <w:rsid w:val="00F629DE"/>
    <w:rsid w:val="00F638B4"/>
    <w:rsid w:val="00F6394E"/>
    <w:rsid w:val="00F63A6E"/>
    <w:rsid w:val="00F6424F"/>
    <w:rsid w:val="00F643C2"/>
    <w:rsid w:val="00F649EB"/>
    <w:rsid w:val="00F64A0B"/>
    <w:rsid w:val="00F6557B"/>
    <w:rsid w:val="00F65BA0"/>
    <w:rsid w:val="00F666B5"/>
    <w:rsid w:val="00F66929"/>
    <w:rsid w:val="00F67275"/>
    <w:rsid w:val="00F6784B"/>
    <w:rsid w:val="00F67B67"/>
    <w:rsid w:val="00F67EF9"/>
    <w:rsid w:val="00F7026D"/>
    <w:rsid w:val="00F70382"/>
    <w:rsid w:val="00F70C14"/>
    <w:rsid w:val="00F70DF7"/>
    <w:rsid w:val="00F713B8"/>
    <w:rsid w:val="00F713E2"/>
    <w:rsid w:val="00F7187B"/>
    <w:rsid w:val="00F718A4"/>
    <w:rsid w:val="00F71D8E"/>
    <w:rsid w:val="00F72698"/>
    <w:rsid w:val="00F72770"/>
    <w:rsid w:val="00F728AA"/>
    <w:rsid w:val="00F728F3"/>
    <w:rsid w:val="00F72AD3"/>
    <w:rsid w:val="00F72C8A"/>
    <w:rsid w:val="00F72CA8"/>
    <w:rsid w:val="00F72D90"/>
    <w:rsid w:val="00F738F2"/>
    <w:rsid w:val="00F741FA"/>
    <w:rsid w:val="00F7430B"/>
    <w:rsid w:val="00F745D9"/>
    <w:rsid w:val="00F74B18"/>
    <w:rsid w:val="00F7523E"/>
    <w:rsid w:val="00F759D4"/>
    <w:rsid w:val="00F759D7"/>
    <w:rsid w:val="00F7609A"/>
    <w:rsid w:val="00F7665F"/>
    <w:rsid w:val="00F76924"/>
    <w:rsid w:val="00F76C4F"/>
    <w:rsid w:val="00F76F6B"/>
    <w:rsid w:val="00F76FD6"/>
    <w:rsid w:val="00F77293"/>
    <w:rsid w:val="00F77C33"/>
    <w:rsid w:val="00F77D71"/>
    <w:rsid w:val="00F800F4"/>
    <w:rsid w:val="00F808F0"/>
    <w:rsid w:val="00F80927"/>
    <w:rsid w:val="00F819B9"/>
    <w:rsid w:val="00F819E1"/>
    <w:rsid w:val="00F820E2"/>
    <w:rsid w:val="00F82280"/>
    <w:rsid w:val="00F822A0"/>
    <w:rsid w:val="00F82F3E"/>
    <w:rsid w:val="00F83790"/>
    <w:rsid w:val="00F83914"/>
    <w:rsid w:val="00F83A8B"/>
    <w:rsid w:val="00F83B2E"/>
    <w:rsid w:val="00F84099"/>
    <w:rsid w:val="00F8412E"/>
    <w:rsid w:val="00F843F7"/>
    <w:rsid w:val="00F8476D"/>
    <w:rsid w:val="00F85501"/>
    <w:rsid w:val="00F856DE"/>
    <w:rsid w:val="00F85851"/>
    <w:rsid w:val="00F8669B"/>
    <w:rsid w:val="00F86769"/>
    <w:rsid w:val="00F8676D"/>
    <w:rsid w:val="00F86C16"/>
    <w:rsid w:val="00F8798B"/>
    <w:rsid w:val="00F87AB7"/>
    <w:rsid w:val="00F87E34"/>
    <w:rsid w:val="00F9034D"/>
    <w:rsid w:val="00F90624"/>
    <w:rsid w:val="00F907AF"/>
    <w:rsid w:val="00F90E09"/>
    <w:rsid w:val="00F90E82"/>
    <w:rsid w:val="00F9135C"/>
    <w:rsid w:val="00F91CBC"/>
    <w:rsid w:val="00F91E36"/>
    <w:rsid w:val="00F922ED"/>
    <w:rsid w:val="00F93340"/>
    <w:rsid w:val="00F934C9"/>
    <w:rsid w:val="00F93A0A"/>
    <w:rsid w:val="00F94A71"/>
    <w:rsid w:val="00F94CCA"/>
    <w:rsid w:val="00F9535C"/>
    <w:rsid w:val="00F9570F"/>
    <w:rsid w:val="00F95780"/>
    <w:rsid w:val="00F95EFB"/>
    <w:rsid w:val="00F9624E"/>
    <w:rsid w:val="00F96453"/>
    <w:rsid w:val="00F96923"/>
    <w:rsid w:val="00F96A3D"/>
    <w:rsid w:val="00F96E26"/>
    <w:rsid w:val="00F970DB"/>
    <w:rsid w:val="00F9738C"/>
    <w:rsid w:val="00F9766C"/>
    <w:rsid w:val="00FA008C"/>
    <w:rsid w:val="00FA0431"/>
    <w:rsid w:val="00FA0577"/>
    <w:rsid w:val="00FA086C"/>
    <w:rsid w:val="00FA0870"/>
    <w:rsid w:val="00FA0FFB"/>
    <w:rsid w:val="00FA1441"/>
    <w:rsid w:val="00FA203F"/>
    <w:rsid w:val="00FA36B9"/>
    <w:rsid w:val="00FA38A1"/>
    <w:rsid w:val="00FA3C01"/>
    <w:rsid w:val="00FA3F41"/>
    <w:rsid w:val="00FA46DB"/>
    <w:rsid w:val="00FA4A3B"/>
    <w:rsid w:val="00FA62C1"/>
    <w:rsid w:val="00FA6B17"/>
    <w:rsid w:val="00FA7860"/>
    <w:rsid w:val="00FB0060"/>
    <w:rsid w:val="00FB012F"/>
    <w:rsid w:val="00FB0185"/>
    <w:rsid w:val="00FB0A08"/>
    <w:rsid w:val="00FB0AD3"/>
    <w:rsid w:val="00FB0D58"/>
    <w:rsid w:val="00FB185F"/>
    <w:rsid w:val="00FB21EE"/>
    <w:rsid w:val="00FB2506"/>
    <w:rsid w:val="00FB306B"/>
    <w:rsid w:val="00FB360F"/>
    <w:rsid w:val="00FB3784"/>
    <w:rsid w:val="00FB4F25"/>
    <w:rsid w:val="00FB50C2"/>
    <w:rsid w:val="00FB529D"/>
    <w:rsid w:val="00FB56C5"/>
    <w:rsid w:val="00FB57EF"/>
    <w:rsid w:val="00FB59E5"/>
    <w:rsid w:val="00FB5FB0"/>
    <w:rsid w:val="00FB6F0E"/>
    <w:rsid w:val="00FB7A5B"/>
    <w:rsid w:val="00FC06BF"/>
    <w:rsid w:val="00FC0AE4"/>
    <w:rsid w:val="00FC0E21"/>
    <w:rsid w:val="00FC126D"/>
    <w:rsid w:val="00FC1694"/>
    <w:rsid w:val="00FC1CF2"/>
    <w:rsid w:val="00FC2124"/>
    <w:rsid w:val="00FC2576"/>
    <w:rsid w:val="00FC2681"/>
    <w:rsid w:val="00FC2A8A"/>
    <w:rsid w:val="00FC2E45"/>
    <w:rsid w:val="00FC2E4F"/>
    <w:rsid w:val="00FC351E"/>
    <w:rsid w:val="00FC35DE"/>
    <w:rsid w:val="00FC39E2"/>
    <w:rsid w:val="00FC4398"/>
    <w:rsid w:val="00FC4B62"/>
    <w:rsid w:val="00FC4BA2"/>
    <w:rsid w:val="00FC4FB0"/>
    <w:rsid w:val="00FC503B"/>
    <w:rsid w:val="00FC5301"/>
    <w:rsid w:val="00FC588B"/>
    <w:rsid w:val="00FC5B26"/>
    <w:rsid w:val="00FC5F5C"/>
    <w:rsid w:val="00FC6028"/>
    <w:rsid w:val="00FC635D"/>
    <w:rsid w:val="00FC66B8"/>
    <w:rsid w:val="00FC6947"/>
    <w:rsid w:val="00FC6E6C"/>
    <w:rsid w:val="00FC6E74"/>
    <w:rsid w:val="00FC717F"/>
    <w:rsid w:val="00FC7186"/>
    <w:rsid w:val="00FC742F"/>
    <w:rsid w:val="00FC7C89"/>
    <w:rsid w:val="00FD0962"/>
    <w:rsid w:val="00FD0F61"/>
    <w:rsid w:val="00FD1215"/>
    <w:rsid w:val="00FD1280"/>
    <w:rsid w:val="00FD143C"/>
    <w:rsid w:val="00FD1946"/>
    <w:rsid w:val="00FD1D9C"/>
    <w:rsid w:val="00FD2965"/>
    <w:rsid w:val="00FD2A64"/>
    <w:rsid w:val="00FD2CC3"/>
    <w:rsid w:val="00FD2D60"/>
    <w:rsid w:val="00FD3CF7"/>
    <w:rsid w:val="00FD3D61"/>
    <w:rsid w:val="00FD436D"/>
    <w:rsid w:val="00FD491D"/>
    <w:rsid w:val="00FD49DB"/>
    <w:rsid w:val="00FD5062"/>
    <w:rsid w:val="00FD53CE"/>
    <w:rsid w:val="00FD5AFE"/>
    <w:rsid w:val="00FD5C14"/>
    <w:rsid w:val="00FD61E9"/>
    <w:rsid w:val="00FD6EF3"/>
    <w:rsid w:val="00FD764D"/>
    <w:rsid w:val="00FD7B35"/>
    <w:rsid w:val="00FD7C6C"/>
    <w:rsid w:val="00FD7CDC"/>
    <w:rsid w:val="00FD7F20"/>
    <w:rsid w:val="00FE01A6"/>
    <w:rsid w:val="00FE02F8"/>
    <w:rsid w:val="00FE05BF"/>
    <w:rsid w:val="00FE0BA6"/>
    <w:rsid w:val="00FE1445"/>
    <w:rsid w:val="00FE153E"/>
    <w:rsid w:val="00FE18EF"/>
    <w:rsid w:val="00FE1CE2"/>
    <w:rsid w:val="00FE1DFC"/>
    <w:rsid w:val="00FE1E6A"/>
    <w:rsid w:val="00FE1F2C"/>
    <w:rsid w:val="00FE235B"/>
    <w:rsid w:val="00FE263D"/>
    <w:rsid w:val="00FE27FE"/>
    <w:rsid w:val="00FE2852"/>
    <w:rsid w:val="00FE2CBB"/>
    <w:rsid w:val="00FE2F5F"/>
    <w:rsid w:val="00FE393B"/>
    <w:rsid w:val="00FE4608"/>
    <w:rsid w:val="00FE4826"/>
    <w:rsid w:val="00FE5DD2"/>
    <w:rsid w:val="00FE5FD1"/>
    <w:rsid w:val="00FE66DF"/>
    <w:rsid w:val="00FE6845"/>
    <w:rsid w:val="00FE6AD1"/>
    <w:rsid w:val="00FE78FD"/>
    <w:rsid w:val="00FE7AE0"/>
    <w:rsid w:val="00FE7BA2"/>
    <w:rsid w:val="00FF0336"/>
    <w:rsid w:val="00FF0586"/>
    <w:rsid w:val="00FF09BD"/>
    <w:rsid w:val="00FF0BD6"/>
    <w:rsid w:val="00FF1744"/>
    <w:rsid w:val="00FF2265"/>
    <w:rsid w:val="00FF3496"/>
    <w:rsid w:val="00FF3CA1"/>
    <w:rsid w:val="00FF4177"/>
    <w:rsid w:val="00FF4675"/>
    <w:rsid w:val="00FF48C8"/>
    <w:rsid w:val="00FF5024"/>
    <w:rsid w:val="00FF5A0D"/>
    <w:rsid w:val="00FF5DF1"/>
    <w:rsid w:val="00FF7932"/>
    <w:rsid w:val="00FF7C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margin;mso-position-vertical-relative:margin" o:allowincell="f" fillcolor="none [1311]" stroke="f">
      <v:fill color="none [1311]" opacity=".5" color2="none [1311]" o:opacity2=".5" type="pattern"/>
      <v:stroke on="f"/>
    </o:shapedefaults>
    <o:shapelayout v:ext="edit">
      <o:idmap v:ext="edit" data="2"/>
    </o:shapelayout>
  </w:shapeDefaults>
  <w:decimalSymbol w:val="."/>
  <w:listSeparator w:val=","/>
  <w14:docId w14:val="507D4AAA"/>
  <w15:docId w15:val="{60481C07-35E7-47E0-B6D4-F72CDC6DF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01">
    <w:name w:val="p01"/>
    <w:basedOn w:val="Normal"/>
    <w:next w:val="p0"/>
    <w:rsid w:val="00467BD1"/>
    <w:pPr>
      <w:keepLines/>
      <w:spacing w:before="240"/>
    </w:pPr>
    <w:rPr>
      <w:rFonts w:ascii="Univers" w:hAnsi="Univers" w:cs="Times New Roman"/>
      <w:color w:val="0000FF"/>
      <w:szCs w:val="20"/>
    </w:rPr>
  </w:style>
  <w:style w:type="paragraph" w:customStyle="1" w:styleId="parrafo1">
    <w:name w:val="parrafo1"/>
    <w:basedOn w:val="p0"/>
    <w:rsid w:val="003A5EF6"/>
    <w:pPr>
      <w:keepLines w:val="0"/>
      <w:widowControl/>
      <w:spacing w:before="480"/>
      <w:ind w:left="426" w:right="443"/>
    </w:pPr>
    <w:rPr>
      <w:rFonts w:ascii="Arial" w:hAnsi="Arial" w:cs="Times New Roman"/>
      <w:snapToGrid/>
      <w:color w:val="auto"/>
      <w:szCs w:val="20"/>
    </w:rPr>
  </w:style>
  <w:style w:type="character" w:customStyle="1" w:styleId="Mencinsinresolver1">
    <w:name w:val="Mención sin resolver1"/>
    <w:basedOn w:val="Fuentedeprrafopredeter"/>
    <w:uiPriority w:val="99"/>
    <w:semiHidden/>
    <w:unhideWhenUsed/>
    <w:rsid w:val="005D0D51"/>
    <w:rPr>
      <w:color w:val="605E5C"/>
      <w:shd w:val="clear" w:color="auto" w:fill="E1DFDD"/>
    </w:rPr>
  </w:style>
  <w:style w:type="character" w:customStyle="1" w:styleId="Mencinsinresolver2">
    <w:name w:val="Mención sin resolver2"/>
    <w:basedOn w:val="Fuentedeprrafopredeter"/>
    <w:uiPriority w:val="99"/>
    <w:semiHidden/>
    <w:unhideWhenUsed/>
    <w:rsid w:val="004039FF"/>
    <w:rPr>
      <w:color w:val="605E5C"/>
      <w:shd w:val="clear" w:color="auto" w:fill="E1DFDD"/>
    </w:rPr>
  </w:style>
  <w:style w:type="paragraph" w:styleId="Revisin">
    <w:name w:val="Revision"/>
    <w:hidden/>
    <w:uiPriority w:val="99"/>
    <w:semiHidden/>
    <w:rsid w:val="00B42530"/>
    <w:rPr>
      <w:rFonts w:ascii="Arial" w:hAnsi="Arial" w:cs="Arial"/>
      <w:sz w:val="24"/>
      <w:szCs w:val="24"/>
      <w:lang w:val="es-ES_tradnl" w:eastAsia="es-ES"/>
    </w:rPr>
  </w:style>
  <w:style w:type="character" w:styleId="Refdecomentario">
    <w:name w:val="annotation reference"/>
    <w:basedOn w:val="Fuentedeprrafopredeter"/>
    <w:semiHidden/>
    <w:unhideWhenUsed/>
    <w:rsid w:val="00FD2D60"/>
    <w:rPr>
      <w:sz w:val="16"/>
      <w:szCs w:val="16"/>
    </w:rPr>
  </w:style>
  <w:style w:type="paragraph" w:styleId="Asuntodelcomentario">
    <w:name w:val="annotation subject"/>
    <w:basedOn w:val="Textocomentario"/>
    <w:next w:val="Textocomentario"/>
    <w:link w:val="AsuntodelcomentarioCar"/>
    <w:semiHidden/>
    <w:unhideWhenUsed/>
    <w:rsid w:val="00FD2D60"/>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FD2D60"/>
    <w:rPr>
      <w:rFonts w:ascii="Arial" w:hAnsi="Arial" w:cs="Arial"/>
      <w:b/>
      <w:bCs/>
      <w:lang w:val="es-ES_tradnl" w:eastAsia="es-ES"/>
    </w:rPr>
  </w:style>
  <w:style w:type="character" w:customStyle="1" w:styleId="Mencinsinresolver3">
    <w:name w:val="Mención sin resolver3"/>
    <w:basedOn w:val="Fuentedeprrafopredeter"/>
    <w:uiPriority w:val="99"/>
    <w:semiHidden/>
    <w:unhideWhenUsed/>
    <w:rsid w:val="00252168"/>
    <w:rPr>
      <w:color w:val="605E5C"/>
      <w:shd w:val="clear" w:color="auto" w:fill="E1DFDD"/>
    </w:rPr>
  </w:style>
  <w:style w:type="paragraph" w:customStyle="1" w:styleId="xmsonormal">
    <w:name w:val="x_msonormal"/>
    <w:basedOn w:val="Normal"/>
    <w:rsid w:val="00DA449A"/>
    <w:pPr>
      <w:jc w:val="left"/>
    </w:pPr>
    <w:rPr>
      <w:rFonts w:ascii="Calibri" w:eastAsiaTheme="minorHAnsi" w:hAnsi="Calibri" w:cs="Calibri"/>
      <w:sz w:val="22"/>
      <w:szCs w:val="22"/>
      <w:lang w:val="es-MX" w:eastAsia="es-MX"/>
    </w:rPr>
  </w:style>
  <w:style w:type="character" w:styleId="Mencinsinresolver">
    <w:name w:val="Unresolved Mention"/>
    <w:basedOn w:val="Fuentedeprrafopredeter"/>
    <w:uiPriority w:val="99"/>
    <w:semiHidden/>
    <w:unhideWhenUsed/>
    <w:rsid w:val="00BE4B77"/>
    <w:rPr>
      <w:color w:val="605E5C"/>
      <w:shd w:val="clear" w:color="auto" w:fill="E1DFDD"/>
    </w:rPr>
  </w:style>
  <w:style w:type="character" w:customStyle="1" w:styleId="PiedepginaCar">
    <w:name w:val="Pie de página Car"/>
    <w:basedOn w:val="Fuentedeprrafopredeter"/>
    <w:link w:val="Piedepgina"/>
    <w:uiPriority w:val="99"/>
    <w:rsid w:val="00074DE7"/>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164333">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489448352">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31353089">
      <w:bodyDiv w:val="1"/>
      <w:marLeft w:val="0"/>
      <w:marRight w:val="0"/>
      <w:marTop w:val="0"/>
      <w:marBottom w:val="0"/>
      <w:divBdr>
        <w:top w:val="none" w:sz="0" w:space="0" w:color="auto"/>
        <w:left w:val="none" w:sz="0" w:space="0" w:color="auto"/>
        <w:bottom w:val="none" w:sz="0" w:space="0" w:color="auto"/>
        <w:right w:val="none" w:sz="0" w:space="0" w:color="auto"/>
      </w:divBdr>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municacionsocial@inegi.org.mx" TargetMode="External"/><Relationship Id="rId18" Type="http://schemas.openxmlformats.org/officeDocument/2006/relationships/hyperlink" Target="https://twitter.com/INEGI_INFORMA" TargetMode="External"/><Relationship Id="rId26" Type="http://schemas.openxmlformats.org/officeDocument/2006/relationships/chart" Target="charts/chart5.xml"/><Relationship Id="rId39" Type="http://schemas.openxmlformats.org/officeDocument/2006/relationships/theme" Target="theme/theme1.xml"/><Relationship Id="rId21" Type="http://schemas.openxmlformats.org/officeDocument/2006/relationships/image" Target="media/image4.png"/><Relationship Id="rId34" Type="http://schemas.openxmlformats.org/officeDocument/2006/relationships/hyperlink" Target="https://www.inegi.org.mx/programas/emec/2018/" TargetMode="Externa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image" Target="media/image2.png"/><Relationship Id="rId25" Type="http://schemas.openxmlformats.org/officeDocument/2006/relationships/chart" Target="charts/chart4.xml"/><Relationship Id="rId33" Type="http://schemas.openxmlformats.org/officeDocument/2006/relationships/hyperlink" Target="https://www.inegi.org.mx/temas/comercioem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nstagram.com/inegi_informa/" TargetMode="External"/><Relationship Id="rId20" Type="http://schemas.openxmlformats.org/officeDocument/2006/relationships/hyperlink" Target="https://www.youtube.com/user/INEGIInforma" TargetMode="External"/><Relationship Id="rId29"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chart" Target="charts/chart3.xml"/><Relationship Id="rId32" Type="http://schemas.openxmlformats.org/officeDocument/2006/relationships/image" Target="media/image6.png"/><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5.png"/><Relationship Id="rId28" Type="http://schemas.openxmlformats.org/officeDocument/2006/relationships/chart" Target="charts/chart7.xm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https://www.inegi.org.mx/app/biblioteca/ficha.html?upc=70282509906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INEGIInforma/" TargetMode="External"/><Relationship Id="rId22" Type="http://schemas.openxmlformats.org/officeDocument/2006/relationships/hyperlink" Target="http://www.inegi.org.mx/" TargetMode="External"/><Relationship Id="rId27" Type="http://schemas.openxmlformats.org/officeDocument/2006/relationships/chart" Target="charts/chart6.xml"/><Relationship Id="rId30" Type="http://schemas.openxmlformats.org/officeDocument/2006/relationships/hyperlink" Target="https://www.inegi.org.mx/programas/emec/2018/" TargetMode="External"/><Relationship Id="rId35" Type="http://schemas.openxmlformats.org/officeDocument/2006/relationships/hyperlink" Target="https://www.inegi.org.mx/app/indicadores/?tm=0"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10.153.2.159\412_SUB_AES\1.-COMUNICADOS%20Y%20NOTAS\EMEC\4.-%20Cuadros%20y%20gr&#225;ficas\Comercio_Gr&#225;ficas%20Desest%20y%20Tendencia-Ciclo.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10.153.2.159\412_SUB_AES\1.-COMUNICADOS%20Y%20NOTAS\EMEC\4.-%20Cuadros%20y%20gr&#225;ficas\Comercio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10.153.2.159\412_SUB_AES\1.-COMUNICADOS%20Y%20NOTAS\EMEC\4.-%20Cuadros%20y%20gr&#225;ficas\Comercio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10.153.2.159\412_SUB_AES\1.-COMUNICADOS%20Y%20NOTAS\EMEC\4.-%20Cuadros%20y%20gr&#225;ficas\Comercio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10.153.2.159\412_SUB_AES\1.-COMUNICADOS%20Y%20NOTAS\EMEC\4.-%20Cuadros%20y%20gr&#225;ficas\Comercio_Gr&#225;ficas%20Desest%20y%20Tendencia-Ciclo.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10.153.2.159\412_SUB_AES\1.-COMUNICADOS%20Y%20NOTAS\EMEC\4.-%20Cuadros%20y%20gr&#225;ficas\Comercio_Gr&#225;ficas%20Desest%20y%20Tendencia-Ciclo.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10.153.2.159\412_SUB_AES\1.-COMUNICADOS%20Y%20NOTAS\EMEC\4.-%20Cuadros%20y%20gr&#225;ficas\Comercio_Gr&#225;ficas%20Desest%20y%20Tendencia-Ciclo.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10.153.2.159\412_SUB_AES\1.-COMUNICADOS%20Y%20NOTAS\EMEC\4.-%20Cuadros%20y%20gr&#225;ficas\Comercio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421064814814818E-2"/>
          <c:y val="4.9774206349206346E-2"/>
          <c:w val="0.92661828703703708"/>
          <c:h val="0.79193794459575018"/>
        </c:manualLayout>
      </c:layout>
      <c:barChart>
        <c:barDir val="col"/>
        <c:grouping val="clustered"/>
        <c:varyColors val="0"/>
        <c:ser>
          <c:idx val="0"/>
          <c:order val="0"/>
          <c:tx>
            <c:strRef>
              <c:f>Datos!$C$5</c:f>
              <c:strCache>
                <c:ptCount val="1"/>
                <c:pt idx="0">
                  <c:v>Serie desestacionalizada</c:v>
                </c:pt>
              </c:strCache>
            </c:strRef>
          </c:tx>
          <c:spPr>
            <a:solidFill>
              <a:srgbClr val="00B050"/>
            </a:solidFill>
            <a:ln w="6350">
              <a:solidFill>
                <a:srgbClr val="006600"/>
              </a:solidFill>
            </a:ln>
          </c:spPr>
          <c:invertIfNegative val="0"/>
          <c:cat>
            <c:multiLvlStrRef>
              <c:f>Datos!$A$126:$B$197</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2018</c:v>
                  </c:pt>
                  <c:pt idx="12">
                    <c:v>2019</c:v>
                  </c:pt>
                  <c:pt idx="24">
                    <c:v>2020</c:v>
                  </c:pt>
                  <c:pt idx="36">
                    <c:v>2021</c:v>
                  </c:pt>
                  <c:pt idx="48">
                    <c:v>2022</c:v>
                  </c:pt>
                  <c:pt idx="60">
                    <c:v>2023</c:v>
                  </c:pt>
                </c:lvl>
              </c:multiLvlStrCache>
            </c:multiLvlStrRef>
          </c:cat>
          <c:val>
            <c:numRef>
              <c:f>Datos!$C$126:$C$197</c:f>
              <c:numCache>
                <c:formatCode>0.0_)</c:formatCode>
                <c:ptCount val="69"/>
                <c:pt idx="0">
                  <c:v>98.417821305791705</c:v>
                </c:pt>
                <c:pt idx="1">
                  <c:v>98.793481685279204</c:v>
                </c:pt>
                <c:pt idx="2">
                  <c:v>98.584981425041093</c:v>
                </c:pt>
                <c:pt idx="3">
                  <c:v>99.439528905701195</c:v>
                </c:pt>
                <c:pt idx="4">
                  <c:v>101.368913163835</c:v>
                </c:pt>
                <c:pt idx="5">
                  <c:v>101.114906581798</c:v>
                </c:pt>
                <c:pt idx="6">
                  <c:v>100.30201610144699</c:v>
                </c:pt>
                <c:pt idx="7">
                  <c:v>100.26522967262299</c:v>
                </c:pt>
                <c:pt idx="8">
                  <c:v>101.50867128352699</c:v>
                </c:pt>
                <c:pt idx="9">
                  <c:v>102.937406020227</c:v>
                </c:pt>
                <c:pt idx="10">
                  <c:v>101.012756141555</c:v>
                </c:pt>
                <c:pt idx="11">
                  <c:v>96.557268194091407</c:v>
                </c:pt>
                <c:pt idx="12">
                  <c:v>92.712751496227895</c:v>
                </c:pt>
                <c:pt idx="13">
                  <c:v>94.364196821840395</c:v>
                </c:pt>
                <c:pt idx="14">
                  <c:v>95.343258626790799</c:v>
                </c:pt>
                <c:pt idx="15">
                  <c:v>94.9272831893431</c:v>
                </c:pt>
                <c:pt idx="16">
                  <c:v>94.608139000661595</c:v>
                </c:pt>
                <c:pt idx="17">
                  <c:v>93.429033736616603</c:v>
                </c:pt>
                <c:pt idx="18">
                  <c:v>92.647570097628602</c:v>
                </c:pt>
                <c:pt idx="19">
                  <c:v>91.543440716606696</c:v>
                </c:pt>
                <c:pt idx="20">
                  <c:v>90.980349232633998</c:v>
                </c:pt>
                <c:pt idx="21">
                  <c:v>90.368366153797297</c:v>
                </c:pt>
                <c:pt idx="22">
                  <c:v>90.671135796917895</c:v>
                </c:pt>
                <c:pt idx="23">
                  <c:v>91.042808673250306</c:v>
                </c:pt>
                <c:pt idx="24">
                  <c:v>91.675458122006006</c:v>
                </c:pt>
                <c:pt idx="25">
                  <c:v>91.1835102568823</c:v>
                </c:pt>
                <c:pt idx="26">
                  <c:v>84.087678431320796</c:v>
                </c:pt>
                <c:pt idx="27">
                  <c:v>61.836042384087698</c:v>
                </c:pt>
                <c:pt idx="28">
                  <c:v>62.799153836916702</c:v>
                </c:pt>
                <c:pt idx="29">
                  <c:v>67.900253196767096</c:v>
                </c:pt>
                <c:pt idx="30">
                  <c:v>75.361191379962804</c:v>
                </c:pt>
                <c:pt idx="31">
                  <c:v>76.660195077893704</c:v>
                </c:pt>
                <c:pt idx="32">
                  <c:v>79.074008704526705</c:v>
                </c:pt>
                <c:pt idx="33">
                  <c:v>79.542583332563694</c:v>
                </c:pt>
                <c:pt idx="34">
                  <c:v>82.504765793101697</c:v>
                </c:pt>
                <c:pt idx="35">
                  <c:v>84.933393016840895</c:v>
                </c:pt>
                <c:pt idx="36">
                  <c:v>86.864892183343201</c:v>
                </c:pt>
                <c:pt idx="37">
                  <c:v>90.640097190272598</c:v>
                </c:pt>
                <c:pt idx="38">
                  <c:v>92.233997861645705</c:v>
                </c:pt>
                <c:pt idx="39">
                  <c:v>90.489701242096899</c:v>
                </c:pt>
                <c:pt idx="40">
                  <c:v>94.3313760236761</c:v>
                </c:pt>
                <c:pt idx="41">
                  <c:v>94.9436455273799</c:v>
                </c:pt>
                <c:pt idx="42">
                  <c:v>96.139237621591107</c:v>
                </c:pt>
                <c:pt idx="43">
                  <c:v>95.727899314121899</c:v>
                </c:pt>
                <c:pt idx="44">
                  <c:v>96.204564964083502</c:v>
                </c:pt>
                <c:pt idx="45">
                  <c:v>98.190064405914697</c:v>
                </c:pt>
                <c:pt idx="46">
                  <c:v>101.64458464016199</c:v>
                </c:pt>
                <c:pt idx="47">
                  <c:v>97.854005573932795</c:v>
                </c:pt>
                <c:pt idx="48">
                  <c:v>96.468276811043694</c:v>
                </c:pt>
                <c:pt idx="49">
                  <c:v>99.587353394728297</c:v>
                </c:pt>
                <c:pt idx="50">
                  <c:v>103.20958091333</c:v>
                </c:pt>
                <c:pt idx="51">
                  <c:v>104.707322783834</c:v>
                </c:pt>
                <c:pt idx="52">
                  <c:v>104.70504206197</c:v>
                </c:pt>
                <c:pt idx="53">
                  <c:v>106.22500999759001</c:v>
                </c:pt>
                <c:pt idx="54">
                  <c:v>105.64989951799799</c:v>
                </c:pt>
                <c:pt idx="55">
                  <c:v>104.31646969343301</c:v>
                </c:pt>
                <c:pt idx="56">
                  <c:v>102.064481889143</c:v>
                </c:pt>
                <c:pt idx="57">
                  <c:v>102.50587973935799</c:v>
                </c:pt>
                <c:pt idx="58">
                  <c:v>100.335879012917</c:v>
                </c:pt>
                <c:pt idx="59">
                  <c:v>101.941940622332</c:v>
                </c:pt>
                <c:pt idx="60">
                  <c:v>101.318488415315</c:v>
                </c:pt>
                <c:pt idx="61">
                  <c:v>100.09355312316799</c:v>
                </c:pt>
                <c:pt idx="62">
                  <c:v>94.685057220585804</c:v>
                </c:pt>
                <c:pt idx="63">
                  <c:v>100.809435189512</c:v>
                </c:pt>
                <c:pt idx="64">
                  <c:v>100.036891708212</c:v>
                </c:pt>
                <c:pt idx="65">
                  <c:v>101.042657660214</c:v>
                </c:pt>
                <c:pt idx="66">
                  <c:v>102.770455261549</c:v>
                </c:pt>
                <c:pt idx="67">
                  <c:v>106.507467120396</c:v>
                </c:pt>
                <c:pt idx="68">
                  <c:v>110.705556875219</c:v>
                </c:pt>
              </c:numCache>
            </c:numRef>
          </c:val>
          <c:extLst>
            <c:ext xmlns:c16="http://schemas.microsoft.com/office/drawing/2014/chart" uri="{C3380CC4-5D6E-409C-BE32-E72D297353CC}">
              <c16:uniqueId val="{00000000-8C0A-4443-8AA0-555C808E3C6C}"/>
            </c:ext>
          </c:extLst>
        </c:ser>
        <c:dLbls>
          <c:showLegendKey val="0"/>
          <c:showVal val="0"/>
          <c:showCatName val="0"/>
          <c:showSerName val="0"/>
          <c:showPercent val="0"/>
          <c:showBubbleSize val="0"/>
        </c:dLbls>
        <c:gapWidth val="70"/>
        <c:axId val="428416984"/>
        <c:axId val="428417376"/>
      </c:barChart>
      <c:lineChart>
        <c:grouping val="standard"/>
        <c:varyColors val="0"/>
        <c:ser>
          <c:idx val="1"/>
          <c:order val="1"/>
          <c:tx>
            <c:strRef>
              <c:f>Datos!$D$5</c:f>
              <c:strCache>
                <c:ptCount val="1"/>
                <c:pt idx="0">
                  <c:v>Serie de tendencia-ciclo</c:v>
                </c:pt>
              </c:strCache>
            </c:strRef>
          </c:tx>
          <c:spPr>
            <a:ln w="12700">
              <a:solidFill>
                <a:srgbClr val="0000FF"/>
              </a:solidFill>
              <a:prstDash val="solid"/>
            </a:ln>
          </c:spPr>
          <c:marker>
            <c:symbol val="none"/>
          </c:marker>
          <c:cat>
            <c:multiLvlStrRef>
              <c:f>Datos!$A$126:$B$197</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2018</c:v>
                  </c:pt>
                  <c:pt idx="12">
                    <c:v>2019</c:v>
                  </c:pt>
                  <c:pt idx="24">
                    <c:v>2020</c:v>
                  </c:pt>
                  <c:pt idx="36">
                    <c:v>2021</c:v>
                  </c:pt>
                  <c:pt idx="48">
                    <c:v>2022</c:v>
                  </c:pt>
                  <c:pt idx="60">
                    <c:v>2023</c:v>
                  </c:pt>
                </c:lvl>
              </c:multiLvlStrCache>
            </c:multiLvlStrRef>
          </c:cat>
          <c:val>
            <c:numRef>
              <c:f>Datos!$D$126:$D$197</c:f>
              <c:numCache>
                <c:formatCode>0.0_)</c:formatCode>
                <c:ptCount val="69"/>
                <c:pt idx="0">
                  <c:v>98.198223644332103</c:v>
                </c:pt>
                <c:pt idx="1">
                  <c:v>98.790361203465494</c:v>
                </c:pt>
                <c:pt idx="2">
                  <c:v>99.351450289920706</c:v>
                </c:pt>
                <c:pt idx="3">
                  <c:v>99.868485844346907</c:v>
                </c:pt>
                <c:pt idx="4">
                  <c:v>100.359313298971</c:v>
                </c:pt>
                <c:pt idx="5">
                  <c:v>100.7733783228</c:v>
                </c:pt>
                <c:pt idx="6">
                  <c:v>100.987313435247</c:v>
                </c:pt>
                <c:pt idx="7">
                  <c:v>100.889759438079</c:v>
                </c:pt>
                <c:pt idx="8">
                  <c:v>100.38848900699</c:v>
                </c:pt>
                <c:pt idx="9">
                  <c:v>99.510626060533994</c:v>
                </c:pt>
                <c:pt idx="10">
                  <c:v>98.397020081379495</c:v>
                </c:pt>
                <c:pt idx="11">
                  <c:v>97.232413058578999</c:v>
                </c:pt>
                <c:pt idx="12">
                  <c:v>96.188380086472407</c:v>
                </c:pt>
                <c:pt idx="13">
                  <c:v>95.419151367100696</c:v>
                </c:pt>
                <c:pt idx="14">
                  <c:v>94.930668486055794</c:v>
                </c:pt>
                <c:pt idx="15">
                  <c:v>94.562286306279503</c:v>
                </c:pt>
                <c:pt idx="16">
                  <c:v>94.087633237427795</c:v>
                </c:pt>
                <c:pt idx="17">
                  <c:v>93.413018171426501</c:v>
                </c:pt>
                <c:pt idx="18">
                  <c:v>92.572484647727293</c:v>
                </c:pt>
                <c:pt idx="19">
                  <c:v>91.750515916015402</c:v>
                </c:pt>
                <c:pt idx="20">
                  <c:v>91.152822121646906</c:v>
                </c:pt>
                <c:pt idx="21">
                  <c:v>90.875365741764796</c:v>
                </c:pt>
                <c:pt idx="22">
                  <c:v>90.835889722964595</c:v>
                </c:pt>
                <c:pt idx="23">
                  <c:v>90.888112179253994</c:v>
                </c:pt>
                <c:pt idx="24">
                  <c:v>90.881300790391805</c:v>
                </c:pt>
                <c:pt idx="25">
                  <c:v>90.743205725814803</c:v>
                </c:pt>
                <c:pt idx="26">
                  <c:v>84.517178377273694</c:v>
                </c:pt>
                <c:pt idx="27">
                  <c:v>74.253361589515507</c:v>
                </c:pt>
                <c:pt idx="28">
                  <c:v>74.322684353675896</c:v>
                </c:pt>
                <c:pt idx="29">
                  <c:v>74.741637555769103</c:v>
                </c:pt>
                <c:pt idx="30">
                  <c:v>75.5780638905497</c:v>
                </c:pt>
                <c:pt idx="31">
                  <c:v>76.795896104370897</c:v>
                </c:pt>
                <c:pt idx="32">
                  <c:v>78.363347404173197</c:v>
                </c:pt>
                <c:pt idx="33">
                  <c:v>80.293166420078194</c:v>
                </c:pt>
                <c:pt idx="34">
                  <c:v>82.540678874783794</c:v>
                </c:pt>
                <c:pt idx="35">
                  <c:v>84.9779875305708</c:v>
                </c:pt>
                <c:pt idx="36">
                  <c:v>87.424609211934694</c:v>
                </c:pt>
                <c:pt idx="37">
                  <c:v>89.709742377222597</c:v>
                </c:pt>
                <c:pt idx="38">
                  <c:v>91.679193506714796</c:v>
                </c:pt>
                <c:pt idx="39">
                  <c:v>93.194648618317103</c:v>
                </c:pt>
                <c:pt idx="40">
                  <c:v>94.265366541644795</c:v>
                </c:pt>
                <c:pt idx="41">
                  <c:v>95.057018011054097</c:v>
                </c:pt>
                <c:pt idx="42">
                  <c:v>95.6755389764635</c:v>
                </c:pt>
                <c:pt idx="43">
                  <c:v>96.234896504716403</c:v>
                </c:pt>
                <c:pt idx="44">
                  <c:v>96.754307188154996</c:v>
                </c:pt>
                <c:pt idx="45">
                  <c:v>97.242654090223198</c:v>
                </c:pt>
                <c:pt idx="46">
                  <c:v>97.839126608307296</c:v>
                </c:pt>
                <c:pt idx="47">
                  <c:v>98.6580837724063</c:v>
                </c:pt>
                <c:pt idx="48">
                  <c:v>99.757092773968395</c:v>
                </c:pt>
                <c:pt idx="49">
                  <c:v>101.128669510138</c:v>
                </c:pt>
                <c:pt idx="50">
                  <c:v>102.656911981856</c:v>
                </c:pt>
                <c:pt idx="51">
                  <c:v>104.07559462221001</c:v>
                </c:pt>
                <c:pt idx="52">
                  <c:v>105.072735506865</c:v>
                </c:pt>
                <c:pt idx="53">
                  <c:v>105.382069341161</c:v>
                </c:pt>
                <c:pt idx="54">
                  <c:v>105.020731218519</c:v>
                </c:pt>
                <c:pt idx="55">
                  <c:v>104.227440371898</c:v>
                </c:pt>
                <c:pt idx="56">
                  <c:v>103.28524234292099</c:v>
                </c:pt>
                <c:pt idx="57">
                  <c:v>102.4130130617</c:v>
                </c:pt>
                <c:pt idx="58">
                  <c:v>101.692969512819</c:v>
                </c:pt>
                <c:pt idx="59">
                  <c:v>101.13840293429</c:v>
                </c:pt>
                <c:pt idx="60">
                  <c:v>100.69643158466501</c:v>
                </c:pt>
                <c:pt idx="61">
                  <c:v>100.262671218958</c:v>
                </c:pt>
                <c:pt idx="62">
                  <c:v>99.934595992077405</c:v>
                </c:pt>
                <c:pt idx="63">
                  <c:v>99.935828414474301</c:v>
                </c:pt>
                <c:pt idx="64">
                  <c:v>100.50014368182499</c:v>
                </c:pt>
                <c:pt idx="65">
                  <c:v>101.73915180304201</c:v>
                </c:pt>
                <c:pt idx="66">
                  <c:v>103.602833268298</c:v>
                </c:pt>
                <c:pt idx="67">
                  <c:v>105.753754940988</c:v>
                </c:pt>
                <c:pt idx="68">
                  <c:v>107.858482117858</c:v>
                </c:pt>
              </c:numCache>
            </c:numRef>
          </c:val>
          <c:smooth val="0"/>
          <c:extLst>
            <c:ext xmlns:c16="http://schemas.microsoft.com/office/drawing/2014/chart" uri="{C3380CC4-5D6E-409C-BE32-E72D297353CC}">
              <c16:uniqueId val="{00000001-8C0A-4443-8AA0-555C808E3C6C}"/>
            </c:ext>
          </c:extLst>
        </c:ser>
        <c:dLbls>
          <c:showLegendKey val="0"/>
          <c:showVal val="0"/>
          <c:showCatName val="0"/>
          <c:showSerName val="0"/>
          <c:showPercent val="0"/>
          <c:showBubbleSize val="0"/>
        </c:dLbls>
        <c:marker val="1"/>
        <c:smooth val="0"/>
        <c:axId val="428416984"/>
        <c:axId val="428417376"/>
      </c:lineChart>
      <c:catAx>
        <c:axId val="428416984"/>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750" b="0" i="0" u="none" strike="noStrike" baseline="0">
                <a:solidFill>
                  <a:srgbClr val="000000"/>
                </a:solidFill>
                <a:latin typeface="Arial"/>
                <a:ea typeface="Arial"/>
                <a:cs typeface="Arial"/>
              </a:defRPr>
            </a:pPr>
            <a:endParaRPr lang="es-MX"/>
          </a:p>
        </c:txPr>
        <c:crossAx val="428417376"/>
        <c:crosses val="autoZero"/>
        <c:auto val="1"/>
        <c:lblAlgn val="ctr"/>
        <c:lblOffset val="100"/>
        <c:tickLblSkip val="1"/>
        <c:tickMarkSkip val="12"/>
        <c:noMultiLvlLbl val="1"/>
      </c:catAx>
      <c:valAx>
        <c:axId val="428417376"/>
        <c:scaling>
          <c:orientation val="minMax"/>
          <c:max val="115"/>
          <c:min val="5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800" b="0" i="0" u="none" strike="noStrike" baseline="0">
                <a:solidFill>
                  <a:srgbClr val="000000"/>
                </a:solidFill>
                <a:latin typeface="Arial"/>
                <a:ea typeface="Arial"/>
                <a:cs typeface="Arial"/>
              </a:defRPr>
            </a:pPr>
            <a:endParaRPr lang="es-MX"/>
          </a:p>
        </c:txPr>
        <c:crossAx val="428416984"/>
        <c:crosses val="autoZero"/>
        <c:crossBetween val="between"/>
        <c:majorUnit val="10"/>
      </c:valAx>
      <c:spPr>
        <a:noFill/>
        <a:ln w="6350">
          <a:solidFill>
            <a:srgbClr val="808080"/>
          </a:solidFill>
          <a:prstDash val="solid"/>
        </a:ln>
      </c:spPr>
    </c:plotArea>
    <c:legend>
      <c:legendPos val="r"/>
      <c:layout>
        <c:manualLayout>
          <c:xMode val="edge"/>
          <c:yMode val="edge"/>
          <c:x val="6.8690242763771975E-2"/>
          <c:y val="0.9490131578947365"/>
          <c:w val="0.912406629318394"/>
          <c:h val="4.9342105263157875E-2"/>
        </c:manualLayout>
      </c:layout>
      <c:overlay val="0"/>
      <c:spPr>
        <a:noFill/>
        <a:ln w="3175">
          <a:noFill/>
          <a:prstDash val="solid"/>
        </a:ln>
      </c:spPr>
      <c:txPr>
        <a:bodyPr/>
        <a:lstStyle/>
        <a:p>
          <a:pPr>
            <a:defRPr lang="es-MX"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531944444444438E-2"/>
          <c:y val="4.9618650793650791E-2"/>
          <c:w val="0.92694814814814808"/>
          <c:h val="0.78890825582622026"/>
        </c:manualLayout>
      </c:layout>
      <c:barChart>
        <c:barDir val="col"/>
        <c:grouping val="clustered"/>
        <c:varyColors val="0"/>
        <c:ser>
          <c:idx val="0"/>
          <c:order val="0"/>
          <c:tx>
            <c:strRef>
              <c:f>Datos!$E$5</c:f>
              <c:strCache>
                <c:ptCount val="1"/>
                <c:pt idx="0">
                  <c:v>Serie desestacionalizada</c:v>
                </c:pt>
              </c:strCache>
            </c:strRef>
          </c:tx>
          <c:spPr>
            <a:solidFill>
              <a:srgbClr val="00B050"/>
            </a:solidFill>
            <a:ln w="3175">
              <a:solidFill>
                <a:srgbClr val="006600"/>
              </a:solidFill>
            </a:ln>
          </c:spPr>
          <c:invertIfNegative val="0"/>
          <c:cat>
            <c:multiLvlStrRef>
              <c:f>Datos!$A$126:$B$197</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2018</c:v>
                  </c:pt>
                  <c:pt idx="12">
                    <c:v>2019</c:v>
                  </c:pt>
                  <c:pt idx="24">
                    <c:v>2020</c:v>
                  </c:pt>
                  <c:pt idx="36">
                    <c:v>2021</c:v>
                  </c:pt>
                  <c:pt idx="48">
                    <c:v>2022</c:v>
                  </c:pt>
                  <c:pt idx="60">
                    <c:v>2023</c:v>
                  </c:pt>
                </c:lvl>
              </c:multiLvlStrCache>
            </c:multiLvlStrRef>
          </c:cat>
          <c:val>
            <c:numRef>
              <c:f>Datos!$E$126:$E$197</c:f>
              <c:numCache>
                <c:formatCode>0.0_)</c:formatCode>
                <c:ptCount val="69"/>
                <c:pt idx="0">
                  <c:v>99.288260836788695</c:v>
                </c:pt>
                <c:pt idx="1">
                  <c:v>98.6172258853438</c:v>
                </c:pt>
                <c:pt idx="2">
                  <c:v>99.884177809939402</c:v>
                </c:pt>
                <c:pt idx="3">
                  <c:v>99.159547173392994</c:v>
                </c:pt>
                <c:pt idx="4">
                  <c:v>99.478907673890006</c:v>
                </c:pt>
                <c:pt idx="5">
                  <c:v>99.877875386033907</c:v>
                </c:pt>
                <c:pt idx="6">
                  <c:v>99.995878229550698</c:v>
                </c:pt>
                <c:pt idx="7">
                  <c:v>99.800835730301799</c:v>
                </c:pt>
                <c:pt idx="8">
                  <c:v>100.274760842441</c:v>
                </c:pt>
                <c:pt idx="9">
                  <c:v>101.490517383145</c:v>
                </c:pt>
                <c:pt idx="10">
                  <c:v>101.68076410238901</c:v>
                </c:pt>
                <c:pt idx="11">
                  <c:v>100.730351999799</c:v>
                </c:pt>
                <c:pt idx="12">
                  <c:v>101.607494658573</c:v>
                </c:pt>
                <c:pt idx="13">
                  <c:v>102.050876742772</c:v>
                </c:pt>
                <c:pt idx="14">
                  <c:v>101.42003209230499</c:v>
                </c:pt>
                <c:pt idx="15">
                  <c:v>101.548890421137</c:v>
                </c:pt>
                <c:pt idx="16">
                  <c:v>101.927456938299</c:v>
                </c:pt>
                <c:pt idx="17">
                  <c:v>102.554307791432</c:v>
                </c:pt>
                <c:pt idx="18">
                  <c:v>102.329643731389</c:v>
                </c:pt>
                <c:pt idx="19">
                  <c:v>102.998312664479</c:v>
                </c:pt>
                <c:pt idx="20">
                  <c:v>102.434809235467</c:v>
                </c:pt>
                <c:pt idx="21">
                  <c:v>102.045158356849</c:v>
                </c:pt>
                <c:pt idx="22">
                  <c:v>102.723704497675</c:v>
                </c:pt>
                <c:pt idx="23">
                  <c:v>103.139394957191</c:v>
                </c:pt>
                <c:pt idx="24">
                  <c:v>102.651119414929</c:v>
                </c:pt>
                <c:pt idx="25">
                  <c:v>100.900288100412</c:v>
                </c:pt>
                <c:pt idx="26">
                  <c:v>98.335788085267296</c:v>
                </c:pt>
                <c:pt idx="27">
                  <c:v>78.198898767973603</c:v>
                </c:pt>
                <c:pt idx="28">
                  <c:v>78.286414808916007</c:v>
                </c:pt>
                <c:pt idx="29">
                  <c:v>85.429484489398405</c:v>
                </c:pt>
                <c:pt idx="30">
                  <c:v>91.473862891825405</c:v>
                </c:pt>
                <c:pt idx="31">
                  <c:v>94.904824152622695</c:v>
                </c:pt>
                <c:pt idx="32">
                  <c:v>96.854579795639694</c:v>
                </c:pt>
                <c:pt idx="33">
                  <c:v>96.401560895943902</c:v>
                </c:pt>
                <c:pt idx="34">
                  <c:v>98.452095073417695</c:v>
                </c:pt>
                <c:pt idx="35">
                  <c:v>98.089621563346896</c:v>
                </c:pt>
                <c:pt idx="36">
                  <c:v>100.224636684609</c:v>
                </c:pt>
                <c:pt idx="37">
                  <c:v>102.318516040834</c:v>
                </c:pt>
                <c:pt idx="38">
                  <c:v>105.965357538486</c:v>
                </c:pt>
                <c:pt idx="39">
                  <c:v>105.029370880126</c:v>
                </c:pt>
                <c:pt idx="40">
                  <c:v>105.670909220807</c:v>
                </c:pt>
                <c:pt idx="41">
                  <c:v>105.05055080737201</c:v>
                </c:pt>
                <c:pt idx="42">
                  <c:v>105.773777754067</c:v>
                </c:pt>
                <c:pt idx="43">
                  <c:v>106.327843132542</c:v>
                </c:pt>
                <c:pt idx="44">
                  <c:v>107.511455695035</c:v>
                </c:pt>
                <c:pt idx="45">
                  <c:v>107.666899608591</c:v>
                </c:pt>
                <c:pt idx="46">
                  <c:v>108.531102225418</c:v>
                </c:pt>
                <c:pt idx="47">
                  <c:v>108.514099165632</c:v>
                </c:pt>
                <c:pt idx="48">
                  <c:v>107.69690980694401</c:v>
                </c:pt>
                <c:pt idx="49">
                  <c:v>110.04416506723</c:v>
                </c:pt>
                <c:pt idx="50">
                  <c:v>112.944966970274</c:v>
                </c:pt>
                <c:pt idx="51">
                  <c:v>111.74428646949499</c:v>
                </c:pt>
                <c:pt idx="52">
                  <c:v>113.15865071246699</c:v>
                </c:pt>
                <c:pt idx="53">
                  <c:v>113.129706210319</c:v>
                </c:pt>
                <c:pt idx="54">
                  <c:v>113.27921720955101</c:v>
                </c:pt>
                <c:pt idx="55">
                  <c:v>114.86399245940299</c:v>
                </c:pt>
                <c:pt idx="56">
                  <c:v>115.071334021102</c:v>
                </c:pt>
                <c:pt idx="57">
                  <c:v>116.026441307436</c:v>
                </c:pt>
                <c:pt idx="58">
                  <c:v>115.55775842209199</c:v>
                </c:pt>
                <c:pt idx="59">
                  <c:v>116.288603905138</c:v>
                </c:pt>
                <c:pt idx="60">
                  <c:v>116.608363507638</c:v>
                </c:pt>
                <c:pt idx="61">
                  <c:v>116.135806075061</c:v>
                </c:pt>
                <c:pt idx="62">
                  <c:v>114.956675927877</c:v>
                </c:pt>
                <c:pt idx="63">
                  <c:v>116.591228413772</c:v>
                </c:pt>
                <c:pt idx="64">
                  <c:v>116.33642580503</c:v>
                </c:pt>
                <c:pt idx="65">
                  <c:v>119.180094779884</c:v>
                </c:pt>
                <c:pt idx="66">
                  <c:v>118.920396055483</c:v>
                </c:pt>
                <c:pt idx="67">
                  <c:v>118.35823693752501</c:v>
                </c:pt>
                <c:pt idx="68">
                  <c:v>118.071904904362</c:v>
                </c:pt>
              </c:numCache>
            </c:numRef>
          </c:val>
          <c:extLst>
            <c:ext xmlns:c16="http://schemas.microsoft.com/office/drawing/2014/chart" uri="{C3380CC4-5D6E-409C-BE32-E72D297353CC}">
              <c16:uniqueId val="{00000000-DB08-48F6-96B1-D807B0C45523}"/>
            </c:ext>
          </c:extLst>
        </c:ser>
        <c:dLbls>
          <c:showLegendKey val="0"/>
          <c:showVal val="0"/>
          <c:showCatName val="0"/>
          <c:showSerName val="0"/>
          <c:showPercent val="0"/>
          <c:showBubbleSize val="0"/>
        </c:dLbls>
        <c:gapWidth val="70"/>
        <c:axId val="679175568"/>
        <c:axId val="679175176"/>
      </c:barChart>
      <c:lineChart>
        <c:grouping val="standard"/>
        <c:varyColors val="0"/>
        <c:ser>
          <c:idx val="1"/>
          <c:order val="1"/>
          <c:tx>
            <c:strRef>
              <c:f>Datos!$F$5</c:f>
              <c:strCache>
                <c:ptCount val="1"/>
                <c:pt idx="0">
                  <c:v>Serie de tendencia-ciclo</c:v>
                </c:pt>
              </c:strCache>
            </c:strRef>
          </c:tx>
          <c:spPr>
            <a:ln w="12700">
              <a:solidFill>
                <a:srgbClr val="0000FF"/>
              </a:solidFill>
              <a:prstDash val="solid"/>
            </a:ln>
          </c:spPr>
          <c:marker>
            <c:symbol val="none"/>
          </c:marker>
          <c:cat>
            <c:multiLvlStrRef>
              <c:f>Datos!$A$126:$B$197</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2018</c:v>
                  </c:pt>
                  <c:pt idx="12">
                    <c:v>2019</c:v>
                  </c:pt>
                  <c:pt idx="24">
                    <c:v>2020</c:v>
                  </c:pt>
                  <c:pt idx="36">
                    <c:v>2021</c:v>
                  </c:pt>
                  <c:pt idx="48">
                    <c:v>2022</c:v>
                  </c:pt>
                  <c:pt idx="60">
                    <c:v>2023</c:v>
                  </c:pt>
                </c:lvl>
              </c:multiLvlStrCache>
            </c:multiLvlStrRef>
          </c:cat>
          <c:val>
            <c:numRef>
              <c:f>Datos!$F$126:$F$197</c:f>
              <c:numCache>
                <c:formatCode>0.0_)</c:formatCode>
                <c:ptCount val="69"/>
                <c:pt idx="0">
                  <c:v>99.047618054661996</c:v>
                </c:pt>
                <c:pt idx="1">
                  <c:v>99.191448168312306</c:v>
                </c:pt>
                <c:pt idx="2">
                  <c:v>99.322331972040601</c:v>
                </c:pt>
                <c:pt idx="3">
                  <c:v>99.425848060303593</c:v>
                </c:pt>
                <c:pt idx="4">
                  <c:v>99.526077304457303</c:v>
                </c:pt>
                <c:pt idx="5">
                  <c:v>99.687374685913298</c:v>
                </c:pt>
                <c:pt idx="6">
                  <c:v>99.937268078365605</c:v>
                </c:pt>
                <c:pt idx="7">
                  <c:v>100.23329633912699</c:v>
                </c:pt>
                <c:pt idx="8">
                  <c:v>100.570677554781</c:v>
                </c:pt>
                <c:pt idx="9">
                  <c:v>100.921475927028</c:v>
                </c:pt>
                <c:pt idx="10">
                  <c:v>101.211159908794</c:v>
                </c:pt>
                <c:pt idx="11">
                  <c:v>101.412309663092</c:v>
                </c:pt>
                <c:pt idx="12">
                  <c:v>101.52736718848099</c:v>
                </c:pt>
                <c:pt idx="13">
                  <c:v>101.586676285886</c:v>
                </c:pt>
                <c:pt idx="14">
                  <c:v>101.670962099384</c:v>
                </c:pt>
                <c:pt idx="15">
                  <c:v>101.8426760956</c:v>
                </c:pt>
                <c:pt idx="16">
                  <c:v>102.06282357764699</c:v>
                </c:pt>
                <c:pt idx="17">
                  <c:v>102.252590828604</c:v>
                </c:pt>
                <c:pt idx="18">
                  <c:v>102.400543157456</c:v>
                </c:pt>
                <c:pt idx="19">
                  <c:v>102.522132826272</c:v>
                </c:pt>
                <c:pt idx="20">
                  <c:v>102.585407518677</c:v>
                </c:pt>
                <c:pt idx="21">
                  <c:v>102.60857390896901</c:v>
                </c:pt>
                <c:pt idx="22">
                  <c:v>102.634051917736</c:v>
                </c:pt>
                <c:pt idx="23">
                  <c:v>102.664560838898</c:v>
                </c:pt>
                <c:pt idx="24">
                  <c:v>102.690920117635</c:v>
                </c:pt>
                <c:pt idx="25">
                  <c:v>102.72344810288401</c:v>
                </c:pt>
                <c:pt idx="26">
                  <c:v>98.121238728233905</c:v>
                </c:pt>
                <c:pt idx="27">
                  <c:v>94.014956283649596</c:v>
                </c:pt>
                <c:pt idx="28">
                  <c:v>94.169686548746199</c:v>
                </c:pt>
                <c:pt idx="29">
                  <c:v>94.439583296100494</c:v>
                </c:pt>
                <c:pt idx="30">
                  <c:v>94.844235387950306</c:v>
                </c:pt>
                <c:pt idx="31">
                  <c:v>95.388606808390307</c:v>
                </c:pt>
                <c:pt idx="32">
                  <c:v>96.102434390696601</c:v>
                </c:pt>
                <c:pt idx="33">
                  <c:v>96.996636453701996</c:v>
                </c:pt>
                <c:pt idx="34">
                  <c:v>98.077477071441294</c:v>
                </c:pt>
                <c:pt idx="35">
                  <c:v>99.364764034249802</c:v>
                </c:pt>
                <c:pt idx="36">
                  <c:v>100.781368416201</c:v>
                </c:pt>
                <c:pt idx="37">
                  <c:v>102.184719878255</c:v>
                </c:pt>
                <c:pt idx="38">
                  <c:v>103.422270300493</c:v>
                </c:pt>
                <c:pt idx="39">
                  <c:v>104.412310598674</c:v>
                </c:pt>
                <c:pt idx="40">
                  <c:v>105.128068886584</c:v>
                </c:pt>
                <c:pt idx="41">
                  <c:v>105.665893584776</c:v>
                </c:pt>
                <c:pt idx="42">
                  <c:v>106.10876430714001</c:v>
                </c:pt>
                <c:pt idx="43">
                  <c:v>106.568398076243</c:v>
                </c:pt>
                <c:pt idx="44">
                  <c:v>107.097459923708</c:v>
                </c:pt>
                <c:pt idx="45">
                  <c:v>107.676805814662</c:v>
                </c:pt>
                <c:pt idx="46">
                  <c:v>108.263417667293</c:v>
                </c:pt>
                <c:pt idx="47">
                  <c:v>108.854146767785</c:v>
                </c:pt>
                <c:pt idx="48">
                  <c:v>109.50173475567399</c:v>
                </c:pt>
                <c:pt idx="49">
                  <c:v>110.228122064978</c:v>
                </c:pt>
                <c:pt idx="50">
                  <c:v>111.00943660177499</c:v>
                </c:pt>
                <c:pt idx="51">
                  <c:v>111.79402334721701</c:v>
                </c:pt>
                <c:pt idx="52">
                  <c:v>112.553302331296</c:v>
                </c:pt>
                <c:pt idx="53">
                  <c:v>113.270372353326</c:v>
                </c:pt>
                <c:pt idx="54">
                  <c:v>113.927471606366</c:v>
                </c:pt>
                <c:pt idx="55">
                  <c:v>114.545203488046</c:v>
                </c:pt>
                <c:pt idx="56">
                  <c:v>115.10850313067699</c:v>
                </c:pt>
                <c:pt idx="57">
                  <c:v>115.58987933991099</c:v>
                </c:pt>
                <c:pt idx="58">
                  <c:v>115.960632128032</c:v>
                </c:pt>
                <c:pt idx="59">
                  <c:v>116.181002665178</c:v>
                </c:pt>
                <c:pt idx="60">
                  <c:v>116.247711524606</c:v>
                </c:pt>
                <c:pt idx="61">
                  <c:v>116.283109596385</c:v>
                </c:pt>
                <c:pt idx="62">
                  <c:v>116.41299230038</c:v>
                </c:pt>
                <c:pt idx="63">
                  <c:v>116.666871469721</c:v>
                </c:pt>
                <c:pt idx="64">
                  <c:v>117.035511519195</c:v>
                </c:pt>
                <c:pt idx="65">
                  <c:v>117.46445929845601</c:v>
                </c:pt>
                <c:pt idx="66">
                  <c:v>117.908529203165</c:v>
                </c:pt>
                <c:pt idx="67">
                  <c:v>118.300190721495</c:v>
                </c:pt>
                <c:pt idx="68">
                  <c:v>118.623186538243</c:v>
                </c:pt>
              </c:numCache>
            </c:numRef>
          </c:val>
          <c:smooth val="0"/>
          <c:extLst>
            <c:ext xmlns:c16="http://schemas.microsoft.com/office/drawing/2014/chart" uri="{C3380CC4-5D6E-409C-BE32-E72D297353CC}">
              <c16:uniqueId val="{00000001-DB08-48F6-96B1-D807B0C45523}"/>
            </c:ext>
          </c:extLst>
        </c:ser>
        <c:dLbls>
          <c:showLegendKey val="0"/>
          <c:showVal val="0"/>
          <c:showCatName val="0"/>
          <c:showSerName val="0"/>
          <c:showPercent val="0"/>
          <c:showBubbleSize val="0"/>
        </c:dLbls>
        <c:marker val="1"/>
        <c:smooth val="0"/>
        <c:axId val="679175568"/>
        <c:axId val="679175176"/>
      </c:lineChart>
      <c:catAx>
        <c:axId val="679175568"/>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sz="750"/>
            </a:pPr>
            <a:endParaRPr lang="es-MX"/>
          </a:p>
        </c:txPr>
        <c:crossAx val="679175176"/>
        <c:crosses val="autoZero"/>
        <c:auto val="1"/>
        <c:lblAlgn val="ctr"/>
        <c:lblOffset val="100"/>
        <c:tickLblSkip val="1"/>
        <c:tickMarkSkip val="12"/>
        <c:noMultiLvlLbl val="1"/>
      </c:catAx>
      <c:valAx>
        <c:axId val="679175176"/>
        <c:scaling>
          <c:orientation val="minMax"/>
          <c:max val="125"/>
          <c:min val="7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800"/>
            </a:pPr>
            <a:endParaRPr lang="es-MX"/>
          </a:p>
        </c:txPr>
        <c:crossAx val="679175568"/>
        <c:crosses val="autoZero"/>
        <c:crossBetween val="between"/>
        <c:majorUnit val="10"/>
      </c:valAx>
      <c:spPr>
        <a:noFill/>
        <a:ln w="6350">
          <a:solidFill>
            <a:srgbClr val="808080"/>
          </a:solidFill>
          <a:prstDash val="solid"/>
        </a:ln>
      </c:spPr>
    </c:plotArea>
    <c:legend>
      <c:legendPos val="r"/>
      <c:layout>
        <c:manualLayout>
          <c:xMode val="edge"/>
          <c:yMode val="edge"/>
          <c:x val="6.6050070028011484E-2"/>
          <c:y val="0.95347564313084165"/>
          <c:w val="0.9072138188608776"/>
          <c:h val="4.3240284619594956E-2"/>
        </c:manualLayout>
      </c:layout>
      <c:overlay val="0"/>
      <c:spPr>
        <a:noFill/>
        <a:ln w="3175">
          <a:noFill/>
          <a:prstDash val="solid"/>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421064814814818E-2"/>
          <c:y val="4.9774206349206346E-2"/>
          <c:w val="0.92661828703703708"/>
          <c:h val="0.79193794459575018"/>
        </c:manualLayout>
      </c:layout>
      <c:barChart>
        <c:barDir val="col"/>
        <c:grouping val="clustered"/>
        <c:varyColors val="0"/>
        <c:ser>
          <c:idx val="0"/>
          <c:order val="0"/>
          <c:tx>
            <c:strRef>
              <c:f>Datos!$C$5</c:f>
              <c:strCache>
                <c:ptCount val="1"/>
                <c:pt idx="0">
                  <c:v>Serie desestacionalizada</c:v>
                </c:pt>
              </c:strCache>
            </c:strRef>
          </c:tx>
          <c:spPr>
            <a:solidFill>
              <a:srgbClr val="00B050"/>
            </a:solidFill>
            <a:ln w="6350">
              <a:solidFill>
                <a:srgbClr val="006600"/>
              </a:solidFill>
            </a:ln>
          </c:spPr>
          <c:invertIfNegative val="0"/>
          <c:cat>
            <c:multiLvlStrRef>
              <c:f>Datos!$A$126:$B$197</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2018</c:v>
                  </c:pt>
                  <c:pt idx="12">
                    <c:v>2019</c:v>
                  </c:pt>
                  <c:pt idx="24">
                    <c:v>2020</c:v>
                  </c:pt>
                  <c:pt idx="36">
                    <c:v>2021</c:v>
                  </c:pt>
                  <c:pt idx="48">
                    <c:v>2022</c:v>
                  </c:pt>
                  <c:pt idx="60">
                    <c:v>2023</c:v>
                  </c:pt>
                </c:lvl>
              </c:multiLvlStrCache>
            </c:multiLvlStrRef>
          </c:cat>
          <c:val>
            <c:numRef>
              <c:f>Datos!$C$126:$C$197</c:f>
              <c:numCache>
                <c:formatCode>0.0_)</c:formatCode>
                <c:ptCount val="69"/>
                <c:pt idx="0">
                  <c:v>98.417821305791705</c:v>
                </c:pt>
                <c:pt idx="1">
                  <c:v>98.793481685279204</c:v>
                </c:pt>
                <c:pt idx="2">
                  <c:v>98.584981425041093</c:v>
                </c:pt>
                <c:pt idx="3">
                  <c:v>99.439528905701195</c:v>
                </c:pt>
                <c:pt idx="4">
                  <c:v>101.368913163835</c:v>
                </c:pt>
                <c:pt idx="5">
                  <c:v>101.114906581798</c:v>
                </c:pt>
                <c:pt idx="6">
                  <c:v>100.30201610144699</c:v>
                </c:pt>
                <c:pt idx="7">
                  <c:v>100.26522967262299</c:v>
                </c:pt>
                <c:pt idx="8">
                  <c:v>101.50867128352699</c:v>
                </c:pt>
                <c:pt idx="9">
                  <c:v>102.937406020227</c:v>
                </c:pt>
                <c:pt idx="10">
                  <c:v>101.012756141555</c:v>
                </c:pt>
                <c:pt idx="11">
                  <c:v>96.557268194091407</c:v>
                </c:pt>
                <c:pt idx="12">
                  <c:v>92.712751496227895</c:v>
                </c:pt>
                <c:pt idx="13">
                  <c:v>94.364196821840395</c:v>
                </c:pt>
                <c:pt idx="14">
                  <c:v>95.343258626790799</c:v>
                </c:pt>
                <c:pt idx="15">
                  <c:v>94.9272831893431</c:v>
                </c:pt>
                <c:pt idx="16">
                  <c:v>94.608139000661595</c:v>
                </c:pt>
                <c:pt idx="17">
                  <c:v>93.429033736616603</c:v>
                </c:pt>
                <c:pt idx="18">
                  <c:v>92.647570097628602</c:v>
                </c:pt>
                <c:pt idx="19">
                  <c:v>91.543440716606696</c:v>
                </c:pt>
                <c:pt idx="20">
                  <c:v>90.980349232633998</c:v>
                </c:pt>
                <c:pt idx="21">
                  <c:v>90.368366153797297</c:v>
                </c:pt>
                <c:pt idx="22">
                  <c:v>90.671135796917895</c:v>
                </c:pt>
                <c:pt idx="23">
                  <c:v>91.042808673250306</c:v>
                </c:pt>
                <c:pt idx="24">
                  <c:v>91.675458122006006</c:v>
                </c:pt>
                <c:pt idx="25">
                  <c:v>91.1835102568823</c:v>
                </c:pt>
                <c:pt idx="26">
                  <c:v>84.087678431320796</c:v>
                </c:pt>
                <c:pt idx="27">
                  <c:v>61.836042384087698</c:v>
                </c:pt>
                <c:pt idx="28">
                  <c:v>62.799153836916702</c:v>
                </c:pt>
                <c:pt idx="29">
                  <c:v>67.900253196767096</c:v>
                </c:pt>
                <c:pt idx="30">
                  <c:v>75.361191379962804</c:v>
                </c:pt>
                <c:pt idx="31">
                  <c:v>76.660195077893704</c:v>
                </c:pt>
                <c:pt idx="32">
                  <c:v>79.074008704526705</c:v>
                </c:pt>
                <c:pt idx="33">
                  <c:v>79.542583332563694</c:v>
                </c:pt>
                <c:pt idx="34">
                  <c:v>82.504765793101697</c:v>
                </c:pt>
                <c:pt idx="35">
                  <c:v>84.933393016840895</c:v>
                </c:pt>
                <c:pt idx="36">
                  <c:v>86.864892183343201</c:v>
                </c:pt>
                <c:pt idx="37">
                  <c:v>90.640097190272598</c:v>
                </c:pt>
                <c:pt idx="38">
                  <c:v>92.233997861645705</c:v>
                </c:pt>
                <c:pt idx="39">
                  <c:v>90.489701242096899</c:v>
                </c:pt>
                <c:pt idx="40">
                  <c:v>94.3313760236761</c:v>
                </c:pt>
                <c:pt idx="41">
                  <c:v>94.9436455273799</c:v>
                </c:pt>
                <c:pt idx="42">
                  <c:v>96.139237621591107</c:v>
                </c:pt>
                <c:pt idx="43">
                  <c:v>95.727899314121899</c:v>
                </c:pt>
                <c:pt idx="44">
                  <c:v>96.204564964083502</c:v>
                </c:pt>
                <c:pt idx="45">
                  <c:v>98.190064405914697</c:v>
                </c:pt>
                <c:pt idx="46">
                  <c:v>101.64458464016199</c:v>
                </c:pt>
                <c:pt idx="47">
                  <c:v>97.854005573932795</c:v>
                </c:pt>
                <c:pt idx="48">
                  <c:v>96.468276811043694</c:v>
                </c:pt>
                <c:pt idx="49">
                  <c:v>99.587353394728297</c:v>
                </c:pt>
                <c:pt idx="50">
                  <c:v>103.20958091333</c:v>
                </c:pt>
                <c:pt idx="51">
                  <c:v>104.707322783834</c:v>
                </c:pt>
                <c:pt idx="52">
                  <c:v>104.70504206197</c:v>
                </c:pt>
                <c:pt idx="53">
                  <c:v>106.22500999759001</c:v>
                </c:pt>
                <c:pt idx="54">
                  <c:v>105.64989951799799</c:v>
                </c:pt>
                <c:pt idx="55">
                  <c:v>104.31646969343301</c:v>
                </c:pt>
                <c:pt idx="56">
                  <c:v>102.064481889143</c:v>
                </c:pt>
                <c:pt idx="57">
                  <c:v>102.50587973935799</c:v>
                </c:pt>
                <c:pt idx="58">
                  <c:v>100.335879012917</c:v>
                </c:pt>
                <c:pt idx="59">
                  <c:v>101.941940622332</c:v>
                </c:pt>
                <c:pt idx="60">
                  <c:v>101.318488415315</c:v>
                </c:pt>
                <c:pt idx="61">
                  <c:v>100.09355312316799</c:v>
                </c:pt>
                <c:pt idx="62">
                  <c:v>94.685057220585804</c:v>
                </c:pt>
                <c:pt idx="63">
                  <c:v>100.809435189512</c:v>
                </c:pt>
                <c:pt idx="64">
                  <c:v>100.036891708212</c:v>
                </c:pt>
                <c:pt idx="65">
                  <c:v>101.042657660214</c:v>
                </c:pt>
                <c:pt idx="66">
                  <c:v>102.770455261549</c:v>
                </c:pt>
                <c:pt idx="67">
                  <c:v>106.507467120396</c:v>
                </c:pt>
                <c:pt idx="68">
                  <c:v>110.705556875219</c:v>
                </c:pt>
              </c:numCache>
            </c:numRef>
          </c:val>
          <c:extLst>
            <c:ext xmlns:c16="http://schemas.microsoft.com/office/drawing/2014/chart" uri="{C3380CC4-5D6E-409C-BE32-E72D297353CC}">
              <c16:uniqueId val="{00000000-92C0-4C23-AEC7-E4116C1AA7B9}"/>
            </c:ext>
          </c:extLst>
        </c:ser>
        <c:dLbls>
          <c:showLegendKey val="0"/>
          <c:showVal val="0"/>
          <c:showCatName val="0"/>
          <c:showSerName val="0"/>
          <c:showPercent val="0"/>
          <c:showBubbleSize val="0"/>
        </c:dLbls>
        <c:gapWidth val="70"/>
        <c:axId val="428416984"/>
        <c:axId val="428417376"/>
      </c:barChart>
      <c:lineChart>
        <c:grouping val="standard"/>
        <c:varyColors val="0"/>
        <c:ser>
          <c:idx val="1"/>
          <c:order val="1"/>
          <c:tx>
            <c:strRef>
              <c:f>Datos!$D$5</c:f>
              <c:strCache>
                <c:ptCount val="1"/>
                <c:pt idx="0">
                  <c:v>Serie de tendencia-ciclo</c:v>
                </c:pt>
              </c:strCache>
            </c:strRef>
          </c:tx>
          <c:spPr>
            <a:ln w="12700">
              <a:solidFill>
                <a:srgbClr val="0000FF"/>
              </a:solidFill>
              <a:prstDash val="solid"/>
            </a:ln>
          </c:spPr>
          <c:marker>
            <c:symbol val="none"/>
          </c:marker>
          <c:cat>
            <c:multiLvlStrRef>
              <c:f>Datos!$A$126:$B$197</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2018</c:v>
                  </c:pt>
                  <c:pt idx="12">
                    <c:v>2019</c:v>
                  </c:pt>
                  <c:pt idx="24">
                    <c:v>2020</c:v>
                  </c:pt>
                  <c:pt idx="36">
                    <c:v>2021</c:v>
                  </c:pt>
                  <c:pt idx="48">
                    <c:v>2022</c:v>
                  </c:pt>
                  <c:pt idx="60">
                    <c:v>2023</c:v>
                  </c:pt>
                </c:lvl>
              </c:multiLvlStrCache>
            </c:multiLvlStrRef>
          </c:cat>
          <c:val>
            <c:numRef>
              <c:f>Datos!$D$126:$D$197</c:f>
              <c:numCache>
                <c:formatCode>0.0_)</c:formatCode>
                <c:ptCount val="69"/>
                <c:pt idx="0">
                  <c:v>98.198223644332103</c:v>
                </c:pt>
                <c:pt idx="1">
                  <c:v>98.790361203465494</c:v>
                </c:pt>
                <c:pt idx="2">
                  <c:v>99.351450289920706</c:v>
                </c:pt>
                <c:pt idx="3">
                  <c:v>99.868485844346907</c:v>
                </c:pt>
                <c:pt idx="4">
                  <c:v>100.359313298971</c:v>
                </c:pt>
                <c:pt idx="5">
                  <c:v>100.7733783228</c:v>
                </c:pt>
                <c:pt idx="6">
                  <c:v>100.987313435247</c:v>
                </c:pt>
                <c:pt idx="7">
                  <c:v>100.889759438079</c:v>
                </c:pt>
                <c:pt idx="8">
                  <c:v>100.38848900699</c:v>
                </c:pt>
                <c:pt idx="9">
                  <c:v>99.510626060533994</c:v>
                </c:pt>
                <c:pt idx="10">
                  <c:v>98.397020081379495</c:v>
                </c:pt>
                <c:pt idx="11">
                  <c:v>97.232413058578999</c:v>
                </c:pt>
                <c:pt idx="12">
                  <c:v>96.188380086472407</c:v>
                </c:pt>
                <c:pt idx="13">
                  <c:v>95.419151367100696</c:v>
                </c:pt>
                <c:pt idx="14">
                  <c:v>94.930668486055794</c:v>
                </c:pt>
                <c:pt idx="15">
                  <c:v>94.562286306279503</c:v>
                </c:pt>
                <c:pt idx="16">
                  <c:v>94.087633237427795</c:v>
                </c:pt>
                <c:pt idx="17">
                  <c:v>93.413018171426501</c:v>
                </c:pt>
                <c:pt idx="18">
                  <c:v>92.572484647727293</c:v>
                </c:pt>
                <c:pt idx="19">
                  <c:v>91.750515916015402</c:v>
                </c:pt>
                <c:pt idx="20">
                  <c:v>91.152822121646906</c:v>
                </c:pt>
                <c:pt idx="21">
                  <c:v>90.875365741764796</c:v>
                </c:pt>
                <c:pt idx="22">
                  <c:v>90.835889722964595</c:v>
                </c:pt>
                <c:pt idx="23">
                  <c:v>90.888112179253994</c:v>
                </c:pt>
                <c:pt idx="24">
                  <c:v>90.881300790391805</c:v>
                </c:pt>
                <c:pt idx="25">
                  <c:v>90.743205725814803</c:v>
                </c:pt>
                <c:pt idx="26">
                  <c:v>84.517178377273694</c:v>
                </c:pt>
                <c:pt idx="27">
                  <c:v>74.253361589515507</c:v>
                </c:pt>
                <c:pt idx="28">
                  <c:v>74.322684353675896</c:v>
                </c:pt>
                <c:pt idx="29">
                  <c:v>74.741637555769103</c:v>
                </c:pt>
                <c:pt idx="30">
                  <c:v>75.5780638905497</c:v>
                </c:pt>
                <c:pt idx="31">
                  <c:v>76.795896104370897</c:v>
                </c:pt>
                <c:pt idx="32">
                  <c:v>78.363347404173197</c:v>
                </c:pt>
                <c:pt idx="33">
                  <c:v>80.293166420078194</c:v>
                </c:pt>
                <c:pt idx="34">
                  <c:v>82.540678874783794</c:v>
                </c:pt>
                <c:pt idx="35">
                  <c:v>84.9779875305708</c:v>
                </c:pt>
                <c:pt idx="36">
                  <c:v>87.424609211934694</c:v>
                </c:pt>
                <c:pt idx="37">
                  <c:v>89.709742377222597</c:v>
                </c:pt>
                <c:pt idx="38">
                  <c:v>91.679193506714796</c:v>
                </c:pt>
                <c:pt idx="39">
                  <c:v>93.194648618317103</c:v>
                </c:pt>
                <c:pt idx="40">
                  <c:v>94.265366541644795</c:v>
                </c:pt>
                <c:pt idx="41">
                  <c:v>95.057018011054097</c:v>
                </c:pt>
                <c:pt idx="42">
                  <c:v>95.6755389764635</c:v>
                </c:pt>
                <c:pt idx="43">
                  <c:v>96.234896504716403</c:v>
                </c:pt>
                <c:pt idx="44">
                  <c:v>96.754307188154996</c:v>
                </c:pt>
                <c:pt idx="45">
                  <c:v>97.242654090223198</c:v>
                </c:pt>
                <c:pt idx="46">
                  <c:v>97.839126608307296</c:v>
                </c:pt>
                <c:pt idx="47">
                  <c:v>98.6580837724063</c:v>
                </c:pt>
                <c:pt idx="48">
                  <c:v>99.757092773968395</c:v>
                </c:pt>
                <c:pt idx="49">
                  <c:v>101.128669510138</c:v>
                </c:pt>
                <c:pt idx="50">
                  <c:v>102.656911981856</c:v>
                </c:pt>
                <c:pt idx="51">
                  <c:v>104.07559462221001</c:v>
                </c:pt>
                <c:pt idx="52">
                  <c:v>105.072735506865</c:v>
                </c:pt>
                <c:pt idx="53">
                  <c:v>105.382069341161</c:v>
                </c:pt>
                <c:pt idx="54">
                  <c:v>105.020731218519</c:v>
                </c:pt>
                <c:pt idx="55">
                  <c:v>104.227440371898</c:v>
                </c:pt>
                <c:pt idx="56">
                  <c:v>103.28524234292099</c:v>
                </c:pt>
                <c:pt idx="57">
                  <c:v>102.4130130617</c:v>
                </c:pt>
                <c:pt idx="58">
                  <c:v>101.692969512819</c:v>
                </c:pt>
                <c:pt idx="59">
                  <c:v>101.13840293429</c:v>
                </c:pt>
                <c:pt idx="60">
                  <c:v>100.69643158466501</c:v>
                </c:pt>
                <c:pt idx="61">
                  <c:v>100.262671218958</c:v>
                </c:pt>
                <c:pt idx="62">
                  <c:v>99.934595992077405</c:v>
                </c:pt>
                <c:pt idx="63">
                  <c:v>99.935828414474301</c:v>
                </c:pt>
                <c:pt idx="64">
                  <c:v>100.50014368182499</c:v>
                </c:pt>
                <c:pt idx="65">
                  <c:v>101.73915180304201</c:v>
                </c:pt>
                <c:pt idx="66">
                  <c:v>103.602833268298</c:v>
                </c:pt>
                <c:pt idx="67">
                  <c:v>105.753754940988</c:v>
                </c:pt>
                <c:pt idx="68">
                  <c:v>107.858482117858</c:v>
                </c:pt>
              </c:numCache>
            </c:numRef>
          </c:val>
          <c:smooth val="0"/>
          <c:extLst>
            <c:ext xmlns:c16="http://schemas.microsoft.com/office/drawing/2014/chart" uri="{C3380CC4-5D6E-409C-BE32-E72D297353CC}">
              <c16:uniqueId val="{00000001-92C0-4C23-AEC7-E4116C1AA7B9}"/>
            </c:ext>
          </c:extLst>
        </c:ser>
        <c:dLbls>
          <c:showLegendKey val="0"/>
          <c:showVal val="0"/>
          <c:showCatName val="0"/>
          <c:showSerName val="0"/>
          <c:showPercent val="0"/>
          <c:showBubbleSize val="0"/>
        </c:dLbls>
        <c:marker val="1"/>
        <c:smooth val="0"/>
        <c:axId val="428416984"/>
        <c:axId val="428417376"/>
      </c:lineChart>
      <c:catAx>
        <c:axId val="428416984"/>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750" b="0" i="0" u="none" strike="noStrike" baseline="0">
                <a:solidFill>
                  <a:srgbClr val="000000"/>
                </a:solidFill>
                <a:latin typeface="Arial"/>
                <a:ea typeface="Arial"/>
                <a:cs typeface="Arial"/>
              </a:defRPr>
            </a:pPr>
            <a:endParaRPr lang="es-MX"/>
          </a:p>
        </c:txPr>
        <c:crossAx val="428417376"/>
        <c:crosses val="autoZero"/>
        <c:auto val="1"/>
        <c:lblAlgn val="ctr"/>
        <c:lblOffset val="100"/>
        <c:tickLblSkip val="1"/>
        <c:tickMarkSkip val="12"/>
        <c:noMultiLvlLbl val="1"/>
      </c:catAx>
      <c:valAx>
        <c:axId val="428417376"/>
        <c:scaling>
          <c:orientation val="minMax"/>
          <c:max val="115"/>
          <c:min val="5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800" b="0" i="0" u="none" strike="noStrike" baseline="0">
                <a:solidFill>
                  <a:srgbClr val="000000"/>
                </a:solidFill>
                <a:latin typeface="Arial"/>
                <a:ea typeface="Arial"/>
                <a:cs typeface="Arial"/>
              </a:defRPr>
            </a:pPr>
            <a:endParaRPr lang="es-MX"/>
          </a:p>
        </c:txPr>
        <c:crossAx val="428416984"/>
        <c:crosses val="autoZero"/>
        <c:crossBetween val="between"/>
        <c:majorUnit val="10"/>
      </c:valAx>
      <c:spPr>
        <a:noFill/>
        <a:ln w="6350">
          <a:solidFill>
            <a:srgbClr val="808080"/>
          </a:solidFill>
          <a:prstDash val="solid"/>
        </a:ln>
      </c:spPr>
    </c:plotArea>
    <c:legend>
      <c:legendPos val="r"/>
      <c:layout>
        <c:manualLayout>
          <c:xMode val="edge"/>
          <c:yMode val="edge"/>
          <c:x val="6.8690242763771975E-2"/>
          <c:y val="0.9490131578947365"/>
          <c:w val="0.912406629318394"/>
          <c:h val="4.9342105263157875E-2"/>
        </c:manualLayout>
      </c:layout>
      <c:overlay val="0"/>
      <c:spPr>
        <a:noFill/>
        <a:ln w="3175">
          <a:noFill/>
          <a:prstDash val="solid"/>
        </a:ln>
      </c:spPr>
      <c:txPr>
        <a:bodyPr/>
        <a:lstStyle/>
        <a:p>
          <a:pPr>
            <a:defRPr lang="es-MX"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9471527777777781E-2"/>
          <c:y val="5.1247378508283412E-2"/>
          <c:w val="0.92280486111111104"/>
          <c:h val="0.78346909722222224"/>
        </c:manualLayout>
      </c:layout>
      <c:barChart>
        <c:barDir val="col"/>
        <c:grouping val="clustered"/>
        <c:varyColors val="0"/>
        <c:ser>
          <c:idx val="0"/>
          <c:order val="0"/>
          <c:tx>
            <c:strRef>
              <c:f>Datos!$G$5</c:f>
              <c:strCache>
                <c:ptCount val="1"/>
                <c:pt idx="0">
                  <c:v>Serie desestacionalizada</c:v>
                </c:pt>
              </c:strCache>
            </c:strRef>
          </c:tx>
          <c:spPr>
            <a:solidFill>
              <a:srgbClr val="00B050"/>
            </a:solidFill>
            <a:ln w="3175">
              <a:solidFill>
                <a:srgbClr val="006600"/>
              </a:solidFill>
            </a:ln>
          </c:spPr>
          <c:invertIfNegative val="0"/>
          <c:cat>
            <c:multiLvlStrRef>
              <c:f>Datos!$A$126:$B$197</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2018</c:v>
                  </c:pt>
                  <c:pt idx="12">
                    <c:v>2019</c:v>
                  </c:pt>
                  <c:pt idx="24">
                    <c:v>2020</c:v>
                  </c:pt>
                  <c:pt idx="36">
                    <c:v>2021</c:v>
                  </c:pt>
                  <c:pt idx="48">
                    <c:v>2022</c:v>
                  </c:pt>
                  <c:pt idx="60">
                    <c:v>2023</c:v>
                  </c:pt>
                </c:lvl>
              </c:multiLvlStrCache>
            </c:multiLvlStrRef>
          </c:cat>
          <c:val>
            <c:numRef>
              <c:f>Datos!$G$126:$G$197</c:f>
              <c:numCache>
                <c:formatCode>0.0_)</c:formatCode>
                <c:ptCount val="69"/>
                <c:pt idx="0">
                  <c:v>98.836281067720805</c:v>
                </c:pt>
                <c:pt idx="1">
                  <c:v>99.1473390943829</c:v>
                </c:pt>
                <c:pt idx="2">
                  <c:v>98.870941432429007</c:v>
                </c:pt>
                <c:pt idx="3">
                  <c:v>99.9461562302196</c:v>
                </c:pt>
                <c:pt idx="4">
                  <c:v>100.39236356228101</c:v>
                </c:pt>
                <c:pt idx="5">
                  <c:v>100.10552525142199</c:v>
                </c:pt>
                <c:pt idx="6">
                  <c:v>100.314397455432</c:v>
                </c:pt>
                <c:pt idx="7">
                  <c:v>100.31383935701101</c:v>
                </c:pt>
                <c:pt idx="8">
                  <c:v>100.276451022255</c:v>
                </c:pt>
                <c:pt idx="9">
                  <c:v>100.582874941659</c:v>
                </c:pt>
                <c:pt idx="10">
                  <c:v>100.52266704300899</c:v>
                </c:pt>
                <c:pt idx="11">
                  <c:v>100.77117776871199</c:v>
                </c:pt>
                <c:pt idx="12">
                  <c:v>99.783294397670105</c:v>
                </c:pt>
                <c:pt idx="13">
                  <c:v>100.08489447855401</c:v>
                </c:pt>
                <c:pt idx="14">
                  <c:v>100.096915307397</c:v>
                </c:pt>
                <c:pt idx="15">
                  <c:v>100.39730467702201</c:v>
                </c:pt>
                <c:pt idx="16">
                  <c:v>100.334551771813</c:v>
                </c:pt>
                <c:pt idx="17">
                  <c:v>100.58542260647801</c:v>
                </c:pt>
                <c:pt idx="18">
                  <c:v>100.748785791047</c:v>
                </c:pt>
                <c:pt idx="19">
                  <c:v>100.743705898366</c:v>
                </c:pt>
                <c:pt idx="20">
                  <c:v>100.53040461986799</c:v>
                </c:pt>
                <c:pt idx="21">
                  <c:v>100.578099919613</c:v>
                </c:pt>
                <c:pt idx="22">
                  <c:v>100.82786019528599</c:v>
                </c:pt>
                <c:pt idx="23">
                  <c:v>100.948754496576</c:v>
                </c:pt>
                <c:pt idx="24">
                  <c:v>101.076052567554</c:v>
                </c:pt>
                <c:pt idx="25">
                  <c:v>101.028324358443</c:v>
                </c:pt>
                <c:pt idx="26">
                  <c:v>101.007093250159</c:v>
                </c:pt>
                <c:pt idx="27">
                  <c:v>100.08455603405601</c:v>
                </c:pt>
                <c:pt idx="28">
                  <c:v>99.589910781197801</c:v>
                </c:pt>
                <c:pt idx="29">
                  <c:v>99.2915063689356</c:v>
                </c:pt>
                <c:pt idx="30">
                  <c:v>99.363375277654995</c:v>
                </c:pt>
                <c:pt idx="31">
                  <c:v>99.419254754126499</c:v>
                </c:pt>
                <c:pt idx="32">
                  <c:v>99.533517100139207</c:v>
                </c:pt>
                <c:pt idx="33">
                  <c:v>99.434197244447603</c:v>
                </c:pt>
                <c:pt idx="34">
                  <c:v>99.278797736149997</c:v>
                </c:pt>
                <c:pt idx="35">
                  <c:v>99.787517475585304</c:v>
                </c:pt>
                <c:pt idx="36">
                  <c:v>100.450166492747</c:v>
                </c:pt>
                <c:pt idx="37">
                  <c:v>100.52321148892101</c:v>
                </c:pt>
                <c:pt idx="38">
                  <c:v>101.00971070478199</c:v>
                </c:pt>
                <c:pt idx="39">
                  <c:v>101.311010336313</c:v>
                </c:pt>
                <c:pt idx="40">
                  <c:v>101.617587680668</c:v>
                </c:pt>
                <c:pt idx="41">
                  <c:v>101.726314562897</c:v>
                </c:pt>
                <c:pt idx="42">
                  <c:v>104.135991614874</c:v>
                </c:pt>
                <c:pt idx="43">
                  <c:v>107.030111434802</c:v>
                </c:pt>
                <c:pt idx="44">
                  <c:v>107.90377288336801</c:v>
                </c:pt>
                <c:pt idx="45">
                  <c:v>108.123389858511</c:v>
                </c:pt>
                <c:pt idx="46">
                  <c:v>108.68747687451599</c:v>
                </c:pt>
                <c:pt idx="47">
                  <c:v>109.103304782406</c:v>
                </c:pt>
                <c:pt idx="48">
                  <c:v>109.369287558908</c:v>
                </c:pt>
                <c:pt idx="49">
                  <c:v>110.38939578782001</c:v>
                </c:pt>
                <c:pt idx="50">
                  <c:v>110.926303593241</c:v>
                </c:pt>
                <c:pt idx="51">
                  <c:v>111.171588406137</c:v>
                </c:pt>
                <c:pt idx="52">
                  <c:v>110.604922348578</c:v>
                </c:pt>
                <c:pt idx="53">
                  <c:v>110.730094732678</c:v>
                </c:pt>
                <c:pt idx="54">
                  <c:v>109.895429961671</c:v>
                </c:pt>
                <c:pt idx="55">
                  <c:v>110.402805229611</c:v>
                </c:pt>
                <c:pt idx="56">
                  <c:v>110.673571780622</c:v>
                </c:pt>
                <c:pt idx="57">
                  <c:v>110.931829559153</c:v>
                </c:pt>
                <c:pt idx="58">
                  <c:v>110.826622722286</c:v>
                </c:pt>
                <c:pt idx="59">
                  <c:v>110.747022821504</c:v>
                </c:pt>
                <c:pt idx="60">
                  <c:v>109.985353736132</c:v>
                </c:pt>
                <c:pt idx="61">
                  <c:v>110.82962751157901</c:v>
                </c:pt>
                <c:pt idx="62">
                  <c:v>110.076136530939</c:v>
                </c:pt>
                <c:pt idx="63">
                  <c:v>110.03728696132001</c:v>
                </c:pt>
                <c:pt idx="64">
                  <c:v>109.99929760581</c:v>
                </c:pt>
                <c:pt idx="65">
                  <c:v>111.89870198337501</c:v>
                </c:pt>
                <c:pt idx="66">
                  <c:v>112.493733353371</c:v>
                </c:pt>
                <c:pt idx="67">
                  <c:v>113.051232328135</c:v>
                </c:pt>
                <c:pt idx="68">
                  <c:v>112.729014275444</c:v>
                </c:pt>
              </c:numCache>
            </c:numRef>
          </c:val>
          <c:extLst>
            <c:ext xmlns:c16="http://schemas.microsoft.com/office/drawing/2014/chart" uri="{C3380CC4-5D6E-409C-BE32-E72D297353CC}">
              <c16:uniqueId val="{00000000-3724-4B5F-B713-69322D54C06D}"/>
            </c:ext>
          </c:extLst>
        </c:ser>
        <c:dLbls>
          <c:showLegendKey val="0"/>
          <c:showVal val="0"/>
          <c:showCatName val="0"/>
          <c:showSerName val="0"/>
          <c:showPercent val="0"/>
          <c:showBubbleSize val="0"/>
        </c:dLbls>
        <c:gapWidth val="70"/>
        <c:axId val="679174000"/>
        <c:axId val="679174392"/>
      </c:barChart>
      <c:lineChart>
        <c:grouping val="standard"/>
        <c:varyColors val="0"/>
        <c:ser>
          <c:idx val="1"/>
          <c:order val="1"/>
          <c:tx>
            <c:strRef>
              <c:f>Datos!$H$5</c:f>
              <c:strCache>
                <c:ptCount val="1"/>
                <c:pt idx="0">
                  <c:v>Serie de tendencia-ciclo</c:v>
                </c:pt>
              </c:strCache>
            </c:strRef>
          </c:tx>
          <c:spPr>
            <a:ln w="12700">
              <a:solidFill>
                <a:srgbClr val="0000FF"/>
              </a:solidFill>
              <a:prstDash val="solid"/>
            </a:ln>
          </c:spPr>
          <c:marker>
            <c:symbol val="none"/>
          </c:marker>
          <c:cat>
            <c:multiLvlStrRef>
              <c:f>Datos!$A$126:$B$197</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2018</c:v>
                  </c:pt>
                  <c:pt idx="12">
                    <c:v>2019</c:v>
                  </c:pt>
                  <c:pt idx="24">
                    <c:v>2020</c:v>
                  </c:pt>
                  <c:pt idx="36">
                    <c:v>2021</c:v>
                  </c:pt>
                  <c:pt idx="48">
                    <c:v>2022</c:v>
                  </c:pt>
                  <c:pt idx="60">
                    <c:v>2023</c:v>
                  </c:pt>
                </c:lvl>
              </c:multiLvlStrCache>
            </c:multiLvlStrRef>
          </c:cat>
          <c:val>
            <c:numRef>
              <c:f>Datos!$H$126:$H$197</c:f>
              <c:numCache>
                <c:formatCode>0.0_)</c:formatCode>
                <c:ptCount val="69"/>
                <c:pt idx="0">
                  <c:v>98.818006439557095</c:v>
                </c:pt>
                <c:pt idx="1">
                  <c:v>99.205166590878505</c:v>
                </c:pt>
                <c:pt idx="2">
                  <c:v>99.591827854250994</c:v>
                </c:pt>
                <c:pt idx="3">
                  <c:v>99.9114783975037</c:v>
                </c:pt>
                <c:pt idx="4">
                  <c:v>100.13074394204099</c:v>
                </c:pt>
                <c:pt idx="5">
                  <c:v>100.231540106856</c:v>
                </c:pt>
                <c:pt idx="6">
                  <c:v>100.26972914422301</c:v>
                </c:pt>
                <c:pt idx="7">
                  <c:v>100.32323738675601</c:v>
                </c:pt>
                <c:pt idx="8">
                  <c:v>100.405648767602</c:v>
                </c:pt>
                <c:pt idx="9">
                  <c:v>100.471447091709</c:v>
                </c:pt>
                <c:pt idx="10">
                  <c:v>100.45942962533501</c:v>
                </c:pt>
                <c:pt idx="11">
                  <c:v>100.359773967693</c:v>
                </c:pt>
                <c:pt idx="12">
                  <c:v>100.227165799479</c:v>
                </c:pt>
                <c:pt idx="13">
                  <c:v>100.14487202876001</c:v>
                </c:pt>
                <c:pt idx="14">
                  <c:v>100.16531849723199</c:v>
                </c:pt>
                <c:pt idx="15">
                  <c:v>100.27194813708</c:v>
                </c:pt>
                <c:pt idx="16">
                  <c:v>100.43418889288201</c:v>
                </c:pt>
                <c:pt idx="17">
                  <c:v>100.58460997983801</c:v>
                </c:pt>
                <c:pt idx="18">
                  <c:v>100.657421961601</c:v>
                </c:pt>
                <c:pt idx="19">
                  <c:v>100.658796946349</c:v>
                </c:pt>
                <c:pt idx="20">
                  <c:v>100.642167771714</c:v>
                </c:pt>
                <c:pt idx="21">
                  <c:v>100.67025814854701</c:v>
                </c:pt>
                <c:pt idx="22">
                  <c:v>100.78244674522</c:v>
                </c:pt>
                <c:pt idx="23">
                  <c:v>100.931326970713</c:v>
                </c:pt>
                <c:pt idx="24">
                  <c:v>101.019506748393</c:v>
                </c:pt>
                <c:pt idx="25">
                  <c:v>101.03347009233499</c:v>
                </c:pt>
                <c:pt idx="26">
                  <c:v>101.00862616165</c:v>
                </c:pt>
                <c:pt idx="27">
                  <c:v>100.194979316051</c:v>
                </c:pt>
                <c:pt idx="28">
                  <c:v>99.389934889865401</c:v>
                </c:pt>
                <c:pt idx="29">
                  <c:v>99.381730712464702</c:v>
                </c:pt>
                <c:pt idx="30">
                  <c:v>99.391336158018404</c:v>
                </c:pt>
                <c:pt idx="31">
                  <c:v>99.408335320245797</c:v>
                </c:pt>
                <c:pt idx="32">
                  <c:v>99.421011498599995</c:v>
                </c:pt>
                <c:pt idx="33">
                  <c:v>99.481076647020203</c:v>
                </c:pt>
                <c:pt idx="34">
                  <c:v>99.615622575406505</c:v>
                </c:pt>
                <c:pt idx="35">
                  <c:v>99.869900872170902</c:v>
                </c:pt>
                <c:pt idx="36">
                  <c:v>100.22220043905</c:v>
                </c:pt>
                <c:pt idx="37">
                  <c:v>100.617525762995</c:v>
                </c:pt>
                <c:pt idx="38">
                  <c:v>100.994551905878</c:v>
                </c:pt>
                <c:pt idx="39">
                  <c:v>101.306124198996</c:v>
                </c:pt>
                <c:pt idx="40">
                  <c:v>101.511891661642</c:v>
                </c:pt>
                <c:pt idx="41">
                  <c:v>101.674088685822</c:v>
                </c:pt>
                <c:pt idx="42">
                  <c:v>104.284692597293</c:v>
                </c:pt>
                <c:pt idx="43">
                  <c:v>107.20473105961</c:v>
                </c:pt>
                <c:pt idx="44">
                  <c:v>107.67219494909899</c:v>
                </c:pt>
                <c:pt idx="45">
                  <c:v>108.167947638925</c:v>
                </c:pt>
                <c:pt idx="46">
                  <c:v>108.63174336004001</c:v>
                </c:pt>
                <c:pt idx="47">
                  <c:v>109.109839584284</c:v>
                </c:pt>
                <c:pt idx="48">
                  <c:v>109.69772202815101</c:v>
                </c:pt>
                <c:pt idx="49">
                  <c:v>110.30931095766999</c:v>
                </c:pt>
                <c:pt idx="50">
                  <c:v>110.76002728240501</c:v>
                </c:pt>
                <c:pt idx="51">
                  <c:v>110.947791119041</c:v>
                </c:pt>
                <c:pt idx="52">
                  <c:v>110.863328666683</c:v>
                </c:pt>
                <c:pt idx="53">
                  <c:v>110.653767154161</c:v>
                </c:pt>
                <c:pt idx="54">
                  <c:v>110.528377153433</c:v>
                </c:pt>
                <c:pt idx="55">
                  <c:v>110.55221920533</c:v>
                </c:pt>
                <c:pt idx="56">
                  <c:v>110.678758342005</c:v>
                </c:pt>
                <c:pt idx="57">
                  <c:v>110.795285469953</c:v>
                </c:pt>
                <c:pt idx="58">
                  <c:v>110.824806643195</c:v>
                </c:pt>
                <c:pt idx="59">
                  <c:v>110.70204081068</c:v>
                </c:pt>
                <c:pt idx="60">
                  <c:v>110.452122953584</c:v>
                </c:pt>
                <c:pt idx="61">
                  <c:v>110.194572955194</c:v>
                </c:pt>
                <c:pt idx="62">
                  <c:v>110.103950692072</c:v>
                </c:pt>
                <c:pt idx="63">
                  <c:v>110.325858436019</c:v>
                </c:pt>
                <c:pt idx="64">
                  <c:v>110.914610844363</c:v>
                </c:pt>
                <c:pt idx="65">
                  <c:v>111.69140378505401</c:v>
                </c:pt>
                <c:pt idx="66">
                  <c:v>112.386788916635</c:v>
                </c:pt>
                <c:pt idx="67">
                  <c:v>112.784658760819</c:v>
                </c:pt>
                <c:pt idx="68">
                  <c:v>112.878748832561</c:v>
                </c:pt>
              </c:numCache>
            </c:numRef>
          </c:val>
          <c:smooth val="0"/>
          <c:extLst>
            <c:ext xmlns:c16="http://schemas.microsoft.com/office/drawing/2014/chart" uri="{C3380CC4-5D6E-409C-BE32-E72D297353CC}">
              <c16:uniqueId val="{00000001-3724-4B5F-B713-69322D54C06D}"/>
            </c:ext>
          </c:extLst>
        </c:ser>
        <c:dLbls>
          <c:showLegendKey val="0"/>
          <c:showVal val="0"/>
          <c:showCatName val="0"/>
          <c:showSerName val="0"/>
          <c:showPercent val="0"/>
          <c:showBubbleSize val="0"/>
        </c:dLbls>
        <c:marker val="1"/>
        <c:smooth val="0"/>
        <c:axId val="679174000"/>
        <c:axId val="679174392"/>
      </c:lineChart>
      <c:catAx>
        <c:axId val="679174000"/>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750" b="0" i="0" u="none" strike="noStrike" baseline="0">
                <a:solidFill>
                  <a:srgbClr val="000000"/>
                </a:solidFill>
                <a:latin typeface="Arial"/>
                <a:ea typeface="Arial"/>
                <a:cs typeface="Arial"/>
              </a:defRPr>
            </a:pPr>
            <a:endParaRPr lang="es-MX"/>
          </a:p>
        </c:txPr>
        <c:crossAx val="679174392"/>
        <c:crosses val="autoZero"/>
        <c:auto val="1"/>
        <c:lblAlgn val="ctr"/>
        <c:lblOffset val="100"/>
        <c:tickLblSkip val="1"/>
        <c:tickMarkSkip val="12"/>
        <c:noMultiLvlLbl val="1"/>
      </c:catAx>
      <c:valAx>
        <c:axId val="679174392"/>
        <c:scaling>
          <c:orientation val="minMax"/>
          <c:max val="120"/>
          <c:min val="7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800" b="0" i="0" u="none" strike="noStrike" baseline="0">
                <a:solidFill>
                  <a:srgbClr val="000000"/>
                </a:solidFill>
                <a:latin typeface="Arial"/>
                <a:ea typeface="Arial"/>
                <a:cs typeface="Arial"/>
              </a:defRPr>
            </a:pPr>
            <a:endParaRPr lang="es-MX"/>
          </a:p>
        </c:txPr>
        <c:crossAx val="679174000"/>
        <c:crosses val="autoZero"/>
        <c:crossBetween val="between"/>
        <c:majorUnit val="10"/>
      </c:valAx>
      <c:spPr>
        <a:noFill/>
        <a:ln w="3175">
          <a:solidFill>
            <a:srgbClr val="808080"/>
          </a:solidFill>
          <a:prstDash val="solid"/>
        </a:ln>
      </c:spPr>
    </c:plotArea>
    <c:legend>
      <c:legendPos val="r"/>
      <c:layout>
        <c:manualLayout>
          <c:xMode val="edge"/>
          <c:yMode val="edge"/>
          <c:x val="6.8690242763771975E-2"/>
          <c:y val="0.95783263888888903"/>
          <c:w val="0.90647759103641457"/>
          <c:h val="4.0522743055555553E-2"/>
        </c:manualLayout>
      </c:layout>
      <c:overlay val="0"/>
      <c:spPr>
        <a:noFill/>
        <a:ln w="3175">
          <a:noFill/>
          <a:prstDash val="solid"/>
        </a:ln>
      </c:spPr>
      <c:txPr>
        <a:bodyPr/>
        <a:lstStyle/>
        <a:p>
          <a:pPr>
            <a:defRPr lang="es-MX"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421064814814818E-2"/>
          <c:y val="5.4987406805342323E-2"/>
          <c:w val="0.92509467592592598"/>
          <c:h val="0.7733892361111111"/>
        </c:manualLayout>
      </c:layout>
      <c:barChart>
        <c:barDir val="col"/>
        <c:grouping val="clustered"/>
        <c:varyColors val="0"/>
        <c:ser>
          <c:idx val="0"/>
          <c:order val="0"/>
          <c:tx>
            <c:strRef>
              <c:f>Datos!$K$5</c:f>
              <c:strCache>
                <c:ptCount val="1"/>
                <c:pt idx="0">
                  <c:v>Serie desestacionalizada</c:v>
                </c:pt>
              </c:strCache>
            </c:strRef>
          </c:tx>
          <c:spPr>
            <a:solidFill>
              <a:srgbClr val="00B050"/>
            </a:solidFill>
            <a:ln w="3175">
              <a:solidFill>
                <a:srgbClr val="006600"/>
              </a:solidFill>
            </a:ln>
          </c:spPr>
          <c:invertIfNegative val="0"/>
          <c:cat>
            <c:multiLvlStrRef>
              <c:f>Datos!$A$126:$B$197</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2018</c:v>
                  </c:pt>
                  <c:pt idx="12">
                    <c:v>2019</c:v>
                  </c:pt>
                  <c:pt idx="24">
                    <c:v>2020</c:v>
                  </c:pt>
                  <c:pt idx="36">
                    <c:v>2021</c:v>
                  </c:pt>
                  <c:pt idx="48">
                    <c:v>2022</c:v>
                  </c:pt>
                  <c:pt idx="60">
                    <c:v>2023</c:v>
                  </c:pt>
                </c:lvl>
              </c:multiLvlStrCache>
            </c:multiLvlStrRef>
          </c:cat>
          <c:val>
            <c:numRef>
              <c:f>Datos!$K$126:$K$197</c:f>
              <c:numCache>
                <c:formatCode>0.0</c:formatCode>
                <c:ptCount val="69"/>
                <c:pt idx="0">
                  <c:v>97.636007880636797</c:v>
                </c:pt>
                <c:pt idx="1">
                  <c:v>97.333945639962906</c:v>
                </c:pt>
                <c:pt idx="2">
                  <c:v>98.957524633046305</c:v>
                </c:pt>
                <c:pt idx="3">
                  <c:v>99.476638111733706</c:v>
                </c:pt>
                <c:pt idx="4">
                  <c:v>99.080120603523895</c:v>
                </c:pt>
                <c:pt idx="5">
                  <c:v>102.379598609336</c:v>
                </c:pt>
                <c:pt idx="6">
                  <c:v>100.35268495453801</c:v>
                </c:pt>
                <c:pt idx="7">
                  <c:v>100.526381219379</c:v>
                </c:pt>
                <c:pt idx="8">
                  <c:v>100.23388070173201</c:v>
                </c:pt>
                <c:pt idx="9">
                  <c:v>100.362065441703</c:v>
                </c:pt>
                <c:pt idx="10">
                  <c:v>101.582380315919</c:v>
                </c:pt>
                <c:pt idx="11">
                  <c:v>101.27483725464801</c:v>
                </c:pt>
                <c:pt idx="12">
                  <c:v>100.78838124649999</c:v>
                </c:pt>
                <c:pt idx="13">
                  <c:v>100.336917391401</c:v>
                </c:pt>
                <c:pt idx="14">
                  <c:v>99.931325799227096</c:v>
                </c:pt>
                <c:pt idx="15">
                  <c:v>99.831309501197097</c:v>
                </c:pt>
                <c:pt idx="16">
                  <c:v>100.190765629097</c:v>
                </c:pt>
                <c:pt idx="17">
                  <c:v>101.00167875186899</c:v>
                </c:pt>
                <c:pt idx="18">
                  <c:v>99.758160229648496</c:v>
                </c:pt>
                <c:pt idx="19">
                  <c:v>100.888892923283</c:v>
                </c:pt>
                <c:pt idx="20">
                  <c:v>98.442226559208706</c:v>
                </c:pt>
                <c:pt idx="21">
                  <c:v>101.385213230714</c:v>
                </c:pt>
                <c:pt idx="22">
                  <c:v>99.425230463060799</c:v>
                </c:pt>
                <c:pt idx="23">
                  <c:v>99.780267807123394</c:v>
                </c:pt>
                <c:pt idx="24">
                  <c:v>98.473186171207601</c:v>
                </c:pt>
                <c:pt idx="25">
                  <c:v>98.567179888264306</c:v>
                </c:pt>
                <c:pt idx="26">
                  <c:v>98.971418708877906</c:v>
                </c:pt>
                <c:pt idx="27">
                  <c:v>100.571511333212</c:v>
                </c:pt>
                <c:pt idx="28">
                  <c:v>96.839571796680502</c:v>
                </c:pt>
                <c:pt idx="29">
                  <c:v>97.485133569268797</c:v>
                </c:pt>
                <c:pt idx="30">
                  <c:v>97.028383690518297</c:v>
                </c:pt>
                <c:pt idx="31">
                  <c:v>98.006094358873895</c:v>
                </c:pt>
                <c:pt idx="32">
                  <c:v>99.586267162897897</c:v>
                </c:pt>
                <c:pt idx="33">
                  <c:v>99.4010226455013</c:v>
                </c:pt>
                <c:pt idx="34">
                  <c:v>101.236515543186</c:v>
                </c:pt>
                <c:pt idx="35">
                  <c:v>101.639605028083</c:v>
                </c:pt>
                <c:pt idx="36">
                  <c:v>100.67405095516899</c:v>
                </c:pt>
                <c:pt idx="37">
                  <c:v>99.084496072460496</c:v>
                </c:pt>
                <c:pt idx="38">
                  <c:v>101.825236557298</c:v>
                </c:pt>
                <c:pt idx="39">
                  <c:v>102.396511485039</c:v>
                </c:pt>
                <c:pt idx="40">
                  <c:v>101.854167116985</c:v>
                </c:pt>
                <c:pt idx="41">
                  <c:v>103.01227461007601</c:v>
                </c:pt>
                <c:pt idx="42">
                  <c:v>102.995587463258</c:v>
                </c:pt>
                <c:pt idx="43">
                  <c:v>102.86207351892401</c:v>
                </c:pt>
                <c:pt idx="44">
                  <c:v>101.616954705868</c:v>
                </c:pt>
                <c:pt idx="45">
                  <c:v>101.972815545156</c:v>
                </c:pt>
                <c:pt idx="46">
                  <c:v>99.582585271802003</c:v>
                </c:pt>
                <c:pt idx="47">
                  <c:v>106.480879538011</c:v>
                </c:pt>
                <c:pt idx="48">
                  <c:v>107.360558227441</c:v>
                </c:pt>
                <c:pt idx="49">
                  <c:v>108.461561437515</c:v>
                </c:pt>
                <c:pt idx="50">
                  <c:v>106.03847998645701</c:v>
                </c:pt>
                <c:pt idx="51">
                  <c:v>106.86936850494401</c:v>
                </c:pt>
                <c:pt idx="52">
                  <c:v>108.187249074124</c:v>
                </c:pt>
                <c:pt idx="53">
                  <c:v>104.988878781108</c:v>
                </c:pt>
                <c:pt idx="54">
                  <c:v>110.053333706934</c:v>
                </c:pt>
                <c:pt idx="55">
                  <c:v>108.561770859913</c:v>
                </c:pt>
                <c:pt idx="56">
                  <c:v>107.97374489942</c:v>
                </c:pt>
                <c:pt idx="57">
                  <c:v>109.01855934395699</c:v>
                </c:pt>
                <c:pt idx="58">
                  <c:v>109.242311456557</c:v>
                </c:pt>
                <c:pt idx="59">
                  <c:v>110.38864145045</c:v>
                </c:pt>
                <c:pt idx="60">
                  <c:v>113.16524011066301</c:v>
                </c:pt>
                <c:pt idx="61">
                  <c:v>114.94648396375</c:v>
                </c:pt>
                <c:pt idx="62">
                  <c:v>114.532774046797</c:v>
                </c:pt>
                <c:pt idx="63">
                  <c:v>114.30916385989499</c:v>
                </c:pt>
                <c:pt idx="64">
                  <c:v>119.193932032907</c:v>
                </c:pt>
                <c:pt idx="65">
                  <c:v>115.02664654357299</c:v>
                </c:pt>
                <c:pt idx="66">
                  <c:v>116.223028060589</c:v>
                </c:pt>
                <c:pt idx="67">
                  <c:v>115.410461453991</c:v>
                </c:pt>
                <c:pt idx="68">
                  <c:v>118.281907470363</c:v>
                </c:pt>
              </c:numCache>
            </c:numRef>
          </c:val>
          <c:extLst>
            <c:ext xmlns:c16="http://schemas.microsoft.com/office/drawing/2014/chart" uri="{C3380CC4-5D6E-409C-BE32-E72D297353CC}">
              <c16:uniqueId val="{00000000-9EC7-4BDD-9374-8528F1B81373}"/>
            </c:ext>
          </c:extLst>
        </c:ser>
        <c:dLbls>
          <c:showLegendKey val="0"/>
          <c:showVal val="0"/>
          <c:showCatName val="0"/>
          <c:showSerName val="0"/>
          <c:showPercent val="0"/>
          <c:showBubbleSize val="0"/>
        </c:dLbls>
        <c:gapWidth val="70"/>
        <c:axId val="679174784"/>
        <c:axId val="679173608"/>
      </c:barChart>
      <c:lineChart>
        <c:grouping val="standard"/>
        <c:varyColors val="0"/>
        <c:ser>
          <c:idx val="1"/>
          <c:order val="1"/>
          <c:tx>
            <c:strRef>
              <c:f>Datos!$L$5</c:f>
              <c:strCache>
                <c:ptCount val="1"/>
                <c:pt idx="0">
                  <c:v>Serie de tendencia-ciclo</c:v>
                </c:pt>
              </c:strCache>
            </c:strRef>
          </c:tx>
          <c:spPr>
            <a:ln w="12700">
              <a:solidFill>
                <a:srgbClr val="0000FF"/>
              </a:solidFill>
              <a:prstDash val="solid"/>
            </a:ln>
          </c:spPr>
          <c:marker>
            <c:symbol val="none"/>
          </c:marker>
          <c:cat>
            <c:multiLvlStrRef>
              <c:f>Datos!$A$126:$B$197</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2018</c:v>
                  </c:pt>
                  <c:pt idx="12">
                    <c:v>2019</c:v>
                  </c:pt>
                  <c:pt idx="24">
                    <c:v>2020</c:v>
                  </c:pt>
                  <c:pt idx="36">
                    <c:v>2021</c:v>
                  </c:pt>
                  <c:pt idx="48">
                    <c:v>2022</c:v>
                  </c:pt>
                  <c:pt idx="60">
                    <c:v>2023</c:v>
                  </c:pt>
                </c:lvl>
              </c:multiLvlStrCache>
            </c:multiLvlStrRef>
          </c:cat>
          <c:val>
            <c:numRef>
              <c:f>Datos!$L$126:$L$197</c:f>
              <c:numCache>
                <c:formatCode>0.0</c:formatCode>
                <c:ptCount val="69"/>
                <c:pt idx="0">
                  <c:v>97.973420387503296</c:v>
                </c:pt>
                <c:pt idx="1">
                  <c:v>98.152106589767897</c:v>
                </c:pt>
                <c:pt idx="2">
                  <c:v>98.514600217970198</c:v>
                </c:pt>
                <c:pt idx="3">
                  <c:v>99.001826761185896</c:v>
                </c:pt>
                <c:pt idx="4">
                  <c:v>99.482388233915898</c:v>
                </c:pt>
                <c:pt idx="5">
                  <c:v>99.883645689955003</c:v>
                </c:pt>
                <c:pt idx="6">
                  <c:v>100.172020788965</c:v>
                </c:pt>
                <c:pt idx="7">
                  <c:v>100.41261373297201</c:v>
                </c:pt>
                <c:pt idx="8">
                  <c:v>100.647076316178</c:v>
                </c:pt>
                <c:pt idx="9">
                  <c:v>100.857295557166</c:v>
                </c:pt>
                <c:pt idx="10">
                  <c:v>100.954493605772</c:v>
                </c:pt>
                <c:pt idx="11">
                  <c:v>100.89194106272301</c:v>
                </c:pt>
                <c:pt idx="12">
                  <c:v>100.72571137368701</c:v>
                </c:pt>
                <c:pt idx="13">
                  <c:v>100.487099952056</c:v>
                </c:pt>
                <c:pt idx="14">
                  <c:v>100.27317409765899</c:v>
                </c:pt>
                <c:pt idx="15">
                  <c:v>100.14350903952401</c:v>
                </c:pt>
                <c:pt idx="16">
                  <c:v>100.169931735961</c:v>
                </c:pt>
                <c:pt idx="17">
                  <c:v>100.30610116267</c:v>
                </c:pt>
                <c:pt idx="18">
                  <c:v>100.457935006913</c:v>
                </c:pt>
                <c:pt idx="19">
                  <c:v>100.53333306736501</c:v>
                </c:pt>
                <c:pt idx="20">
                  <c:v>100.45295462163701</c:v>
                </c:pt>
                <c:pt idx="21">
                  <c:v>100.221585185051</c:v>
                </c:pt>
                <c:pt idx="22">
                  <c:v>99.903734514658296</c:v>
                </c:pt>
                <c:pt idx="23">
                  <c:v>99.523036013878496</c:v>
                </c:pt>
                <c:pt idx="24">
                  <c:v>99.098462411638195</c:v>
                </c:pt>
                <c:pt idx="25">
                  <c:v>98.638541502938693</c:v>
                </c:pt>
                <c:pt idx="26">
                  <c:v>98.174324152061899</c:v>
                </c:pt>
                <c:pt idx="27">
                  <c:v>97.758539750854695</c:v>
                </c:pt>
                <c:pt idx="28">
                  <c:v>97.467293259233699</c:v>
                </c:pt>
                <c:pt idx="29">
                  <c:v>97.377907083158206</c:v>
                </c:pt>
                <c:pt idx="30">
                  <c:v>97.633349032485498</c:v>
                </c:pt>
                <c:pt idx="31">
                  <c:v>98.226255356294999</c:v>
                </c:pt>
                <c:pt idx="32">
                  <c:v>99.040525878182905</c:v>
                </c:pt>
                <c:pt idx="33">
                  <c:v>99.859635988067694</c:v>
                </c:pt>
                <c:pt idx="34">
                  <c:v>100.531523454664</c:v>
                </c:pt>
                <c:pt idx="35">
                  <c:v>100.99820844528</c:v>
                </c:pt>
                <c:pt idx="36">
                  <c:v>101.299713060901</c:v>
                </c:pt>
                <c:pt idx="37">
                  <c:v>101.520104264341</c:v>
                </c:pt>
                <c:pt idx="38">
                  <c:v>101.789111615392</c:v>
                </c:pt>
                <c:pt idx="39">
                  <c:v>102.111463231887</c:v>
                </c:pt>
                <c:pt idx="40">
                  <c:v>102.419424525358</c:v>
                </c:pt>
                <c:pt idx="41">
                  <c:v>102.632279313366</c:v>
                </c:pt>
                <c:pt idx="42">
                  <c:v>102.63676675332199</c:v>
                </c:pt>
                <c:pt idx="43">
                  <c:v>102.457619687568</c:v>
                </c:pt>
                <c:pt idx="44">
                  <c:v>102.235458456757</c:v>
                </c:pt>
                <c:pt idx="45">
                  <c:v>102.043707747586</c:v>
                </c:pt>
                <c:pt idx="46">
                  <c:v>101.897210936444</c:v>
                </c:pt>
                <c:pt idx="47">
                  <c:v>106.679695170747</c:v>
                </c:pt>
                <c:pt idx="48">
                  <c:v>106.724648730044</c:v>
                </c:pt>
                <c:pt idx="49">
                  <c:v>106.820169774262</c:v>
                </c:pt>
                <c:pt idx="50">
                  <c:v>106.963728747674</c:v>
                </c:pt>
                <c:pt idx="51">
                  <c:v>107.147249608243</c:v>
                </c:pt>
                <c:pt idx="52">
                  <c:v>107.383788532674</c:v>
                </c:pt>
                <c:pt idx="53">
                  <c:v>107.637167851882</c:v>
                </c:pt>
                <c:pt idx="54">
                  <c:v>107.858596595987</c:v>
                </c:pt>
                <c:pt idx="55">
                  <c:v>108.061511062169</c:v>
                </c:pt>
                <c:pt idx="56">
                  <c:v>108.37245848796201</c:v>
                </c:pt>
                <c:pt idx="57">
                  <c:v>108.980449603031</c:v>
                </c:pt>
                <c:pt idx="58">
                  <c:v>109.952789984028</c:v>
                </c:pt>
                <c:pt idx="59">
                  <c:v>111.181180849987</c:v>
                </c:pt>
                <c:pt idx="60">
                  <c:v>112.441960471603</c:v>
                </c:pt>
                <c:pt idx="61">
                  <c:v>113.57210734529301</c:v>
                </c:pt>
                <c:pt idx="62">
                  <c:v>114.37835383973901</c:v>
                </c:pt>
                <c:pt idx="63">
                  <c:v>114.862697016925</c:v>
                </c:pt>
                <c:pt idx="64">
                  <c:v>115.182598577497</c:v>
                </c:pt>
                <c:pt idx="65">
                  <c:v>115.48582220969401</c:v>
                </c:pt>
                <c:pt idx="66">
                  <c:v>115.909501085673</c:v>
                </c:pt>
                <c:pt idx="67">
                  <c:v>116.45626726290701</c:v>
                </c:pt>
                <c:pt idx="68">
                  <c:v>117.004856481484</c:v>
                </c:pt>
              </c:numCache>
            </c:numRef>
          </c:val>
          <c:smooth val="0"/>
          <c:extLst>
            <c:ext xmlns:c16="http://schemas.microsoft.com/office/drawing/2014/chart" uri="{C3380CC4-5D6E-409C-BE32-E72D297353CC}">
              <c16:uniqueId val="{00000001-9EC7-4BDD-9374-8528F1B81373}"/>
            </c:ext>
          </c:extLst>
        </c:ser>
        <c:dLbls>
          <c:showLegendKey val="0"/>
          <c:showVal val="0"/>
          <c:showCatName val="0"/>
          <c:showSerName val="0"/>
          <c:showPercent val="0"/>
          <c:showBubbleSize val="0"/>
        </c:dLbls>
        <c:marker val="1"/>
        <c:smooth val="0"/>
        <c:axId val="679174784"/>
        <c:axId val="679173608"/>
      </c:lineChart>
      <c:catAx>
        <c:axId val="679174784"/>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750" b="0" i="0" u="none" strike="noStrike" baseline="0">
                <a:solidFill>
                  <a:srgbClr val="000000"/>
                </a:solidFill>
                <a:latin typeface="Arial"/>
                <a:ea typeface="Arial"/>
                <a:cs typeface="Arial"/>
              </a:defRPr>
            </a:pPr>
            <a:endParaRPr lang="es-MX"/>
          </a:p>
        </c:txPr>
        <c:crossAx val="679173608"/>
        <c:crosses val="autoZero"/>
        <c:auto val="1"/>
        <c:lblAlgn val="ctr"/>
        <c:lblOffset val="100"/>
        <c:tickLblSkip val="1"/>
        <c:tickMarkSkip val="12"/>
        <c:noMultiLvlLbl val="1"/>
      </c:catAx>
      <c:valAx>
        <c:axId val="679173608"/>
        <c:scaling>
          <c:orientation val="minMax"/>
          <c:max val="125"/>
          <c:min val="8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800" b="0" i="0" u="none" strike="noStrike" baseline="0">
                <a:solidFill>
                  <a:srgbClr val="000000"/>
                </a:solidFill>
                <a:latin typeface="Arial"/>
                <a:ea typeface="Arial"/>
                <a:cs typeface="Arial"/>
              </a:defRPr>
            </a:pPr>
            <a:endParaRPr lang="es-MX"/>
          </a:p>
        </c:txPr>
        <c:crossAx val="679174784"/>
        <c:crosses val="autoZero"/>
        <c:crossBetween val="between"/>
        <c:majorUnit val="10"/>
      </c:valAx>
      <c:spPr>
        <a:noFill/>
        <a:ln w="3175">
          <a:solidFill>
            <a:srgbClr val="808080"/>
          </a:solidFill>
          <a:prstDash val="solid"/>
        </a:ln>
      </c:spPr>
    </c:plotArea>
    <c:legend>
      <c:legendPos val="r"/>
      <c:layout>
        <c:manualLayout>
          <c:xMode val="edge"/>
          <c:yMode val="edge"/>
          <c:x val="6.754930555555555E-2"/>
          <c:y val="0.95065782578344848"/>
          <c:w val="0.93245075757575757"/>
          <c:h val="4.9342105263157875E-2"/>
        </c:manualLayout>
      </c:layout>
      <c:overlay val="0"/>
      <c:spPr>
        <a:noFill/>
        <a:ln w="3175">
          <a:noFill/>
          <a:prstDash val="solid"/>
        </a:ln>
      </c:spPr>
      <c:txPr>
        <a:bodyPr/>
        <a:lstStyle/>
        <a:p>
          <a:pPr>
            <a:defRPr lang="es-MX"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531944444444438E-2"/>
          <c:y val="4.9618650793650791E-2"/>
          <c:w val="0.92694814814814808"/>
          <c:h val="0.78890825582622026"/>
        </c:manualLayout>
      </c:layout>
      <c:barChart>
        <c:barDir val="col"/>
        <c:grouping val="clustered"/>
        <c:varyColors val="0"/>
        <c:ser>
          <c:idx val="0"/>
          <c:order val="0"/>
          <c:tx>
            <c:strRef>
              <c:f>Datos!$E$5</c:f>
              <c:strCache>
                <c:ptCount val="1"/>
                <c:pt idx="0">
                  <c:v>Serie desestacionalizada</c:v>
                </c:pt>
              </c:strCache>
            </c:strRef>
          </c:tx>
          <c:spPr>
            <a:solidFill>
              <a:srgbClr val="00B050"/>
            </a:solidFill>
            <a:ln w="3175">
              <a:solidFill>
                <a:srgbClr val="006600"/>
              </a:solidFill>
            </a:ln>
          </c:spPr>
          <c:invertIfNegative val="0"/>
          <c:cat>
            <c:multiLvlStrRef>
              <c:f>Datos!$A$126:$B$197</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2018</c:v>
                  </c:pt>
                  <c:pt idx="12">
                    <c:v>2019</c:v>
                  </c:pt>
                  <c:pt idx="24">
                    <c:v>2020</c:v>
                  </c:pt>
                  <c:pt idx="36">
                    <c:v>2021</c:v>
                  </c:pt>
                  <c:pt idx="48">
                    <c:v>2022</c:v>
                  </c:pt>
                  <c:pt idx="60">
                    <c:v>2023</c:v>
                  </c:pt>
                </c:lvl>
              </c:multiLvlStrCache>
            </c:multiLvlStrRef>
          </c:cat>
          <c:val>
            <c:numRef>
              <c:f>Datos!$E$126:$E$197</c:f>
              <c:numCache>
                <c:formatCode>0.0_)</c:formatCode>
                <c:ptCount val="69"/>
                <c:pt idx="0">
                  <c:v>99.288260836788695</c:v>
                </c:pt>
                <c:pt idx="1">
                  <c:v>98.6172258853438</c:v>
                </c:pt>
                <c:pt idx="2">
                  <c:v>99.884177809939402</c:v>
                </c:pt>
                <c:pt idx="3">
                  <c:v>99.159547173392994</c:v>
                </c:pt>
                <c:pt idx="4">
                  <c:v>99.478907673890006</c:v>
                </c:pt>
                <c:pt idx="5">
                  <c:v>99.877875386033907</c:v>
                </c:pt>
                <c:pt idx="6">
                  <c:v>99.995878229550698</c:v>
                </c:pt>
                <c:pt idx="7">
                  <c:v>99.800835730301799</c:v>
                </c:pt>
                <c:pt idx="8">
                  <c:v>100.274760842441</c:v>
                </c:pt>
                <c:pt idx="9">
                  <c:v>101.490517383145</c:v>
                </c:pt>
                <c:pt idx="10">
                  <c:v>101.68076410238901</c:v>
                </c:pt>
                <c:pt idx="11">
                  <c:v>100.730351999799</c:v>
                </c:pt>
                <c:pt idx="12">
                  <c:v>101.607494658573</c:v>
                </c:pt>
                <c:pt idx="13">
                  <c:v>102.050876742772</c:v>
                </c:pt>
                <c:pt idx="14">
                  <c:v>101.42003209230499</c:v>
                </c:pt>
                <c:pt idx="15">
                  <c:v>101.548890421137</c:v>
                </c:pt>
                <c:pt idx="16">
                  <c:v>101.927456938299</c:v>
                </c:pt>
                <c:pt idx="17">
                  <c:v>102.554307791432</c:v>
                </c:pt>
                <c:pt idx="18">
                  <c:v>102.329643731389</c:v>
                </c:pt>
                <c:pt idx="19">
                  <c:v>102.998312664479</c:v>
                </c:pt>
                <c:pt idx="20">
                  <c:v>102.434809235467</c:v>
                </c:pt>
                <c:pt idx="21">
                  <c:v>102.045158356849</c:v>
                </c:pt>
                <c:pt idx="22">
                  <c:v>102.723704497675</c:v>
                </c:pt>
                <c:pt idx="23">
                  <c:v>103.139394957191</c:v>
                </c:pt>
                <c:pt idx="24">
                  <c:v>102.651119414929</c:v>
                </c:pt>
                <c:pt idx="25">
                  <c:v>100.900288100412</c:v>
                </c:pt>
                <c:pt idx="26">
                  <c:v>98.335788085267296</c:v>
                </c:pt>
                <c:pt idx="27">
                  <c:v>78.198898767973603</c:v>
                </c:pt>
                <c:pt idx="28">
                  <c:v>78.286414808916007</c:v>
                </c:pt>
                <c:pt idx="29">
                  <c:v>85.429484489398405</c:v>
                </c:pt>
                <c:pt idx="30">
                  <c:v>91.473862891825405</c:v>
                </c:pt>
                <c:pt idx="31">
                  <c:v>94.904824152622695</c:v>
                </c:pt>
                <c:pt idx="32">
                  <c:v>96.854579795639694</c:v>
                </c:pt>
                <c:pt idx="33">
                  <c:v>96.401560895943902</c:v>
                </c:pt>
                <c:pt idx="34">
                  <c:v>98.452095073417695</c:v>
                </c:pt>
                <c:pt idx="35">
                  <c:v>98.089621563346896</c:v>
                </c:pt>
                <c:pt idx="36">
                  <c:v>100.224636684609</c:v>
                </c:pt>
                <c:pt idx="37">
                  <c:v>102.318516040834</c:v>
                </c:pt>
                <c:pt idx="38">
                  <c:v>105.965357538486</c:v>
                </c:pt>
                <c:pt idx="39">
                  <c:v>105.029370880126</c:v>
                </c:pt>
                <c:pt idx="40">
                  <c:v>105.670909220807</c:v>
                </c:pt>
                <c:pt idx="41">
                  <c:v>105.05055080737201</c:v>
                </c:pt>
                <c:pt idx="42">
                  <c:v>105.773777754067</c:v>
                </c:pt>
                <c:pt idx="43">
                  <c:v>106.327843132542</c:v>
                </c:pt>
                <c:pt idx="44">
                  <c:v>107.511455695035</c:v>
                </c:pt>
                <c:pt idx="45">
                  <c:v>107.666899608591</c:v>
                </c:pt>
                <c:pt idx="46">
                  <c:v>108.531102225418</c:v>
                </c:pt>
                <c:pt idx="47">
                  <c:v>108.514099165632</c:v>
                </c:pt>
                <c:pt idx="48">
                  <c:v>107.69690980694401</c:v>
                </c:pt>
                <c:pt idx="49">
                  <c:v>110.04416506723</c:v>
                </c:pt>
                <c:pt idx="50">
                  <c:v>112.944966970274</c:v>
                </c:pt>
                <c:pt idx="51">
                  <c:v>111.74428646949499</c:v>
                </c:pt>
                <c:pt idx="52">
                  <c:v>113.15865071246699</c:v>
                </c:pt>
                <c:pt idx="53">
                  <c:v>113.129706210319</c:v>
                </c:pt>
                <c:pt idx="54">
                  <c:v>113.27921720955101</c:v>
                </c:pt>
                <c:pt idx="55">
                  <c:v>114.86399245940299</c:v>
                </c:pt>
                <c:pt idx="56">
                  <c:v>115.071334021102</c:v>
                </c:pt>
                <c:pt idx="57">
                  <c:v>116.026441307436</c:v>
                </c:pt>
                <c:pt idx="58">
                  <c:v>115.55775842209199</c:v>
                </c:pt>
                <c:pt idx="59">
                  <c:v>116.288603905138</c:v>
                </c:pt>
                <c:pt idx="60">
                  <c:v>116.608363507638</c:v>
                </c:pt>
                <c:pt idx="61">
                  <c:v>116.135806075061</c:v>
                </c:pt>
                <c:pt idx="62">
                  <c:v>114.956675927877</c:v>
                </c:pt>
                <c:pt idx="63">
                  <c:v>116.591228413772</c:v>
                </c:pt>
                <c:pt idx="64">
                  <c:v>116.33642580503</c:v>
                </c:pt>
                <c:pt idx="65">
                  <c:v>119.180094779884</c:v>
                </c:pt>
                <c:pt idx="66">
                  <c:v>118.920396055483</c:v>
                </c:pt>
                <c:pt idx="67">
                  <c:v>118.35823693752501</c:v>
                </c:pt>
                <c:pt idx="68">
                  <c:v>118.071904904362</c:v>
                </c:pt>
              </c:numCache>
            </c:numRef>
          </c:val>
          <c:extLst>
            <c:ext xmlns:c16="http://schemas.microsoft.com/office/drawing/2014/chart" uri="{C3380CC4-5D6E-409C-BE32-E72D297353CC}">
              <c16:uniqueId val="{00000000-6AF3-4369-BE42-82576D865D05}"/>
            </c:ext>
          </c:extLst>
        </c:ser>
        <c:dLbls>
          <c:showLegendKey val="0"/>
          <c:showVal val="0"/>
          <c:showCatName val="0"/>
          <c:showSerName val="0"/>
          <c:showPercent val="0"/>
          <c:showBubbleSize val="0"/>
        </c:dLbls>
        <c:gapWidth val="70"/>
        <c:axId val="679175568"/>
        <c:axId val="679175176"/>
      </c:barChart>
      <c:lineChart>
        <c:grouping val="standard"/>
        <c:varyColors val="0"/>
        <c:ser>
          <c:idx val="1"/>
          <c:order val="1"/>
          <c:tx>
            <c:strRef>
              <c:f>Datos!$F$5</c:f>
              <c:strCache>
                <c:ptCount val="1"/>
                <c:pt idx="0">
                  <c:v>Serie de tendencia-ciclo</c:v>
                </c:pt>
              </c:strCache>
            </c:strRef>
          </c:tx>
          <c:spPr>
            <a:ln w="12700">
              <a:solidFill>
                <a:srgbClr val="0000FF"/>
              </a:solidFill>
              <a:prstDash val="solid"/>
            </a:ln>
          </c:spPr>
          <c:marker>
            <c:symbol val="none"/>
          </c:marker>
          <c:cat>
            <c:multiLvlStrRef>
              <c:f>Datos!$A$126:$B$197</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2018</c:v>
                  </c:pt>
                  <c:pt idx="12">
                    <c:v>2019</c:v>
                  </c:pt>
                  <c:pt idx="24">
                    <c:v>2020</c:v>
                  </c:pt>
                  <c:pt idx="36">
                    <c:v>2021</c:v>
                  </c:pt>
                  <c:pt idx="48">
                    <c:v>2022</c:v>
                  </c:pt>
                  <c:pt idx="60">
                    <c:v>2023</c:v>
                  </c:pt>
                </c:lvl>
              </c:multiLvlStrCache>
            </c:multiLvlStrRef>
          </c:cat>
          <c:val>
            <c:numRef>
              <c:f>Datos!$F$126:$F$197</c:f>
              <c:numCache>
                <c:formatCode>0.0_)</c:formatCode>
                <c:ptCount val="69"/>
                <c:pt idx="0">
                  <c:v>99.047618054661996</c:v>
                </c:pt>
                <c:pt idx="1">
                  <c:v>99.191448168312306</c:v>
                </c:pt>
                <c:pt idx="2">
                  <c:v>99.322331972040601</c:v>
                </c:pt>
                <c:pt idx="3">
                  <c:v>99.425848060303593</c:v>
                </c:pt>
                <c:pt idx="4">
                  <c:v>99.526077304457303</c:v>
                </c:pt>
                <c:pt idx="5">
                  <c:v>99.687374685913298</c:v>
                </c:pt>
                <c:pt idx="6">
                  <c:v>99.937268078365605</c:v>
                </c:pt>
                <c:pt idx="7">
                  <c:v>100.23329633912699</c:v>
                </c:pt>
                <c:pt idx="8">
                  <c:v>100.570677554781</c:v>
                </c:pt>
                <c:pt idx="9">
                  <c:v>100.921475927028</c:v>
                </c:pt>
                <c:pt idx="10">
                  <c:v>101.211159908794</c:v>
                </c:pt>
                <c:pt idx="11">
                  <c:v>101.412309663092</c:v>
                </c:pt>
                <c:pt idx="12">
                  <c:v>101.52736718848099</c:v>
                </c:pt>
                <c:pt idx="13">
                  <c:v>101.586676285886</c:v>
                </c:pt>
                <c:pt idx="14">
                  <c:v>101.670962099384</c:v>
                </c:pt>
                <c:pt idx="15">
                  <c:v>101.8426760956</c:v>
                </c:pt>
                <c:pt idx="16">
                  <c:v>102.06282357764699</c:v>
                </c:pt>
                <c:pt idx="17">
                  <c:v>102.252590828604</c:v>
                </c:pt>
                <c:pt idx="18">
                  <c:v>102.400543157456</c:v>
                </c:pt>
                <c:pt idx="19">
                  <c:v>102.522132826272</c:v>
                </c:pt>
                <c:pt idx="20">
                  <c:v>102.585407518677</c:v>
                </c:pt>
                <c:pt idx="21">
                  <c:v>102.60857390896901</c:v>
                </c:pt>
                <c:pt idx="22">
                  <c:v>102.634051917736</c:v>
                </c:pt>
                <c:pt idx="23">
                  <c:v>102.664560838898</c:v>
                </c:pt>
                <c:pt idx="24">
                  <c:v>102.690920117635</c:v>
                </c:pt>
                <c:pt idx="25">
                  <c:v>102.72344810288401</c:v>
                </c:pt>
                <c:pt idx="26">
                  <c:v>98.121238728233905</c:v>
                </c:pt>
                <c:pt idx="27">
                  <c:v>94.014956283649596</c:v>
                </c:pt>
                <c:pt idx="28">
                  <c:v>94.169686548746199</c:v>
                </c:pt>
                <c:pt idx="29">
                  <c:v>94.439583296100494</c:v>
                </c:pt>
                <c:pt idx="30">
                  <c:v>94.844235387950306</c:v>
                </c:pt>
                <c:pt idx="31">
                  <c:v>95.388606808390307</c:v>
                </c:pt>
                <c:pt idx="32">
                  <c:v>96.102434390696601</c:v>
                </c:pt>
                <c:pt idx="33">
                  <c:v>96.996636453701996</c:v>
                </c:pt>
                <c:pt idx="34">
                  <c:v>98.077477071441294</c:v>
                </c:pt>
                <c:pt idx="35">
                  <c:v>99.364764034249802</c:v>
                </c:pt>
                <c:pt idx="36">
                  <c:v>100.781368416201</c:v>
                </c:pt>
                <c:pt idx="37">
                  <c:v>102.184719878255</c:v>
                </c:pt>
                <c:pt idx="38">
                  <c:v>103.422270300493</c:v>
                </c:pt>
                <c:pt idx="39">
                  <c:v>104.412310598674</c:v>
                </c:pt>
                <c:pt idx="40">
                  <c:v>105.128068886584</c:v>
                </c:pt>
                <c:pt idx="41">
                  <c:v>105.665893584776</c:v>
                </c:pt>
                <c:pt idx="42">
                  <c:v>106.10876430714001</c:v>
                </c:pt>
                <c:pt idx="43">
                  <c:v>106.568398076243</c:v>
                </c:pt>
                <c:pt idx="44">
                  <c:v>107.097459923708</c:v>
                </c:pt>
                <c:pt idx="45">
                  <c:v>107.676805814662</c:v>
                </c:pt>
                <c:pt idx="46">
                  <c:v>108.263417667293</c:v>
                </c:pt>
                <c:pt idx="47">
                  <c:v>108.854146767785</c:v>
                </c:pt>
                <c:pt idx="48">
                  <c:v>109.50173475567399</c:v>
                </c:pt>
                <c:pt idx="49">
                  <c:v>110.228122064978</c:v>
                </c:pt>
                <c:pt idx="50">
                  <c:v>111.00943660177499</c:v>
                </c:pt>
                <c:pt idx="51">
                  <c:v>111.79402334721701</c:v>
                </c:pt>
                <c:pt idx="52">
                  <c:v>112.553302331296</c:v>
                </c:pt>
                <c:pt idx="53">
                  <c:v>113.270372353326</c:v>
                </c:pt>
                <c:pt idx="54">
                  <c:v>113.927471606366</c:v>
                </c:pt>
                <c:pt idx="55">
                  <c:v>114.545203488046</c:v>
                </c:pt>
                <c:pt idx="56">
                  <c:v>115.10850313067699</c:v>
                </c:pt>
                <c:pt idx="57">
                  <c:v>115.58987933991099</c:v>
                </c:pt>
                <c:pt idx="58">
                  <c:v>115.960632128032</c:v>
                </c:pt>
                <c:pt idx="59">
                  <c:v>116.181002665178</c:v>
                </c:pt>
                <c:pt idx="60">
                  <c:v>116.247711524606</c:v>
                </c:pt>
                <c:pt idx="61">
                  <c:v>116.283109596385</c:v>
                </c:pt>
                <c:pt idx="62">
                  <c:v>116.41299230038</c:v>
                </c:pt>
                <c:pt idx="63">
                  <c:v>116.666871469721</c:v>
                </c:pt>
                <c:pt idx="64">
                  <c:v>117.035511519195</c:v>
                </c:pt>
                <c:pt idx="65">
                  <c:v>117.46445929845601</c:v>
                </c:pt>
                <c:pt idx="66">
                  <c:v>117.908529203165</c:v>
                </c:pt>
                <c:pt idx="67">
                  <c:v>118.300190721495</c:v>
                </c:pt>
                <c:pt idx="68">
                  <c:v>118.623186538243</c:v>
                </c:pt>
              </c:numCache>
            </c:numRef>
          </c:val>
          <c:smooth val="0"/>
          <c:extLst>
            <c:ext xmlns:c16="http://schemas.microsoft.com/office/drawing/2014/chart" uri="{C3380CC4-5D6E-409C-BE32-E72D297353CC}">
              <c16:uniqueId val="{00000001-6AF3-4369-BE42-82576D865D05}"/>
            </c:ext>
          </c:extLst>
        </c:ser>
        <c:dLbls>
          <c:showLegendKey val="0"/>
          <c:showVal val="0"/>
          <c:showCatName val="0"/>
          <c:showSerName val="0"/>
          <c:showPercent val="0"/>
          <c:showBubbleSize val="0"/>
        </c:dLbls>
        <c:marker val="1"/>
        <c:smooth val="0"/>
        <c:axId val="679175568"/>
        <c:axId val="679175176"/>
      </c:lineChart>
      <c:catAx>
        <c:axId val="679175568"/>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sz="750"/>
            </a:pPr>
            <a:endParaRPr lang="es-MX"/>
          </a:p>
        </c:txPr>
        <c:crossAx val="679175176"/>
        <c:crosses val="autoZero"/>
        <c:auto val="1"/>
        <c:lblAlgn val="ctr"/>
        <c:lblOffset val="100"/>
        <c:tickLblSkip val="1"/>
        <c:tickMarkSkip val="12"/>
        <c:noMultiLvlLbl val="1"/>
      </c:catAx>
      <c:valAx>
        <c:axId val="679175176"/>
        <c:scaling>
          <c:orientation val="minMax"/>
          <c:max val="125"/>
          <c:min val="7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800"/>
            </a:pPr>
            <a:endParaRPr lang="es-MX"/>
          </a:p>
        </c:txPr>
        <c:crossAx val="679175568"/>
        <c:crosses val="autoZero"/>
        <c:crossBetween val="between"/>
        <c:majorUnit val="10"/>
      </c:valAx>
      <c:spPr>
        <a:noFill/>
        <a:ln w="6350">
          <a:solidFill>
            <a:srgbClr val="808080"/>
          </a:solidFill>
          <a:prstDash val="solid"/>
        </a:ln>
      </c:spPr>
    </c:plotArea>
    <c:legend>
      <c:legendPos val="r"/>
      <c:layout>
        <c:manualLayout>
          <c:xMode val="edge"/>
          <c:yMode val="edge"/>
          <c:x val="6.6050070028011484E-2"/>
          <c:y val="0.95347564313084165"/>
          <c:w val="0.9072138188608776"/>
          <c:h val="4.3240284619594956E-2"/>
        </c:manualLayout>
      </c:layout>
      <c:overlay val="0"/>
      <c:spPr>
        <a:noFill/>
        <a:ln w="3175">
          <a:noFill/>
          <a:prstDash val="solid"/>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8992361111111118E-2"/>
          <c:y val="4.6352937919360231E-2"/>
          <c:w val="0.92927499999999974"/>
          <c:h val="0.79369527462474587"/>
        </c:manualLayout>
      </c:layout>
      <c:barChart>
        <c:barDir val="col"/>
        <c:grouping val="clustered"/>
        <c:varyColors val="0"/>
        <c:ser>
          <c:idx val="0"/>
          <c:order val="0"/>
          <c:tx>
            <c:strRef>
              <c:f>Datos!$I$5</c:f>
              <c:strCache>
                <c:ptCount val="1"/>
                <c:pt idx="0">
                  <c:v>Serie desestacionalizada</c:v>
                </c:pt>
              </c:strCache>
            </c:strRef>
          </c:tx>
          <c:spPr>
            <a:solidFill>
              <a:srgbClr val="00B050"/>
            </a:solidFill>
            <a:ln w="0">
              <a:solidFill>
                <a:srgbClr val="006600"/>
              </a:solidFill>
              <a:prstDash val="solid"/>
            </a:ln>
          </c:spPr>
          <c:invertIfNegative val="0"/>
          <c:cat>
            <c:multiLvlStrRef>
              <c:f>Datos!$A$126:$B$197</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2018</c:v>
                  </c:pt>
                  <c:pt idx="12">
                    <c:v>2019</c:v>
                  </c:pt>
                  <c:pt idx="24">
                    <c:v>2020</c:v>
                  </c:pt>
                  <c:pt idx="36">
                    <c:v>2021</c:v>
                  </c:pt>
                  <c:pt idx="48">
                    <c:v>2022</c:v>
                  </c:pt>
                  <c:pt idx="60">
                    <c:v>2023</c:v>
                  </c:pt>
                </c:lvl>
              </c:multiLvlStrCache>
            </c:multiLvlStrRef>
          </c:cat>
          <c:val>
            <c:numRef>
              <c:f>Datos!$I$126:$I$197</c:f>
              <c:numCache>
                <c:formatCode>0.0_)</c:formatCode>
                <c:ptCount val="69"/>
                <c:pt idx="0">
                  <c:v>99.1990262645634</c:v>
                </c:pt>
                <c:pt idx="1">
                  <c:v>99.362810548071295</c:v>
                </c:pt>
                <c:pt idx="2">
                  <c:v>99.569737979805197</c:v>
                </c:pt>
                <c:pt idx="3">
                  <c:v>99.786866226884598</c:v>
                </c:pt>
                <c:pt idx="4">
                  <c:v>99.712548076754501</c:v>
                </c:pt>
                <c:pt idx="5">
                  <c:v>99.895511290065201</c:v>
                </c:pt>
                <c:pt idx="6">
                  <c:v>99.930833781787996</c:v>
                </c:pt>
                <c:pt idx="7">
                  <c:v>100.143480211718</c:v>
                </c:pt>
                <c:pt idx="8">
                  <c:v>100.233326099355</c:v>
                </c:pt>
                <c:pt idx="9">
                  <c:v>100.51343486106499</c:v>
                </c:pt>
                <c:pt idx="10">
                  <c:v>100.716064319002</c:v>
                </c:pt>
                <c:pt idx="11">
                  <c:v>100.76176283294301</c:v>
                </c:pt>
                <c:pt idx="12">
                  <c:v>101.138417818455</c:v>
                </c:pt>
                <c:pt idx="13">
                  <c:v>101.48439074813101</c:v>
                </c:pt>
                <c:pt idx="14">
                  <c:v>101.459219386844</c:v>
                </c:pt>
                <c:pt idx="15">
                  <c:v>101.59238896457499</c:v>
                </c:pt>
                <c:pt idx="16">
                  <c:v>101.763880144323</c:v>
                </c:pt>
                <c:pt idx="17">
                  <c:v>101.632857783747</c:v>
                </c:pt>
                <c:pt idx="18">
                  <c:v>101.70813807542601</c:v>
                </c:pt>
                <c:pt idx="19">
                  <c:v>101.658783696912</c:v>
                </c:pt>
                <c:pt idx="20">
                  <c:v>101.496775235542</c:v>
                </c:pt>
                <c:pt idx="21">
                  <c:v>101.331548483506</c:v>
                </c:pt>
                <c:pt idx="22">
                  <c:v>101.44962693258501</c:v>
                </c:pt>
                <c:pt idx="23">
                  <c:v>101.78006367407799</c:v>
                </c:pt>
                <c:pt idx="24">
                  <c:v>102.110786722632</c:v>
                </c:pt>
                <c:pt idx="25">
                  <c:v>102.26352715999001</c:v>
                </c:pt>
                <c:pt idx="26">
                  <c:v>102.34206559580601</c:v>
                </c:pt>
                <c:pt idx="27">
                  <c:v>96.938468327967001</c:v>
                </c:pt>
                <c:pt idx="28">
                  <c:v>97.189051321247405</c:v>
                </c:pt>
                <c:pt idx="29">
                  <c:v>97.394578613578304</c:v>
                </c:pt>
                <c:pt idx="30">
                  <c:v>97.756387053356505</c:v>
                </c:pt>
                <c:pt idx="31">
                  <c:v>97.750087236701106</c:v>
                </c:pt>
                <c:pt idx="32">
                  <c:v>97.817630811732698</c:v>
                </c:pt>
                <c:pt idx="33">
                  <c:v>97.896224937715402</c:v>
                </c:pt>
                <c:pt idx="34">
                  <c:v>97.842562457663604</c:v>
                </c:pt>
                <c:pt idx="35">
                  <c:v>98.0092236227744</c:v>
                </c:pt>
                <c:pt idx="36">
                  <c:v>98.158124003599994</c:v>
                </c:pt>
                <c:pt idx="37">
                  <c:v>98.613571067201903</c:v>
                </c:pt>
                <c:pt idx="38">
                  <c:v>99.288038711123804</c:v>
                </c:pt>
                <c:pt idx="39">
                  <c:v>99.265349918345393</c:v>
                </c:pt>
                <c:pt idx="40">
                  <c:v>98.943226529818702</c:v>
                </c:pt>
                <c:pt idx="41">
                  <c:v>99.109803787833997</c:v>
                </c:pt>
                <c:pt idx="42">
                  <c:v>100.140756198131</c:v>
                </c:pt>
                <c:pt idx="43">
                  <c:v>101.086463133325</c:v>
                </c:pt>
                <c:pt idx="44">
                  <c:v>101.083430913896</c:v>
                </c:pt>
                <c:pt idx="45">
                  <c:v>101.207927800899</c:v>
                </c:pt>
                <c:pt idx="46">
                  <c:v>101.47709873765599</c:v>
                </c:pt>
                <c:pt idx="47">
                  <c:v>102.247562600588</c:v>
                </c:pt>
                <c:pt idx="48">
                  <c:v>100.760199344003</c:v>
                </c:pt>
                <c:pt idx="49">
                  <c:v>100.91710049375401</c:v>
                </c:pt>
                <c:pt idx="50">
                  <c:v>100.77916301533899</c:v>
                </c:pt>
                <c:pt idx="51">
                  <c:v>100.354718019933</c:v>
                </c:pt>
                <c:pt idx="52">
                  <c:v>101.172139199833</c:v>
                </c:pt>
                <c:pt idx="53">
                  <c:v>100.538800628025</c:v>
                </c:pt>
                <c:pt idx="54">
                  <c:v>100.316336070522</c:v>
                </c:pt>
                <c:pt idx="55">
                  <c:v>100.227847253777</c:v>
                </c:pt>
                <c:pt idx="56">
                  <c:v>100.55035443742899</c:v>
                </c:pt>
                <c:pt idx="57">
                  <c:v>100.653042343035</c:v>
                </c:pt>
                <c:pt idx="58">
                  <c:v>100.70248913304199</c:v>
                </c:pt>
                <c:pt idx="59">
                  <c:v>100.619415037511</c:v>
                </c:pt>
                <c:pt idx="60">
                  <c:v>100.605288423302</c:v>
                </c:pt>
                <c:pt idx="61">
                  <c:v>100.594612353644</c:v>
                </c:pt>
                <c:pt idx="62">
                  <c:v>100.93348818459501</c:v>
                </c:pt>
                <c:pt idx="63">
                  <c:v>101.204763558621</c:v>
                </c:pt>
                <c:pt idx="64">
                  <c:v>101.408219825844</c:v>
                </c:pt>
                <c:pt idx="65">
                  <c:v>102.376399141793</c:v>
                </c:pt>
                <c:pt idx="66">
                  <c:v>101.697358358326</c:v>
                </c:pt>
                <c:pt idx="67">
                  <c:v>101.71062492224701</c:v>
                </c:pt>
                <c:pt idx="68">
                  <c:v>101.25983725653801</c:v>
                </c:pt>
              </c:numCache>
            </c:numRef>
          </c:val>
          <c:extLst>
            <c:ext xmlns:c16="http://schemas.microsoft.com/office/drawing/2014/chart" uri="{C3380CC4-5D6E-409C-BE32-E72D297353CC}">
              <c16:uniqueId val="{00000000-19AC-4263-859A-1D962706153B}"/>
            </c:ext>
          </c:extLst>
        </c:ser>
        <c:dLbls>
          <c:showLegendKey val="0"/>
          <c:showVal val="0"/>
          <c:showCatName val="0"/>
          <c:showSerName val="0"/>
          <c:showPercent val="0"/>
          <c:showBubbleSize val="0"/>
        </c:dLbls>
        <c:gapWidth val="70"/>
        <c:axId val="679177136"/>
        <c:axId val="432237664"/>
      </c:barChart>
      <c:lineChart>
        <c:grouping val="standard"/>
        <c:varyColors val="0"/>
        <c:ser>
          <c:idx val="1"/>
          <c:order val="1"/>
          <c:tx>
            <c:strRef>
              <c:f>Datos!$J$5</c:f>
              <c:strCache>
                <c:ptCount val="1"/>
                <c:pt idx="0">
                  <c:v>Serie de tendencia-ciclo</c:v>
                </c:pt>
              </c:strCache>
            </c:strRef>
          </c:tx>
          <c:spPr>
            <a:ln w="12700">
              <a:solidFill>
                <a:srgbClr val="0000FF"/>
              </a:solidFill>
              <a:prstDash val="solid"/>
            </a:ln>
          </c:spPr>
          <c:marker>
            <c:symbol val="none"/>
          </c:marker>
          <c:cat>
            <c:multiLvlStrRef>
              <c:f>Datos!$A$126:$B$197</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2018</c:v>
                  </c:pt>
                  <c:pt idx="12">
                    <c:v>2019</c:v>
                  </c:pt>
                  <c:pt idx="24">
                    <c:v>2020</c:v>
                  </c:pt>
                  <c:pt idx="36">
                    <c:v>2021</c:v>
                  </c:pt>
                  <c:pt idx="48">
                    <c:v>2022</c:v>
                  </c:pt>
                  <c:pt idx="60">
                    <c:v>2023</c:v>
                  </c:pt>
                </c:lvl>
              </c:multiLvlStrCache>
            </c:multiLvlStrRef>
          </c:cat>
          <c:val>
            <c:numRef>
              <c:f>Datos!$J$126:$J$197</c:f>
              <c:numCache>
                <c:formatCode>0.0_)</c:formatCode>
                <c:ptCount val="69"/>
                <c:pt idx="0">
                  <c:v>99.236923897701502</c:v>
                </c:pt>
                <c:pt idx="1">
                  <c:v>99.383694377346103</c:v>
                </c:pt>
                <c:pt idx="2">
                  <c:v>99.552226626175596</c:v>
                </c:pt>
                <c:pt idx="3">
                  <c:v>99.688524854036999</c:v>
                </c:pt>
                <c:pt idx="4">
                  <c:v>99.788972701705802</c:v>
                </c:pt>
                <c:pt idx="5">
                  <c:v>99.869072798745904</c:v>
                </c:pt>
                <c:pt idx="6">
                  <c:v>99.966473795360599</c:v>
                </c:pt>
                <c:pt idx="7">
                  <c:v>100.112153331705</c:v>
                </c:pt>
                <c:pt idx="8">
                  <c:v>100.28762286478199</c:v>
                </c:pt>
                <c:pt idx="9">
                  <c:v>100.466459329749</c:v>
                </c:pt>
                <c:pt idx="10">
                  <c:v>100.67334390515001</c:v>
                </c:pt>
                <c:pt idx="11">
                  <c:v>100.90390985782101</c:v>
                </c:pt>
                <c:pt idx="12">
                  <c:v>101.137767770894</c:v>
                </c:pt>
                <c:pt idx="13">
                  <c:v>101.353847165652</c:v>
                </c:pt>
                <c:pt idx="14">
                  <c:v>101.524572603195</c:v>
                </c:pt>
                <c:pt idx="15">
                  <c:v>101.628074784372</c:v>
                </c:pt>
                <c:pt idx="16">
                  <c:v>101.680691920691</c:v>
                </c:pt>
                <c:pt idx="17">
                  <c:v>101.707500696813</c:v>
                </c:pt>
                <c:pt idx="18">
                  <c:v>101.682004646322</c:v>
                </c:pt>
                <c:pt idx="19">
                  <c:v>101.58570823752299</c:v>
                </c:pt>
                <c:pt idx="20">
                  <c:v>101.475349035382</c:v>
                </c:pt>
                <c:pt idx="21">
                  <c:v>101.437333143739</c:v>
                </c:pt>
                <c:pt idx="22">
                  <c:v>101.533174240552</c:v>
                </c:pt>
                <c:pt idx="23">
                  <c:v>101.762223593721</c:v>
                </c:pt>
                <c:pt idx="24">
                  <c:v>102.020949177454</c:v>
                </c:pt>
                <c:pt idx="25">
                  <c:v>102.217824963708</c:v>
                </c:pt>
                <c:pt idx="26">
                  <c:v>102.33818725163</c:v>
                </c:pt>
                <c:pt idx="27">
                  <c:v>97.022640904714393</c:v>
                </c:pt>
                <c:pt idx="28">
                  <c:v>97.203619337605701</c:v>
                </c:pt>
                <c:pt idx="29">
                  <c:v>97.427415311744298</c:v>
                </c:pt>
                <c:pt idx="30">
                  <c:v>97.636087566999194</c:v>
                </c:pt>
                <c:pt idx="31">
                  <c:v>97.772091728127293</c:v>
                </c:pt>
                <c:pt idx="32">
                  <c:v>97.830291625178205</c:v>
                </c:pt>
                <c:pt idx="33">
                  <c:v>97.847055844177007</c:v>
                </c:pt>
                <c:pt idx="34">
                  <c:v>97.891202144191894</c:v>
                </c:pt>
                <c:pt idx="35">
                  <c:v>98.015615258097498</c:v>
                </c:pt>
                <c:pt idx="36">
                  <c:v>98.241203487812797</c:v>
                </c:pt>
                <c:pt idx="37">
                  <c:v>98.546335672302206</c:v>
                </c:pt>
                <c:pt idx="38">
                  <c:v>98.868579930369293</c:v>
                </c:pt>
                <c:pt idx="39">
                  <c:v>99.163201074633093</c:v>
                </c:pt>
                <c:pt idx="40">
                  <c:v>99.4474119768104</c:v>
                </c:pt>
                <c:pt idx="41">
                  <c:v>99.778567897014199</c:v>
                </c:pt>
                <c:pt idx="42">
                  <c:v>100.178046826559</c:v>
                </c:pt>
                <c:pt idx="43">
                  <c:v>100.608898875264</c:v>
                </c:pt>
                <c:pt idx="44">
                  <c:v>101.00160901085999</c:v>
                </c:pt>
                <c:pt idx="45">
                  <c:v>101.27933216248999</c:v>
                </c:pt>
                <c:pt idx="46">
                  <c:v>101.40177965131301</c:v>
                </c:pt>
                <c:pt idx="47">
                  <c:v>101.36566471098899</c:v>
                </c:pt>
                <c:pt idx="48">
                  <c:v>101.20656737795601</c:v>
                </c:pt>
                <c:pt idx="49">
                  <c:v>100.98382228985599</c:v>
                </c:pt>
                <c:pt idx="50">
                  <c:v>100.77740604661</c:v>
                </c:pt>
                <c:pt idx="51">
                  <c:v>100.636968039453</c:v>
                </c:pt>
                <c:pt idx="52">
                  <c:v>100.52378989762801</c:v>
                </c:pt>
                <c:pt idx="53">
                  <c:v>100.42564510228</c:v>
                </c:pt>
                <c:pt idx="54">
                  <c:v>100.365518513495</c:v>
                </c:pt>
                <c:pt idx="55">
                  <c:v>100.386315492656</c:v>
                </c:pt>
                <c:pt idx="56">
                  <c:v>100.479740692257</c:v>
                </c:pt>
                <c:pt idx="57">
                  <c:v>100.59532142602301</c:v>
                </c:pt>
                <c:pt idx="58">
                  <c:v>100.649695453208</c:v>
                </c:pt>
                <c:pt idx="59">
                  <c:v>100.62852851542399</c:v>
                </c:pt>
                <c:pt idx="60">
                  <c:v>100.61975409461201</c:v>
                </c:pt>
                <c:pt idx="61">
                  <c:v>100.709346097882</c:v>
                </c:pt>
                <c:pt idx="62">
                  <c:v>100.90734666687401</c:v>
                </c:pt>
                <c:pt idx="63">
                  <c:v>101.169137179738</c:v>
                </c:pt>
                <c:pt idx="64">
                  <c:v>101.43505337285499</c:v>
                </c:pt>
                <c:pt idx="65">
                  <c:v>101.61212383483399</c:v>
                </c:pt>
                <c:pt idx="66">
                  <c:v>101.648901144356</c:v>
                </c:pt>
                <c:pt idx="67">
                  <c:v>101.564235050104</c:v>
                </c:pt>
                <c:pt idx="68">
                  <c:v>101.441318445394</c:v>
                </c:pt>
              </c:numCache>
            </c:numRef>
          </c:val>
          <c:smooth val="0"/>
          <c:extLst>
            <c:ext xmlns:c16="http://schemas.microsoft.com/office/drawing/2014/chart" uri="{C3380CC4-5D6E-409C-BE32-E72D297353CC}">
              <c16:uniqueId val="{00000001-19AC-4263-859A-1D962706153B}"/>
            </c:ext>
          </c:extLst>
        </c:ser>
        <c:dLbls>
          <c:showLegendKey val="0"/>
          <c:showVal val="0"/>
          <c:showCatName val="0"/>
          <c:showSerName val="0"/>
          <c:showPercent val="0"/>
          <c:showBubbleSize val="0"/>
        </c:dLbls>
        <c:marker val="1"/>
        <c:smooth val="0"/>
        <c:axId val="679177136"/>
        <c:axId val="432237664"/>
      </c:lineChart>
      <c:catAx>
        <c:axId val="679177136"/>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750" b="0" i="0" u="none" strike="noStrike" baseline="0">
                <a:solidFill>
                  <a:srgbClr val="000000"/>
                </a:solidFill>
                <a:latin typeface="Arial"/>
                <a:ea typeface="Arial"/>
                <a:cs typeface="Arial"/>
              </a:defRPr>
            </a:pPr>
            <a:endParaRPr lang="es-MX"/>
          </a:p>
        </c:txPr>
        <c:crossAx val="432237664"/>
        <c:crosses val="autoZero"/>
        <c:auto val="1"/>
        <c:lblAlgn val="ctr"/>
        <c:lblOffset val="100"/>
        <c:tickLblSkip val="1"/>
        <c:tickMarkSkip val="12"/>
        <c:noMultiLvlLbl val="1"/>
      </c:catAx>
      <c:valAx>
        <c:axId val="432237664"/>
        <c:scaling>
          <c:orientation val="minMax"/>
          <c:max val="107"/>
          <c:min val="9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800" b="0" i="0" u="none" strike="noStrike" baseline="0">
                <a:solidFill>
                  <a:srgbClr val="000000"/>
                </a:solidFill>
                <a:latin typeface="Arial"/>
                <a:ea typeface="Arial"/>
                <a:cs typeface="Arial"/>
              </a:defRPr>
            </a:pPr>
            <a:endParaRPr lang="es-MX"/>
          </a:p>
        </c:txPr>
        <c:crossAx val="679177136"/>
        <c:crosses val="autoZero"/>
        <c:crossBetween val="between"/>
        <c:majorUnit val="5"/>
      </c:valAx>
      <c:spPr>
        <a:noFill/>
        <a:ln w="3175">
          <a:solidFill>
            <a:srgbClr val="808080"/>
          </a:solidFill>
          <a:prstDash val="solid"/>
        </a:ln>
      </c:spPr>
    </c:plotArea>
    <c:legend>
      <c:legendPos val="r"/>
      <c:layout>
        <c:manualLayout>
          <c:xMode val="edge"/>
          <c:yMode val="edge"/>
          <c:x val="6.7532407407407402E-2"/>
          <c:y val="0.94058325972322598"/>
          <c:w val="0.91166059757236217"/>
          <c:h val="5.9416740276774002E-2"/>
        </c:manualLayout>
      </c:layout>
      <c:overlay val="0"/>
      <c:spPr>
        <a:noFill/>
        <a:ln w="3175">
          <a:noFill/>
          <a:prstDash val="solid"/>
        </a:ln>
      </c:spPr>
      <c:txPr>
        <a:bodyPr/>
        <a:lstStyle/>
        <a:p>
          <a:pPr>
            <a:defRPr lang="es-MX"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8992361111111118E-2"/>
          <c:y val="4.5483219658243042E-2"/>
          <c:w val="0.92400833333333332"/>
          <c:h val="0.79216993149142734"/>
        </c:manualLayout>
      </c:layout>
      <c:barChart>
        <c:barDir val="col"/>
        <c:grouping val="clustered"/>
        <c:varyColors val="0"/>
        <c:ser>
          <c:idx val="0"/>
          <c:order val="0"/>
          <c:tx>
            <c:strRef>
              <c:f>Datos!$M$5</c:f>
              <c:strCache>
                <c:ptCount val="1"/>
                <c:pt idx="0">
                  <c:v>Serie desestacionalizada</c:v>
                </c:pt>
              </c:strCache>
            </c:strRef>
          </c:tx>
          <c:spPr>
            <a:solidFill>
              <a:srgbClr val="00B050"/>
            </a:solidFill>
            <a:ln w="3175">
              <a:solidFill>
                <a:srgbClr val="006600"/>
              </a:solidFill>
            </a:ln>
          </c:spPr>
          <c:invertIfNegative val="0"/>
          <c:cat>
            <c:multiLvlStrRef>
              <c:f>Datos!$A$126:$B$197</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2018</c:v>
                  </c:pt>
                  <c:pt idx="12">
                    <c:v>2019</c:v>
                  </c:pt>
                  <c:pt idx="24">
                    <c:v>2020</c:v>
                  </c:pt>
                  <c:pt idx="36">
                    <c:v>2021</c:v>
                  </c:pt>
                  <c:pt idx="48">
                    <c:v>2022</c:v>
                  </c:pt>
                  <c:pt idx="60">
                    <c:v>2023</c:v>
                  </c:pt>
                </c:lvl>
              </c:multiLvlStrCache>
            </c:multiLvlStrRef>
          </c:cat>
          <c:val>
            <c:numRef>
              <c:f>Datos!$M$126:$M$197</c:f>
              <c:numCache>
                <c:formatCode>0.0</c:formatCode>
                <c:ptCount val="69"/>
                <c:pt idx="0">
                  <c:v>98.374690194977305</c:v>
                </c:pt>
                <c:pt idx="1">
                  <c:v>99.031561455636293</c:v>
                </c:pt>
                <c:pt idx="2">
                  <c:v>99.755496407894199</c:v>
                </c:pt>
                <c:pt idx="3">
                  <c:v>101.012509521703</c:v>
                </c:pt>
                <c:pt idx="4">
                  <c:v>100.06726570453699</c:v>
                </c:pt>
                <c:pt idx="5">
                  <c:v>99.907709286551395</c:v>
                </c:pt>
                <c:pt idx="6">
                  <c:v>100.094236288985</c:v>
                </c:pt>
                <c:pt idx="7">
                  <c:v>100.0680368382</c:v>
                </c:pt>
                <c:pt idx="8">
                  <c:v>99.710712759104794</c:v>
                </c:pt>
                <c:pt idx="9">
                  <c:v>100.204185567938</c:v>
                </c:pt>
                <c:pt idx="10">
                  <c:v>100.67053761655001</c:v>
                </c:pt>
                <c:pt idx="11">
                  <c:v>100.810047237584</c:v>
                </c:pt>
                <c:pt idx="12">
                  <c:v>101.825694062827</c:v>
                </c:pt>
                <c:pt idx="13">
                  <c:v>103.042287840133</c:v>
                </c:pt>
                <c:pt idx="14">
                  <c:v>102.510815421825</c:v>
                </c:pt>
                <c:pt idx="15">
                  <c:v>102.555286477735</c:v>
                </c:pt>
                <c:pt idx="16">
                  <c:v>100.83099611900801</c:v>
                </c:pt>
                <c:pt idx="17">
                  <c:v>102.596177002301</c:v>
                </c:pt>
                <c:pt idx="18">
                  <c:v>102.363898738662</c:v>
                </c:pt>
                <c:pt idx="19">
                  <c:v>103.272156749877</c:v>
                </c:pt>
                <c:pt idx="20">
                  <c:v>104.31630786649001</c:v>
                </c:pt>
                <c:pt idx="21">
                  <c:v>104.034952361233</c:v>
                </c:pt>
                <c:pt idx="22">
                  <c:v>104.35038876382001</c:v>
                </c:pt>
                <c:pt idx="23">
                  <c:v>104.46803315383001</c:v>
                </c:pt>
                <c:pt idx="24">
                  <c:v>103.84884636967401</c:v>
                </c:pt>
                <c:pt idx="25">
                  <c:v>103.637506231673</c:v>
                </c:pt>
                <c:pt idx="26">
                  <c:v>103.575464599771</c:v>
                </c:pt>
                <c:pt idx="27">
                  <c:v>102.35872216414801</c:v>
                </c:pt>
                <c:pt idx="28">
                  <c:v>97.793128074515295</c:v>
                </c:pt>
                <c:pt idx="29">
                  <c:v>99.845452375557301</c:v>
                </c:pt>
                <c:pt idx="30">
                  <c:v>100.958820388966</c:v>
                </c:pt>
                <c:pt idx="31">
                  <c:v>101.943445081856</c:v>
                </c:pt>
                <c:pt idx="32">
                  <c:v>102.063568579595</c:v>
                </c:pt>
                <c:pt idx="33">
                  <c:v>103.009706782474</c:v>
                </c:pt>
                <c:pt idx="34">
                  <c:v>104.47094765885799</c:v>
                </c:pt>
                <c:pt idx="35">
                  <c:v>106.550299322233</c:v>
                </c:pt>
                <c:pt idx="36">
                  <c:v>104.23687681948</c:v>
                </c:pt>
                <c:pt idx="37">
                  <c:v>104.51633776806401</c:v>
                </c:pt>
                <c:pt idx="38">
                  <c:v>104.626601764352</c:v>
                </c:pt>
                <c:pt idx="39">
                  <c:v>103.32277566849299</c:v>
                </c:pt>
                <c:pt idx="40">
                  <c:v>104.88863024515599</c:v>
                </c:pt>
                <c:pt idx="41">
                  <c:v>105.139406249519</c:v>
                </c:pt>
                <c:pt idx="42">
                  <c:v>108.419768276765</c:v>
                </c:pt>
                <c:pt idx="43">
                  <c:v>105.77395380547399</c:v>
                </c:pt>
                <c:pt idx="44">
                  <c:v>107.521823493955</c:v>
                </c:pt>
                <c:pt idx="45">
                  <c:v>108.718119732876</c:v>
                </c:pt>
                <c:pt idx="46">
                  <c:v>110.223718054367</c:v>
                </c:pt>
                <c:pt idx="47">
                  <c:v>108.18013620475401</c:v>
                </c:pt>
                <c:pt idx="48">
                  <c:v>108.830997738937</c:v>
                </c:pt>
                <c:pt idx="49">
                  <c:v>108.843134465335</c:v>
                </c:pt>
                <c:pt idx="50">
                  <c:v>108.384806045668</c:v>
                </c:pt>
                <c:pt idx="51">
                  <c:v>113.10599369083</c:v>
                </c:pt>
                <c:pt idx="52">
                  <c:v>113.244634979181</c:v>
                </c:pt>
                <c:pt idx="53">
                  <c:v>113.94909435245501</c:v>
                </c:pt>
                <c:pt idx="54">
                  <c:v>114.088947727896</c:v>
                </c:pt>
                <c:pt idx="55">
                  <c:v>112.866663161223</c:v>
                </c:pt>
                <c:pt idx="56">
                  <c:v>112.65101452457201</c:v>
                </c:pt>
                <c:pt idx="57">
                  <c:v>113.322556632662</c:v>
                </c:pt>
                <c:pt idx="58">
                  <c:v>112.215840411633</c:v>
                </c:pt>
                <c:pt idx="59">
                  <c:v>114.862446248936</c:v>
                </c:pt>
                <c:pt idx="60">
                  <c:v>118.15801869809199</c:v>
                </c:pt>
                <c:pt idx="61">
                  <c:v>118.90221620753501</c:v>
                </c:pt>
                <c:pt idx="62">
                  <c:v>118.77111754997399</c:v>
                </c:pt>
                <c:pt idx="63">
                  <c:v>120.94741314508801</c:v>
                </c:pt>
                <c:pt idx="64">
                  <c:v>121.89016371812799</c:v>
                </c:pt>
                <c:pt idx="65">
                  <c:v>121.896215500108</c:v>
                </c:pt>
                <c:pt idx="66">
                  <c:v>122.08674719750501</c:v>
                </c:pt>
                <c:pt idx="67">
                  <c:v>123.989700992587</c:v>
                </c:pt>
                <c:pt idx="68">
                  <c:v>124.458307621622</c:v>
                </c:pt>
              </c:numCache>
            </c:numRef>
          </c:val>
          <c:extLst>
            <c:ext xmlns:c16="http://schemas.microsoft.com/office/drawing/2014/chart" uri="{C3380CC4-5D6E-409C-BE32-E72D297353CC}">
              <c16:uniqueId val="{00000000-7905-4437-A178-022BF1D3C9F7}"/>
            </c:ext>
          </c:extLst>
        </c:ser>
        <c:dLbls>
          <c:showLegendKey val="0"/>
          <c:showVal val="0"/>
          <c:showCatName val="0"/>
          <c:showSerName val="0"/>
          <c:showPercent val="0"/>
          <c:showBubbleSize val="0"/>
        </c:dLbls>
        <c:gapWidth val="70"/>
        <c:axId val="432237272"/>
        <c:axId val="432234528"/>
      </c:barChart>
      <c:lineChart>
        <c:grouping val="standard"/>
        <c:varyColors val="0"/>
        <c:ser>
          <c:idx val="1"/>
          <c:order val="1"/>
          <c:tx>
            <c:strRef>
              <c:f>Datos!$N$5</c:f>
              <c:strCache>
                <c:ptCount val="1"/>
                <c:pt idx="0">
                  <c:v>Serie de tendencia-ciclo</c:v>
                </c:pt>
              </c:strCache>
            </c:strRef>
          </c:tx>
          <c:spPr>
            <a:ln w="12700">
              <a:solidFill>
                <a:srgbClr val="0000FF"/>
              </a:solidFill>
              <a:prstDash val="solid"/>
            </a:ln>
          </c:spPr>
          <c:marker>
            <c:symbol val="none"/>
          </c:marker>
          <c:cat>
            <c:multiLvlStrRef>
              <c:f>Datos!$A$126:$B$197</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2018</c:v>
                  </c:pt>
                  <c:pt idx="12">
                    <c:v>2019</c:v>
                  </c:pt>
                  <c:pt idx="24">
                    <c:v>2020</c:v>
                  </c:pt>
                  <c:pt idx="36">
                    <c:v>2021</c:v>
                  </c:pt>
                  <c:pt idx="48">
                    <c:v>2022</c:v>
                  </c:pt>
                  <c:pt idx="60">
                    <c:v>2023</c:v>
                  </c:pt>
                </c:lvl>
              </c:multiLvlStrCache>
            </c:multiLvlStrRef>
          </c:cat>
          <c:val>
            <c:numRef>
              <c:f>Datos!$N$126:$N$197</c:f>
              <c:numCache>
                <c:formatCode>0.0</c:formatCode>
                <c:ptCount val="69"/>
                <c:pt idx="0">
                  <c:v>98.750812600647606</c:v>
                </c:pt>
                <c:pt idx="1">
                  <c:v>99.177757669519394</c:v>
                </c:pt>
                <c:pt idx="2">
                  <c:v>99.566217017680998</c:v>
                </c:pt>
                <c:pt idx="3">
                  <c:v>99.848780497659703</c:v>
                </c:pt>
                <c:pt idx="4">
                  <c:v>99.998287896647497</c:v>
                </c:pt>
                <c:pt idx="5">
                  <c:v>100.037346562504</c:v>
                </c:pt>
                <c:pt idx="6">
                  <c:v>100.00629652332699</c:v>
                </c:pt>
                <c:pt idx="7">
                  <c:v>99.960175320420802</c:v>
                </c:pt>
                <c:pt idx="8">
                  <c:v>100.023952416988</c:v>
                </c:pt>
                <c:pt idx="9">
                  <c:v>100.26231444314701</c:v>
                </c:pt>
                <c:pt idx="10">
                  <c:v>100.672827380041</c:v>
                </c:pt>
                <c:pt idx="11">
                  <c:v>101.193909948596</c:v>
                </c:pt>
                <c:pt idx="12">
                  <c:v>101.735997262449</c:v>
                </c:pt>
                <c:pt idx="13">
                  <c:v>102.17957738841299</c:v>
                </c:pt>
                <c:pt idx="14">
                  <c:v>102.434873369035</c:v>
                </c:pt>
                <c:pt idx="15">
                  <c:v>102.536808671995</c:v>
                </c:pt>
                <c:pt idx="16">
                  <c:v>102.590802547132</c:v>
                </c:pt>
                <c:pt idx="17">
                  <c:v>102.700763570996</c:v>
                </c:pt>
                <c:pt idx="18">
                  <c:v>102.95181866098901</c:v>
                </c:pt>
                <c:pt idx="19">
                  <c:v>103.342713908324</c:v>
                </c:pt>
                <c:pt idx="20">
                  <c:v>103.764061137357</c:v>
                </c:pt>
                <c:pt idx="21">
                  <c:v>104.108848261334</c:v>
                </c:pt>
                <c:pt idx="22">
                  <c:v>104.298108422165</c:v>
                </c:pt>
                <c:pt idx="23">
                  <c:v>104.285733357219</c:v>
                </c:pt>
                <c:pt idx="24">
                  <c:v>104.054473974201</c:v>
                </c:pt>
                <c:pt idx="25">
                  <c:v>103.622335038713</c:v>
                </c:pt>
                <c:pt idx="26">
                  <c:v>103.06858442438001</c:v>
                </c:pt>
                <c:pt idx="27">
                  <c:v>102.47180372286</c:v>
                </c:pt>
                <c:pt idx="28">
                  <c:v>101.92666559089101</c:v>
                </c:pt>
                <c:pt idx="29">
                  <c:v>101.590445265738</c:v>
                </c:pt>
                <c:pt idx="30">
                  <c:v>101.570649610679</c:v>
                </c:pt>
                <c:pt idx="31">
                  <c:v>101.882700956787</c:v>
                </c:pt>
                <c:pt idx="32">
                  <c:v>102.447708869461</c:v>
                </c:pt>
                <c:pt idx="33">
                  <c:v>103.12232750040801</c:v>
                </c:pt>
                <c:pt idx="34">
                  <c:v>103.72239898481899</c:v>
                </c:pt>
                <c:pt idx="35">
                  <c:v>104.14099275678601</c:v>
                </c:pt>
                <c:pt idx="36">
                  <c:v>104.338844222319</c:v>
                </c:pt>
                <c:pt idx="37">
                  <c:v>104.39840357696799</c:v>
                </c:pt>
                <c:pt idx="38">
                  <c:v>104.42326787002401</c:v>
                </c:pt>
                <c:pt idx="39">
                  <c:v>104.521557611845</c:v>
                </c:pt>
                <c:pt idx="40">
                  <c:v>104.81701136153301</c:v>
                </c:pt>
                <c:pt idx="41">
                  <c:v>105.339044784622</c:v>
                </c:pt>
                <c:pt idx="42">
                  <c:v>106.012312787843</c:v>
                </c:pt>
                <c:pt idx="43">
                  <c:v>106.745965078189</c:v>
                </c:pt>
                <c:pt idx="44">
                  <c:v>107.39452796766101</c:v>
                </c:pt>
                <c:pt idx="45">
                  <c:v>107.853993719003</c:v>
                </c:pt>
                <c:pt idx="46">
                  <c:v>108.165909956638</c:v>
                </c:pt>
                <c:pt idx="47">
                  <c:v>108.48585091810899</c:v>
                </c:pt>
                <c:pt idx="48">
                  <c:v>108.97025063658501</c:v>
                </c:pt>
                <c:pt idx="49">
                  <c:v>109.754709204607</c:v>
                </c:pt>
                <c:pt idx="50">
                  <c:v>110.809007004675</c:v>
                </c:pt>
                <c:pt idx="51">
                  <c:v>111.938941096904</c:v>
                </c:pt>
                <c:pt idx="52">
                  <c:v>112.852548253191</c:v>
                </c:pt>
                <c:pt idx="53">
                  <c:v>113.363828063453</c:v>
                </c:pt>
                <c:pt idx="54">
                  <c:v>113.46285556129401</c:v>
                </c:pt>
                <c:pt idx="55">
                  <c:v>113.324237471773</c:v>
                </c:pt>
                <c:pt idx="56">
                  <c:v>113.27450423648</c:v>
                </c:pt>
                <c:pt idx="57">
                  <c:v>113.57523822444401</c:v>
                </c:pt>
                <c:pt idx="58">
                  <c:v>114.315700728308</c:v>
                </c:pt>
                <c:pt idx="59">
                  <c:v>115.456038484514</c:v>
                </c:pt>
                <c:pt idx="60">
                  <c:v>116.847872153824</c:v>
                </c:pt>
                <c:pt idx="61">
                  <c:v>118.245195019939</c:v>
                </c:pt>
                <c:pt idx="62">
                  <c:v>119.480737991776</c:v>
                </c:pt>
                <c:pt idx="63">
                  <c:v>120.530823845795</c:v>
                </c:pt>
                <c:pt idx="64">
                  <c:v>121.418750200351</c:v>
                </c:pt>
                <c:pt idx="65">
                  <c:v>122.16027675820099</c:v>
                </c:pt>
                <c:pt idx="66">
                  <c:v>122.808026041088</c:v>
                </c:pt>
                <c:pt idx="67">
                  <c:v>123.428826867057</c:v>
                </c:pt>
                <c:pt idx="68">
                  <c:v>124.049618423922</c:v>
                </c:pt>
              </c:numCache>
            </c:numRef>
          </c:val>
          <c:smooth val="0"/>
          <c:extLst>
            <c:ext xmlns:c16="http://schemas.microsoft.com/office/drawing/2014/chart" uri="{C3380CC4-5D6E-409C-BE32-E72D297353CC}">
              <c16:uniqueId val="{00000001-7905-4437-A178-022BF1D3C9F7}"/>
            </c:ext>
          </c:extLst>
        </c:ser>
        <c:dLbls>
          <c:showLegendKey val="0"/>
          <c:showVal val="0"/>
          <c:showCatName val="0"/>
          <c:showSerName val="0"/>
          <c:showPercent val="0"/>
          <c:showBubbleSize val="0"/>
        </c:dLbls>
        <c:marker val="1"/>
        <c:smooth val="0"/>
        <c:axId val="432237272"/>
        <c:axId val="432234528"/>
      </c:lineChart>
      <c:catAx>
        <c:axId val="432237272"/>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sz="750"/>
            </a:pPr>
            <a:endParaRPr lang="es-MX"/>
          </a:p>
        </c:txPr>
        <c:crossAx val="432234528"/>
        <c:crosses val="autoZero"/>
        <c:auto val="1"/>
        <c:lblAlgn val="ctr"/>
        <c:lblOffset val="100"/>
        <c:tickLblSkip val="1"/>
        <c:tickMarkSkip val="12"/>
        <c:noMultiLvlLbl val="1"/>
      </c:catAx>
      <c:valAx>
        <c:axId val="432234528"/>
        <c:scaling>
          <c:orientation val="minMax"/>
          <c:max val="130"/>
          <c:min val="8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800"/>
            </a:pPr>
            <a:endParaRPr lang="es-MX"/>
          </a:p>
        </c:txPr>
        <c:crossAx val="432237272"/>
        <c:crosses val="autoZero"/>
        <c:crossBetween val="between"/>
        <c:majorUnit val="10"/>
      </c:valAx>
      <c:spPr>
        <a:noFill/>
        <a:ln w="3175">
          <a:solidFill>
            <a:srgbClr val="808080"/>
          </a:solidFill>
          <a:prstDash val="solid"/>
        </a:ln>
      </c:spPr>
    </c:plotArea>
    <c:legend>
      <c:legendPos val="r"/>
      <c:layout>
        <c:manualLayout>
          <c:xMode val="edge"/>
          <c:yMode val="edge"/>
          <c:x val="5.883425925925926E-2"/>
          <c:y val="0.94845248288941053"/>
          <c:w val="0.9072138188608776"/>
          <c:h val="4.826323314500644E-2"/>
        </c:manualLayout>
      </c:layout>
      <c:overlay val="0"/>
      <c:spPr>
        <a:noFill/>
        <a:ln w="3175">
          <a:noFill/>
          <a:prstDash val="solid"/>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drawings/drawing2.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drawings/drawing3.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drawings/drawing4.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D8128FBF1DCB4BB482DBB94943CBF1" ma:contentTypeVersion="4" ma:contentTypeDescription="Create a new document." ma:contentTypeScope="" ma:versionID="5dbb91214b65ddb1befca05659cde2de">
  <xsd:schema xmlns:xsd="http://www.w3.org/2001/XMLSchema" xmlns:xs="http://www.w3.org/2001/XMLSchema" xmlns:p="http://schemas.microsoft.com/office/2006/metadata/properties" xmlns:ns2="8d1394d2-d035-4f02-9e4e-321449527318" xmlns:ns3="ec0e31e1-6bce-4e36-ba83-434aaf6c7901" targetNamespace="http://schemas.microsoft.com/office/2006/metadata/properties" ma:root="true" ma:fieldsID="b4fcdd3674c30075db524b5f4645591a" ns2:_="" ns3:_="">
    <xsd:import namespace="8d1394d2-d035-4f02-9e4e-321449527318"/>
    <xsd:import namespace="ec0e31e1-6bce-4e36-ba83-434aaf6c7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1394d2-d035-4f02-9e4e-3214495273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0e31e1-6bce-4e36-ba83-434aaf6c7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C431C-F6B7-443C-9CB2-BCC9DFBC17B5}">
  <ds:schemaRefs>
    <ds:schemaRef ds:uri="http://schemas.microsoft.com/sharepoint/v3/contenttype/forms"/>
  </ds:schemaRefs>
</ds:datastoreItem>
</file>

<file path=customXml/itemProps2.xml><?xml version="1.0" encoding="utf-8"?>
<ds:datastoreItem xmlns:ds="http://schemas.openxmlformats.org/officeDocument/2006/customXml" ds:itemID="{2D1B9D99-9272-47AF-A775-34C8FF1B87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F267D9-DA5C-4E9C-A92B-D67E0CCCC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1394d2-d035-4f02-9e4e-321449527318"/>
    <ds:schemaRef ds:uri="ec0e31e1-6bce-4e36-ba83-434aaf6c7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D353E3-4F6E-47C2-AF7F-A51EC9C1D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30</TotalTime>
  <Pages>12</Pages>
  <Words>2720</Words>
  <Characters>14965</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Comunicado de Prensa. Indicadores sobre Empresas Comerciales</vt:lpstr>
    </vt:vector>
  </TitlesOfParts>
  <Company>INEGI</Company>
  <LinksUpToDate>false</LinksUpToDate>
  <CharactersWithSpaces>17650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sobre Empresas Comerciales</dc:title>
  <dc:subject/>
  <dc:creator>INEGI</dc:creator>
  <cp:keywords>Ingreso por suministro de bienes y servicios Personla ocupado total Remuneraciones reales</cp:keywords>
  <cp:lastModifiedBy>MORONES RUIZ FABIOLA CRISTINA</cp:lastModifiedBy>
  <cp:revision>9</cp:revision>
  <cp:lastPrinted>2023-09-18T19:42:00Z</cp:lastPrinted>
  <dcterms:created xsi:type="dcterms:W3CDTF">2023-11-17T17:54:00Z</dcterms:created>
  <dcterms:modified xsi:type="dcterms:W3CDTF">2023-11-21T22:03:00Z</dcterms:modified>
  <cp:category>Encuesta Nacional de Ocupación y Empleo</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18963453d70262e6629f3f757e139febd44871e9219465bd19ffbbef6cc8ebe8</vt:lpwstr>
  </property>
  <property fmtid="{D5CDD505-2E9C-101B-9397-08002B2CF9AE}" pid="3" name="ContentTypeId">
    <vt:lpwstr>0x01010068D8128FBF1DCB4BB482DBB94943CBF1</vt:lpwstr>
  </property>
</Properties>
</file>