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6425" w14:textId="77777777" w:rsidR="003949C7" w:rsidRDefault="003949C7">
      <w:pPr>
        <w:rPr>
          <w:rFonts w:ascii="Garamond" w:hAnsi="Garamond" w:cs="Arial"/>
        </w:rPr>
      </w:pPr>
    </w:p>
    <w:p w14:paraId="1AEACEA6" w14:textId="77777777" w:rsidR="003949C7" w:rsidRPr="008D0F9D" w:rsidRDefault="003949C7">
      <w:pPr>
        <w:rPr>
          <w:rFonts w:ascii="Garamond" w:hAnsi="Garamond" w:cs="Arial"/>
        </w:rPr>
      </w:pPr>
    </w:p>
    <w:p w14:paraId="40C2ED10" w14:textId="5056BCC0" w:rsidR="00E70496" w:rsidRPr="008D0F9D" w:rsidRDefault="00E70496" w:rsidP="00E70496">
      <w:pPr>
        <w:jc w:val="center"/>
        <w:rPr>
          <w:rFonts w:ascii="Garamond" w:hAnsi="Garamond" w:cs="Arial"/>
          <w:b/>
          <w:bCs/>
          <w:sz w:val="26"/>
          <w:szCs w:val="26"/>
        </w:rPr>
      </w:pPr>
      <w:r w:rsidRPr="008D0F9D">
        <w:rPr>
          <w:rFonts w:ascii="Garamond" w:hAnsi="Garamond" w:cs="Arial"/>
          <w:b/>
          <w:bCs/>
          <w:sz w:val="26"/>
          <w:szCs w:val="26"/>
        </w:rPr>
        <w:t>CONSULTA PÚBLICA SOBRE LA ACTUALIZACIÓN DEL ÍNDICE NACIONAL DE PRECIOS AL CONSUMIDOR  2024</w:t>
      </w:r>
    </w:p>
    <w:p w14:paraId="41342567" w14:textId="088BC7BF" w:rsidR="00E70496" w:rsidRPr="008D0F9D" w:rsidRDefault="00E70496" w:rsidP="00E70496">
      <w:pPr>
        <w:jc w:val="center"/>
        <w:rPr>
          <w:rFonts w:ascii="Garamond" w:hAnsi="Garamond" w:cs="Arial"/>
          <w:b/>
          <w:bCs/>
          <w:sz w:val="26"/>
          <w:szCs w:val="26"/>
        </w:rPr>
      </w:pPr>
    </w:p>
    <w:p w14:paraId="08800B34" w14:textId="4A59FF23" w:rsidR="00AF1E2A" w:rsidRPr="008D0F9D" w:rsidRDefault="009352D0" w:rsidP="009352D0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26"/>
          <w:szCs w:val="26"/>
        </w:rPr>
      </w:pPr>
      <w:r w:rsidRPr="008D0F9D">
        <w:rPr>
          <w:rFonts w:ascii="Garamond" w:hAnsi="Garamond" w:cs="Arial"/>
          <w:sz w:val="26"/>
          <w:szCs w:val="26"/>
        </w:rPr>
        <w:t xml:space="preserve">El </w:t>
      </w:r>
      <w:r w:rsidR="00AF1E2A" w:rsidRPr="008D0F9D">
        <w:rPr>
          <w:rFonts w:ascii="Garamond" w:hAnsi="Garamond" w:cs="Arial"/>
          <w:sz w:val="26"/>
          <w:szCs w:val="26"/>
        </w:rPr>
        <w:t>Instituto Nacional de Estadística y Geografía (INEGI) inicia</w:t>
      </w:r>
      <w:r w:rsidR="005B64BE" w:rsidRPr="008D0F9D">
        <w:rPr>
          <w:rFonts w:ascii="Garamond" w:hAnsi="Garamond" w:cs="Arial"/>
          <w:sz w:val="26"/>
          <w:szCs w:val="26"/>
        </w:rPr>
        <w:t>rá</w:t>
      </w:r>
      <w:r w:rsidR="00AF1E2A" w:rsidRPr="008D0F9D">
        <w:rPr>
          <w:rFonts w:ascii="Garamond" w:hAnsi="Garamond" w:cs="Arial"/>
          <w:sz w:val="26"/>
          <w:szCs w:val="26"/>
        </w:rPr>
        <w:t xml:space="preserve"> </w:t>
      </w:r>
      <w:r w:rsidRPr="008D0F9D">
        <w:rPr>
          <w:rFonts w:ascii="Garamond" w:hAnsi="Garamond" w:cs="Arial"/>
          <w:sz w:val="26"/>
          <w:szCs w:val="26"/>
        </w:rPr>
        <w:t>la consulta pública</w:t>
      </w:r>
      <w:r w:rsidR="00AF1E2A" w:rsidRPr="008D0F9D">
        <w:rPr>
          <w:rFonts w:ascii="Garamond" w:hAnsi="Garamond" w:cs="Arial"/>
          <w:sz w:val="26"/>
          <w:szCs w:val="26"/>
        </w:rPr>
        <w:t xml:space="preserve"> para actualizar el Índice Nacional de Precios al Consumidor (INPC) 2024</w:t>
      </w:r>
      <w:r w:rsidR="000B2131" w:rsidRPr="008D0F9D">
        <w:rPr>
          <w:rFonts w:ascii="Garamond" w:hAnsi="Garamond" w:cs="Arial"/>
          <w:sz w:val="26"/>
          <w:szCs w:val="26"/>
        </w:rPr>
        <w:t>.</w:t>
      </w:r>
    </w:p>
    <w:p w14:paraId="73B01E51" w14:textId="752A3197" w:rsidR="009352D0" w:rsidRPr="008D0F9D" w:rsidRDefault="00AF1E2A" w:rsidP="009352D0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26"/>
          <w:szCs w:val="26"/>
        </w:rPr>
      </w:pPr>
      <w:r w:rsidRPr="008D0F9D">
        <w:rPr>
          <w:rFonts w:ascii="Garamond" w:hAnsi="Garamond" w:cs="Arial"/>
          <w:sz w:val="26"/>
          <w:szCs w:val="26"/>
        </w:rPr>
        <w:t xml:space="preserve">La consulta pública </w:t>
      </w:r>
      <w:r w:rsidR="009352D0" w:rsidRPr="008D0F9D">
        <w:rPr>
          <w:rFonts w:ascii="Garamond" w:hAnsi="Garamond" w:cs="Arial"/>
          <w:sz w:val="26"/>
          <w:szCs w:val="26"/>
        </w:rPr>
        <w:t>se llevará a cabo entre el 15 de mayo y el 9 junio de 2023</w:t>
      </w:r>
      <w:r w:rsidRPr="008D0F9D">
        <w:rPr>
          <w:rFonts w:ascii="Garamond" w:hAnsi="Garamond" w:cs="Arial"/>
          <w:sz w:val="26"/>
          <w:szCs w:val="26"/>
        </w:rPr>
        <w:t>, y el INPC</w:t>
      </w:r>
      <w:r w:rsidR="00B05C88" w:rsidRPr="008D0F9D">
        <w:rPr>
          <w:rFonts w:ascii="Garamond" w:hAnsi="Garamond" w:cs="Arial"/>
          <w:sz w:val="26"/>
          <w:szCs w:val="26"/>
        </w:rPr>
        <w:t xml:space="preserve"> actualizado</w:t>
      </w:r>
      <w:r w:rsidRPr="008D0F9D">
        <w:rPr>
          <w:rFonts w:ascii="Garamond" w:hAnsi="Garamond" w:cs="Arial"/>
          <w:sz w:val="26"/>
          <w:szCs w:val="26"/>
        </w:rPr>
        <w:t xml:space="preserve"> se dará a conocer en agosto</w:t>
      </w:r>
      <w:r w:rsidR="00ED290E" w:rsidRPr="008D0F9D">
        <w:rPr>
          <w:rFonts w:ascii="Garamond" w:hAnsi="Garamond" w:cs="Arial"/>
          <w:sz w:val="26"/>
          <w:szCs w:val="26"/>
        </w:rPr>
        <w:t xml:space="preserve"> de</w:t>
      </w:r>
      <w:r w:rsidRPr="008D0F9D">
        <w:rPr>
          <w:rFonts w:ascii="Garamond" w:hAnsi="Garamond" w:cs="Arial"/>
          <w:sz w:val="26"/>
          <w:szCs w:val="26"/>
        </w:rPr>
        <w:t xml:space="preserve"> 2024</w:t>
      </w:r>
      <w:r w:rsidR="009352D0" w:rsidRPr="008D0F9D">
        <w:rPr>
          <w:rFonts w:ascii="Garamond" w:hAnsi="Garamond" w:cs="Arial"/>
          <w:sz w:val="26"/>
          <w:szCs w:val="26"/>
        </w:rPr>
        <w:t xml:space="preserve">.   </w:t>
      </w:r>
    </w:p>
    <w:p w14:paraId="1E61E567" w14:textId="67F5411B" w:rsidR="001A0C79" w:rsidRPr="008D0F9D" w:rsidRDefault="00BB6115" w:rsidP="00E70496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26"/>
          <w:szCs w:val="26"/>
        </w:rPr>
      </w:pPr>
      <w:r w:rsidRPr="008D0F9D">
        <w:rPr>
          <w:rFonts w:ascii="Garamond" w:hAnsi="Garamond" w:cs="Arial"/>
          <w:sz w:val="26"/>
          <w:szCs w:val="26"/>
        </w:rPr>
        <w:t>Se a</w:t>
      </w:r>
      <w:r w:rsidR="001A0C79" w:rsidRPr="008D0F9D">
        <w:rPr>
          <w:rFonts w:ascii="Garamond" w:hAnsi="Garamond" w:cs="Arial"/>
          <w:sz w:val="26"/>
          <w:szCs w:val="26"/>
        </w:rPr>
        <w:t>ctualizará la canasta de bienes y servicios incluidos en el INPC, su ponderación</w:t>
      </w:r>
      <w:r w:rsidR="00ED290E" w:rsidRPr="008D0F9D">
        <w:rPr>
          <w:rFonts w:ascii="Garamond" w:hAnsi="Garamond" w:cs="Arial"/>
          <w:sz w:val="26"/>
          <w:szCs w:val="26"/>
        </w:rPr>
        <w:t>,</w:t>
      </w:r>
      <w:r w:rsidR="001A0C79" w:rsidRPr="008D0F9D">
        <w:rPr>
          <w:rFonts w:ascii="Garamond" w:hAnsi="Garamond" w:cs="Arial"/>
          <w:sz w:val="26"/>
          <w:szCs w:val="26"/>
        </w:rPr>
        <w:t xml:space="preserve"> y </w:t>
      </w:r>
      <w:r w:rsidR="000C3C65" w:rsidRPr="008D0F9D">
        <w:rPr>
          <w:rFonts w:ascii="Garamond" w:hAnsi="Garamond" w:cs="Arial"/>
          <w:sz w:val="26"/>
          <w:szCs w:val="26"/>
        </w:rPr>
        <w:t xml:space="preserve">se </w:t>
      </w:r>
      <w:r w:rsidR="001A0C79" w:rsidRPr="008D0F9D">
        <w:rPr>
          <w:rFonts w:ascii="Garamond" w:hAnsi="Garamond" w:cs="Arial"/>
          <w:sz w:val="26"/>
          <w:szCs w:val="26"/>
        </w:rPr>
        <w:t>adoptará la metodología de índices encadenados</w:t>
      </w:r>
      <w:r w:rsidR="0037389A" w:rsidRPr="008D0F9D">
        <w:rPr>
          <w:rFonts w:ascii="Garamond" w:hAnsi="Garamond" w:cs="Arial"/>
          <w:sz w:val="26"/>
          <w:szCs w:val="26"/>
        </w:rPr>
        <w:t xml:space="preserve">, </w:t>
      </w:r>
      <w:r w:rsidR="001A0C79" w:rsidRPr="008D0F9D">
        <w:rPr>
          <w:rFonts w:ascii="Garamond" w:hAnsi="Garamond" w:cs="Arial"/>
          <w:sz w:val="26"/>
          <w:szCs w:val="26"/>
        </w:rPr>
        <w:t xml:space="preserve">en línea con las mejores prácticas internacionales.    </w:t>
      </w:r>
    </w:p>
    <w:p w14:paraId="062F49D7" w14:textId="77777777" w:rsidR="00E70496" w:rsidRPr="008D0F9D" w:rsidRDefault="00E70496" w:rsidP="00E70496">
      <w:pPr>
        <w:jc w:val="both"/>
        <w:rPr>
          <w:rFonts w:ascii="Garamond" w:hAnsi="Garamond" w:cs="Arial"/>
          <w:sz w:val="26"/>
          <w:szCs w:val="26"/>
        </w:rPr>
      </w:pPr>
    </w:p>
    <w:p w14:paraId="1CD9A7D4" w14:textId="65F771F8" w:rsidR="00BB6115" w:rsidRPr="008D0F9D" w:rsidRDefault="00BB6115" w:rsidP="00E70496">
      <w:pPr>
        <w:jc w:val="both"/>
        <w:rPr>
          <w:rFonts w:ascii="Garamond" w:hAnsi="Garamond" w:cs="Arial"/>
          <w:sz w:val="26"/>
          <w:szCs w:val="26"/>
        </w:rPr>
      </w:pPr>
      <w:r w:rsidRPr="008D0F9D">
        <w:rPr>
          <w:rFonts w:ascii="Garamond" w:hAnsi="Garamond" w:cs="Arial"/>
          <w:sz w:val="26"/>
          <w:szCs w:val="26"/>
        </w:rPr>
        <w:t xml:space="preserve">A partir del </w:t>
      </w:r>
      <w:r w:rsidRPr="00C50E1F">
        <w:rPr>
          <w:rFonts w:ascii="Garamond" w:hAnsi="Garamond" w:cs="Arial"/>
          <w:sz w:val="26"/>
          <w:szCs w:val="26"/>
        </w:rPr>
        <w:t>15 de mayo y hasta el 9 de junio de 2023, el Instituto Nacional de Estadística y Geografía</w:t>
      </w:r>
      <w:r w:rsidR="00E92CE4" w:rsidRPr="00C50E1F">
        <w:rPr>
          <w:rFonts w:ascii="Garamond" w:hAnsi="Garamond" w:cs="Arial"/>
          <w:sz w:val="26"/>
          <w:szCs w:val="26"/>
        </w:rPr>
        <w:t xml:space="preserve"> </w:t>
      </w:r>
      <w:r w:rsidRPr="00C50E1F">
        <w:rPr>
          <w:rFonts w:ascii="Garamond" w:hAnsi="Garamond" w:cs="Arial"/>
          <w:sz w:val="26"/>
          <w:szCs w:val="26"/>
        </w:rPr>
        <w:t xml:space="preserve">llevará </w:t>
      </w:r>
      <w:r w:rsidRPr="00BD7B85">
        <w:rPr>
          <w:rFonts w:ascii="Garamond" w:hAnsi="Garamond" w:cs="Arial"/>
          <w:sz w:val="26"/>
          <w:szCs w:val="26"/>
        </w:rPr>
        <w:t>a cabo</w:t>
      </w:r>
      <w:r w:rsidRPr="00C50E1F">
        <w:rPr>
          <w:rFonts w:ascii="Garamond" w:hAnsi="Garamond" w:cs="Arial"/>
          <w:sz w:val="26"/>
          <w:szCs w:val="26"/>
        </w:rPr>
        <w:t xml:space="preserve"> la consulta pública para la Actualización del Índice Nacional de Precios al Consumidor 2024</w:t>
      </w:r>
      <w:r w:rsidR="00B64661" w:rsidRPr="00C50E1F">
        <w:rPr>
          <w:rFonts w:ascii="Garamond" w:hAnsi="Garamond" w:cs="Arial"/>
          <w:sz w:val="26"/>
          <w:szCs w:val="26"/>
        </w:rPr>
        <w:t xml:space="preserve">, </w:t>
      </w:r>
      <w:r w:rsidR="0062667E" w:rsidRPr="00C50E1F">
        <w:rPr>
          <w:rFonts w:ascii="Garamond" w:hAnsi="Garamond" w:cs="Arial"/>
          <w:sz w:val="26"/>
          <w:szCs w:val="26"/>
        </w:rPr>
        <w:t xml:space="preserve">que tiene como objetivo </w:t>
      </w:r>
      <w:r w:rsidR="0003446A">
        <w:rPr>
          <w:rFonts w:ascii="Garamond" w:hAnsi="Garamond" w:cs="Arial"/>
          <w:sz w:val="26"/>
          <w:szCs w:val="26"/>
        </w:rPr>
        <w:t>actualizar</w:t>
      </w:r>
      <w:r w:rsidR="0062667E" w:rsidRPr="00C14B64">
        <w:rPr>
          <w:rFonts w:ascii="Garamond" w:hAnsi="Garamond" w:cs="Arial"/>
          <w:sz w:val="26"/>
          <w:szCs w:val="26"/>
        </w:rPr>
        <w:t xml:space="preserve"> la canasta de bienes y servicios</w:t>
      </w:r>
      <w:r w:rsidR="00664B3A" w:rsidRPr="00C14B64">
        <w:rPr>
          <w:rFonts w:ascii="Garamond" w:hAnsi="Garamond" w:cs="Arial"/>
          <w:sz w:val="26"/>
          <w:szCs w:val="26"/>
        </w:rPr>
        <w:t xml:space="preserve"> y</w:t>
      </w:r>
      <w:r w:rsidR="00513ACD" w:rsidRPr="00C14B64">
        <w:rPr>
          <w:rFonts w:ascii="Garamond" w:hAnsi="Garamond" w:cs="Arial"/>
          <w:sz w:val="26"/>
          <w:szCs w:val="26"/>
        </w:rPr>
        <w:t xml:space="preserve"> </w:t>
      </w:r>
      <w:r w:rsidR="0062667E" w:rsidRPr="00C14B64">
        <w:rPr>
          <w:rFonts w:ascii="Garamond" w:hAnsi="Garamond" w:cs="Arial"/>
          <w:sz w:val="26"/>
          <w:szCs w:val="26"/>
        </w:rPr>
        <w:t>su estructura de ponderación</w:t>
      </w:r>
      <w:r w:rsidR="00664B3A" w:rsidRPr="00C14B64">
        <w:rPr>
          <w:rFonts w:ascii="Garamond" w:hAnsi="Garamond" w:cs="Arial"/>
          <w:sz w:val="26"/>
          <w:szCs w:val="26"/>
        </w:rPr>
        <w:t xml:space="preserve">, </w:t>
      </w:r>
      <w:r w:rsidR="00F01523" w:rsidRPr="00532BA6">
        <w:rPr>
          <w:rFonts w:ascii="Garamond" w:hAnsi="Garamond" w:cs="Arial"/>
          <w:sz w:val="26"/>
          <w:szCs w:val="26"/>
        </w:rPr>
        <w:t>así como</w:t>
      </w:r>
      <w:r w:rsidR="0062667E" w:rsidRPr="00532BA6">
        <w:rPr>
          <w:rFonts w:ascii="Garamond" w:hAnsi="Garamond" w:cs="Arial"/>
          <w:sz w:val="26"/>
          <w:szCs w:val="26"/>
        </w:rPr>
        <w:t xml:space="preserve"> introducir índices encadenados</w:t>
      </w:r>
      <w:r w:rsidR="00F01523" w:rsidRPr="00532BA6">
        <w:rPr>
          <w:rFonts w:ascii="Garamond" w:hAnsi="Garamond" w:cs="Arial"/>
          <w:sz w:val="26"/>
          <w:szCs w:val="26"/>
        </w:rPr>
        <w:t xml:space="preserve">, de conformidad con las recomendaciones de buenas prácticas internacionales definidas en el </w:t>
      </w:r>
      <w:r w:rsidR="00F01523" w:rsidRPr="00532BA6">
        <w:rPr>
          <w:rFonts w:ascii="Garamond" w:hAnsi="Garamond" w:cs="Arial"/>
          <w:i/>
          <w:iCs/>
          <w:sz w:val="26"/>
          <w:szCs w:val="26"/>
        </w:rPr>
        <w:t>Manual del Índice de Precios al Consumidor: Conceptos y Métodos 2020</w:t>
      </w:r>
      <w:r w:rsidR="00F01523" w:rsidRPr="00532BA6">
        <w:rPr>
          <w:rFonts w:ascii="Garamond" w:hAnsi="Garamond" w:cs="Arial"/>
          <w:sz w:val="26"/>
          <w:szCs w:val="26"/>
        </w:rPr>
        <w:t>, suscrito por el F</w:t>
      </w:r>
      <w:r w:rsidR="00116D51" w:rsidRPr="00532BA6">
        <w:rPr>
          <w:rFonts w:ascii="Garamond" w:hAnsi="Garamond" w:cs="Arial"/>
          <w:sz w:val="26"/>
          <w:szCs w:val="26"/>
        </w:rPr>
        <w:t>MI</w:t>
      </w:r>
      <w:r w:rsidR="00F01523" w:rsidRPr="00532BA6">
        <w:rPr>
          <w:rFonts w:ascii="Garamond" w:hAnsi="Garamond" w:cs="Arial"/>
          <w:sz w:val="26"/>
          <w:szCs w:val="26"/>
        </w:rPr>
        <w:t xml:space="preserve">, </w:t>
      </w:r>
      <w:r w:rsidR="00664B3A" w:rsidRPr="00532BA6">
        <w:rPr>
          <w:rFonts w:ascii="Garamond" w:hAnsi="Garamond" w:cs="Arial"/>
          <w:sz w:val="26"/>
          <w:szCs w:val="26"/>
        </w:rPr>
        <w:t>la O</w:t>
      </w:r>
      <w:r w:rsidR="00116D51" w:rsidRPr="00532BA6">
        <w:rPr>
          <w:rFonts w:ascii="Garamond" w:hAnsi="Garamond" w:cs="Arial"/>
          <w:sz w:val="26"/>
          <w:szCs w:val="26"/>
        </w:rPr>
        <w:t>CDE</w:t>
      </w:r>
      <w:r w:rsidR="00664B3A" w:rsidRPr="00532BA6">
        <w:rPr>
          <w:rFonts w:ascii="Garamond" w:hAnsi="Garamond" w:cs="Arial"/>
          <w:sz w:val="26"/>
          <w:szCs w:val="26"/>
        </w:rPr>
        <w:t>, el Banco Mundial, la O</w:t>
      </w:r>
      <w:r w:rsidR="00116D51" w:rsidRPr="00532BA6">
        <w:rPr>
          <w:rFonts w:ascii="Garamond" w:hAnsi="Garamond" w:cs="Arial"/>
          <w:sz w:val="26"/>
          <w:szCs w:val="26"/>
        </w:rPr>
        <w:t>IT, la Eurostat y UNECE</w:t>
      </w:r>
      <w:r w:rsidR="00664B3A" w:rsidRPr="00532BA6">
        <w:rPr>
          <w:rFonts w:ascii="Garamond" w:hAnsi="Garamond" w:cs="Arial"/>
          <w:sz w:val="26"/>
          <w:szCs w:val="26"/>
        </w:rPr>
        <w:t xml:space="preserve">. </w:t>
      </w:r>
    </w:p>
    <w:p w14:paraId="07BBC29E" w14:textId="77777777" w:rsidR="00BB6115" w:rsidRPr="008D0F9D" w:rsidRDefault="00BB6115" w:rsidP="00E70496">
      <w:pPr>
        <w:jc w:val="both"/>
        <w:rPr>
          <w:rFonts w:ascii="Garamond" w:hAnsi="Garamond" w:cs="Arial"/>
          <w:sz w:val="26"/>
          <w:szCs w:val="26"/>
        </w:rPr>
      </w:pPr>
    </w:p>
    <w:p w14:paraId="5FBBF3CF" w14:textId="0A98AB1F" w:rsidR="00F94BB2" w:rsidRPr="008D0F9D" w:rsidRDefault="00BB6115" w:rsidP="00E70496">
      <w:pPr>
        <w:jc w:val="both"/>
        <w:rPr>
          <w:rFonts w:ascii="Garamond" w:hAnsi="Garamond" w:cs="Arial"/>
          <w:sz w:val="26"/>
          <w:szCs w:val="26"/>
        </w:rPr>
      </w:pPr>
      <w:r w:rsidRPr="008D0F9D">
        <w:rPr>
          <w:rFonts w:ascii="Garamond" w:hAnsi="Garamond" w:cs="Arial"/>
          <w:sz w:val="26"/>
          <w:szCs w:val="26"/>
        </w:rPr>
        <w:t xml:space="preserve">El INEGI invita a las y los usuarios a participar en </w:t>
      </w:r>
      <w:r w:rsidR="008A4DCE">
        <w:rPr>
          <w:rFonts w:ascii="Garamond" w:hAnsi="Garamond" w:cs="Arial"/>
          <w:sz w:val="26"/>
          <w:szCs w:val="26"/>
        </w:rPr>
        <w:t>esta</w:t>
      </w:r>
      <w:r w:rsidRPr="008D0F9D">
        <w:rPr>
          <w:rFonts w:ascii="Garamond" w:hAnsi="Garamond" w:cs="Arial"/>
          <w:sz w:val="26"/>
          <w:szCs w:val="26"/>
        </w:rPr>
        <w:t xml:space="preserve"> consulta pública</w:t>
      </w:r>
      <w:r w:rsidR="008A4DCE">
        <w:rPr>
          <w:rFonts w:ascii="Garamond" w:hAnsi="Garamond" w:cs="Arial"/>
          <w:sz w:val="26"/>
          <w:szCs w:val="26"/>
        </w:rPr>
        <w:t>,</w:t>
      </w:r>
      <w:r w:rsidRPr="008D0F9D">
        <w:rPr>
          <w:rFonts w:ascii="Garamond" w:hAnsi="Garamond" w:cs="Arial"/>
          <w:sz w:val="26"/>
          <w:szCs w:val="26"/>
        </w:rPr>
        <w:t xml:space="preserve"> </w:t>
      </w:r>
      <w:r w:rsidR="00EF07F0" w:rsidRPr="008D0F9D">
        <w:rPr>
          <w:rFonts w:ascii="Garamond" w:hAnsi="Garamond" w:cs="Arial"/>
          <w:sz w:val="26"/>
          <w:szCs w:val="26"/>
        </w:rPr>
        <w:t xml:space="preserve">que </w:t>
      </w:r>
      <w:r w:rsidRPr="008D0F9D">
        <w:rPr>
          <w:rFonts w:ascii="Garamond" w:hAnsi="Garamond" w:cs="Arial"/>
          <w:sz w:val="26"/>
          <w:szCs w:val="26"/>
        </w:rPr>
        <w:t xml:space="preserve">se </w:t>
      </w:r>
      <w:r w:rsidR="008A4DCE">
        <w:rPr>
          <w:rFonts w:ascii="Garamond" w:hAnsi="Garamond" w:cs="Arial"/>
          <w:sz w:val="26"/>
          <w:szCs w:val="26"/>
        </w:rPr>
        <w:t xml:space="preserve">llevará </w:t>
      </w:r>
      <w:r w:rsidRPr="008D0F9D">
        <w:rPr>
          <w:rFonts w:ascii="Garamond" w:hAnsi="Garamond" w:cs="Arial"/>
          <w:sz w:val="26"/>
          <w:szCs w:val="26"/>
        </w:rPr>
        <w:t xml:space="preserve"> </w:t>
      </w:r>
      <w:r w:rsidR="00BD7B85">
        <w:rPr>
          <w:rFonts w:ascii="Garamond" w:hAnsi="Garamond" w:cs="Arial"/>
          <w:sz w:val="26"/>
          <w:szCs w:val="26"/>
        </w:rPr>
        <w:t xml:space="preserve">  </w:t>
      </w:r>
      <w:r w:rsidRPr="008D0F9D">
        <w:rPr>
          <w:rFonts w:ascii="Garamond" w:hAnsi="Garamond" w:cs="Arial"/>
          <w:sz w:val="26"/>
          <w:szCs w:val="26"/>
        </w:rPr>
        <w:t>de conformidad con el artículo 88 de la Ley del Sistema Nacional de Información Estadística y Geográfica (LSNIEG</w:t>
      </w:r>
      <w:r w:rsidR="008A4DCE">
        <w:rPr>
          <w:rFonts w:ascii="Garamond" w:hAnsi="Garamond" w:cs="Arial"/>
          <w:sz w:val="26"/>
          <w:szCs w:val="26"/>
        </w:rPr>
        <w:t>). Dicho artículo</w:t>
      </w:r>
      <w:r w:rsidR="00995F4E" w:rsidRPr="008D0F9D">
        <w:rPr>
          <w:rFonts w:ascii="Garamond" w:hAnsi="Garamond" w:cs="Arial"/>
          <w:sz w:val="26"/>
          <w:szCs w:val="26"/>
        </w:rPr>
        <w:t xml:space="preserve"> establece que el I</w:t>
      </w:r>
      <w:r w:rsidR="00F22B60" w:rsidRPr="008D0F9D">
        <w:rPr>
          <w:rFonts w:ascii="Garamond" w:hAnsi="Garamond" w:cs="Arial"/>
          <w:sz w:val="26"/>
          <w:szCs w:val="26"/>
        </w:rPr>
        <w:t>nstituto</w:t>
      </w:r>
      <w:r w:rsidR="00995F4E" w:rsidRPr="008D0F9D">
        <w:rPr>
          <w:rFonts w:ascii="Garamond" w:hAnsi="Garamond" w:cs="Arial"/>
          <w:sz w:val="26"/>
          <w:szCs w:val="26"/>
        </w:rPr>
        <w:t xml:space="preserve"> difundirá las metodologías que habrán de utilizarse en la realización de las </w:t>
      </w:r>
      <w:r w:rsidR="00E92CE4">
        <w:rPr>
          <w:rFonts w:ascii="Garamond" w:hAnsi="Garamond" w:cs="Arial"/>
          <w:sz w:val="26"/>
          <w:szCs w:val="26"/>
        </w:rPr>
        <w:t>a</w:t>
      </w:r>
      <w:r w:rsidR="00995F4E" w:rsidRPr="008D0F9D">
        <w:rPr>
          <w:rFonts w:ascii="Garamond" w:hAnsi="Garamond" w:cs="Arial"/>
          <w:sz w:val="26"/>
          <w:szCs w:val="26"/>
        </w:rPr>
        <w:t xml:space="preserve">ctividades </w:t>
      </w:r>
      <w:r w:rsidR="00E92CE4">
        <w:rPr>
          <w:rFonts w:ascii="Garamond" w:hAnsi="Garamond" w:cs="Arial"/>
          <w:sz w:val="26"/>
          <w:szCs w:val="26"/>
        </w:rPr>
        <w:t>e</w:t>
      </w:r>
      <w:r w:rsidR="00995F4E" w:rsidRPr="008D0F9D">
        <w:rPr>
          <w:rFonts w:ascii="Garamond" w:hAnsi="Garamond" w:cs="Arial"/>
          <w:sz w:val="26"/>
          <w:szCs w:val="26"/>
        </w:rPr>
        <w:t xml:space="preserve">stadísticas y </w:t>
      </w:r>
      <w:r w:rsidR="00E92CE4">
        <w:rPr>
          <w:rFonts w:ascii="Garamond" w:hAnsi="Garamond" w:cs="Arial"/>
          <w:sz w:val="26"/>
          <w:szCs w:val="26"/>
        </w:rPr>
        <w:t>g</w:t>
      </w:r>
      <w:r w:rsidR="00995F4E" w:rsidRPr="008D0F9D">
        <w:rPr>
          <w:rFonts w:ascii="Garamond" w:hAnsi="Garamond" w:cs="Arial"/>
          <w:sz w:val="26"/>
          <w:szCs w:val="26"/>
        </w:rPr>
        <w:t>eográficas, a través de Internet, antes de su implantación</w:t>
      </w:r>
      <w:r w:rsidR="00B05C88" w:rsidRPr="008D0F9D">
        <w:rPr>
          <w:rFonts w:ascii="Garamond" w:hAnsi="Garamond" w:cs="Arial"/>
          <w:sz w:val="26"/>
          <w:szCs w:val="26"/>
        </w:rPr>
        <w:t>.</w:t>
      </w:r>
      <w:r w:rsidR="00783150" w:rsidRPr="008D0F9D">
        <w:rPr>
          <w:rFonts w:ascii="Garamond" w:hAnsi="Garamond" w:cs="Arial"/>
          <w:sz w:val="26"/>
          <w:szCs w:val="26"/>
        </w:rPr>
        <w:t xml:space="preserve"> </w:t>
      </w:r>
    </w:p>
    <w:p w14:paraId="6D366A90" w14:textId="77777777" w:rsidR="00F93FD2" w:rsidRPr="008D0F9D" w:rsidRDefault="00F93FD2" w:rsidP="00E70496">
      <w:pPr>
        <w:jc w:val="both"/>
        <w:rPr>
          <w:rFonts w:ascii="Garamond" w:hAnsi="Garamond" w:cs="Arial"/>
          <w:sz w:val="26"/>
          <w:szCs w:val="26"/>
        </w:rPr>
      </w:pPr>
    </w:p>
    <w:p w14:paraId="094FCB71" w14:textId="65C2675F" w:rsidR="00EF07F0" w:rsidRPr="008D0F9D" w:rsidRDefault="00EF07F0" w:rsidP="00E70496">
      <w:pPr>
        <w:jc w:val="both"/>
        <w:rPr>
          <w:rFonts w:ascii="Garamond" w:hAnsi="Garamond" w:cs="Arial"/>
          <w:sz w:val="26"/>
          <w:szCs w:val="26"/>
        </w:rPr>
      </w:pPr>
      <w:r w:rsidRPr="008D0F9D">
        <w:rPr>
          <w:rFonts w:ascii="Garamond" w:hAnsi="Garamond" w:cs="Arial"/>
          <w:sz w:val="26"/>
          <w:szCs w:val="26"/>
        </w:rPr>
        <w:t xml:space="preserve">Los </w:t>
      </w:r>
      <w:r w:rsidR="006B547C" w:rsidRPr="008D0F9D">
        <w:rPr>
          <w:rFonts w:ascii="Garamond" w:hAnsi="Garamond" w:cs="Arial"/>
          <w:sz w:val="26"/>
          <w:szCs w:val="26"/>
        </w:rPr>
        <w:t>tres componentes de la Actualización del INPC 2024 tiene</w:t>
      </w:r>
      <w:r w:rsidR="00ED290E" w:rsidRPr="008D0F9D">
        <w:rPr>
          <w:rFonts w:ascii="Garamond" w:hAnsi="Garamond" w:cs="Arial"/>
          <w:sz w:val="26"/>
          <w:szCs w:val="26"/>
        </w:rPr>
        <w:t>n</w:t>
      </w:r>
      <w:r w:rsidR="006B547C" w:rsidRPr="008D0F9D">
        <w:rPr>
          <w:rFonts w:ascii="Garamond" w:hAnsi="Garamond" w:cs="Arial"/>
          <w:sz w:val="26"/>
          <w:szCs w:val="26"/>
        </w:rPr>
        <w:t xml:space="preserve"> como propósito</w:t>
      </w:r>
      <w:r w:rsidRPr="008D0F9D">
        <w:rPr>
          <w:rFonts w:ascii="Garamond" w:hAnsi="Garamond" w:cs="Arial"/>
          <w:sz w:val="26"/>
          <w:szCs w:val="26"/>
        </w:rPr>
        <w:t xml:space="preserve">: </w:t>
      </w:r>
    </w:p>
    <w:p w14:paraId="49FE8096" w14:textId="77777777" w:rsidR="00EF07F0" w:rsidRPr="008D0F9D" w:rsidRDefault="00EF07F0" w:rsidP="00E70496">
      <w:pPr>
        <w:jc w:val="both"/>
        <w:rPr>
          <w:rFonts w:ascii="Garamond" w:hAnsi="Garamond" w:cs="Arial"/>
          <w:sz w:val="26"/>
          <w:szCs w:val="26"/>
        </w:rPr>
      </w:pPr>
    </w:p>
    <w:p w14:paraId="15A3B1E4" w14:textId="3597C32F" w:rsidR="003857E1" w:rsidRPr="008D0F9D" w:rsidRDefault="003857E1" w:rsidP="003857E1">
      <w:pPr>
        <w:pStyle w:val="Prrafodelista"/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Garamond" w:hAnsi="Garamond" w:cs="Arial"/>
          <w:sz w:val="26"/>
          <w:szCs w:val="26"/>
        </w:rPr>
      </w:pPr>
      <w:r w:rsidRPr="008D0F9D">
        <w:rPr>
          <w:rFonts w:ascii="Garamond" w:hAnsi="Garamond" w:cs="Arial"/>
          <w:b/>
          <w:bCs/>
          <w:sz w:val="26"/>
          <w:szCs w:val="26"/>
        </w:rPr>
        <w:t>Actualización de la canasta</w:t>
      </w:r>
      <w:r w:rsidRPr="008D0F9D">
        <w:rPr>
          <w:rFonts w:ascii="Garamond" w:hAnsi="Garamond" w:cs="Arial"/>
          <w:sz w:val="26"/>
          <w:szCs w:val="26"/>
        </w:rPr>
        <w:t xml:space="preserve">: Reflejar los cambios en la definición de los </w:t>
      </w:r>
      <w:r w:rsidR="00F54B88" w:rsidRPr="008D0F9D">
        <w:rPr>
          <w:rFonts w:ascii="Garamond" w:hAnsi="Garamond" w:cs="Arial"/>
          <w:sz w:val="26"/>
          <w:szCs w:val="26"/>
        </w:rPr>
        <w:t>bienes</w:t>
      </w:r>
      <w:r w:rsidRPr="008D0F9D">
        <w:rPr>
          <w:rFonts w:ascii="Garamond" w:hAnsi="Garamond" w:cs="Arial"/>
          <w:sz w:val="26"/>
          <w:szCs w:val="26"/>
        </w:rPr>
        <w:t xml:space="preserve"> y servicios genéricos de la canasta derivados de la actualización de la </w:t>
      </w:r>
      <w:r w:rsidRPr="008D0F9D">
        <w:rPr>
          <w:rFonts w:ascii="Garamond" w:hAnsi="Garamond" w:cs="Arial"/>
          <w:i/>
          <w:iCs/>
          <w:sz w:val="26"/>
          <w:szCs w:val="26"/>
          <w:lang w:val="es-MX"/>
        </w:rPr>
        <w:t>Clasificación del Consumo Individual por Finalidades</w:t>
      </w:r>
      <w:r w:rsidRPr="008D0F9D">
        <w:rPr>
          <w:rFonts w:ascii="Garamond" w:hAnsi="Garamond" w:cs="Arial"/>
          <w:sz w:val="26"/>
          <w:szCs w:val="26"/>
        </w:rPr>
        <w:t>, y los nuevos patrones de gasto de consumo de los hogares mexicanos.</w:t>
      </w:r>
    </w:p>
    <w:p w14:paraId="43EC3A84" w14:textId="1BE521C2" w:rsidR="003857E1" w:rsidRPr="008D0F9D" w:rsidRDefault="003857E1" w:rsidP="003857E1">
      <w:pPr>
        <w:pStyle w:val="Prrafodelista"/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Garamond" w:hAnsi="Garamond" w:cs="Arial"/>
          <w:sz w:val="26"/>
          <w:szCs w:val="26"/>
        </w:rPr>
      </w:pPr>
      <w:r w:rsidRPr="008D0F9D">
        <w:rPr>
          <w:rFonts w:ascii="Garamond" w:hAnsi="Garamond" w:cs="Arial"/>
          <w:b/>
          <w:bCs/>
          <w:sz w:val="26"/>
          <w:szCs w:val="26"/>
        </w:rPr>
        <w:t>Actualización de la estructura de ponderación</w:t>
      </w:r>
      <w:r w:rsidRPr="008D0F9D">
        <w:rPr>
          <w:rFonts w:ascii="Garamond" w:hAnsi="Garamond" w:cs="Arial"/>
          <w:sz w:val="26"/>
          <w:szCs w:val="26"/>
        </w:rPr>
        <w:t xml:space="preserve">: Captar los cambios en los patrones de consumo de los hogares, con datos de la Encuesta </w:t>
      </w:r>
      <w:r w:rsidR="00ED290E" w:rsidRPr="008D0F9D">
        <w:rPr>
          <w:rFonts w:ascii="Garamond" w:hAnsi="Garamond" w:cs="Arial"/>
          <w:sz w:val="26"/>
          <w:szCs w:val="26"/>
        </w:rPr>
        <w:t xml:space="preserve">Nacional </w:t>
      </w:r>
      <w:r w:rsidRPr="008D0F9D">
        <w:rPr>
          <w:rFonts w:ascii="Garamond" w:hAnsi="Garamond" w:cs="Arial"/>
          <w:sz w:val="26"/>
          <w:szCs w:val="26"/>
        </w:rPr>
        <w:t>de Ingresos y Gastos de los Hogares (ENIGH)</w:t>
      </w:r>
      <w:r w:rsidR="00ED290E" w:rsidRPr="008D0F9D">
        <w:rPr>
          <w:rFonts w:ascii="Garamond" w:hAnsi="Garamond" w:cs="Arial"/>
          <w:sz w:val="26"/>
          <w:szCs w:val="26"/>
        </w:rPr>
        <w:t xml:space="preserve"> Anual,</w:t>
      </w:r>
      <w:r w:rsidRPr="008D0F9D">
        <w:rPr>
          <w:rFonts w:ascii="Garamond" w:hAnsi="Garamond" w:cs="Arial"/>
          <w:sz w:val="26"/>
          <w:szCs w:val="26"/>
        </w:rPr>
        <w:t xml:space="preserve"> levantada por el Instituto en 2022.</w:t>
      </w:r>
    </w:p>
    <w:p w14:paraId="588DA6C1" w14:textId="693FE83A" w:rsidR="003857E1" w:rsidRPr="008D0F9D" w:rsidRDefault="003857E1" w:rsidP="003857E1">
      <w:pPr>
        <w:pStyle w:val="Prrafodelista"/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Garamond" w:hAnsi="Garamond" w:cs="Arial"/>
          <w:sz w:val="26"/>
          <w:szCs w:val="26"/>
        </w:rPr>
      </w:pPr>
      <w:r w:rsidRPr="008D0F9D">
        <w:rPr>
          <w:rFonts w:ascii="Garamond" w:hAnsi="Garamond" w:cs="Arial"/>
          <w:b/>
          <w:bCs/>
          <w:sz w:val="26"/>
          <w:szCs w:val="26"/>
        </w:rPr>
        <w:t>Introducción de índices encadenados</w:t>
      </w:r>
      <w:r w:rsidR="00F54B88" w:rsidRPr="008D0F9D">
        <w:rPr>
          <w:rFonts w:ascii="Garamond" w:hAnsi="Garamond" w:cs="Arial"/>
          <w:b/>
          <w:bCs/>
          <w:sz w:val="26"/>
          <w:szCs w:val="26"/>
        </w:rPr>
        <w:t xml:space="preserve"> bianuales</w:t>
      </w:r>
      <w:r w:rsidRPr="008D0F9D">
        <w:rPr>
          <w:rFonts w:ascii="Garamond" w:hAnsi="Garamond" w:cs="Arial"/>
          <w:sz w:val="26"/>
          <w:szCs w:val="26"/>
        </w:rPr>
        <w:t xml:space="preserve">: Atender las recomendaciones internacionales a través de la introducción del </w:t>
      </w:r>
      <w:r w:rsidR="00845F9C">
        <w:rPr>
          <w:rFonts w:ascii="Garamond" w:hAnsi="Garamond" w:cs="Arial"/>
          <w:sz w:val="26"/>
          <w:szCs w:val="26"/>
        </w:rPr>
        <w:t xml:space="preserve">índice </w:t>
      </w:r>
      <w:r w:rsidRPr="008D0F9D">
        <w:rPr>
          <w:rFonts w:ascii="Garamond" w:hAnsi="Garamond" w:cs="Arial"/>
          <w:sz w:val="26"/>
          <w:szCs w:val="26"/>
        </w:rPr>
        <w:t>Laspeyres Encadenado en la metodología de cálculo, a fin de facilitar la actualización más frecuente de los ponderadores, la inclusión de nuevos artículos en la canasta, y la eliminación de los obsoletos.</w:t>
      </w:r>
    </w:p>
    <w:p w14:paraId="2C88C2BE" w14:textId="77777777" w:rsidR="003857E1" w:rsidRPr="008D0F9D" w:rsidRDefault="003857E1" w:rsidP="009B5DB9">
      <w:pPr>
        <w:jc w:val="both"/>
        <w:rPr>
          <w:rFonts w:ascii="Garamond" w:hAnsi="Garamond" w:cs="Arial"/>
          <w:sz w:val="26"/>
          <w:szCs w:val="26"/>
        </w:rPr>
      </w:pPr>
    </w:p>
    <w:p w14:paraId="3D1319D4" w14:textId="5F50994C" w:rsidR="001E2B73" w:rsidRPr="008D0F9D" w:rsidRDefault="001E0B6F" w:rsidP="00320D37">
      <w:pPr>
        <w:jc w:val="both"/>
        <w:rPr>
          <w:rFonts w:ascii="Garamond" w:hAnsi="Garamond" w:cs="Arial"/>
          <w:sz w:val="26"/>
          <w:szCs w:val="26"/>
        </w:rPr>
      </w:pPr>
      <w:r w:rsidRPr="008D0F9D">
        <w:rPr>
          <w:rFonts w:ascii="Garamond" w:hAnsi="Garamond" w:cs="Arial"/>
          <w:sz w:val="26"/>
          <w:szCs w:val="26"/>
        </w:rPr>
        <w:t>L</w:t>
      </w:r>
      <w:r w:rsidR="00320D37" w:rsidRPr="008D0F9D">
        <w:rPr>
          <w:rFonts w:ascii="Garamond" w:hAnsi="Garamond" w:cs="Arial"/>
          <w:sz w:val="26"/>
          <w:szCs w:val="26"/>
        </w:rPr>
        <w:t>a participación de l</w:t>
      </w:r>
      <w:r w:rsidR="006B547C" w:rsidRPr="008D0F9D">
        <w:rPr>
          <w:rFonts w:ascii="Garamond" w:hAnsi="Garamond" w:cs="Arial"/>
          <w:sz w:val="26"/>
          <w:szCs w:val="26"/>
        </w:rPr>
        <w:t>as</w:t>
      </w:r>
      <w:r w:rsidR="00320D37" w:rsidRPr="008D0F9D">
        <w:rPr>
          <w:rFonts w:ascii="Garamond" w:hAnsi="Garamond" w:cs="Arial"/>
          <w:sz w:val="26"/>
          <w:szCs w:val="26"/>
        </w:rPr>
        <w:t xml:space="preserve"> y l</w:t>
      </w:r>
      <w:r w:rsidR="006B547C" w:rsidRPr="008D0F9D">
        <w:rPr>
          <w:rFonts w:ascii="Garamond" w:hAnsi="Garamond" w:cs="Arial"/>
          <w:sz w:val="26"/>
          <w:szCs w:val="26"/>
        </w:rPr>
        <w:t>o</w:t>
      </w:r>
      <w:r w:rsidR="00320D37" w:rsidRPr="008D0F9D">
        <w:rPr>
          <w:rFonts w:ascii="Garamond" w:hAnsi="Garamond" w:cs="Arial"/>
          <w:sz w:val="26"/>
          <w:szCs w:val="26"/>
        </w:rPr>
        <w:t>s usuari</w:t>
      </w:r>
      <w:r w:rsidR="006B547C" w:rsidRPr="008D0F9D">
        <w:rPr>
          <w:rFonts w:ascii="Garamond" w:hAnsi="Garamond" w:cs="Arial"/>
          <w:sz w:val="26"/>
          <w:szCs w:val="26"/>
        </w:rPr>
        <w:t>o</w:t>
      </w:r>
      <w:r w:rsidR="00320D37" w:rsidRPr="008D0F9D">
        <w:rPr>
          <w:rFonts w:ascii="Garamond" w:hAnsi="Garamond" w:cs="Arial"/>
          <w:sz w:val="26"/>
          <w:szCs w:val="26"/>
        </w:rPr>
        <w:t>s es fundamental para una actualización exitos</w:t>
      </w:r>
      <w:r w:rsidR="00D71C64" w:rsidRPr="008D0F9D">
        <w:rPr>
          <w:rFonts w:ascii="Garamond" w:hAnsi="Garamond" w:cs="Arial"/>
          <w:sz w:val="26"/>
          <w:szCs w:val="26"/>
        </w:rPr>
        <w:t>a</w:t>
      </w:r>
      <w:r w:rsidR="00320D37" w:rsidRPr="008D0F9D">
        <w:rPr>
          <w:rFonts w:ascii="Garamond" w:hAnsi="Garamond" w:cs="Arial"/>
          <w:sz w:val="26"/>
          <w:szCs w:val="26"/>
        </w:rPr>
        <w:t xml:space="preserve"> que responda a las necesidades de información</w:t>
      </w:r>
      <w:r w:rsidR="00253634" w:rsidRPr="008D0F9D">
        <w:rPr>
          <w:rFonts w:ascii="Garamond" w:hAnsi="Garamond" w:cs="Arial"/>
          <w:sz w:val="26"/>
          <w:szCs w:val="26"/>
        </w:rPr>
        <w:t>.</w:t>
      </w:r>
      <w:r w:rsidR="00320766" w:rsidRPr="008D0F9D">
        <w:rPr>
          <w:rFonts w:ascii="Garamond" w:hAnsi="Garamond" w:cs="Arial"/>
          <w:sz w:val="26"/>
          <w:szCs w:val="26"/>
        </w:rPr>
        <w:t xml:space="preserve"> </w:t>
      </w:r>
      <w:r w:rsidR="00320D37" w:rsidRPr="008D0F9D">
        <w:rPr>
          <w:rFonts w:ascii="Garamond" w:hAnsi="Garamond" w:cs="Arial"/>
          <w:sz w:val="26"/>
          <w:szCs w:val="26"/>
        </w:rPr>
        <w:t xml:space="preserve">Con </w:t>
      </w:r>
      <w:r w:rsidR="00791434" w:rsidRPr="008D0F9D">
        <w:rPr>
          <w:rFonts w:ascii="Garamond" w:hAnsi="Garamond" w:cs="Arial"/>
          <w:sz w:val="26"/>
          <w:szCs w:val="26"/>
        </w:rPr>
        <w:t>el</w:t>
      </w:r>
      <w:r w:rsidR="00320D37" w:rsidRPr="008D0F9D">
        <w:rPr>
          <w:rFonts w:ascii="Garamond" w:hAnsi="Garamond" w:cs="Arial"/>
          <w:sz w:val="26"/>
          <w:szCs w:val="26"/>
        </w:rPr>
        <w:t xml:space="preserve"> apoyo</w:t>
      </w:r>
      <w:r w:rsidR="00791434" w:rsidRPr="008D0F9D">
        <w:rPr>
          <w:rFonts w:ascii="Garamond" w:hAnsi="Garamond" w:cs="Arial"/>
          <w:sz w:val="26"/>
          <w:szCs w:val="26"/>
        </w:rPr>
        <w:t xml:space="preserve"> de</w:t>
      </w:r>
      <w:r w:rsidR="000252EA" w:rsidRPr="008D0F9D">
        <w:rPr>
          <w:rFonts w:ascii="Garamond" w:hAnsi="Garamond" w:cs="Arial"/>
          <w:sz w:val="26"/>
          <w:szCs w:val="26"/>
        </w:rPr>
        <w:t>l público usuario,</w:t>
      </w:r>
      <w:r w:rsidR="00D71C64" w:rsidRPr="008D0F9D">
        <w:rPr>
          <w:rFonts w:ascii="Garamond" w:hAnsi="Garamond" w:cs="Arial"/>
          <w:sz w:val="26"/>
          <w:szCs w:val="26"/>
        </w:rPr>
        <w:t xml:space="preserve"> en agosto </w:t>
      </w:r>
      <w:r w:rsidR="00ED290E" w:rsidRPr="008D0F9D">
        <w:rPr>
          <w:rFonts w:ascii="Garamond" w:hAnsi="Garamond" w:cs="Arial"/>
          <w:sz w:val="26"/>
          <w:szCs w:val="26"/>
        </w:rPr>
        <w:t xml:space="preserve">de </w:t>
      </w:r>
      <w:r w:rsidR="00D71C64" w:rsidRPr="008D0F9D">
        <w:rPr>
          <w:rFonts w:ascii="Garamond" w:hAnsi="Garamond" w:cs="Arial"/>
          <w:sz w:val="26"/>
          <w:szCs w:val="26"/>
        </w:rPr>
        <w:t>2024</w:t>
      </w:r>
      <w:r w:rsidR="00320D37" w:rsidRPr="008D0F9D">
        <w:rPr>
          <w:rFonts w:ascii="Garamond" w:hAnsi="Garamond" w:cs="Arial"/>
          <w:sz w:val="26"/>
          <w:szCs w:val="26"/>
        </w:rPr>
        <w:t xml:space="preserve"> contaremos con un </w:t>
      </w:r>
      <w:r w:rsidR="00D71C64" w:rsidRPr="008D0F9D">
        <w:rPr>
          <w:rFonts w:ascii="Garamond" w:hAnsi="Garamond" w:cs="Arial"/>
          <w:sz w:val="26"/>
          <w:szCs w:val="26"/>
        </w:rPr>
        <w:t xml:space="preserve">Índice Nacional de Precios al Consumidor </w:t>
      </w:r>
      <w:r w:rsidR="00320D37" w:rsidRPr="008D0F9D">
        <w:rPr>
          <w:rFonts w:ascii="Garamond" w:hAnsi="Garamond" w:cs="Arial"/>
          <w:sz w:val="26"/>
          <w:szCs w:val="26"/>
        </w:rPr>
        <w:t>actualizado</w:t>
      </w:r>
      <w:r w:rsidR="00ED290E" w:rsidRPr="008D0F9D">
        <w:rPr>
          <w:rFonts w:ascii="Garamond" w:hAnsi="Garamond" w:cs="Arial"/>
          <w:sz w:val="26"/>
          <w:szCs w:val="26"/>
        </w:rPr>
        <w:t>,</w:t>
      </w:r>
      <w:r w:rsidR="00320D37" w:rsidRPr="008D0F9D">
        <w:rPr>
          <w:rFonts w:ascii="Garamond" w:hAnsi="Garamond" w:cs="Arial"/>
          <w:sz w:val="26"/>
          <w:szCs w:val="26"/>
        </w:rPr>
        <w:t xml:space="preserve"> que refleje el nuevo patrón de consumo de los hogares mexicanos.</w:t>
      </w:r>
      <w:r w:rsidR="00426A3E" w:rsidRPr="008D0F9D">
        <w:rPr>
          <w:rFonts w:ascii="Garamond" w:hAnsi="Garamond" w:cs="Arial"/>
          <w:sz w:val="26"/>
          <w:szCs w:val="26"/>
        </w:rPr>
        <w:t xml:space="preserve"> </w:t>
      </w:r>
    </w:p>
    <w:p w14:paraId="047244E3" w14:textId="77777777" w:rsidR="00320D37" w:rsidRPr="008D0F9D" w:rsidRDefault="00320D37" w:rsidP="00320D37">
      <w:pPr>
        <w:jc w:val="both"/>
        <w:rPr>
          <w:rFonts w:ascii="Garamond" w:hAnsi="Garamond" w:cs="Arial"/>
          <w:sz w:val="26"/>
          <w:szCs w:val="26"/>
        </w:rPr>
      </w:pPr>
    </w:p>
    <w:p w14:paraId="2CBEDF1B" w14:textId="57D15DE7" w:rsidR="00ED290E" w:rsidRPr="008D0F9D" w:rsidRDefault="00320D37" w:rsidP="00E70496">
      <w:pPr>
        <w:jc w:val="both"/>
        <w:rPr>
          <w:rFonts w:ascii="Garamond" w:hAnsi="Garamond" w:cs="Arial"/>
          <w:sz w:val="26"/>
          <w:szCs w:val="26"/>
        </w:rPr>
      </w:pPr>
      <w:r w:rsidRPr="008D0F9D">
        <w:rPr>
          <w:rFonts w:ascii="Garamond" w:hAnsi="Garamond" w:cs="Arial"/>
          <w:sz w:val="26"/>
          <w:szCs w:val="26"/>
        </w:rPr>
        <w:t>L</w:t>
      </w:r>
      <w:r w:rsidR="00791434" w:rsidRPr="008D0F9D">
        <w:rPr>
          <w:rFonts w:ascii="Garamond" w:hAnsi="Garamond" w:cs="Arial"/>
          <w:sz w:val="26"/>
          <w:szCs w:val="26"/>
        </w:rPr>
        <w:t>a</w:t>
      </w:r>
      <w:r w:rsidRPr="008D0F9D">
        <w:rPr>
          <w:rFonts w:ascii="Garamond" w:hAnsi="Garamond" w:cs="Arial"/>
          <w:sz w:val="26"/>
          <w:szCs w:val="26"/>
        </w:rPr>
        <w:t xml:space="preserve">s </w:t>
      </w:r>
      <w:r w:rsidR="00791434" w:rsidRPr="008D0F9D">
        <w:rPr>
          <w:rFonts w:ascii="Garamond" w:hAnsi="Garamond" w:cs="Arial"/>
          <w:sz w:val="26"/>
          <w:szCs w:val="26"/>
        </w:rPr>
        <w:t>y l</w:t>
      </w:r>
      <w:r w:rsidR="00ED290E" w:rsidRPr="008D0F9D">
        <w:rPr>
          <w:rFonts w:ascii="Garamond" w:hAnsi="Garamond" w:cs="Arial"/>
          <w:sz w:val="26"/>
          <w:szCs w:val="26"/>
        </w:rPr>
        <w:t>o</w:t>
      </w:r>
      <w:r w:rsidR="00791434" w:rsidRPr="008D0F9D">
        <w:rPr>
          <w:rFonts w:ascii="Garamond" w:hAnsi="Garamond" w:cs="Arial"/>
          <w:sz w:val="26"/>
          <w:szCs w:val="26"/>
        </w:rPr>
        <w:t xml:space="preserve">s </w:t>
      </w:r>
      <w:r w:rsidRPr="008D0F9D">
        <w:rPr>
          <w:rFonts w:ascii="Garamond" w:hAnsi="Garamond" w:cs="Arial"/>
          <w:sz w:val="26"/>
          <w:szCs w:val="26"/>
        </w:rPr>
        <w:t>usuarios pueden registrar sus comentarios y sugerencias</w:t>
      </w:r>
      <w:r w:rsidR="000D3E3D" w:rsidRPr="008D0F9D">
        <w:rPr>
          <w:rFonts w:ascii="Garamond" w:hAnsi="Garamond" w:cs="Arial"/>
          <w:sz w:val="26"/>
          <w:szCs w:val="26"/>
        </w:rPr>
        <w:t>,</w:t>
      </w:r>
      <w:r w:rsidR="00ED290E" w:rsidRPr="008D0F9D">
        <w:rPr>
          <w:rFonts w:ascii="Garamond" w:hAnsi="Garamond" w:cs="Arial"/>
          <w:sz w:val="26"/>
          <w:szCs w:val="26"/>
        </w:rPr>
        <w:t xml:space="preserve"> a partir del 15 de mayo</w:t>
      </w:r>
      <w:r w:rsidR="000D3E3D" w:rsidRPr="008D0F9D">
        <w:rPr>
          <w:rFonts w:ascii="Garamond" w:hAnsi="Garamond" w:cs="Arial"/>
          <w:sz w:val="26"/>
          <w:szCs w:val="26"/>
        </w:rPr>
        <w:t>,</w:t>
      </w:r>
      <w:r w:rsidR="00ED290E" w:rsidRPr="008D0F9D">
        <w:rPr>
          <w:rFonts w:ascii="Garamond" w:hAnsi="Garamond" w:cs="Arial"/>
          <w:sz w:val="26"/>
          <w:szCs w:val="26"/>
        </w:rPr>
        <w:t xml:space="preserve"> </w:t>
      </w:r>
      <w:r w:rsidRPr="008D0F9D">
        <w:rPr>
          <w:rFonts w:ascii="Garamond" w:hAnsi="Garamond" w:cs="Arial"/>
          <w:sz w:val="26"/>
          <w:szCs w:val="26"/>
        </w:rPr>
        <w:t>en la siguiente direcci</w:t>
      </w:r>
      <w:r w:rsidR="006679E7">
        <w:rPr>
          <w:rFonts w:ascii="Garamond" w:hAnsi="Garamond" w:cs="Arial"/>
          <w:sz w:val="26"/>
          <w:szCs w:val="26"/>
        </w:rPr>
        <w:t>ón</w:t>
      </w:r>
      <w:r w:rsidRPr="008D0F9D">
        <w:rPr>
          <w:rFonts w:ascii="Garamond" w:hAnsi="Garamond" w:cs="Arial"/>
          <w:sz w:val="26"/>
          <w:szCs w:val="26"/>
        </w:rPr>
        <w:t xml:space="preserve"> electrónica:</w:t>
      </w:r>
    </w:p>
    <w:p w14:paraId="48111141" w14:textId="77777777" w:rsidR="00ED290E" w:rsidRPr="008D0F9D" w:rsidRDefault="00ED290E" w:rsidP="00E70496">
      <w:pPr>
        <w:jc w:val="both"/>
        <w:rPr>
          <w:rFonts w:ascii="Garamond" w:hAnsi="Garamond" w:cs="Arial"/>
          <w:sz w:val="26"/>
          <w:szCs w:val="26"/>
        </w:rPr>
      </w:pPr>
    </w:p>
    <w:p w14:paraId="58303AB1" w14:textId="55E418EB" w:rsidR="00D800A9" w:rsidRPr="008D0F9D" w:rsidRDefault="001B7B03" w:rsidP="00E70496">
      <w:pPr>
        <w:jc w:val="both"/>
        <w:rPr>
          <w:rStyle w:val="ui-provider"/>
          <w:rFonts w:ascii="Garamond" w:hAnsi="Garamond"/>
        </w:rPr>
      </w:pPr>
      <w:hyperlink r:id="rId8" w:history="1">
        <w:r w:rsidR="00D800A9" w:rsidRPr="008D0F9D">
          <w:rPr>
            <w:rStyle w:val="Hipervnculo"/>
            <w:rFonts w:ascii="Garamond" w:hAnsi="Garamond"/>
          </w:rPr>
          <w:t>https://www.inegi.org.mx/app/consultapublica?proy=INPC2024</w:t>
        </w:r>
      </w:hyperlink>
    </w:p>
    <w:p w14:paraId="3EB20A86" w14:textId="77777777" w:rsidR="00D800A9" w:rsidRPr="008D0F9D" w:rsidRDefault="00D800A9" w:rsidP="00E70496">
      <w:pPr>
        <w:jc w:val="both"/>
        <w:rPr>
          <w:rStyle w:val="ui-provider"/>
          <w:rFonts w:ascii="Garamond" w:hAnsi="Garamond"/>
        </w:rPr>
      </w:pPr>
    </w:p>
    <w:p w14:paraId="14BCB388" w14:textId="06DBE0CE" w:rsidR="009C1859" w:rsidRPr="008D0F9D" w:rsidRDefault="00320D37" w:rsidP="00E70496">
      <w:pPr>
        <w:jc w:val="both"/>
        <w:rPr>
          <w:rFonts w:ascii="Garamond" w:hAnsi="Garamond" w:cs="Arial"/>
          <w:sz w:val="26"/>
          <w:szCs w:val="26"/>
        </w:rPr>
      </w:pPr>
      <w:bookmarkStart w:id="0" w:name="_Hlk134163842"/>
      <w:r w:rsidRPr="008D0F9D">
        <w:rPr>
          <w:rFonts w:ascii="Garamond" w:hAnsi="Garamond" w:cs="Arial"/>
          <w:sz w:val="26"/>
          <w:szCs w:val="26"/>
        </w:rPr>
        <w:t xml:space="preserve">Para consultas de medios y periodistas, </w:t>
      </w:r>
      <w:r w:rsidR="00E92CE4" w:rsidRPr="00BD7B85">
        <w:rPr>
          <w:rFonts w:ascii="Garamond" w:hAnsi="Garamond" w:cs="Arial"/>
          <w:sz w:val="26"/>
          <w:szCs w:val="26"/>
        </w:rPr>
        <w:t>escribir</w:t>
      </w:r>
      <w:r w:rsidRPr="008D0F9D">
        <w:rPr>
          <w:rFonts w:ascii="Garamond" w:hAnsi="Garamond" w:cs="Arial"/>
          <w:sz w:val="26"/>
          <w:szCs w:val="26"/>
        </w:rPr>
        <w:t xml:space="preserve"> a: </w:t>
      </w:r>
      <w:hyperlink r:id="rId9" w:history="1">
        <w:r w:rsidRPr="008D0F9D">
          <w:rPr>
            <w:rStyle w:val="Hipervnculo"/>
            <w:rFonts w:ascii="Garamond" w:hAnsi="Garamond" w:cs="Arial"/>
            <w:sz w:val="26"/>
            <w:szCs w:val="26"/>
          </w:rPr>
          <w:t>comunicacionsocial@inegi.org.mx</w:t>
        </w:r>
      </w:hyperlink>
      <w:bookmarkEnd w:id="0"/>
      <w:r w:rsidRPr="008D0F9D">
        <w:rPr>
          <w:rFonts w:ascii="Garamond" w:hAnsi="Garamond" w:cs="Arial"/>
          <w:sz w:val="26"/>
          <w:szCs w:val="26"/>
        </w:rPr>
        <w:t xml:space="preserve"> </w:t>
      </w:r>
    </w:p>
    <w:p w14:paraId="17471437" w14:textId="77777777" w:rsidR="00E70496" w:rsidRPr="008D0F9D" w:rsidRDefault="00E70496" w:rsidP="00E70496">
      <w:pPr>
        <w:pStyle w:val="NormalWeb"/>
        <w:spacing w:before="0" w:beforeAutospacing="0" w:after="0" w:afterAutospacing="0"/>
        <w:ind w:right="567"/>
        <w:contextualSpacing/>
        <w:jc w:val="center"/>
        <w:rPr>
          <w:rFonts w:ascii="Garamond" w:hAnsi="Garamond" w:cs="Arial"/>
          <w:color w:val="000000" w:themeColor="text1"/>
          <w:sz w:val="26"/>
          <w:szCs w:val="26"/>
        </w:rPr>
      </w:pPr>
    </w:p>
    <w:p w14:paraId="7A76EEE8" w14:textId="77777777" w:rsidR="00E70496" w:rsidRPr="008D0F9D" w:rsidRDefault="00E70496" w:rsidP="00E70496">
      <w:pPr>
        <w:pStyle w:val="NormalWeb"/>
        <w:spacing w:before="0" w:beforeAutospacing="0" w:after="0" w:afterAutospacing="0"/>
        <w:ind w:right="567"/>
        <w:contextualSpacing/>
        <w:rPr>
          <w:rFonts w:ascii="Garamond" w:hAnsi="Garamond" w:cs="Arial"/>
          <w:color w:val="000000" w:themeColor="text1"/>
          <w:sz w:val="26"/>
          <w:szCs w:val="26"/>
        </w:rPr>
      </w:pPr>
    </w:p>
    <w:p w14:paraId="4221FA9C" w14:textId="77777777" w:rsidR="00E70496" w:rsidRPr="008D0F9D" w:rsidRDefault="00E70496" w:rsidP="00E70496">
      <w:pPr>
        <w:ind w:right="-518"/>
        <w:contextualSpacing/>
        <w:jc w:val="center"/>
        <w:rPr>
          <w:rFonts w:ascii="Garamond" w:hAnsi="Garamond" w:cs="Arial"/>
          <w:color w:val="000000" w:themeColor="text1"/>
          <w:sz w:val="26"/>
          <w:szCs w:val="26"/>
        </w:rPr>
      </w:pPr>
    </w:p>
    <w:p w14:paraId="433ED07C" w14:textId="582E112D" w:rsidR="00E70496" w:rsidRPr="008D0F9D" w:rsidRDefault="00BB6115" w:rsidP="00E70496">
      <w:pPr>
        <w:jc w:val="center"/>
        <w:rPr>
          <w:rFonts w:ascii="Garamond" w:hAnsi="Garamond" w:cs="Arial"/>
          <w:b/>
          <w:bCs/>
          <w:color w:val="000000" w:themeColor="text1"/>
        </w:rPr>
      </w:pPr>
      <w:r w:rsidRPr="008D0F9D">
        <w:rPr>
          <w:rFonts w:ascii="Garamond" w:hAnsi="Garamond" w:cs="Arial"/>
          <w:b/>
          <w:bCs/>
          <w:color w:val="000000" w:themeColor="text1"/>
        </w:rPr>
        <w:t>-ooOoo-</w:t>
      </w:r>
    </w:p>
    <w:sectPr w:rsidR="00E70496" w:rsidRPr="008D0F9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F875C" w14:textId="77777777" w:rsidR="001B7B03" w:rsidRDefault="001B7B03" w:rsidP="00E70496">
      <w:r>
        <w:separator/>
      </w:r>
    </w:p>
  </w:endnote>
  <w:endnote w:type="continuationSeparator" w:id="0">
    <w:p w14:paraId="2E0FBAD3" w14:textId="77777777" w:rsidR="001B7B03" w:rsidRDefault="001B7B03" w:rsidP="00E7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ED78" w14:textId="77777777" w:rsidR="001B7B03" w:rsidRDefault="001B7B03" w:rsidP="00E70496">
      <w:r>
        <w:separator/>
      </w:r>
    </w:p>
  </w:footnote>
  <w:footnote w:type="continuationSeparator" w:id="0">
    <w:p w14:paraId="0649402C" w14:textId="77777777" w:rsidR="001B7B03" w:rsidRDefault="001B7B03" w:rsidP="00E70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AE30" w14:textId="77777777" w:rsidR="00BB6115" w:rsidRDefault="00BB6115" w:rsidP="00BB6115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42E39B9" wp14:editId="0C694EDF">
          <wp:simplePos x="0" y="0"/>
          <wp:positionH relativeFrom="margin">
            <wp:align>left</wp:align>
          </wp:positionH>
          <wp:positionV relativeFrom="paragraph">
            <wp:posOffset>77194</wp:posOffset>
          </wp:positionV>
          <wp:extent cx="1609090" cy="367030"/>
          <wp:effectExtent l="0" t="0" r="0" b="0"/>
          <wp:wrapTight wrapText="bothSides">
            <wp:wrapPolygon edited="0">
              <wp:start x="0" y="0"/>
              <wp:lineTo x="0" y="20180"/>
              <wp:lineTo x="21225" y="20180"/>
              <wp:lineTo x="21225" y="0"/>
              <wp:lineTo x="0" y="0"/>
            </wp:wrapPolygon>
          </wp:wrapTight>
          <wp:docPr id="6" name="Imagen 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1D17FF" w14:textId="287D73FD" w:rsidR="00BB6115" w:rsidRPr="00CE29B1" w:rsidRDefault="00BB6115" w:rsidP="00BB6115">
    <w:pPr>
      <w:jc w:val="right"/>
      <w:rPr>
        <w:rFonts w:ascii="Garamond" w:hAnsi="Garamond" w:cs="Arial"/>
        <w:b/>
        <w:bCs/>
        <w:sz w:val="26"/>
        <w:szCs w:val="26"/>
      </w:rPr>
    </w:pPr>
    <w:r w:rsidRPr="00CE29B1">
      <w:rPr>
        <w:rFonts w:ascii="Garamond" w:hAnsi="Garamond" w:cs="Arial"/>
        <w:b/>
        <w:bCs/>
        <w:sz w:val="26"/>
        <w:szCs w:val="26"/>
      </w:rPr>
      <w:t xml:space="preserve"> </w:t>
    </w:r>
    <w:r w:rsidR="000D3E3D">
      <w:rPr>
        <w:rFonts w:ascii="Garamond" w:hAnsi="Garamond" w:cs="Arial"/>
        <w:b/>
        <w:bCs/>
        <w:sz w:val="26"/>
        <w:szCs w:val="26"/>
      </w:rPr>
      <w:t xml:space="preserve">8 </w:t>
    </w:r>
    <w:r w:rsidRPr="00CE29B1">
      <w:rPr>
        <w:rFonts w:ascii="Garamond" w:hAnsi="Garamond" w:cs="Arial"/>
        <w:b/>
        <w:bCs/>
        <w:sz w:val="26"/>
        <w:szCs w:val="26"/>
      </w:rPr>
      <w:t xml:space="preserve">de </w:t>
    </w:r>
    <w:r w:rsidR="000D3E3D">
      <w:rPr>
        <w:rFonts w:ascii="Garamond" w:hAnsi="Garamond" w:cs="Arial"/>
        <w:b/>
        <w:bCs/>
        <w:sz w:val="26"/>
        <w:szCs w:val="26"/>
      </w:rPr>
      <w:t>mayo</w:t>
    </w:r>
    <w:r w:rsidRPr="00CE29B1">
      <w:rPr>
        <w:rFonts w:ascii="Garamond" w:hAnsi="Garamond" w:cs="Arial"/>
        <w:b/>
        <w:bCs/>
        <w:sz w:val="26"/>
        <w:szCs w:val="26"/>
      </w:rPr>
      <w:t xml:space="preserve"> de 2023</w:t>
    </w:r>
  </w:p>
  <w:p w14:paraId="1A7446AE" w14:textId="11C01191" w:rsidR="00E70496" w:rsidRDefault="00E70496" w:rsidP="00E70496">
    <w:pPr>
      <w:pStyle w:val="Encabezado"/>
      <w:jc w:val="right"/>
    </w:pPr>
  </w:p>
  <w:p w14:paraId="53A77F7A" w14:textId="77777777" w:rsidR="00E70496" w:rsidRDefault="00E704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B0409"/>
    <w:multiLevelType w:val="hybridMultilevel"/>
    <w:tmpl w:val="1BECB742"/>
    <w:lvl w:ilvl="0" w:tplc="08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49394896"/>
    <w:multiLevelType w:val="hybridMultilevel"/>
    <w:tmpl w:val="BBBEDE08"/>
    <w:lvl w:ilvl="0" w:tplc="75A6D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38B1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2F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869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46A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4B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16A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FEF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447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F8C5105"/>
    <w:multiLevelType w:val="hybridMultilevel"/>
    <w:tmpl w:val="C7A0E7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B1879"/>
    <w:multiLevelType w:val="hybridMultilevel"/>
    <w:tmpl w:val="296429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687268">
    <w:abstractNumId w:val="3"/>
  </w:num>
  <w:num w:numId="2" w16cid:durableId="839000772">
    <w:abstractNumId w:val="0"/>
  </w:num>
  <w:num w:numId="3" w16cid:durableId="160892263">
    <w:abstractNumId w:val="2"/>
  </w:num>
  <w:num w:numId="4" w16cid:durableId="160518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496"/>
    <w:rsid w:val="000252EA"/>
    <w:rsid w:val="0003446A"/>
    <w:rsid w:val="00051435"/>
    <w:rsid w:val="00067FD8"/>
    <w:rsid w:val="00086F5B"/>
    <w:rsid w:val="00087990"/>
    <w:rsid w:val="000B1D90"/>
    <w:rsid w:val="000B2131"/>
    <w:rsid w:val="000C3C65"/>
    <w:rsid w:val="000D3E3D"/>
    <w:rsid w:val="00116D51"/>
    <w:rsid w:val="001554B8"/>
    <w:rsid w:val="00181798"/>
    <w:rsid w:val="00184B02"/>
    <w:rsid w:val="001A0C79"/>
    <w:rsid w:val="001A4E86"/>
    <w:rsid w:val="001B7B03"/>
    <w:rsid w:val="001E0B6F"/>
    <w:rsid w:val="001E2B73"/>
    <w:rsid w:val="001E655D"/>
    <w:rsid w:val="002214EE"/>
    <w:rsid w:val="00253634"/>
    <w:rsid w:val="00264C14"/>
    <w:rsid w:val="002723D7"/>
    <w:rsid w:val="00287515"/>
    <w:rsid w:val="002A72CC"/>
    <w:rsid w:val="00320766"/>
    <w:rsid w:val="00320D37"/>
    <w:rsid w:val="00345428"/>
    <w:rsid w:val="003457C6"/>
    <w:rsid w:val="0037389A"/>
    <w:rsid w:val="00375F59"/>
    <w:rsid w:val="003857E1"/>
    <w:rsid w:val="003949C7"/>
    <w:rsid w:val="003C5216"/>
    <w:rsid w:val="003D484C"/>
    <w:rsid w:val="00415149"/>
    <w:rsid w:val="00426A3E"/>
    <w:rsid w:val="004B514E"/>
    <w:rsid w:val="004D47A2"/>
    <w:rsid w:val="004E4FCD"/>
    <w:rsid w:val="005007EC"/>
    <w:rsid w:val="00513ACD"/>
    <w:rsid w:val="00513EBF"/>
    <w:rsid w:val="00532BA6"/>
    <w:rsid w:val="00532C66"/>
    <w:rsid w:val="00597766"/>
    <w:rsid w:val="005B64BE"/>
    <w:rsid w:val="005F41E0"/>
    <w:rsid w:val="00612CA9"/>
    <w:rsid w:val="0062667E"/>
    <w:rsid w:val="0065634E"/>
    <w:rsid w:val="00657870"/>
    <w:rsid w:val="00664B3A"/>
    <w:rsid w:val="006679E7"/>
    <w:rsid w:val="00684663"/>
    <w:rsid w:val="006927A6"/>
    <w:rsid w:val="006A338A"/>
    <w:rsid w:val="006B547C"/>
    <w:rsid w:val="006F23A9"/>
    <w:rsid w:val="00731C21"/>
    <w:rsid w:val="007542B3"/>
    <w:rsid w:val="00764D78"/>
    <w:rsid w:val="00776487"/>
    <w:rsid w:val="00783150"/>
    <w:rsid w:val="00784824"/>
    <w:rsid w:val="00784EE4"/>
    <w:rsid w:val="0078547F"/>
    <w:rsid w:val="00791434"/>
    <w:rsid w:val="00803734"/>
    <w:rsid w:val="00826338"/>
    <w:rsid w:val="00845F9C"/>
    <w:rsid w:val="00851E3B"/>
    <w:rsid w:val="00891DAD"/>
    <w:rsid w:val="008A4DCE"/>
    <w:rsid w:val="008D0F9D"/>
    <w:rsid w:val="00924120"/>
    <w:rsid w:val="009352D0"/>
    <w:rsid w:val="0095657D"/>
    <w:rsid w:val="00957E7C"/>
    <w:rsid w:val="009803A9"/>
    <w:rsid w:val="00995F4E"/>
    <w:rsid w:val="009A5059"/>
    <w:rsid w:val="009B535A"/>
    <w:rsid w:val="009B5DB9"/>
    <w:rsid w:val="009B5FD7"/>
    <w:rsid w:val="009C1859"/>
    <w:rsid w:val="009D502F"/>
    <w:rsid w:val="009E0027"/>
    <w:rsid w:val="00A276BE"/>
    <w:rsid w:val="00A35873"/>
    <w:rsid w:val="00A66452"/>
    <w:rsid w:val="00AA108F"/>
    <w:rsid w:val="00AA3B05"/>
    <w:rsid w:val="00AA7203"/>
    <w:rsid w:val="00AF1E2A"/>
    <w:rsid w:val="00B05C88"/>
    <w:rsid w:val="00B232C9"/>
    <w:rsid w:val="00B64661"/>
    <w:rsid w:val="00B6480D"/>
    <w:rsid w:val="00BB6115"/>
    <w:rsid w:val="00BD2096"/>
    <w:rsid w:val="00BD7B85"/>
    <w:rsid w:val="00C14B64"/>
    <w:rsid w:val="00C17F8C"/>
    <w:rsid w:val="00C3401A"/>
    <w:rsid w:val="00C506E9"/>
    <w:rsid w:val="00C50E1F"/>
    <w:rsid w:val="00CB407D"/>
    <w:rsid w:val="00D10889"/>
    <w:rsid w:val="00D71C64"/>
    <w:rsid w:val="00D800A9"/>
    <w:rsid w:val="00DD0487"/>
    <w:rsid w:val="00DF344C"/>
    <w:rsid w:val="00E55998"/>
    <w:rsid w:val="00E70496"/>
    <w:rsid w:val="00E92CE4"/>
    <w:rsid w:val="00EC0189"/>
    <w:rsid w:val="00ED290E"/>
    <w:rsid w:val="00EE1911"/>
    <w:rsid w:val="00EF07F0"/>
    <w:rsid w:val="00EF160B"/>
    <w:rsid w:val="00F01523"/>
    <w:rsid w:val="00F22B60"/>
    <w:rsid w:val="00F461D1"/>
    <w:rsid w:val="00F46549"/>
    <w:rsid w:val="00F54B88"/>
    <w:rsid w:val="00F71A7F"/>
    <w:rsid w:val="00F93FD2"/>
    <w:rsid w:val="00F94BB2"/>
    <w:rsid w:val="00FA4FD5"/>
    <w:rsid w:val="00FD5B78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1A94D"/>
  <w15:chartTrackingRefBased/>
  <w15:docId w15:val="{24298767-CA38-7247-8E33-954417F6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11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04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049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704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496"/>
    <w:rPr>
      <w:lang w:val="es-ES_tradnl"/>
    </w:rPr>
  </w:style>
  <w:style w:type="paragraph" w:styleId="Prrafodelista">
    <w:name w:val="List Paragraph"/>
    <w:basedOn w:val="Normal"/>
    <w:uiPriority w:val="34"/>
    <w:qFormat/>
    <w:rsid w:val="00E70496"/>
    <w:pPr>
      <w:ind w:left="720"/>
      <w:contextualSpacing/>
    </w:pPr>
  </w:style>
  <w:style w:type="character" w:styleId="Hipervnculo">
    <w:name w:val="Hyperlink"/>
    <w:basedOn w:val="Fuentedeprrafopredeter"/>
    <w:rsid w:val="00E704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04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49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7049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F41E0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252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252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252EA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2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2EA"/>
    <w:rPr>
      <w:b/>
      <w:bCs/>
      <w:sz w:val="20"/>
      <w:szCs w:val="20"/>
      <w:lang w:val="es-ES_tradnl"/>
    </w:rPr>
  </w:style>
  <w:style w:type="character" w:customStyle="1" w:styleId="ui-provider">
    <w:name w:val="ui-provider"/>
    <w:basedOn w:val="Fuentedeprrafopredeter"/>
    <w:rsid w:val="00D800A9"/>
  </w:style>
  <w:style w:type="paragraph" w:styleId="Textodeglobo">
    <w:name w:val="Balloon Text"/>
    <w:basedOn w:val="Normal"/>
    <w:link w:val="TextodegloboCar"/>
    <w:uiPriority w:val="99"/>
    <w:semiHidden/>
    <w:unhideWhenUsed/>
    <w:rsid w:val="00C17F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F8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8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app/consultapublica?proy=INPC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EB88C-4A36-4085-A396-30CBDC76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501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Rodríguez Lara</dc:creator>
  <cp:keywords/>
  <dc:description/>
  <cp:lastModifiedBy>Yadira Mena Flores</cp:lastModifiedBy>
  <cp:revision>12</cp:revision>
  <dcterms:created xsi:type="dcterms:W3CDTF">2023-05-07T19:30:00Z</dcterms:created>
  <dcterms:modified xsi:type="dcterms:W3CDTF">2023-05-07T21:20:00Z</dcterms:modified>
</cp:coreProperties>
</file>