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theme/themeOverride4.xml" ContentType="application/vnd.openxmlformats-officedocument.themeOverrid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theme/themeOverride5.xml" ContentType="application/vnd.openxmlformats-officedocument.themeOverrid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theme/themeOverride6.xml" ContentType="application/vnd.openxmlformats-officedocument.themeOverrid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theme/themeOverride7.xml" ContentType="application/vnd.openxmlformats-officedocument.themeOverrid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theme/themeOverride8.xml" ContentType="application/vnd.openxmlformats-officedocument.themeOverrid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theme/themeOverride9.xml" ContentType="application/vnd.openxmlformats-officedocument.themeOverrid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1CCA5" w14:textId="7B64CEF5" w:rsidR="00407C0F" w:rsidRPr="00456CFB" w:rsidRDefault="00407C0F" w:rsidP="001957FF">
      <w:pPr>
        <w:spacing w:after="0" w:line="240" w:lineRule="auto"/>
        <w:ind w:left="-567" w:right="-516"/>
        <w:jc w:val="center"/>
        <w:rPr>
          <w:rFonts w:ascii="Arial" w:hAnsi="Arial" w:cs="Arial"/>
          <w:b/>
          <w:sz w:val="24"/>
          <w:szCs w:val="24"/>
        </w:rPr>
      </w:pPr>
      <w:r w:rsidRPr="00456CFB">
        <w:rPr>
          <w:rFonts w:ascii="Arial" w:hAnsi="Arial" w:cs="Arial"/>
          <w:b/>
          <w:sz w:val="24"/>
          <w:szCs w:val="24"/>
        </w:rPr>
        <w:t xml:space="preserve">CONOCIENDO </w:t>
      </w:r>
      <w:r w:rsidR="001957FF" w:rsidRPr="00456CFB">
        <w:rPr>
          <w:rFonts w:ascii="Arial" w:hAnsi="Arial" w:cs="Arial"/>
          <w:b/>
          <w:sz w:val="24"/>
          <w:szCs w:val="24"/>
        </w:rPr>
        <w:t>LA INDUSTRIA DEL CHOCOLATE Y CONFITERÍA</w:t>
      </w:r>
    </w:p>
    <w:p w14:paraId="6B590C27" w14:textId="77777777" w:rsidR="00EE55A3" w:rsidRPr="00456CFB" w:rsidRDefault="00EE55A3" w:rsidP="00AF76B9">
      <w:pPr>
        <w:spacing w:after="0" w:line="240" w:lineRule="auto"/>
        <w:ind w:left="-567" w:right="-516"/>
        <w:jc w:val="both"/>
        <w:rPr>
          <w:rFonts w:ascii="Arial" w:hAnsi="Arial" w:cs="Arial"/>
          <w:sz w:val="24"/>
          <w:szCs w:val="24"/>
        </w:rPr>
      </w:pPr>
    </w:p>
    <w:p w14:paraId="0278958D" w14:textId="4B038B78" w:rsidR="00487B88" w:rsidRPr="00D23A7F" w:rsidRDefault="00790C00" w:rsidP="00D23A7F">
      <w:pPr>
        <w:pStyle w:val="Prrafodelista"/>
        <w:numPr>
          <w:ilvl w:val="0"/>
          <w:numId w:val="3"/>
        </w:numPr>
        <w:spacing w:before="20" w:after="20" w:line="240" w:lineRule="auto"/>
        <w:ind w:left="147" w:right="51" w:hanging="357"/>
        <w:contextualSpacing w:val="0"/>
        <w:jc w:val="both"/>
        <w:rPr>
          <w:rFonts w:ascii="Arial" w:hAnsi="Arial" w:cs="Arial"/>
          <w:sz w:val="24"/>
          <w:szCs w:val="24"/>
        </w:rPr>
      </w:pPr>
      <w:bookmarkStart w:id="0" w:name="_Hlk142483036"/>
      <w:r w:rsidRPr="00790C00">
        <w:rPr>
          <w:rFonts w:ascii="Arial" w:hAnsi="Arial" w:cs="Arial"/>
          <w:sz w:val="24"/>
          <w:szCs w:val="24"/>
        </w:rPr>
        <w:t xml:space="preserve">En 2021 y 2022, el valor de la producción de la industria del chocolate y confitería, en términos reales, alcanzó niveles superiores a los que se tenían antes de la pandemia del COVID-19. </w:t>
      </w:r>
    </w:p>
    <w:p w14:paraId="0E9A10DB" w14:textId="7BC65B57" w:rsidR="00C17E1E" w:rsidRPr="00210D70" w:rsidRDefault="00210D70" w:rsidP="00D23A7F">
      <w:pPr>
        <w:pStyle w:val="Prrafodelista"/>
        <w:numPr>
          <w:ilvl w:val="0"/>
          <w:numId w:val="3"/>
        </w:numPr>
        <w:spacing w:before="20" w:after="20" w:line="240" w:lineRule="auto"/>
        <w:ind w:left="147" w:right="51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210D70">
        <w:rPr>
          <w:rFonts w:ascii="Arial" w:hAnsi="Arial" w:cs="Arial"/>
          <w:sz w:val="24"/>
          <w:szCs w:val="24"/>
        </w:rPr>
        <w:t>En 2022, l</w:t>
      </w:r>
      <w:r w:rsidR="00FF3D12" w:rsidRPr="00210D70">
        <w:rPr>
          <w:rFonts w:ascii="Arial" w:hAnsi="Arial" w:cs="Arial"/>
          <w:sz w:val="24"/>
          <w:szCs w:val="24"/>
        </w:rPr>
        <w:t>as exportaciones de chocolate y materias primas derivadas del cacao creci</w:t>
      </w:r>
      <w:r w:rsidR="00B03263" w:rsidRPr="00210D70">
        <w:rPr>
          <w:rFonts w:ascii="Arial" w:hAnsi="Arial" w:cs="Arial"/>
          <w:sz w:val="24"/>
          <w:szCs w:val="24"/>
        </w:rPr>
        <w:t>eron</w:t>
      </w:r>
      <w:r w:rsidR="00FF3D12" w:rsidRPr="00210D70">
        <w:rPr>
          <w:rFonts w:ascii="Arial" w:hAnsi="Arial" w:cs="Arial"/>
          <w:sz w:val="24"/>
          <w:szCs w:val="24"/>
        </w:rPr>
        <w:t xml:space="preserve"> 14.3</w:t>
      </w:r>
      <w:r w:rsidR="001F6203" w:rsidRPr="00210D70">
        <w:rPr>
          <w:rFonts w:ascii="Arial" w:hAnsi="Arial" w:cs="Arial"/>
          <w:sz w:val="24"/>
          <w:szCs w:val="24"/>
        </w:rPr>
        <w:t> </w:t>
      </w:r>
      <w:r w:rsidR="00FF3D12" w:rsidRPr="00210D70">
        <w:rPr>
          <w:rFonts w:ascii="Arial" w:hAnsi="Arial" w:cs="Arial"/>
          <w:sz w:val="24"/>
          <w:szCs w:val="24"/>
        </w:rPr>
        <w:t xml:space="preserve">% </w:t>
      </w:r>
      <w:r w:rsidR="00B03263" w:rsidRPr="00210D70">
        <w:rPr>
          <w:rFonts w:ascii="Arial" w:hAnsi="Arial" w:cs="Arial"/>
          <w:sz w:val="24"/>
          <w:szCs w:val="24"/>
        </w:rPr>
        <w:t>respecto a 202</w:t>
      </w:r>
      <w:r w:rsidR="002659DD">
        <w:rPr>
          <w:rFonts w:ascii="Arial" w:hAnsi="Arial" w:cs="Arial"/>
          <w:sz w:val="24"/>
          <w:szCs w:val="24"/>
        </w:rPr>
        <w:t>1</w:t>
      </w:r>
      <w:r w:rsidR="001B6B87">
        <w:rPr>
          <w:rFonts w:ascii="Arial" w:hAnsi="Arial" w:cs="Arial"/>
          <w:sz w:val="24"/>
          <w:szCs w:val="24"/>
        </w:rPr>
        <w:t>; l</w:t>
      </w:r>
      <w:r w:rsidR="00336414">
        <w:rPr>
          <w:rFonts w:ascii="Arial" w:hAnsi="Arial" w:cs="Arial"/>
          <w:sz w:val="24"/>
          <w:szCs w:val="24"/>
        </w:rPr>
        <w:t xml:space="preserve">as </w:t>
      </w:r>
      <w:r w:rsidR="00C17E1E" w:rsidRPr="00210D70">
        <w:rPr>
          <w:rFonts w:ascii="Arial" w:hAnsi="Arial" w:cs="Arial"/>
          <w:sz w:val="24"/>
          <w:szCs w:val="24"/>
        </w:rPr>
        <w:t>de la confitería</w:t>
      </w:r>
      <w:r w:rsidR="001B6B87">
        <w:rPr>
          <w:rFonts w:ascii="Arial" w:hAnsi="Arial" w:cs="Arial"/>
          <w:sz w:val="24"/>
          <w:szCs w:val="24"/>
        </w:rPr>
        <w:t>,</w:t>
      </w:r>
      <w:r w:rsidR="00C17E1E" w:rsidRPr="00210D70">
        <w:rPr>
          <w:rFonts w:ascii="Arial" w:hAnsi="Arial" w:cs="Arial"/>
          <w:sz w:val="24"/>
          <w:szCs w:val="24"/>
        </w:rPr>
        <w:t xml:space="preserve"> 25.</w:t>
      </w:r>
      <w:r w:rsidR="00366E92" w:rsidRPr="00210D70">
        <w:rPr>
          <w:rFonts w:ascii="Arial" w:hAnsi="Arial" w:cs="Arial"/>
          <w:sz w:val="24"/>
          <w:szCs w:val="24"/>
        </w:rPr>
        <w:t>7</w:t>
      </w:r>
      <w:r w:rsidR="004711FD" w:rsidRPr="00210D70">
        <w:rPr>
          <w:rFonts w:ascii="Arial" w:hAnsi="Arial" w:cs="Arial"/>
          <w:sz w:val="24"/>
          <w:szCs w:val="24"/>
        </w:rPr>
        <w:t xml:space="preserve"> por ciento</w:t>
      </w:r>
      <w:r w:rsidR="00C17E1E" w:rsidRPr="00210D70">
        <w:rPr>
          <w:rFonts w:ascii="Arial" w:hAnsi="Arial" w:cs="Arial"/>
          <w:sz w:val="24"/>
          <w:szCs w:val="24"/>
        </w:rPr>
        <w:t>.</w:t>
      </w:r>
      <w:bookmarkEnd w:id="0"/>
    </w:p>
    <w:p w14:paraId="49E3569C" w14:textId="756DC135" w:rsidR="00B914F2" w:rsidRPr="00210D70" w:rsidRDefault="00B914F2" w:rsidP="00D23A7F">
      <w:pPr>
        <w:pStyle w:val="Prrafodelista"/>
        <w:numPr>
          <w:ilvl w:val="0"/>
          <w:numId w:val="3"/>
        </w:numPr>
        <w:spacing w:before="20" w:after="20" w:line="240" w:lineRule="auto"/>
        <w:ind w:left="147" w:right="51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210D70">
        <w:rPr>
          <w:rFonts w:ascii="Arial" w:hAnsi="Arial" w:cs="Arial"/>
          <w:sz w:val="24"/>
          <w:szCs w:val="24"/>
        </w:rPr>
        <w:t>En 2021, México ocupó el primer lugar en las exportaciones mundiales de cacao en polvo con adición de azúcar u otro edulcorante y el cuarto lugar en las exportaciones de confitería.</w:t>
      </w:r>
    </w:p>
    <w:p w14:paraId="372EB93E" w14:textId="77777777" w:rsidR="00EE55A3" w:rsidRPr="00456CFB" w:rsidRDefault="00EE55A3" w:rsidP="005250D5">
      <w:pPr>
        <w:spacing w:after="0" w:line="240" w:lineRule="auto"/>
        <w:ind w:left="-567" w:right="-516"/>
        <w:jc w:val="both"/>
        <w:rPr>
          <w:rFonts w:ascii="Arial" w:hAnsi="Arial" w:cs="Arial"/>
          <w:sz w:val="24"/>
          <w:szCs w:val="24"/>
        </w:rPr>
      </w:pPr>
    </w:p>
    <w:p w14:paraId="7D502FB0" w14:textId="13103E38" w:rsidR="00407C0F" w:rsidRPr="00B10AFF" w:rsidRDefault="00407C0F" w:rsidP="005250D5">
      <w:pPr>
        <w:spacing w:after="0" w:line="240" w:lineRule="auto"/>
        <w:ind w:left="-567" w:right="-516"/>
        <w:jc w:val="both"/>
        <w:rPr>
          <w:rFonts w:ascii="Arial" w:hAnsi="Arial" w:cs="Arial"/>
          <w:sz w:val="24"/>
          <w:szCs w:val="24"/>
        </w:rPr>
      </w:pPr>
      <w:r w:rsidRPr="00B10AFF">
        <w:rPr>
          <w:rFonts w:ascii="Arial" w:hAnsi="Arial" w:cs="Arial"/>
          <w:sz w:val="24"/>
          <w:szCs w:val="24"/>
        </w:rPr>
        <w:t xml:space="preserve">El Instituto Nacional de Estadística y Geografía (INEGI) y </w:t>
      </w:r>
      <w:r w:rsidR="00B0319E" w:rsidRPr="00B10AFF">
        <w:rPr>
          <w:rFonts w:ascii="Arial" w:hAnsi="Arial" w:cs="Arial"/>
          <w:sz w:val="24"/>
          <w:szCs w:val="24"/>
        </w:rPr>
        <w:t>l</w:t>
      </w:r>
      <w:r w:rsidR="0025453C" w:rsidRPr="00B10AFF">
        <w:rPr>
          <w:rFonts w:ascii="Arial" w:hAnsi="Arial" w:cs="Arial"/>
          <w:sz w:val="24"/>
          <w:szCs w:val="24"/>
        </w:rPr>
        <w:t>a Asociación Nacional de Fabricantes de Chocolates, Dulces y Similares A.</w:t>
      </w:r>
      <w:r w:rsidR="00A64494">
        <w:rPr>
          <w:rFonts w:ascii="Arial" w:hAnsi="Arial" w:cs="Arial"/>
          <w:sz w:val="24"/>
          <w:szCs w:val="24"/>
        </w:rPr>
        <w:t xml:space="preserve"> </w:t>
      </w:r>
      <w:r w:rsidR="0025453C" w:rsidRPr="00B10AFF">
        <w:rPr>
          <w:rFonts w:ascii="Arial" w:hAnsi="Arial" w:cs="Arial"/>
          <w:sz w:val="24"/>
          <w:szCs w:val="24"/>
        </w:rPr>
        <w:t>C. (ASCHOCO</w:t>
      </w:r>
      <w:r w:rsidR="00410B2F" w:rsidRPr="00B10AFF">
        <w:rPr>
          <w:rFonts w:ascii="Arial" w:hAnsi="Arial" w:cs="Arial"/>
          <w:sz w:val="24"/>
          <w:szCs w:val="24"/>
        </w:rPr>
        <w:t>-CONFIMEX</w:t>
      </w:r>
      <w:r w:rsidR="0025453C" w:rsidRPr="00B10AFF">
        <w:rPr>
          <w:rFonts w:ascii="Arial" w:hAnsi="Arial" w:cs="Arial"/>
          <w:sz w:val="24"/>
          <w:szCs w:val="24"/>
        </w:rPr>
        <w:t>)</w:t>
      </w:r>
      <w:r w:rsidRPr="00B10AFF">
        <w:rPr>
          <w:rFonts w:ascii="Arial" w:hAnsi="Arial" w:cs="Arial"/>
          <w:sz w:val="24"/>
          <w:szCs w:val="24"/>
        </w:rPr>
        <w:t xml:space="preserve"> dan a conocer el documento </w:t>
      </w:r>
      <w:r w:rsidR="00333F58">
        <w:rPr>
          <w:rFonts w:ascii="Arial" w:hAnsi="Arial" w:cs="Arial"/>
          <w:sz w:val="24"/>
          <w:szCs w:val="24"/>
        </w:rPr>
        <w:t>«</w:t>
      </w:r>
      <w:r w:rsidRPr="00B10AFF">
        <w:rPr>
          <w:rFonts w:ascii="Arial" w:hAnsi="Arial" w:cs="Arial"/>
          <w:sz w:val="24"/>
          <w:szCs w:val="24"/>
        </w:rPr>
        <w:t xml:space="preserve">Conociendo la </w:t>
      </w:r>
      <w:r w:rsidR="00EC52E4">
        <w:rPr>
          <w:rFonts w:ascii="Arial" w:hAnsi="Arial" w:cs="Arial"/>
          <w:sz w:val="24"/>
          <w:szCs w:val="24"/>
        </w:rPr>
        <w:t>I</w:t>
      </w:r>
      <w:r w:rsidRPr="00B10AFF">
        <w:rPr>
          <w:rFonts w:ascii="Arial" w:hAnsi="Arial" w:cs="Arial"/>
          <w:sz w:val="24"/>
          <w:szCs w:val="24"/>
        </w:rPr>
        <w:t>ndustria de</w:t>
      </w:r>
      <w:r w:rsidR="003E5BC7" w:rsidRPr="00B10AFF">
        <w:rPr>
          <w:rFonts w:ascii="Arial" w:hAnsi="Arial" w:cs="Arial"/>
          <w:sz w:val="24"/>
          <w:szCs w:val="24"/>
        </w:rPr>
        <w:t xml:space="preserve">l </w:t>
      </w:r>
      <w:r w:rsidR="0085189C" w:rsidRPr="00B10AFF">
        <w:rPr>
          <w:rFonts w:ascii="Arial" w:hAnsi="Arial" w:cs="Arial"/>
          <w:sz w:val="24"/>
          <w:szCs w:val="24"/>
        </w:rPr>
        <w:t>c</w:t>
      </w:r>
      <w:r w:rsidR="003E5BC7" w:rsidRPr="00B10AFF">
        <w:rPr>
          <w:rFonts w:ascii="Arial" w:hAnsi="Arial" w:cs="Arial"/>
          <w:sz w:val="24"/>
          <w:szCs w:val="24"/>
        </w:rPr>
        <w:t>hocolate y confitería</w:t>
      </w:r>
      <w:r w:rsidR="00333F58">
        <w:rPr>
          <w:rFonts w:ascii="Arial" w:hAnsi="Arial" w:cs="Arial"/>
          <w:sz w:val="24"/>
          <w:szCs w:val="24"/>
        </w:rPr>
        <w:t>»</w:t>
      </w:r>
      <w:r w:rsidRPr="00B10AFF">
        <w:rPr>
          <w:rFonts w:ascii="Arial" w:hAnsi="Arial" w:cs="Arial"/>
          <w:sz w:val="24"/>
          <w:szCs w:val="24"/>
        </w:rPr>
        <w:t>, mismo que forma parte de la Colección de estudios sectoriales y regionales del INEGI.</w:t>
      </w:r>
    </w:p>
    <w:p w14:paraId="08427C6F" w14:textId="77777777" w:rsidR="00407C0F" w:rsidRPr="00B10AFF" w:rsidRDefault="00407C0F" w:rsidP="005250D5">
      <w:pPr>
        <w:spacing w:after="0" w:line="240" w:lineRule="auto"/>
        <w:ind w:left="-567" w:right="-516"/>
        <w:jc w:val="both"/>
        <w:rPr>
          <w:rFonts w:ascii="Arial" w:hAnsi="Arial" w:cs="Arial"/>
          <w:sz w:val="24"/>
          <w:szCs w:val="24"/>
        </w:rPr>
      </w:pPr>
    </w:p>
    <w:p w14:paraId="79AC6DC9" w14:textId="7B691895" w:rsidR="00407C0F" w:rsidRPr="00B10AFF" w:rsidRDefault="007315B9" w:rsidP="005250D5">
      <w:pPr>
        <w:spacing w:after="0" w:line="240" w:lineRule="auto"/>
        <w:ind w:left="-567" w:right="-516"/>
        <w:jc w:val="both"/>
        <w:rPr>
          <w:rFonts w:ascii="Arial" w:hAnsi="Arial" w:cs="Arial"/>
          <w:sz w:val="24"/>
          <w:szCs w:val="24"/>
        </w:rPr>
      </w:pPr>
      <w:r w:rsidRPr="00B10AFF">
        <w:rPr>
          <w:rFonts w:ascii="Arial" w:hAnsi="Arial" w:cs="Arial"/>
          <w:sz w:val="24"/>
          <w:szCs w:val="24"/>
        </w:rPr>
        <w:t xml:space="preserve">Este documento ofrece un panorama económico de las actividades productivas, </w:t>
      </w:r>
      <w:r w:rsidR="00027FE7" w:rsidRPr="00B10AFF">
        <w:rPr>
          <w:rFonts w:ascii="Arial" w:hAnsi="Arial" w:cs="Arial"/>
          <w:sz w:val="24"/>
          <w:szCs w:val="24"/>
        </w:rPr>
        <w:t xml:space="preserve">el </w:t>
      </w:r>
      <w:r w:rsidRPr="00B10AFF">
        <w:rPr>
          <w:rFonts w:ascii="Arial" w:hAnsi="Arial" w:cs="Arial"/>
          <w:sz w:val="24"/>
          <w:szCs w:val="24"/>
        </w:rPr>
        <w:t xml:space="preserve">empleo, </w:t>
      </w:r>
      <w:r w:rsidR="00027FE7" w:rsidRPr="00B10AFF">
        <w:rPr>
          <w:rFonts w:ascii="Arial" w:hAnsi="Arial" w:cs="Arial"/>
          <w:sz w:val="24"/>
          <w:szCs w:val="24"/>
        </w:rPr>
        <w:t xml:space="preserve">los </w:t>
      </w:r>
      <w:r w:rsidRPr="00B10AFF">
        <w:rPr>
          <w:rFonts w:ascii="Arial" w:hAnsi="Arial" w:cs="Arial"/>
          <w:sz w:val="24"/>
          <w:szCs w:val="24"/>
        </w:rPr>
        <w:t xml:space="preserve">salarios, </w:t>
      </w:r>
      <w:r w:rsidR="00027FE7" w:rsidRPr="00B10AFF">
        <w:rPr>
          <w:rFonts w:ascii="Arial" w:hAnsi="Arial" w:cs="Arial"/>
          <w:sz w:val="24"/>
          <w:szCs w:val="24"/>
        </w:rPr>
        <w:t xml:space="preserve">las </w:t>
      </w:r>
      <w:r w:rsidRPr="00B10AFF">
        <w:rPr>
          <w:rFonts w:ascii="Arial" w:hAnsi="Arial" w:cs="Arial"/>
          <w:sz w:val="24"/>
          <w:szCs w:val="24"/>
        </w:rPr>
        <w:t>cadenas productivas</w:t>
      </w:r>
      <w:r w:rsidR="009F7F7F" w:rsidRPr="00B10AFF">
        <w:rPr>
          <w:rFonts w:ascii="Arial" w:hAnsi="Arial" w:cs="Arial"/>
          <w:sz w:val="24"/>
          <w:szCs w:val="24"/>
        </w:rPr>
        <w:t>,</w:t>
      </w:r>
      <w:r w:rsidR="00190E0D" w:rsidRPr="00B10AFF">
        <w:rPr>
          <w:rFonts w:ascii="Arial" w:hAnsi="Arial" w:cs="Arial"/>
          <w:sz w:val="24"/>
          <w:szCs w:val="24"/>
        </w:rPr>
        <w:t xml:space="preserve"> </w:t>
      </w:r>
      <w:r w:rsidR="00027FE7" w:rsidRPr="00B10AFF">
        <w:rPr>
          <w:rFonts w:ascii="Arial" w:hAnsi="Arial" w:cs="Arial"/>
          <w:sz w:val="24"/>
          <w:szCs w:val="24"/>
        </w:rPr>
        <w:t xml:space="preserve">la </w:t>
      </w:r>
      <w:r w:rsidRPr="00B10AFF">
        <w:rPr>
          <w:rFonts w:ascii="Arial" w:hAnsi="Arial" w:cs="Arial"/>
          <w:sz w:val="24"/>
          <w:szCs w:val="24"/>
        </w:rPr>
        <w:t>inflación</w:t>
      </w:r>
      <w:r w:rsidR="009F7F7F" w:rsidRPr="00B10AFF">
        <w:rPr>
          <w:rFonts w:ascii="Arial" w:hAnsi="Arial" w:cs="Arial"/>
          <w:sz w:val="24"/>
          <w:szCs w:val="24"/>
        </w:rPr>
        <w:t xml:space="preserve"> y </w:t>
      </w:r>
      <w:r w:rsidR="00027FE7" w:rsidRPr="00B10AFF">
        <w:rPr>
          <w:rFonts w:ascii="Arial" w:hAnsi="Arial" w:cs="Arial"/>
          <w:sz w:val="24"/>
          <w:szCs w:val="24"/>
        </w:rPr>
        <w:t xml:space="preserve">el </w:t>
      </w:r>
      <w:r w:rsidR="009F7F7F" w:rsidRPr="00B10AFF">
        <w:rPr>
          <w:rFonts w:ascii="Arial" w:hAnsi="Arial" w:cs="Arial"/>
          <w:sz w:val="24"/>
          <w:szCs w:val="24"/>
        </w:rPr>
        <w:t>comercio exterior</w:t>
      </w:r>
      <w:r w:rsidR="00210D70">
        <w:rPr>
          <w:rFonts w:ascii="Arial" w:hAnsi="Arial" w:cs="Arial"/>
          <w:sz w:val="24"/>
          <w:szCs w:val="24"/>
        </w:rPr>
        <w:t xml:space="preserve">. Su objetivo es </w:t>
      </w:r>
      <w:r w:rsidRPr="00B10AFF">
        <w:rPr>
          <w:rFonts w:ascii="Arial" w:hAnsi="Arial" w:cs="Arial"/>
          <w:sz w:val="24"/>
          <w:szCs w:val="24"/>
        </w:rPr>
        <w:t xml:space="preserve">dimensionar la importancia de la </w:t>
      </w:r>
      <w:r w:rsidR="00397E0B" w:rsidRPr="00B10AFF">
        <w:rPr>
          <w:rFonts w:ascii="Arial" w:hAnsi="Arial" w:cs="Arial"/>
          <w:sz w:val="24"/>
          <w:szCs w:val="24"/>
        </w:rPr>
        <w:t>I</w:t>
      </w:r>
      <w:r w:rsidR="0085189C" w:rsidRPr="00B10AFF">
        <w:rPr>
          <w:rFonts w:ascii="Arial" w:hAnsi="Arial" w:cs="Arial"/>
          <w:sz w:val="24"/>
          <w:szCs w:val="24"/>
        </w:rPr>
        <w:t xml:space="preserve">ndustria del chocolate y confitería </w:t>
      </w:r>
      <w:r w:rsidRPr="00B10AFF">
        <w:rPr>
          <w:rFonts w:ascii="Arial" w:hAnsi="Arial" w:cs="Arial"/>
          <w:sz w:val="24"/>
          <w:szCs w:val="24"/>
        </w:rPr>
        <w:t>en la</w:t>
      </w:r>
      <w:r w:rsidR="0085189C" w:rsidRPr="00B10AFF">
        <w:rPr>
          <w:rFonts w:ascii="Arial" w:hAnsi="Arial" w:cs="Arial"/>
          <w:sz w:val="24"/>
          <w:szCs w:val="24"/>
        </w:rPr>
        <w:t xml:space="preserve"> </w:t>
      </w:r>
      <w:r w:rsidRPr="00B10AFF">
        <w:rPr>
          <w:rFonts w:ascii="Arial" w:hAnsi="Arial" w:cs="Arial"/>
          <w:sz w:val="24"/>
          <w:szCs w:val="24"/>
        </w:rPr>
        <w:t>economía.</w:t>
      </w:r>
      <w:r w:rsidR="00022A7D" w:rsidRPr="00B10AFF">
        <w:rPr>
          <w:rFonts w:ascii="Arial" w:hAnsi="Arial" w:cs="Arial"/>
          <w:sz w:val="24"/>
          <w:szCs w:val="24"/>
        </w:rPr>
        <w:t xml:space="preserve"> En este estudio</w:t>
      </w:r>
      <w:r w:rsidR="00210D70">
        <w:rPr>
          <w:rFonts w:ascii="Arial" w:hAnsi="Arial" w:cs="Arial"/>
          <w:sz w:val="24"/>
          <w:szCs w:val="24"/>
        </w:rPr>
        <w:t>,</w:t>
      </w:r>
      <w:r w:rsidR="00022A7D" w:rsidRPr="00B10AFF">
        <w:rPr>
          <w:rFonts w:ascii="Arial" w:hAnsi="Arial" w:cs="Arial"/>
          <w:sz w:val="24"/>
          <w:szCs w:val="24"/>
        </w:rPr>
        <w:t xml:space="preserve"> las cifras de las encuestas económicas corresponden al año base 2018.</w:t>
      </w:r>
    </w:p>
    <w:p w14:paraId="66FCB273" w14:textId="77777777" w:rsidR="00407C0F" w:rsidRPr="00B10AFF" w:rsidRDefault="00407C0F" w:rsidP="005250D5">
      <w:pPr>
        <w:spacing w:after="0" w:line="240" w:lineRule="auto"/>
        <w:ind w:left="-567" w:right="-516"/>
        <w:jc w:val="both"/>
        <w:rPr>
          <w:rFonts w:ascii="Arial" w:hAnsi="Arial" w:cs="Arial"/>
          <w:sz w:val="24"/>
          <w:szCs w:val="24"/>
        </w:rPr>
      </w:pPr>
    </w:p>
    <w:p w14:paraId="2A9D10E2" w14:textId="159F8355" w:rsidR="00B47558" w:rsidRPr="00B10AFF" w:rsidRDefault="00407C0F" w:rsidP="005250D5">
      <w:pPr>
        <w:spacing w:after="0" w:line="240" w:lineRule="auto"/>
        <w:ind w:left="-567" w:right="-516"/>
        <w:jc w:val="both"/>
        <w:rPr>
          <w:rFonts w:ascii="Arial Negrita" w:hAnsi="Arial Negrita" w:cs="Arial"/>
          <w:b/>
          <w:bCs/>
          <w:smallCaps/>
          <w:sz w:val="24"/>
          <w:szCs w:val="24"/>
        </w:rPr>
      </w:pPr>
      <w:r w:rsidRPr="00B10AFF">
        <w:rPr>
          <w:rFonts w:ascii="Arial Negrita" w:hAnsi="Arial Negrita" w:cs="Arial"/>
          <w:b/>
          <w:bCs/>
          <w:smallCaps/>
          <w:sz w:val="24"/>
          <w:szCs w:val="24"/>
        </w:rPr>
        <w:t xml:space="preserve">Algunos </w:t>
      </w:r>
      <w:r w:rsidR="0096082B" w:rsidRPr="00B10AFF">
        <w:rPr>
          <w:rFonts w:ascii="Arial Negrita" w:hAnsi="Arial Negrita" w:cs="Arial"/>
          <w:b/>
          <w:bCs/>
          <w:smallCaps/>
          <w:sz w:val="24"/>
          <w:szCs w:val="24"/>
        </w:rPr>
        <w:t xml:space="preserve">aspectos </w:t>
      </w:r>
      <w:r w:rsidRPr="00B10AFF">
        <w:rPr>
          <w:rFonts w:ascii="Arial Negrita" w:hAnsi="Arial Negrita" w:cs="Arial"/>
          <w:b/>
          <w:bCs/>
          <w:smallCaps/>
          <w:sz w:val="24"/>
          <w:szCs w:val="24"/>
        </w:rPr>
        <w:t xml:space="preserve">relevantes de la </w:t>
      </w:r>
      <w:r w:rsidR="00EC52E4">
        <w:rPr>
          <w:rFonts w:ascii="Arial Negrita" w:hAnsi="Arial Negrita" w:cs="Arial"/>
          <w:b/>
          <w:bCs/>
          <w:smallCaps/>
          <w:sz w:val="24"/>
          <w:szCs w:val="24"/>
        </w:rPr>
        <w:t>I</w:t>
      </w:r>
      <w:r w:rsidRPr="00B10AFF">
        <w:rPr>
          <w:rFonts w:ascii="Arial Negrita" w:hAnsi="Arial Negrita" w:cs="Arial"/>
          <w:b/>
          <w:bCs/>
          <w:smallCaps/>
          <w:sz w:val="24"/>
          <w:szCs w:val="24"/>
        </w:rPr>
        <w:t xml:space="preserve">ndustria </w:t>
      </w:r>
      <w:r w:rsidR="006E01DE" w:rsidRPr="00B10AFF">
        <w:rPr>
          <w:rFonts w:ascii="Arial Negrita" w:hAnsi="Arial Negrita" w:cs="Arial"/>
          <w:b/>
          <w:bCs/>
          <w:smallCaps/>
          <w:sz w:val="24"/>
          <w:szCs w:val="24"/>
        </w:rPr>
        <w:t xml:space="preserve">del chocolate y confitería </w:t>
      </w:r>
      <w:r w:rsidRPr="00B10AFF">
        <w:rPr>
          <w:rFonts w:ascii="Arial Negrita" w:hAnsi="Arial Negrita" w:cs="Arial"/>
          <w:b/>
          <w:bCs/>
          <w:smallCaps/>
          <w:sz w:val="24"/>
          <w:szCs w:val="24"/>
        </w:rPr>
        <w:t>en México</w:t>
      </w:r>
    </w:p>
    <w:p w14:paraId="25647FB4" w14:textId="77777777" w:rsidR="00210D70" w:rsidRPr="00B10AFF" w:rsidRDefault="00210D70" w:rsidP="005250D5">
      <w:pPr>
        <w:spacing w:after="0" w:line="240" w:lineRule="auto"/>
        <w:ind w:left="-567" w:right="-516"/>
        <w:jc w:val="both"/>
        <w:rPr>
          <w:rFonts w:ascii="Arial" w:hAnsi="Arial" w:cs="Arial"/>
          <w:b/>
          <w:bCs/>
          <w:sz w:val="24"/>
          <w:szCs w:val="24"/>
        </w:rPr>
      </w:pPr>
    </w:p>
    <w:p w14:paraId="0C968CBA" w14:textId="6FD56888" w:rsidR="00AE3D5E" w:rsidRDefault="00C67968" w:rsidP="000D4DC2">
      <w:pPr>
        <w:spacing w:after="0" w:line="240" w:lineRule="auto"/>
        <w:ind w:left="-567" w:right="-516"/>
        <w:jc w:val="both"/>
        <w:rPr>
          <w:rFonts w:ascii="Arial" w:hAnsi="Arial" w:cs="Arial"/>
          <w:sz w:val="24"/>
          <w:szCs w:val="24"/>
        </w:rPr>
      </w:pPr>
      <w:bookmarkStart w:id="1" w:name="_Hlk142565321"/>
      <w:r w:rsidRPr="00C67968">
        <w:rPr>
          <w:rFonts w:ascii="Arial" w:hAnsi="Arial" w:cs="Arial"/>
          <w:sz w:val="24"/>
          <w:szCs w:val="24"/>
        </w:rPr>
        <w:t xml:space="preserve">En 2021 y 2022, el valor de la producción de la industria del chocolate y confitería, en términos reales, alcanzó niveles superiores a los que se tenían antes de la pandemia del COVID-19. En 2022 la producción fue </w:t>
      </w:r>
      <w:r w:rsidR="00D23A7F">
        <w:rPr>
          <w:rFonts w:ascii="Arial" w:hAnsi="Arial" w:cs="Arial"/>
          <w:sz w:val="24"/>
          <w:szCs w:val="24"/>
        </w:rPr>
        <w:t>5.0 %</w:t>
      </w:r>
      <w:r w:rsidRPr="00C67968">
        <w:rPr>
          <w:rFonts w:ascii="Arial" w:hAnsi="Arial" w:cs="Arial"/>
          <w:sz w:val="24"/>
          <w:szCs w:val="24"/>
        </w:rPr>
        <w:t xml:space="preserve"> </w:t>
      </w:r>
      <w:r w:rsidR="00D23A7F">
        <w:rPr>
          <w:rFonts w:ascii="Arial" w:hAnsi="Arial" w:cs="Arial"/>
          <w:sz w:val="24"/>
          <w:szCs w:val="24"/>
        </w:rPr>
        <w:t>may</w:t>
      </w:r>
      <w:r w:rsidRPr="00C67968">
        <w:rPr>
          <w:rFonts w:ascii="Arial" w:hAnsi="Arial" w:cs="Arial"/>
          <w:sz w:val="24"/>
          <w:szCs w:val="24"/>
        </w:rPr>
        <w:t>or a la que se tuvo en 2020.</w:t>
      </w:r>
    </w:p>
    <w:p w14:paraId="042DF3F0" w14:textId="77777777" w:rsidR="00333F58" w:rsidRPr="00B10AFF" w:rsidRDefault="00333F58" w:rsidP="000F0A80">
      <w:pPr>
        <w:spacing w:after="0" w:line="240" w:lineRule="auto"/>
        <w:ind w:left="-567" w:right="-516"/>
        <w:jc w:val="both"/>
        <w:rPr>
          <w:rFonts w:ascii="Arial" w:hAnsi="Arial" w:cs="Arial"/>
          <w:sz w:val="24"/>
          <w:szCs w:val="24"/>
        </w:rPr>
      </w:pPr>
    </w:p>
    <w:bookmarkEnd w:id="1"/>
    <w:p w14:paraId="37465BEA" w14:textId="213FCFA4" w:rsidR="00A60CA1" w:rsidRPr="00B10AFF" w:rsidRDefault="00333F58" w:rsidP="00B10AFF">
      <w:pPr>
        <w:spacing w:after="0" w:line="240" w:lineRule="auto"/>
        <w:ind w:left="-567" w:right="-516"/>
        <w:jc w:val="center"/>
        <w:rPr>
          <w:rFonts w:ascii="Arial" w:hAnsi="Arial" w:cs="Arial"/>
          <w:sz w:val="20"/>
          <w:szCs w:val="20"/>
        </w:rPr>
      </w:pPr>
      <w:r w:rsidRPr="00B10AFF">
        <w:rPr>
          <w:rFonts w:ascii="Arial" w:hAnsi="Arial" w:cs="Arial"/>
          <w:sz w:val="20"/>
          <w:szCs w:val="20"/>
        </w:rPr>
        <w:t>Gráfica 1</w:t>
      </w:r>
    </w:p>
    <w:p w14:paraId="6335B658" w14:textId="69689C46" w:rsidR="00AE3D5E" w:rsidRPr="00B10AFF" w:rsidRDefault="00384893" w:rsidP="00384893">
      <w:pPr>
        <w:spacing w:after="0" w:line="240" w:lineRule="auto"/>
        <w:ind w:left="-567" w:right="-516"/>
        <w:jc w:val="center"/>
        <w:rPr>
          <w:rFonts w:ascii="Arial Negrita" w:hAnsi="Arial Negrita" w:cs="Arial"/>
          <w:b/>
          <w:bCs/>
          <w:smallCaps/>
        </w:rPr>
      </w:pPr>
      <w:r w:rsidRPr="00384893">
        <w:rPr>
          <w:rFonts w:ascii="Arial Negrita" w:hAnsi="Arial Negrita" w:cs="Arial"/>
          <w:b/>
          <w:bCs/>
          <w:smallCaps/>
        </w:rPr>
        <w:t>Evolución de la producción de la industria</w:t>
      </w:r>
      <w:r>
        <w:rPr>
          <w:rFonts w:ascii="Arial Negrita" w:hAnsi="Arial Negrita" w:cs="Arial"/>
          <w:b/>
          <w:bCs/>
          <w:smallCaps/>
        </w:rPr>
        <w:t xml:space="preserve"> </w:t>
      </w:r>
      <w:r w:rsidRPr="00384893">
        <w:rPr>
          <w:rFonts w:ascii="Arial Negrita" w:hAnsi="Arial Negrita" w:cs="Arial"/>
          <w:b/>
          <w:bCs/>
          <w:smallCaps/>
        </w:rPr>
        <w:t>del chocolate y confitería</w:t>
      </w:r>
    </w:p>
    <w:p w14:paraId="2A9EAA0F" w14:textId="0EADFFE8" w:rsidR="00A60CA1" w:rsidRPr="00B10AFF" w:rsidRDefault="00AE3D5E" w:rsidP="005250D5">
      <w:pPr>
        <w:spacing w:after="0" w:line="240" w:lineRule="auto"/>
        <w:ind w:left="-567" w:right="-516"/>
        <w:jc w:val="center"/>
        <w:rPr>
          <w:rFonts w:ascii="Arial" w:hAnsi="Arial" w:cs="Arial"/>
          <w:sz w:val="18"/>
          <w:szCs w:val="18"/>
        </w:rPr>
      </w:pPr>
      <w:r w:rsidRPr="00B10AFF">
        <w:rPr>
          <w:rFonts w:ascii="Arial" w:hAnsi="Arial" w:cs="Arial"/>
          <w:sz w:val="18"/>
          <w:szCs w:val="18"/>
        </w:rPr>
        <w:t xml:space="preserve">(Miles de millones </w:t>
      </w:r>
      <w:r w:rsidR="000B1A6E">
        <w:rPr>
          <w:rFonts w:ascii="Arial" w:hAnsi="Arial" w:cs="Arial"/>
          <w:sz w:val="18"/>
          <w:szCs w:val="18"/>
        </w:rPr>
        <w:t xml:space="preserve">de pesos </w:t>
      </w:r>
      <w:r w:rsidRPr="00B10AFF">
        <w:rPr>
          <w:rFonts w:ascii="Arial" w:hAnsi="Arial" w:cs="Arial"/>
          <w:sz w:val="18"/>
          <w:szCs w:val="18"/>
        </w:rPr>
        <w:t xml:space="preserve">de </w:t>
      </w:r>
      <w:r w:rsidR="0025431E">
        <w:rPr>
          <w:rFonts w:ascii="Arial" w:hAnsi="Arial" w:cs="Arial"/>
          <w:sz w:val="18"/>
          <w:szCs w:val="18"/>
        </w:rPr>
        <w:t xml:space="preserve">julio </w:t>
      </w:r>
      <w:r w:rsidR="00384893">
        <w:rPr>
          <w:rFonts w:ascii="Arial" w:hAnsi="Arial" w:cs="Arial"/>
          <w:sz w:val="18"/>
          <w:szCs w:val="18"/>
        </w:rPr>
        <w:t xml:space="preserve">de </w:t>
      </w:r>
      <w:r w:rsidR="0025431E">
        <w:rPr>
          <w:rFonts w:ascii="Arial" w:hAnsi="Arial" w:cs="Arial"/>
          <w:sz w:val="18"/>
          <w:szCs w:val="18"/>
        </w:rPr>
        <w:t>2019</w:t>
      </w:r>
      <w:r w:rsidR="00BA6699">
        <w:rPr>
          <w:rStyle w:val="Refdenotaalpie"/>
          <w:rFonts w:ascii="Arial" w:hAnsi="Arial" w:cs="Arial"/>
          <w:sz w:val="18"/>
          <w:szCs w:val="18"/>
        </w:rPr>
        <w:footnoteReference w:id="1"/>
      </w:r>
      <w:r w:rsidRPr="00B10AFF">
        <w:rPr>
          <w:rFonts w:ascii="Arial" w:hAnsi="Arial" w:cs="Arial"/>
          <w:sz w:val="18"/>
          <w:szCs w:val="18"/>
        </w:rPr>
        <w:t>)</w:t>
      </w:r>
    </w:p>
    <w:p w14:paraId="545B3EB6" w14:textId="70128DE5" w:rsidR="008958EB" w:rsidRPr="00456CFB" w:rsidRDefault="00545A17" w:rsidP="005250D5">
      <w:pPr>
        <w:spacing w:after="0" w:line="240" w:lineRule="auto"/>
        <w:ind w:left="-567" w:right="-516"/>
        <w:jc w:val="center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12DA8E71" wp14:editId="1AC851B0">
            <wp:extent cx="3083442" cy="1988288"/>
            <wp:effectExtent l="0" t="0" r="3175" b="0"/>
            <wp:docPr id="150877626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79B03904-AB34-BDD2-4364-50CAC5D84C5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61BFD5E4" w14:textId="77777777" w:rsidR="00BA6699" w:rsidRDefault="00B32477" w:rsidP="00B10AFF">
      <w:pPr>
        <w:spacing w:after="0" w:line="240" w:lineRule="auto"/>
        <w:ind w:left="-567" w:right="-516"/>
        <w:jc w:val="both"/>
        <w:rPr>
          <w:rFonts w:ascii="Arial" w:hAnsi="Arial" w:cs="Arial"/>
          <w:sz w:val="18"/>
          <w:szCs w:val="18"/>
        </w:rPr>
      </w:pPr>
      <w:r w:rsidRPr="001A636B">
        <w:rPr>
          <w:rFonts w:ascii="Arial" w:hAnsi="Arial" w:cs="Arial"/>
          <w:sz w:val="18"/>
          <w:szCs w:val="18"/>
        </w:rPr>
        <w:t xml:space="preserve">Nota: </w:t>
      </w:r>
      <w:r w:rsidR="00333F58">
        <w:rPr>
          <w:rFonts w:ascii="Arial" w:hAnsi="Arial" w:cs="Arial"/>
          <w:sz w:val="18"/>
          <w:szCs w:val="18"/>
        </w:rPr>
        <w:t xml:space="preserve">    </w:t>
      </w:r>
      <w:bookmarkStart w:id="2" w:name="_Hlk143178993"/>
      <w:r w:rsidR="0025431E" w:rsidRPr="0025431E">
        <w:rPr>
          <w:rFonts w:ascii="Arial" w:hAnsi="Arial" w:cs="Arial"/>
          <w:sz w:val="18"/>
          <w:szCs w:val="18"/>
        </w:rPr>
        <w:t>Debido al redondeo de cantidades, las cifras de crecimiento anual pueden no coincidir si se obtienen directamente</w:t>
      </w:r>
    </w:p>
    <w:p w14:paraId="6C4CCAC6" w14:textId="6DA8954B" w:rsidR="0025431E" w:rsidRDefault="00BA6699" w:rsidP="00B10AFF">
      <w:pPr>
        <w:spacing w:after="0" w:line="240" w:lineRule="auto"/>
        <w:ind w:left="-567" w:right="-516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  <w:r w:rsidR="0025431E">
        <w:rPr>
          <w:rFonts w:ascii="Arial" w:hAnsi="Arial" w:cs="Arial"/>
          <w:sz w:val="18"/>
          <w:szCs w:val="18"/>
        </w:rPr>
        <w:t xml:space="preserve">   </w:t>
      </w:r>
      <w:r w:rsidR="0025431E" w:rsidRPr="0025431E">
        <w:rPr>
          <w:rFonts w:ascii="Arial" w:hAnsi="Arial" w:cs="Arial"/>
          <w:sz w:val="18"/>
          <w:szCs w:val="18"/>
        </w:rPr>
        <w:t xml:space="preserve"> </w:t>
      </w:r>
      <w:r w:rsidR="0025431E">
        <w:rPr>
          <w:rFonts w:ascii="Arial" w:hAnsi="Arial" w:cs="Arial"/>
          <w:sz w:val="18"/>
          <w:szCs w:val="18"/>
        </w:rPr>
        <w:t xml:space="preserve">        </w:t>
      </w:r>
      <w:r w:rsidR="0025431E" w:rsidRPr="0025431E">
        <w:rPr>
          <w:rFonts w:ascii="Arial" w:hAnsi="Arial" w:cs="Arial"/>
          <w:sz w:val="18"/>
          <w:szCs w:val="18"/>
        </w:rPr>
        <w:t xml:space="preserve">de los datos </w:t>
      </w:r>
      <w:r w:rsidR="00C14ED2">
        <w:rPr>
          <w:rFonts w:ascii="Arial" w:hAnsi="Arial" w:cs="Arial"/>
          <w:sz w:val="18"/>
          <w:szCs w:val="18"/>
        </w:rPr>
        <w:t xml:space="preserve">que están </w:t>
      </w:r>
      <w:r w:rsidR="0025431E" w:rsidRPr="0025431E">
        <w:rPr>
          <w:rFonts w:ascii="Arial" w:hAnsi="Arial" w:cs="Arial"/>
          <w:sz w:val="18"/>
          <w:szCs w:val="18"/>
        </w:rPr>
        <w:t>en las gráficas.</w:t>
      </w:r>
    </w:p>
    <w:bookmarkEnd w:id="2"/>
    <w:p w14:paraId="4EC63338" w14:textId="5B265611" w:rsidR="00333F58" w:rsidRDefault="00B32477" w:rsidP="00B10AFF">
      <w:pPr>
        <w:spacing w:after="0" w:line="240" w:lineRule="auto"/>
        <w:ind w:left="-567" w:right="-516"/>
        <w:jc w:val="both"/>
        <w:rPr>
          <w:rFonts w:ascii="Arial" w:hAnsi="Arial" w:cs="Arial"/>
          <w:sz w:val="18"/>
          <w:szCs w:val="18"/>
        </w:rPr>
      </w:pPr>
      <w:r w:rsidRPr="001A636B">
        <w:rPr>
          <w:rFonts w:ascii="Arial" w:hAnsi="Arial" w:cs="Arial"/>
          <w:sz w:val="18"/>
          <w:szCs w:val="18"/>
        </w:rPr>
        <w:t xml:space="preserve">Fuente: INEGI. Encuesta Mensual de la Industria Manufacturera (EMIM). </w:t>
      </w:r>
      <w:r w:rsidR="000F5CD4">
        <w:rPr>
          <w:rFonts w:ascii="Arial" w:hAnsi="Arial" w:cs="Arial"/>
          <w:sz w:val="18"/>
          <w:szCs w:val="18"/>
        </w:rPr>
        <w:t xml:space="preserve"> </w:t>
      </w:r>
      <w:r w:rsidRPr="001A636B">
        <w:rPr>
          <w:rFonts w:ascii="Arial" w:hAnsi="Arial" w:cs="Arial"/>
          <w:sz w:val="18"/>
          <w:szCs w:val="18"/>
        </w:rPr>
        <w:t>Base 2018. Índice Nacional de Precios Productor</w:t>
      </w:r>
    </w:p>
    <w:p w14:paraId="3E397FD9" w14:textId="15AD8F87" w:rsidR="00A60CA1" w:rsidRPr="001A636B" w:rsidRDefault="00333F58" w:rsidP="00B10AFF">
      <w:pPr>
        <w:spacing w:after="0" w:line="240" w:lineRule="auto"/>
        <w:ind w:left="-567" w:right="-516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</w:t>
      </w:r>
      <w:r w:rsidR="00B32477" w:rsidRPr="001A636B">
        <w:rPr>
          <w:rFonts w:ascii="Arial" w:hAnsi="Arial" w:cs="Arial"/>
          <w:sz w:val="18"/>
          <w:szCs w:val="18"/>
        </w:rPr>
        <w:t>(INPP). Base julio</w:t>
      </w:r>
      <w:r w:rsidR="001A08EB">
        <w:rPr>
          <w:rFonts w:ascii="Arial" w:hAnsi="Arial" w:cs="Arial"/>
          <w:sz w:val="18"/>
          <w:szCs w:val="18"/>
        </w:rPr>
        <w:t xml:space="preserve"> </w:t>
      </w:r>
      <w:r w:rsidR="00B32477" w:rsidRPr="001A636B">
        <w:rPr>
          <w:rFonts w:ascii="Arial" w:hAnsi="Arial" w:cs="Arial"/>
          <w:sz w:val="18"/>
          <w:szCs w:val="18"/>
        </w:rPr>
        <w:t>2019 = 100</w:t>
      </w:r>
    </w:p>
    <w:p w14:paraId="3C1490AE" w14:textId="77777777" w:rsidR="008A4AAC" w:rsidRDefault="008A4AAC" w:rsidP="005250D5">
      <w:pPr>
        <w:spacing w:after="0" w:line="240" w:lineRule="auto"/>
        <w:ind w:left="-567" w:right="-516"/>
        <w:jc w:val="both"/>
        <w:rPr>
          <w:rFonts w:ascii="Arial" w:hAnsi="Arial" w:cs="Arial"/>
        </w:rPr>
      </w:pPr>
    </w:p>
    <w:p w14:paraId="1F17D102" w14:textId="4A0CA0C8" w:rsidR="0097447C" w:rsidRPr="00B10AFF" w:rsidRDefault="00333F58" w:rsidP="005250D5">
      <w:pPr>
        <w:spacing w:after="0" w:line="240" w:lineRule="auto"/>
        <w:ind w:left="-567" w:right="-51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D</w:t>
      </w:r>
      <w:r w:rsidRPr="007A00A9">
        <w:rPr>
          <w:rFonts w:ascii="Arial" w:hAnsi="Arial" w:cs="Arial"/>
          <w:sz w:val="24"/>
          <w:szCs w:val="24"/>
        </w:rPr>
        <w:t>e 2018 a 2021</w:t>
      </w:r>
      <w:r>
        <w:rPr>
          <w:rFonts w:ascii="Arial" w:hAnsi="Arial" w:cs="Arial"/>
          <w:sz w:val="24"/>
          <w:szCs w:val="24"/>
        </w:rPr>
        <w:t>, e</w:t>
      </w:r>
      <w:r w:rsidR="00C82053" w:rsidRPr="00B10AFF">
        <w:rPr>
          <w:rFonts w:ascii="Arial" w:hAnsi="Arial" w:cs="Arial"/>
          <w:sz w:val="24"/>
          <w:szCs w:val="24"/>
        </w:rPr>
        <w:t xml:space="preserve">l número de </w:t>
      </w:r>
      <w:r w:rsidR="00610795" w:rsidRPr="00B10AFF">
        <w:rPr>
          <w:rFonts w:ascii="Arial" w:hAnsi="Arial" w:cs="Arial"/>
          <w:sz w:val="24"/>
          <w:szCs w:val="24"/>
        </w:rPr>
        <w:t>unidades económicas</w:t>
      </w:r>
      <w:r w:rsidRPr="00333F58">
        <w:rPr>
          <w:rFonts w:ascii="Arial" w:hAnsi="Arial" w:cs="Arial"/>
          <w:sz w:val="24"/>
          <w:szCs w:val="24"/>
        </w:rPr>
        <w:t xml:space="preserve"> </w:t>
      </w:r>
      <w:r w:rsidRPr="007A00A9">
        <w:rPr>
          <w:rFonts w:ascii="Arial" w:hAnsi="Arial" w:cs="Arial"/>
          <w:sz w:val="24"/>
          <w:szCs w:val="24"/>
        </w:rPr>
        <w:t>en la actividad del chocolate</w:t>
      </w:r>
      <w:r w:rsidR="00610795" w:rsidRPr="00B10AFF">
        <w:rPr>
          <w:rFonts w:ascii="Arial" w:hAnsi="Arial" w:cs="Arial"/>
          <w:sz w:val="24"/>
          <w:szCs w:val="24"/>
        </w:rPr>
        <w:t xml:space="preserve"> aument</w:t>
      </w:r>
      <w:r w:rsidR="00C82053" w:rsidRPr="00B10AFF">
        <w:rPr>
          <w:rFonts w:ascii="Arial" w:hAnsi="Arial" w:cs="Arial"/>
          <w:sz w:val="24"/>
          <w:szCs w:val="24"/>
        </w:rPr>
        <w:t>ó</w:t>
      </w:r>
      <w:r w:rsidR="00610795" w:rsidRPr="00B10AFF">
        <w:rPr>
          <w:rFonts w:ascii="Arial" w:hAnsi="Arial" w:cs="Arial"/>
          <w:sz w:val="24"/>
          <w:szCs w:val="24"/>
        </w:rPr>
        <w:t xml:space="preserve"> 7.2 % y </w:t>
      </w:r>
      <w:r>
        <w:rPr>
          <w:rFonts w:ascii="Arial" w:hAnsi="Arial" w:cs="Arial"/>
          <w:sz w:val="24"/>
          <w:szCs w:val="24"/>
        </w:rPr>
        <w:t xml:space="preserve">en </w:t>
      </w:r>
      <w:r w:rsidR="00E2778F">
        <w:rPr>
          <w:rFonts w:ascii="Arial" w:hAnsi="Arial" w:cs="Arial"/>
          <w:sz w:val="24"/>
          <w:szCs w:val="24"/>
        </w:rPr>
        <w:t>la</w:t>
      </w:r>
      <w:r>
        <w:rPr>
          <w:rFonts w:ascii="Arial" w:hAnsi="Arial" w:cs="Arial"/>
          <w:sz w:val="24"/>
          <w:szCs w:val="24"/>
        </w:rPr>
        <w:t xml:space="preserve"> </w:t>
      </w:r>
      <w:r w:rsidR="00610795" w:rsidRPr="00B10AFF">
        <w:rPr>
          <w:rFonts w:ascii="Arial" w:hAnsi="Arial" w:cs="Arial"/>
          <w:sz w:val="24"/>
          <w:szCs w:val="24"/>
        </w:rPr>
        <w:t>de confitería 3.1 </w:t>
      </w:r>
      <w:r w:rsidR="00B10AFF">
        <w:rPr>
          <w:rFonts w:ascii="Arial" w:hAnsi="Arial" w:cs="Arial"/>
          <w:sz w:val="24"/>
          <w:szCs w:val="24"/>
        </w:rPr>
        <w:t>por ciento.</w:t>
      </w:r>
    </w:p>
    <w:p w14:paraId="68224A14" w14:textId="77777777" w:rsidR="00652F78" w:rsidRDefault="00652F78" w:rsidP="005250D5">
      <w:pPr>
        <w:spacing w:after="0" w:line="240" w:lineRule="auto"/>
        <w:ind w:left="-567" w:right="-516"/>
        <w:jc w:val="both"/>
        <w:rPr>
          <w:rFonts w:ascii="Arial" w:hAnsi="Arial" w:cs="Arial"/>
        </w:rPr>
      </w:pPr>
    </w:p>
    <w:p w14:paraId="35CC52B5" w14:textId="5A5892C2" w:rsidR="00333F58" w:rsidRPr="00B10AFF" w:rsidRDefault="00333F58" w:rsidP="00B10AFF">
      <w:pPr>
        <w:spacing w:after="0" w:line="240" w:lineRule="auto"/>
        <w:ind w:left="-567" w:right="-516"/>
        <w:jc w:val="center"/>
        <w:rPr>
          <w:rFonts w:ascii="Arial" w:hAnsi="Arial" w:cs="Arial"/>
          <w:sz w:val="20"/>
          <w:szCs w:val="20"/>
        </w:rPr>
      </w:pPr>
      <w:r w:rsidRPr="00B10AFF">
        <w:rPr>
          <w:rFonts w:ascii="Arial" w:hAnsi="Arial" w:cs="Arial"/>
          <w:sz w:val="20"/>
          <w:szCs w:val="20"/>
        </w:rPr>
        <w:t>Gráfica 2</w:t>
      </w:r>
    </w:p>
    <w:p w14:paraId="6D51BFA3" w14:textId="4FF8DA35" w:rsidR="00676C25" w:rsidRPr="00B10AFF" w:rsidRDefault="00676C25" w:rsidP="005250D5">
      <w:pPr>
        <w:spacing w:after="0" w:line="240" w:lineRule="auto"/>
        <w:ind w:left="-567" w:right="-516"/>
        <w:jc w:val="center"/>
        <w:rPr>
          <w:rFonts w:ascii="Arial Negrita" w:hAnsi="Arial Negrita" w:cs="Arial"/>
          <w:smallCaps/>
        </w:rPr>
      </w:pPr>
      <w:r w:rsidRPr="00B10AFF">
        <w:rPr>
          <w:rFonts w:ascii="Arial Negrita" w:hAnsi="Arial Negrita" w:cs="Arial"/>
          <w:b/>
          <w:bCs/>
          <w:smallCaps/>
        </w:rPr>
        <w:t>Evolución de</w:t>
      </w:r>
      <w:r w:rsidR="00C82053" w:rsidRPr="00B10AFF">
        <w:rPr>
          <w:rFonts w:ascii="Arial Negrita" w:hAnsi="Arial Negrita" w:cs="Arial"/>
          <w:b/>
          <w:bCs/>
          <w:smallCaps/>
        </w:rPr>
        <w:t>l número de</w:t>
      </w:r>
      <w:r w:rsidRPr="00B10AFF">
        <w:rPr>
          <w:rFonts w:ascii="Arial Negrita" w:hAnsi="Arial Negrita" w:cs="Arial"/>
          <w:b/>
          <w:bCs/>
          <w:smallCaps/>
        </w:rPr>
        <w:t xml:space="preserve"> unidades económicas</w:t>
      </w: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22"/>
        <w:gridCol w:w="4416"/>
      </w:tblGrid>
      <w:tr w:rsidR="005250D5" w:rsidRPr="00456CFB" w14:paraId="700DC97E" w14:textId="77777777" w:rsidTr="00F7397D">
        <w:trPr>
          <w:jc w:val="center"/>
        </w:trPr>
        <w:tc>
          <w:tcPr>
            <w:tcW w:w="4473" w:type="dxa"/>
          </w:tcPr>
          <w:p w14:paraId="4FE93C0D" w14:textId="019A04AC" w:rsidR="00610795" w:rsidRPr="005C6E26" w:rsidRDefault="00BB3A70" w:rsidP="005250D5">
            <w:pPr>
              <w:ind w:right="-516"/>
              <w:jc w:val="center"/>
              <w:rPr>
                <w:rFonts w:ascii="Arial Negrita" w:hAnsi="Arial Negrita" w:cs="Arial"/>
                <w:lang w:val="es-MX"/>
              </w:rPr>
            </w:pPr>
            <w:r w:rsidRPr="005C6E26">
              <w:rPr>
                <w:rFonts w:ascii="Arial Negrita" w:hAnsi="Arial Negrita" w:cs="Arial"/>
              </w:rPr>
              <w:t>Industria del chocolate</w:t>
            </w:r>
          </w:p>
          <w:p w14:paraId="727A2DF2" w14:textId="59FD7312" w:rsidR="00610795" w:rsidRPr="00456CFB" w:rsidRDefault="00B10AFF" w:rsidP="005250D5">
            <w:pPr>
              <w:ind w:right="-516"/>
              <w:jc w:val="both"/>
              <w:rPr>
                <w:rFonts w:ascii="Arial" w:hAnsi="Arial" w:cs="Arial"/>
                <w:lang w:val="es-MX"/>
              </w:rPr>
            </w:pPr>
            <w:r>
              <w:rPr>
                <w:noProof/>
              </w:rPr>
              <w:drawing>
                <wp:inline distT="0" distB="0" distL="0" distR="0" wp14:anchorId="6B345254" wp14:editId="652D694B">
                  <wp:extent cx="2804878" cy="2050415"/>
                  <wp:effectExtent l="0" t="0" r="0" b="6985"/>
                  <wp:docPr id="559421580" name="Gráfico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E36A8FF-0889-C430-98E7-440A7F5CD39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</w:p>
        </w:tc>
        <w:tc>
          <w:tcPr>
            <w:tcW w:w="4365" w:type="dxa"/>
          </w:tcPr>
          <w:p w14:paraId="58B495C3" w14:textId="1666A38E" w:rsidR="00610795" w:rsidRPr="005C6E26" w:rsidRDefault="00BB3A70" w:rsidP="005250D5">
            <w:pPr>
              <w:ind w:right="-516"/>
              <w:jc w:val="center"/>
              <w:rPr>
                <w:rFonts w:ascii="Arial Negrita" w:hAnsi="Arial Negrita" w:cs="Arial"/>
                <w:lang w:val="es-MX"/>
              </w:rPr>
            </w:pPr>
            <w:r w:rsidRPr="005C6E26">
              <w:rPr>
                <w:rFonts w:ascii="Arial Negrita" w:hAnsi="Arial Negrita" w:cs="Arial"/>
              </w:rPr>
              <w:t xml:space="preserve">Industria de la </w:t>
            </w:r>
            <w:r w:rsidRPr="00FB5F23">
              <w:rPr>
                <w:rFonts w:ascii="Arial Negrita" w:hAnsi="Arial Negrita" w:cs="Arial"/>
                <w:lang w:val="es-MX"/>
              </w:rPr>
              <w:t>confitería</w:t>
            </w:r>
          </w:p>
          <w:p w14:paraId="54418164" w14:textId="510B938B" w:rsidR="00610795" w:rsidRPr="00456CFB" w:rsidRDefault="002059CD" w:rsidP="005250D5">
            <w:pPr>
              <w:ind w:right="-516"/>
              <w:jc w:val="both"/>
              <w:rPr>
                <w:rFonts w:ascii="Arial" w:hAnsi="Arial" w:cs="Arial"/>
                <w:lang w:val="es-MX"/>
              </w:rPr>
            </w:pPr>
            <w:r>
              <w:rPr>
                <w:noProof/>
              </w:rPr>
              <w:drawing>
                <wp:inline distT="0" distB="0" distL="0" distR="0" wp14:anchorId="44282B24" wp14:editId="1A2D502B">
                  <wp:extent cx="2796458" cy="2050415"/>
                  <wp:effectExtent l="0" t="0" r="4445" b="6985"/>
                  <wp:docPr id="2042492277" name="Gráfico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8B3DFFC-0A1B-D9AA-D7AC-81620CA2F32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0"/>
                    </a:graphicData>
                  </a:graphic>
                </wp:inline>
              </w:drawing>
            </w:r>
          </w:p>
        </w:tc>
      </w:tr>
    </w:tbl>
    <w:p w14:paraId="5FEB75E5" w14:textId="1427C84E" w:rsidR="00A60CA1" w:rsidRPr="001A636B" w:rsidRDefault="00D261B7" w:rsidP="005250D5">
      <w:pPr>
        <w:spacing w:after="0" w:line="240" w:lineRule="auto"/>
        <w:ind w:left="-567" w:right="-516"/>
        <w:jc w:val="center"/>
        <w:rPr>
          <w:rFonts w:ascii="Arial" w:hAnsi="Arial" w:cs="Arial"/>
          <w:sz w:val="18"/>
          <w:szCs w:val="18"/>
        </w:rPr>
      </w:pPr>
      <w:r w:rsidRPr="001A636B">
        <w:rPr>
          <w:rFonts w:ascii="Arial" w:hAnsi="Arial" w:cs="Arial"/>
          <w:sz w:val="18"/>
          <w:szCs w:val="18"/>
        </w:rPr>
        <w:t>Fuente: INEGI. Censos Económicos</w:t>
      </w:r>
      <w:r w:rsidR="000C2594" w:rsidRPr="001A636B">
        <w:rPr>
          <w:rFonts w:ascii="Arial" w:hAnsi="Arial" w:cs="Arial"/>
          <w:sz w:val="18"/>
          <w:szCs w:val="18"/>
        </w:rPr>
        <w:t>,</w:t>
      </w:r>
      <w:r w:rsidRPr="001A636B">
        <w:rPr>
          <w:rFonts w:ascii="Arial" w:hAnsi="Arial" w:cs="Arial"/>
          <w:sz w:val="18"/>
          <w:szCs w:val="18"/>
        </w:rPr>
        <w:t xml:space="preserve"> 2019. Directorio Estadístico Nacional de Unidades Económicas (DENUE), 2022</w:t>
      </w:r>
    </w:p>
    <w:p w14:paraId="33175F7B" w14:textId="77777777" w:rsidR="00FD57CE" w:rsidRDefault="00FD57CE" w:rsidP="005250D5">
      <w:pPr>
        <w:spacing w:after="0" w:line="240" w:lineRule="auto"/>
        <w:ind w:left="-567"/>
        <w:rPr>
          <w:rFonts w:ascii="Arial" w:hAnsi="Arial" w:cs="Arial"/>
        </w:rPr>
      </w:pPr>
    </w:p>
    <w:p w14:paraId="3FB8EA96" w14:textId="77777777" w:rsidR="004B60D6" w:rsidRPr="00456CFB" w:rsidRDefault="004B60D6" w:rsidP="005250D5">
      <w:pPr>
        <w:spacing w:after="0" w:line="240" w:lineRule="auto"/>
        <w:ind w:left="-567"/>
        <w:rPr>
          <w:rFonts w:ascii="Arial" w:hAnsi="Arial" w:cs="Arial"/>
        </w:rPr>
      </w:pPr>
    </w:p>
    <w:p w14:paraId="4704BD10" w14:textId="553C1853" w:rsidR="00B43652" w:rsidRDefault="008F00EF" w:rsidP="005250D5">
      <w:pPr>
        <w:spacing w:after="0" w:line="240" w:lineRule="auto"/>
        <w:ind w:left="-567" w:right="-516"/>
        <w:jc w:val="both"/>
        <w:rPr>
          <w:rFonts w:ascii="Arial" w:hAnsi="Arial" w:cs="Arial"/>
          <w:sz w:val="24"/>
          <w:szCs w:val="24"/>
        </w:rPr>
      </w:pPr>
      <w:r w:rsidRPr="00B10AFF">
        <w:rPr>
          <w:rFonts w:ascii="Arial" w:hAnsi="Arial" w:cs="Arial"/>
          <w:sz w:val="24"/>
          <w:szCs w:val="24"/>
        </w:rPr>
        <w:t>E</w:t>
      </w:r>
      <w:r w:rsidR="004B60D6">
        <w:rPr>
          <w:rFonts w:ascii="Arial" w:hAnsi="Arial" w:cs="Arial"/>
          <w:sz w:val="24"/>
          <w:szCs w:val="24"/>
        </w:rPr>
        <w:t>n 2022, e</w:t>
      </w:r>
      <w:r w:rsidRPr="00B10AFF">
        <w:rPr>
          <w:rFonts w:ascii="Arial" w:hAnsi="Arial" w:cs="Arial"/>
          <w:sz w:val="24"/>
          <w:szCs w:val="24"/>
        </w:rPr>
        <w:t xml:space="preserve">l empleo en la industria del chocolate y confitería </w:t>
      </w:r>
      <w:r w:rsidR="00C82053" w:rsidRPr="00B10AFF">
        <w:rPr>
          <w:rFonts w:ascii="Arial" w:hAnsi="Arial" w:cs="Arial"/>
          <w:sz w:val="24"/>
          <w:szCs w:val="24"/>
        </w:rPr>
        <w:t>aumentó</w:t>
      </w:r>
      <w:r w:rsidRPr="00B10AFF">
        <w:rPr>
          <w:rFonts w:ascii="Arial" w:hAnsi="Arial" w:cs="Arial"/>
          <w:sz w:val="24"/>
          <w:szCs w:val="24"/>
        </w:rPr>
        <w:t xml:space="preserve"> 7.9 %</w:t>
      </w:r>
      <w:r w:rsidR="004B60D6">
        <w:rPr>
          <w:rFonts w:ascii="Arial" w:hAnsi="Arial" w:cs="Arial"/>
          <w:sz w:val="24"/>
          <w:szCs w:val="24"/>
        </w:rPr>
        <w:t xml:space="preserve"> </w:t>
      </w:r>
      <w:r w:rsidRPr="00B10AFF">
        <w:rPr>
          <w:rFonts w:ascii="Arial" w:hAnsi="Arial" w:cs="Arial"/>
          <w:sz w:val="24"/>
          <w:szCs w:val="24"/>
        </w:rPr>
        <w:t xml:space="preserve">con respecto </w:t>
      </w:r>
      <w:r w:rsidR="00216F07" w:rsidRPr="00B10AFF">
        <w:rPr>
          <w:rFonts w:ascii="Arial" w:hAnsi="Arial" w:cs="Arial"/>
          <w:sz w:val="24"/>
          <w:szCs w:val="24"/>
        </w:rPr>
        <w:t>a</w:t>
      </w:r>
      <w:r w:rsidRPr="00B10AFF">
        <w:rPr>
          <w:rFonts w:ascii="Arial" w:hAnsi="Arial" w:cs="Arial"/>
          <w:sz w:val="24"/>
          <w:szCs w:val="24"/>
        </w:rPr>
        <w:t xml:space="preserve"> </w:t>
      </w:r>
      <w:r w:rsidR="00C82053" w:rsidRPr="00B10AFF">
        <w:rPr>
          <w:rFonts w:ascii="Arial" w:hAnsi="Arial" w:cs="Arial"/>
          <w:sz w:val="24"/>
          <w:szCs w:val="24"/>
        </w:rPr>
        <w:t>2021</w:t>
      </w:r>
      <w:r w:rsidRPr="00B10AFF">
        <w:rPr>
          <w:rFonts w:ascii="Arial" w:hAnsi="Arial" w:cs="Arial"/>
          <w:sz w:val="24"/>
          <w:szCs w:val="24"/>
        </w:rPr>
        <w:t>.</w:t>
      </w:r>
    </w:p>
    <w:p w14:paraId="4A8EB61D" w14:textId="77777777" w:rsidR="004B60D6" w:rsidRPr="00B10AFF" w:rsidRDefault="004B60D6" w:rsidP="005250D5">
      <w:pPr>
        <w:spacing w:after="0" w:line="240" w:lineRule="auto"/>
        <w:ind w:left="-567" w:right="-516"/>
        <w:jc w:val="both"/>
        <w:rPr>
          <w:rFonts w:ascii="Arial" w:hAnsi="Arial" w:cs="Arial"/>
          <w:sz w:val="24"/>
          <w:szCs w:val="24"/>
        </w:rPr>
      </w:pPr>
    </w:p>
    <w:p w14:paraId="2AE91E54" w14:textId="11C98879" w:rsidR="00FD57CE" w:rsidRPr="00B10AFF" w:rsidRDefault="004B60D6" w:rsidP="00B10AFF">
      <w:pPr>
        <w:spacing w:after="0" w:line="240" w:lineRule="auto"/>
        <w:ind w:left="-567" w:right="-516"/>
        <w:jc w:val="center"/>
        <w:rPr>
          <w:rFonts w:ascii="Arial" w:hAnsi="Arial" w:cs="Arial"/>
          <w:sz w:val="20"/>
          <w:szCs w:val="20"/>
        </w:rPr>
      </w:pPr>
      <w:r w:rsidRPr="00B10AFF">
        <w:rPr>
          <w:rFonts w:ascii="Arial" w:hAnsi="Arial" w:cs="Arial"/>
          <w:sz w:val="20"/>
          <w:szCs w:val="20"/>
        </w:rPr>
        <w:t>Gráfica 3</w:t>
      </w:r>
    </w:p>
    <w:p w14:paraId="634FAFEA" w14:textId="2F107C70" w:rsidR="00653268" w:rsidRPr="00B10AFF" w:rsidRDefault="00A57ECD" w:rsidP="005250D5">
      <w:pPr>
        <w:spacing w:after="0" w:line="240" w:lineRule="auto"/>
        <w:ind w:left="-567" w:right="-516"/>
        <w:jc w:val="center"/>
        <w:rPr>
          <w:rFonts w:ascii="Arial Negrita" w:hAnsi="Arial Negrita" w:cs="Arial"/>
          <w:b/>
          <w:bCs/>
          <w:smallCaps/>
        </w:rPr>
      </w:pPr>
      <w:r w:rsidRPr="00B10AFF">
        <w:rPr>
          <w:rFonts w:ascii="Arial Negrita" w:hAnsi="Arial Negrita" w:cs="Arial"/>
          <w:b/>
          <w:bCs/>
          <w:smallCaps/>
        </w:rPr>
        <w:t xml:space="preserve">Empleo en la </w:t>
      </w:r>
      <w:r w:rsidR="00523953" w:rsidRPr="00B10AFF">
        <w:rPr>
          <w:rFonts w:ascii="Arial Negrita" w:hAnsi="Arial Negrita" w:cs="Arial"/>
          <w:b/>
          <w:bCs/>
          <w:smallCaps/>
        </w:rPr>
        <w:t>I</w:t>
      </w:r>
      <w:r w:rsidRPr="00B10AFF">
        <w:rPr>
          <w:rFonts w:ascii="Arial Negrita" w:hAnsi="Arial Negrita" w:cs="Arial"/>
          <w:b/>
          <w:bCs/>
          <w:smallCaps/>
        </w:rPr>
        <w:t>ndustria del chocolate</w:t>
      </w:r>
      <w:r w:rsidR="002073B9" w:rsidRPr="00B10AFF">
        <w:rPr>
          <w:rFonts w:ascii="Arial Negrita" w:hAnsi="Arial Negrita" w:cs="Arial"/>
          <w:b/>
          <w:bCs/>
          <w:smallCaps/>
        </w:rPr>
        <w:t xml:space="preserve"> y confitería</w:t>
      </w:r>
    </w:p>
    <w:p w14:paraId="5B4C52EC" w14:textId="736822ED" w:rsidR="00A57ECD" w:rsidRPr="00B10AFF" w:rsidRDefault="00F855B2" w:rsidP="005250D5">
      <w:pPr>
        <w:spacing w:after="0" w:line="240" w:lineRule="auto"/>
        <w:ind w:left="-567" w:right="-516"/>
        <w:jc w:val="center"/>
        <w:rPr>
          <w:rFonts w:ascii="Arial" w:hAnsi="Arial" w:cs="Arial"/>
          <w:sz w:val="18"/>
          <w:szCs w:val="18"/>
        </w:rPr>
      </w:pPr>
      <w:r w:rsidRPr="00B10AFF">
        <w:rPr>
          <w:rFonts w:ascii="Arial" w:hAnsi="Arial" w:cs="Arial"/>
          <w:sz w:val="18"/>
          <w:szCs w:val="18"/>
        </w:rPr>
        <w:t>(Variación porcentual</w:t>
      </w:r>
      <w:r w:rsidR="004B4D4E" w:rsidRPr="00B10AFF">
        <w:rPr>
          <w:rFonts w:ascii="Arial" w:hAnsi="Arial" w:cs="Arial"/>
          <w:sz w:val="18"/>
          <w:szCs w:val="18"/>
        </w:rPr>
        <w:t xml:space="preserve"> respecto al año anterior</w:t>
      </w:r>
      <w:r w:rsidRPr="00B10AFF">
        <w:rPr>
          <w:rFonts w:ascii="Arial" w:hAnsi="Arial" w:cs="Arial"/>
          <w:sz w:val="18"/>
          <w:szCs w:val="18"/>
        </w:rPr>
        <w:t>)</w:t>
      </w:r>
    </w:p>
    <w:p w14:paraId="4E969241" w14:textId="4384548A" w:rsidR="00653268" w:rsidRPr="00456CFB" w:rsidRDefault="00ED2F24" w:rsidP="005250D5">
      <w:pPr>
        <w:spacing w:after="0" w:line="240" w:lineRule="auto"/>
        <w:ind w:left="-567" w:right="-516"/>
        <w:jc w:val="center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46AC0322" wp14:editId="34AB9211">
            <wp:extent cx="3581400" cy="2495550"/>
            <wp:effectExtent l="0" t="0" r="0" b="0"/>
            <wp:docPr id="544512823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40C4E84D-BBFF-2B10-D062-42ADD3C0BF2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656A3876" w14:textId="7D7E06A2" w:rsidR="00892DFE" w:rsidRPr="001A636B" w:rsidRDefault="001C0BBE" w:rsidP="005250D5">
      <w:pPr>
        <w:spacing w:after="0" w:line="240" w:lineRule="auto"/>
        <w:ind w:left="-567" w:right="-516"/>
        <w:jc w:val="center"/>
        <w:rPr>
          <w:rFonts w:ascii="Arial" w:hAnsi="Arial" w:cs="Arial"/>
          <w:sz w:val="18"/>
          <w:szCs w:val="18"/>
        </w:rPr>
      </w:pPr>
      <w:r w:rsidRPr="001A636B">
        <w:rPr>
          <w:rFonts w:ascii="Arial" w:hAnsi="Arial" w:cs="Arial"/>
          <w:sz w:val="18"/>
          <w:szCs w:val="18"/>
        </w:rPr>
        <w:t>Fuente: INEGI. Encuesta Mensual de la Industria Manufacturera (EMIM). Base 2018</w:t>
      </w:r>
    </w:p>
    <w:p w14:paraId="28C8437A" w14:textId="6CD47C43" w:rsidR="00E7670D" w:rsidRDefault="00E7670D" w:rsidP="00DC6B4D">
      <w:pPr>
        <w:rPr>
          <w:rFonts w:ascii="Arial" w:hAnsi="Arial" w:cs="Arial"/>
          <w:sz w:val="24"/>
          <w:szCs w:val="24"/>
        </w:rPr>
      </w:pPr>
    </w:p>
    <w:p w14:paraId="6867DF71" w14:textId="3028E2A2" w:rsidR="004B60D6" w:rsidRPr="00DC6B4D" w:rsidRDefault="0093462F" w:rsidP="006A1DD8">
      <w:pPr>
        <w:spacing w:after="0" w:line="240" w:lineRule="auto"/>
        <w:ind w:left="-567" w:right="-516"/>
        <w:jc w:val="both"/>
        <w:rPr>
          <w:rFonts w:ascii="Arial" w:hAnsi="Arial" w:cs="Arial"/>
          <w:sz w:val="24"/>
          <w:szCs w:val="24"/>
        </w:rPr>
      </w:pPr>
      <w:r w:rsidRPr="00DC6B4D">
        <w:rPr>
          <w:rFonts w:ascii="Arial" w:hAnsi="Arial" w:cs="Arial"/>
          <w:sz w:val="24"/>
          <w:szCs w:val="24"/>
        </w:rPr>
        <w:t xml:space="preserve">En 2018, </w:t>
      </w:r>
      <w:r w:rsidR="00085270" w:rsidRPr="00DC6B4D">
        <w:rPr>
          <w:rFonts w:ascii="Arial" w:hAnsi="Arial" w:cs="Arial"/>
          <w:sz w:val="24"/>
          <w:szCs w:val="24"/>
        </w:rPr>
        <w:t xml:space="preserve">8 787 mujeres trabajaron en esta industria frente a </w:t>
      </w:r>
      <w:r w:rsidR="00A02951" w:rsidRPr="00DC6B4D">
        <w:rPr>
          <w:rFonts w:ascii="Arial" w:hAnsi="Arial" w:cs="Arial"/>
          <w:sz w:val="24"/>
          <w:szCs w:val="24"/>
        </w:rPr>
        <w:t>8 003 hombres.</w:t>
      </w:r>
      <w:r w:rsidR="009B29EF" w:rsidRPr="00DC6B4D">
        <w:rPr>
          <w:rFonts w:ascii="Arial" w:hAnsi="Arial" w:cs="Arial"/>
          <w:sz w:val="24"/>
          <w:szCs w:val="24"/>
        </w:rPr>
        <w:t xml:space="preserve"> </w:t>
      </w:r>
      <w:r w:rsidR="00D13749" w:rsidRPr="00DC6B4D">
        <w:rPr>
          <w:rFonts w:ascii="Arial" w:hAnsi="Arial" w:cs="Arial"/>
          <w:sz w:val="24"/>
          <w:szCs w:val="24"/>
        </w:rPr>
        <w:t>En la confitería,</w:t>
      </w:r>
      <w:r w:rsidR="00085270" w:rsidRPr="00DC6B4D">
        <w:rPr>
          <w:rFonts w:ascii="Arial" w:hAnsi="Arial" w:cs="Arial"/>
          <w:sz w:val="24"/>
          <w:szCs w:val="24"/>
        </w:rPr>
        <w:t xml:space="preserve"> por su parte,</w:t>
      </w:r>
      <w:r w:rsidR="00D13749" w:rsidRPr="00DC6B4D">
        <w:rPr>
          <w:rFonts w:ascii="Arial" w:hAnsi="Arial" w:cs="Arial"/>
          <w:sz w:val="24"/>
          <w:szCs w:val="24"/>
        </w:rPr>
        <w:t xml:space="preserve"> </w:t>
      </w:r>
      <w:r w:rsidR="009B29EF" w:rsidRPr="00DC6B4D">
        <w:rPr>
          <w:rFonts w:ascii="Arial" w:hAnsi="Arial" w:cs="Arial"/>
          <w:sz w:val="24"/>
          <w:szCs w:val="24"/>
        </w:rPr>
        <w:t xml:space="preserve">el número de mujeres ocupadas </w:t>
      </w:r>
      <w:r w:rsidR="00A64494" w:rsidRPr="00DC6B4D">
        <w:rPr>
          <w:rFonts w:ascii="Arial" w:hAnsi="Arial" w:cs="Arial"/>
          <w:sz w:val="24"/>
          <w:szCs w:val="24"/>
        </w:rPr>
        <w:t>fue</w:t>
      </w:r>
      <w:r w:rsidR="00B23718" w:rsidRPr="00DC6B4D">
        <w:rPr>
          <w:rFonts w:ascii="Arial" w:hAnsi="Arial" w:cs="Arial"/>
          <w:sz w:val="24"/>
          <w:szCs w:val="24"/>
        </w:rPr>
        <w:t xml:space="preserve"> </w:t>
      </w:r>
      <w:r w:rsidR="00085270" w:rsidRPr="00DC6B4D">
        <w:rPr>
          <w:rFonts w:ascii="Arial" w:hAnsi="Arial" w:cs="Arial"/>
          <w:sz w:val="24"/>
          <w:szCs w:val="24"/>
        </w:rPr>
        <w:t xml:space="preserve">de </w:t>
      </w:r>
      <w:r w:rsidR="009B29EF" w:rsidRPr="00DC6B4D">
        <w:rPr>
          <w:rFonts w:ascii="Arial" w:hAnsi="Arial" w:cs="Arial"/>
          <w:sz w:val="24"/>
          <w:szCs w:val="24"/>
        </w:rPr>
        <w:t>19 952 y el de hombres</w:t>
      </w:r>
      <w:r w:rsidR="00085270" w:rsidRPr="00DC6B4D">
        <w:rPr>
          <w:rFonts w:ascii="Arial" w:hAnsi="Arial" w:cs="Arial"/>
          <w:sz w:val="24"/>
          <w:szCs w:val="24"/>
        </w:rPr>
        <w:t xml:space="preserve">, </w:t>
      </w:r>
      <w:r w:rsidR="009B29EF" w:rsidRPr="00DC6B4D">
        <w:rPr>
          <w:rFonts w:ascii="Arial" w:hAnsi="Arial" w:cs="Arial"/>
          <w:sz w:val="24"/>
          <w:szCs w:val="24"/>
        </w:rPr>
        <w:t xml:space="preserve">20 257. </w:t>
      </w:r>
      <w:r w:rsidR="00A02951" w:rsidRPr="00DC6B4D">
        <w:rPr>
          <w:rFonts w:ascii="Arial" w:hAnsi="Arial" w:cs="Arial"/>
          <w:sz w:val="24"/>
          <w:szCs w:val="24"/>
        </w:rPr>
        <w:t xml:space="preserve">De acuerdo con los datos de los últimos cuatro censos económicos, el personal ocupado según </w:t>
      </w:r>
      <w:r w:rsidR="00B30783" w:rsidRPr="00DC6B4D">
        <w:rPr>
          <w:rFonts w:ascii="Arial" w:hAnsi="Arial" w:cs="Arial"/>
          <w:sz w:val="24"/>
          <w:szCs w:val="24"/>
        </w:rPr>
        <w:t>sexo</w:t>
      </w:r>
      <w:r w:rsidR="00A02951" w:rsidRPr="00DC6B4D">
        <w:rPr>
          <w:rFonts w:ascii="Arial" w:hAnsi="Arial" w:cs="Arial"/>
          <w:sz w:val="24"/>
          <w:szCs w:val="24"/>
        </w:rPr>
        <w:t xml:space="preserve"> muestra el siguiente comportamiento.</w:t>
      </w:r>
    </w:p>
    <w:p w14:paraId="250BB112" w14:textId="77777777" w:rsidR="00085270" w:rsidRPr="00DC6B4D" w:rsidRDefault="00085270" w:rsidP="006A1DD8">
      <w:pPr>
        <w:spacing w:after="0" w:line="240" w:lineRule="auto"/>
        <w:ind w:left="-567" w:right="-516"/>
        <w:jc w:val="both"/>
        <w:rPr>
          <w:rFonts w:ascii="Arial" w:hAnsi="Arial" w:cs="Arial"/>
          <w:sz w:val="24"/>
          <w:szCs w:val="24"/>
        </w:rPr>
      </w:pPr>
    </w:p>
    <w:p w14:paraId="1451E381" w14:textId="77777777" w:rsidR="00D8520F" w:rsidRDefault="00D8520F" w:rsidP="00FE3F01">
      <w:pPr>
        <w:spacing w:after="0" w:line="240" w:lineRule="auto"/>
        <w:ind w:left="-567" w:right="-516"/>
        <w:jc w:val="center"/>
        <w:rPr>
          <w:rFonts w:ascii="Arial" w:hAnsi="Arial" w:cs="Arial"/>
          <w:sz w:val="20"/>
          <w:szCs w:val="20"/>
        </w:rPr>
      </w:pPr>
    </w:p>
    <w:p w14:paraId="7B6D6E2E" w14:textId="77777777" w:rsidR="00D8520F" w:rsidRDefault="00D8520F" w:rsidP="00FE3F01">
      <w:pPr>
        <w:spacing w:after="0" w:line="240" w:lineRule="auto"/>
        <w:ind w:left="-567" w:right="-516"/>
        <w:jc w:val="center"/>
        <w:rPr>
          <w:rFonts w:ascii="Arial" w:hAnsi="Arial" w:cs="Arial"/>
          <w:sz w:val="20"/>
          <w:szCs w:val="20"/>
        </w:rPr>
      </w:pPr>
    </w:p>
    <w:p w14:paraId="7E0A57D0" w14:textId="24917620" w:rsidR="00FE3F01" w:rsidRPr="00DC6B4D" w:rsidRDefault="00FE3F01" w:rsidP="00FE3F01">
      <w:pPr>
        <w:spacing w:after="0" w:line="240" w:lineRule="auto"/>
        <w:ind w:left="-567" w:right="-516"/>
        <w:jc w:val="center"/>
        <w:rPr>
          <w:rFonts w:ascii="Arial" w:hAnsi="Arial" w:cs="Arial"/>
          <w:sz w:val="20"/>
          <w:szCs w:val="20"/>
        </w:rPr>
      </w:pPr>
      <w:r w:rsidRPr="00DC6B4D">
        <w:rPr>
          <w:rFonts w:ascii="Arial" w:hAnsi="Arial" w:cs="Arial"/>
          <w:sz w:val="20"/>
          <w:szCs w:val="20"/>
        </w:rPr>
        <w:t>Gráfica 4</w:t>
      </w:r>
    </w:p>
    <w:p w14:paraId="0CE875B7" w14:textId="746D6243" w:rsidR="005D626C" w:rsidRPr="00B10AFF" w:rsidRDefault="005D626C" w:rsidP="005D626C">
      <w:pPr>
        <w:spacing w:after="0" w:line="240" w:lineRule="auto"/>
        <w:ind w:left="-567" w:right="-516"/>
        <w:jc w:val="center"/>
        <w:rPr>
          <w:rFonts w:ascii="Arial Negrita" w:hAnsi="Arial Negrita" w:cs="Arial"/>
          <w:b/>
          <w:bCs/>
          <w:smallCaps/>
        </w:rPr>
      </w:pPr>
      <w:r w:rsidRPr="00DC6B4D">
        <w:rPr>
          <w:rFonts w:ascii="Arial Negrita" w:hAnsi="Arial Negrita" w:cs="Arial"/>
          <w:b/>
          <w:bCs/>
          <w:smallCaps/>
        </w:rPr>
        <w:t xml:space="preserve">Personal </w:t>
      </w:r>
      <w:r w:rsidR="00FE3F01" w:rsidRPr="00DC6B4D">
        <w:rPr>
          <w:rFonts w:ascii="Arial Negrita" w:hAnsi="Arial Negrita" w:cs="Arial"/>
          <w:b/>
          <w:bCs/>
          <w:smallCaps/>
        </w:rPr>
        <w:t>ocupado en la industria del chocolate y confiter</w:t>
      </w:r>
      <w:r w:rsidR="00085270" w:rsidRPr="00DC6B4D">
        <w:rPr>
          <w:rFonts w:ascii="Arial Negrita" w:hAnsi="Arial Negrita" w:cs="Arial"/>
          <w:b/>
          <w:bCs/>
          <w:smallCaps/>
        </w:rPr>
        <w:t>í</w:t>
      </w:r>
      <w:r w:rsidR="00FE3F01" w:rsidRPr="00DC6B4D">
        <w:rPr>
          <w:rFonts w:ascii="Arial Negrita" w:hAnsi="Arial Negrita" w:cs="Arial"/>
          <w:b/>
          <w:bCs/>
          <w:smallCaps/>
        </w:rPr>
        <w:t>a, seg</w:t>
      </w:r>
      <w:r w:rsidR="00FE3F01" w:rsidRPr="00DC6B4D">
        <w:rPr>
          <w:rFonts w:ascii="Arial Negrita" w:hAnsi="Arial Negrita" w:cs="Arial" w:hint="eastAsia"/>
          <w:b/>
          <w:bCs/>
          <w:smallCaps/>
        </w:rPr>
        <w:t>ú</w:t>
      </w:r>
      <w:r w:rsidR="00FE3F01" w:rsidRPr="00DC6B4D">
        <w:rPr>
          <w:rFonts w:ascii="Arial Negrita" w:hAnsi="Arial Negrita" w:cs="Arial"/>
          <w:b/>
          <w:bCs/>
          <w:smallCaps/>
        </w:rPr>
        <w:t>n sexo</w:t>
      </w:r>
    </w:p>
    <w:p w14:paraId="3E0CBE4B" w14:textId="432424CC" w:rsidR="005D626C" w:rsidRPr="00DC6B4D" w:rsidRDefault="005D626C" w:rsidP="00DC6B4D">
      <w:pPr>
        <w:spacing w:before="60" w:after="60" w:line="240" w:lineRule="auto"/>
        <w:ind w:left="-567" w:right="-516"/>
        <w:jc w:val="center"/>
        <w:rPr>
          <w:rFonts w:ascii="Arial" w:hAnsi="Arial" w:cs="Arial"/>
          <w:sz w:val="18"/>
          <w:szCs w:val="18"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4448"/>
      </w:tblGrid>
      <w:tr w:rsidR="00BB5398" w14:paraId="4C732F55" w14:textId="77777777" w:rsidTr="005C4DB2">
        <w:trPr>
          <w:jc w:val="center"/>
        </w:trPr>
        <w:tc>
          <w:tcPr>
            <w:tcW w:w="4414" w:type="dxa"/>
          </w:tcPr>
          <w:p w14:paraId="04692476" w14:textId="1925269D" w:rsidR="00A02951" w:rsidRPr="00FB5F23" w:rsidRDefault="00FE3F01" w:rsidP="00FE3F01">
            <w:pPr>
              <w:ind w:right="-516"/>
              <w:jc w:val="center"/>
              <w:rPr>
                <w:rFonts w:ascii="Arial Negrita" w:hAnsi="Arial Negrita" w:cs="Arial"/>
                <w:lang w:val="es-MX"/>
              </w:rPr>
            </w:pPr>
            <w:r>
              <w:rPr>
                <w:rFonts w:ascii="Arial Negrita" w:hAnsi="Arial Negrita" w:cs="Arial"/>
                <w:lang w:val="es-MX"/>
              </w:rPr>
              <w:t>I</w:t>
            </w:r>
            <w:r w:rsidR="00A02951" w:rsidRPr="00FB5F23">
              <w:rPr>
                <w:rFonts w:ascii="Arial Negrita" w:hAnsi="Arial Negrita" w:cs="Arial"/>
                <w:lang w:val="es-MX"/>
              </w:rPr>
              <w:t xml:space="preserve">ndustria del </w:t>
            </w:r>
            <w:r>
              <w:rPr>
                <w:rFonts w:ascii="Arial Negrita" w:hAnsi="Arial Negrita" w:cs="Arial"/>
                <w:lang w:val="es-MX"/>
              </w:rPr>
              <w:t>c</w:t>
            </w:r>
            <w:r w:rsidR="00A02951" w:rsidRPr="00FB5F23">
              <w:rPr>
                <w:rFonts w:ascii="Arial Negrita" w:hAnsi="Arial Negrita" w:cs="Arial"/>
                <w:lang w:val="es-MX"/>
              </w:rPr>
              <w:t>hocolate</w:t>
            </w:r>
          </w:p>
          <w:p w14:paraId="6AB9FA70" w14:textId="5ECE9BBF" w:rsidR="00BB5398" w:rsidRPr="00F17D22" w:rsidRDefault="00A02951" w:rsidP="00A02951">
            <w:pPr>
              <w:ind w:right="-516"/>
              <w:jc w:val="center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F17D22">
              <w:rPr>
                <w:rFonts w:ascii="Arial" w:hAnsi="Arial" w:cs="Arial"/>
                <w:sz w:val="18"/>
                <w:szCs w:val="18"/>
                <w:lang w:val="es-MX"/>
              </w:rPr>
              <w:t>(Porcentaje)</w:t>
            </w:r>
          </w:p>
          <w:p w14:paraId="49AE2261" w14:textId="1D43A706" w:rsidR="00BB5398" w:rsidRDefault="000823D5" w:rsidP="00FF54DA">
            <w:pPr>
              <w:ind w:right="-516"/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476B63FA" wp14:editId="38659BA1">
                  <wp:extent cx="2687320" cy="2043486"/>
                  <wp:effectExtent l="0" t="0" r="0" b="0"/>
                  <wp:docPr id="1308187148" name="Gráfico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6415E3B-3F3B-6AB2-216E-F10642ABC6E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2"/>
                    </a:graphicData>
                  </a:graphic>
                </wp:inline>
              </w:drawing>
            </w:r>
          </w:p>
        </w:tc>
        <w:tc>
          <w:tcPr>
            <w:tcW w:w="4416" w:type="dxa"/>
          </w:tcPr>
          <w:p w14:paraId="7975118F" w14:textId="0872526C" w:rsidR="00A02951" w:rsidRPr="00FB5F23" w:rsidRDefault="00A02951" w:rsidP="00FE3F01">
            <w:pPr>
              <w:ind w:right="-516"/>
              <w:jc w:val="center"/>
              <w:rPr>
                <w:rFonts w:ascii="Arial Negrita" w:hAnsi="Arial Negrita" w:cs="Arial"/>
                <w:lang w:val="es-MX"/>
              </w:rPr>
            </w:pPr>
            <w:r w:rsidRPr="00FB5F23">
              <w:rPr>
                <w:rFonts w:ascii="Arial Negrita" w:hAnsi="Arial Negrita" w:cs="Arial"/>
                <w:lang w:val="es-MX"/>
              </w:rPr>
              <w:t xml:space="preserve"> </w:t>
            </w:r>
            <w:r w:rsidR="00FE3F01">
              <w:rPr>
                <w:rFonts w:ascii="Arial Negrita" w:hAnsi="Arial Negrita" w:cs="Arial"/>
                <w:lang w:val="es-MX"/>
              </w:rPr>
              <w:t>I</w:t>
            </w:r>
            <w:r w:rsidRPr="00FB5F23">
              <w:rPr>
                <w:rFonts w:ascii="Arial Negrita" w:hAnsi="Arial Negrita" w:cs="Arial"/>
                <w:lang w:val="es-MX"/>
              </w:rPr>
              <w:t>ndustria de</w:t>
            </w:r>
            <w:r w:rsidR="00E7670D">
              <w:rPr>
                <w:rFonts w:ascii="Arial Negrita" w:hAnsi="Arial Negrita" w:cs="Arial"/>
                <w:lang w:val="es-MX"/>
              </w:rPr>
              <w:t xml:space="preserve"> </w:t>
            </w:r>
            <w:r w:rsidRPr="00FB5F23">
              <w:rPr>
                <w:rFonts w:ascii="Arial Negrita" w:hAnsi="Arial Negrita" w:cs="Arial"/>
                <w:lang w:val="es-MX"/>
              </w:rPr>
              <w:t>l</w:t>
            </w:r>
            <w:r w:rsidR="00E7670D">
              <w:rPr>
                <w:rFonts w:ascii="Arial Negrita" w:hAnsi="Arial Negrita" w:cs="Arial"/>
                <w:lang w:val="es-MX"/>
              </w:rPr>
              <w:t xml:space="preserve">a </w:t>
            </w:r>
            <w:r w:rsidR="00FE3F01">
              <w:rPr>
                <w:rFonts w:ascii="Arial Negrita" w:hAnsi="Arial Negrita" w:cs="Arial"/>
                <w:lang w:val="es-MX"/>
              </w:rPr>
              <w:t>c</w:t>
            </w:r>
            <w:r w:rsidR="00E7670D">
              <w:rPr>
                <w:rFonts w:ascii="Arial Negrita" w:hAnsi="Arial Negrita" w:cs="Arial"/>
                <w:lang w:val="es-MX"/>
              </w:rPr>
              <w:t>onfitería</w:t>
            </w:r>
          </w:p>
          <w:p w14:paraId="1B2F8101" w14:textId="7F5E4F81" w:rsidR="00A02951" w:rsidRPr="00F17D22" w:rsidRDefault="00A02951" w:rsidP="00A02951">
            <w:pPr>
              <w:ind w:right="-516"/>
              <w:jc w:val="center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F17D22">
              <w:rPr>
                <w:rFonts w:ascii="Arial" w:hAnsi="Arial" w:cs="Arial"/>
                <w:sz w:val="18"/>
                <w:szCs w:val="18"/>
                <w:lang w:val="es-MX"/>
              </w:rPr>
              <w:t>(Porcentaje)</w:t>
            </w:r>
          </w:p>
          <w:p w14:paraId="3869C339" w14:textId="0AF63428" w:rsidR="00BB5398" w:rsidRDefault="00E7670D" w:rsidP="006A1DD8">
            <w:pPr>
              <w:ind w:right="-516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223BA226" wp14:editId="1488D0EC">
                  <wp:extent cx="2719346" cy="2043430"/>
                  <wp:effectExtent l="0" t="0" r="5080" b="0"/>
                  <wp:docPr id="317153511" name="Gráfico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E7014B7-362C-CDB7-64F6-E5EE3FC7924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3"/>
                    </a:graphicData>
                  </a:graphic>
                </wp:inline>
              </w:drawing>
            </w:r>
          </w:p>
        </w:tc>
      </w:tr>
    </w:tbl>
    <w:p w14:paraId="74120B40" w14:textId="4AE3A6B9" w:rsidR="00A02951" w:rsidRDefault="00A02951" w:rsidP="00A02951">
      <w:pPr>
        <w:spacing w:after="0" w:line="240" w:lineRule="auto"/>
        <w:ind w:left="-567" w:right="-51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</w:t>
      </w:r>
      <w:r w:rsidRPr="00B10AFF">
        <w:rPr>
          <w:rFonts w:ascii="Arial" w:hAnsi="Arial" w:cs="Arial"/>
          <w:sz w:val="18"/>
          <w:szCs w:val="18"/>
        </w:rPr>
        <w:t>Fuente: INEGI.</w:t>
      </w:r>
      <w:r>
        <w:rPr>
          <w:rFonts w:ascii="Arial" w:hAnsi="Arial" w:cs="Arial"/>
          <w:sz w:val="18"/>
          <w:szCs w:val="18"/>
        </w:rPr>
        <w:t xml:space="preserve"> Censos económicos 2004, 2009, 2014 y 2019</w:t>
      </w:r>
    </w:p>
    <w:p w14:paraId="07815889" w14:textId="77777777" w:rsidR="00BB5398" w:rsidRDefault="00BB5398" w:rsidP="006A1DD8">
      <w:pPr>
        <w:spacing w:after="0" w:line="240" w:lineRule="auto"/>
        <w:ind w:left="-567" w:right="-516"/>
        <w:jc w:val="both"/>
        <w:rPr>
          <w:rFonts w:ascii="Arial" w:hAnsi="Arial" w:cs="Arial"/>
          <w:sz w:val="24"/>
          <w:szCs w:val="24"/>
        </w:rPr>
      </w:pPr>
    </w:p>
    <w:p w14:paraId="688DD5F0" w14:textId="24D0A179" w:rsidR="005B48CD" w:rsidRPr="00B10AFF" w:rsidRDefault="006A1DD8" w:rsidP="006A1DD8">
      <w:pPr>
        <w:spacing w:after="0" w:line="240" w:lineRule="auto"/>
        <w:ind w:left="-567" w:right="-516"/>
        <w:jc w:val="both"/>
        <w:rPr>
          <w:rFonts w:ascii="Arial" w:hAnsi="Arial" w:cs="Arial"/>
          <w:sz w:val="24"/>
          <w:szCs w:val="24"/>
        </w:rPr>
      </w:pPr>
      <w:r w:rsidRPr="00B10AFF">
        <w:rPr>
          <w:rFonts w:ascii="Arial" w:hAnsi="Arial" w:cs="Arial"/>
          <w:sz w:val="24"/>
          <w:szCs w:val="24"/>
        </w:rPr>
        <w:t xml:space="preserve">En los meses recientes, la variación </w:t>
      </w:r>
      <w:r w:rsidR="00F373DF" w:rsidRPr="00B10AFF">
        <w:rPr>
          <w:rFonts w:ascii="Arial" w:hAnsi="Arial" w:cs="Arial"/>
          <w:sz w:val="24"/>
          <w:szCs w:val="24"/>
        </w:rPr>
        <w:t>an</w:t>
      </w:r>
      <w:r w:rsidRPr="00B10AFF">
        <w:rPr>
          <w:rFonts w:ascii="Arial" w:hAnsi="Arial" w:cs="Arial"/>
          <w:sz w:val="24"/>
          <w:szCs w:val="24"/>
        </w:rPr>
        <w:t>ual de los precios del chocolate y productos de</w:t>
      </w:r>
      <w:r w:rsidR="00653456" w:rsidRPr="00B10AFF">
        <w:rPr>
          <w:rFonts w:ascii="Arial" w:hAnsi="Arial" w:cs="Arial"/>
          <w:sz w:val="24"/>
          <w:szCs w:val="24"/>
        </w:rPr>
        <w:t xml:space="preserve"> </w:t>
      </w:r>
      <w:r w:rsidRPr="00B10AFF">
        <w:rPr>
          <w:rFonts w:ascii="Arial" w:hAnsi="Arial" w:cs="Arial"/>
          <w:sz w:val="24"/>
          <w:szCs w:val="24"/>
        </w:rPr>
        <w:t xml:space="preserve">confitería </w:t>
      </w:r>
      <w:r w:rsidR="00FD1D7C" w:rsidRPr="00B10AFF">
        <w:rPr>
          <w:rFonts w:ascii="Arial" w:hAnsi="Arial" w:cs="Arial"/>
          <w:sz w:val="24"/>
          <w:szCs w:val="24"/>
        </w:rPr>
        <w:t xml:space="preserve">fue </w:t>
      </w:r>
      <w:r w:rsidR="00CA15BC">
        <w:rPr>
          <w:rFonts w:ascii="Arial" w:hAnsi="Arial" w:cs="Arial"/>
          <w:sz w:val="24"/>
          <w:szCs w:val="24"/>
        </w:rPr>
        <w:t xml:space="preserve">de </w:t>
      </w:r>
      <w:r w:rsidR="00FD1D7C" w:rsidRPr="00B10AFF">
        <w:rPr>
          <w:rFonts w:ascii="Arial" w:hAnsi="Arial" w:cs="Arial"/>
          <w:sz w:val="24"/>
          <w:szCs w:val="24"/>
        </w:rPr>
        <w:t xml:space="preserve">alrededor </w:t>
      </w:r>
      <w:r w:rsidRPr="00B10AFF">
        <w:rPr>
          <w:rFonts w:ascii="Arial" w:hAnsi="Arial" w:cs="Arial"/>
          <w:sz w:val="24"/>
          <w:szCs w:val="24"/>
        </w:rPr>
        <w:t xml:space="preserve">de </w:t>
      </w:r>
      <w:r w:rsidR="00AF719D">
        <w:rPr>
          <w:rFonts w:ascii="Arial" w:hAnsi="Arial" w:cs="Arial"/>
          <w:sz w:val="24"/>
          <w:szCs w:val="24"/>
        </w:rPr>
        <w:t>nueve</w:t>
      </w:r>
      <w:r w:rsidR="005D5B83" w:rsidRPr="00B10AFF">
        <w:rPr>
          <w:rFonts w:ascii="Arial" w:hAnsi="Arial" w:cs="Arial"/>
          <w:sz w:val="24"/>
          <w:szCs w:val="24"/>
        </w:rPr>
        <w:t> </w:t>
      </w:r>
      <w:r w:rsidR="00027279">
        <w:rPr>
          <w:rFonts w:ascii="Arial" w:hAnsi="Arial" w:cs="Arial"/>
          <w:sz w:val="24"/>
          <w:szCs w:val="24"/>
        </w:rPr>
        <w:t>por ciento</w:t>
      </w:r>
      <w:r w:rsidRPr="00B10AFF">
        <w:rPr>
          <w:rFonts w:ascii="Arial" w:hAnsi="Arial" w:cs="Arial"/>
          <w:sz w:val="24"/>
          <w:szCs w:val="24"/>
        </w:rPr>
        <w:t>.</w:t>
      </w:r>
    </w:p>
    <w:p w14:paraId="51AECF4B" w14:textId="77777777" w:rsidR="00653456" w:rsidRDefault="00653456" w:rsidP="006A1DD8">
      <w:pPr>
        <w:spacing w:after="0" w:line="240" w:lineRule="auto"/>
        <w:ind w:left="-567" w:right="-516"/>
        <w:jc w:val="both"/>
        <w:rPr>
          <w:rFonts w:ascii="Arial" w:hAnsi="Arial" w:cs="Arial"/>
        </w:rPr>
      </w:pPr>
    </w:p>
    <w:p w14:paraId="36174BE5" w14:textId="72CF672F" w:rsidR="004B60D6" w:rsidRPr="00B10AFF" w:rsidRDefault="004B60D6" w:rsidP="00B10AFF">
      <w:pPr>
        <w:spacing w:after="0" w:line="240" w:lineRule="auto"/>
        <w:ind w:left="-567" w:right="-516"/>
        <w:jc w:val="center"/>
        <w:rPr>
          <w:rFonts w:ascii="Arial" w:hAnsi="Arial" w:cs="Arial"/>
          <w:sz w:val="20"/>
          <w:szCs w:val="20"/>
        </w:rPr>
      </w:pPr>
      <w:r w:rsidRPr="00B10AFF">
        <w:rPr>
          <w:rFonts w:ascii="Arial" w:hAnsi="Arial" w:cs="Arial"/>
          <w:sz w:val="20"/>
          <w:szCs w:val="20"/>
        </w:rPr>
        <w:t xml:space="preserve">Gráfica </w:t>
      </w:r>
      <w:r w:rsidR="005D626C">
        <w:rPr>
          <w:rFonts w:ascii="Arial" w:hAnsi="Arial" w:cs="Arial"/>
          <w:sz w:val="20"/>
          <w:szCs w:val="20"/>
        </w:rPr>
        <w:t>5</w:t>
      </w:r>
    </w:p>
    <w:p w14:paraId="0613A0C3" w14:textId="250E561B" w:rsidR="007266CB" w:rsidRPr="00B10AFF" w:rsidRDefault="005D4518" w:rsidP="005250D5">
      <w:pPr>
        <w:spacing w:after="0" w:line="240" w:lineRule="auto"/>
        <w:ind w:left="-567" w:right="-516"/>
        <w:jc w:val="center"/>
        <w:rPr>
          <w:rFonts w:ascii="Arial Negrita" w:hAnsi="Arial Negrita" w:cs="Arial"/>
          <w:b/>
          <w:bCs/>
          <w:smallCaps/>
        </w:rPr>
      </w:pPr>
      <w:r>
        <w:rPr>
          <w:rFonts w:ascii="Arial Negrita" w:hAnsi="Arial Negrita" w:cs="Arial"/>
          <w:b/>
          <w:bCs/>
          <w:smallCaps/>
        </w:rPr>
        <w:t>V</w:t>
      </w:r>
      <w:r w:rsidR="00D2422E" w:rsidRPr="00B10AFF">
        <w:rPr>
          <w:rFonts w:ascii="Arial Negrita" w:hAnsi="Arial Negrita" w:cs="Arial"/>
          <w:b/>
          <w:bCs/>
          <w:smallCaps/>
        </w:rPr>
        <w:t xml:space="preserve">ariación de </w:t>
      </w:r>
      <w:r w:rsidR="007266CB" w:rsidRPr="00B10AFF">
        <w:rPr>
          <w:rFonts w:ascii="Arial Negrita" w:hAnsi="Arial Negrita" w:cs="Arial"/>
          <w:b/>
          <w:bCs/>
          <w:smallCaps/>
        </w:rPr>
        <w:t>los precios del chocolate y confitería</w:t>
      </w:r>
    </w:p>
    <w:p w14:paraId="08B7E876" w14:textId="3C85E4EF" w:rsidR="007266CB" w:rsidRPr="00B10AFF" w:rsidRDefault="007266CB" w:rsidP="00B10AFF">
      <w:pPr>
        <w:spacing w:before="60" w:after="60" w:line="240" w:lineRule="auto"/>
        <w:ind w:left="-567" w:right="-516"/>
        <w:jc w:val="center"/>
        <w:rPr>
          <w:rFonts w:ascii="Arial" w:hAnsi="Arial" w:cs="Arial"/>
          <w:sz w:val="18"/>
          <w:szCs w:val="18"/>
        </w:rPr>
      </w:pPr>
      <w:r w:rsidRPr="00B10AFF">
        <w:rPr>
          <w:rFonts w:ascii="Arial" w:hAnsi="Arial" w:cs="Arial"/>
          <w:sz w:val="18"/>
          <w:szCs w:val="18"/>
        </w:rPr>
        <w:t>(</w:t>
      </w:r>
      <w:r w:rsidR="00D87D2B" w:rsidRPr="00B10AFF">
        <w:rPr>
          <w:rFonts w:ascii="Arial" w:hAnsi="Arial" w:cs="Arial"/>
          <w:sz w:val="18"/>
          <w:szCs w:val="18"/>
        </w:rPr>
        <w:t>Variación respecto al mismo mes del año anterior</w:t>
      </w:r>
      <w:r w:rsidRPr="00B10AFF">
        <w:rPr>
          <w:rFonts w:ascii="Arial" w:hAnsi="Arial" w:cs="Arial"/>
          <w:sz w:val="18"/>
          <w:szCs w:val="18"/>
        </w:rPr>
        <w:t>)</w:t>
      </w:r>
    </w:p>
    <w:p w14:paraId="35EF0652" w14:textId="0241CE6B" w:rsidR="00892DFE" w:rsidRPr="00456CFB" w:rsidRDefault="0094095A" w:rsidP="00B10AFF">
      <w:pPr>
        <w:spacing w:after="120" w:line="240" w:lineRule="auto"/>
        <w:ind w:left="-567" w:right="-516"/>
        <w:jc w:val="center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31989A71" wp14:editId="48569F2D">
            <wp:extent cx="3514007" cy="2360930"/>
            <wp:effectExtent l="0" t="0" r="0" b="1270"/>
            <wp:docPr id="1815261901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A1F080F8-4A0F-D85B-CC4E-E84750BE9E3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5B568662" w14:textId="77777777" w:rsidR="004B60D6" w:rsidRDefault="004B60D6" w:rsidP="00B10AFF">
      <w:pPr>
        <w:spacing w:after="0" w:line="240" w:lineRule="auto"/>
        <w:ind w:left="-567" w:right="-51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</w:t>
      </w:r>
      <w:r w:rsidR="00B7548C" w:rsidRPr="00B10AFF">
        <w:rPr>
          <w:rFonts w:ascii="Arial" w:hAnsi="Arial" w:cs="Arial"/>
          <w:sz w:val="18"/>
          <w:szCs w:val="18"/>
        </w:rPr>
        <w:t xml:space="preserve">Fuente: INEGI. Índice Nacional de Precios al Consumidor (INPC). Base segunda </w:t>
      </w:r>
    </w:p>
    <w:p w14:paraId="514E6B08" w14:textId="19B67A2D" w:rsidR="00AF719D" w:rsidRDefault="004B60D6" w:rsidP="00FE3F01">
      <w:pPr>
        <w:spacing w:after="0" w:line="240" w:lineRule="auto"/>
        <w:ind w:left="-567" w:right="-51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</w:t>
      </w:r>
      <w:r w:rsidR="00B7548C" w:rsidRPr="00B10AFF">
        <w:rPr>
          <w:rFonts w:ascii="Arial" w:hAnsi="Arial" w:cs="Arial"/>
          <w:sz w:val="18"/>
          <w:szCs w:val="18"/>
        </w:rPr>
        <w:t xml:space="preserve">quincena de julio </w:t>
      </w:r>
      <w:r w:rsidR="0006471F" w:rsidRPr="00B10AFF">
        <w:rPr>
          <w:rFonts w:ascii="Arial" w:hAnsi="Arial" w:cs="Arial"/>
          <w:sz w:val="18"/>
          <w:szCs w:val="18"/>
        </w:rPr>
        <w:t xml:space="preserve">de </w:t>
      </w:r>
      <w:r w:rsidR="00B7548C" w:rsidRPr="00B10AFF">
        <w:rPr>
          <w:rFonts w:ascii="Arial" w:hAnsi="Arial" w:cs="Arial"/>
          <w:sz w:val="18"/>
          <w:szCs w:val="18"/>
        </w:rPr>
        <w:t>2018</w:t>
      </w:r>
    </w:p>
    <w:p w14:paraId="6A2A865B" w14:textId="77777777" w:rsidR="00AF719D" w:rsidRPr="00B10AFF" w:rsidRDefault="00AF719D" w:rsidP="00FE3F01">
      <w:pPr>
        <w:spacing w:after="0" w:line="240" w:lineRule="auto"/>
        <w:ind w:left="-567" w:right="-516"/>
        <w:rPr>
          <w:rFonts w:ascii="Arial" w:hAnsi="Arial" w:cs="Arial"/>
          <w:sz w:val="18"/>
          <w:szCs w:val="18"/>
        </w:rPr>
      </w:pPr>
    </w:p>
    <w:p w14:paraId="51DB6997" w14:textId="0879CCD2" w:rsidR="00581DB2" w:rsidRDefault="004B60D6" w:rsidP="004B60D6">
      <w:pPr>
        <w:spacing w:after="0" w:line="240" w:lineRule="auto"/>
        <w:ind w:left="-567" w:right="-51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Desde 2007, l</w:t>
      </w:r>
      <w:r w:rsidR="00951AEC" w:rsidRPr="00B10AFF">
        <w:rPr>
          <w:rFonts w:ascii="Arial" w:hAnsi="Arial" w:cs="Arial"/>
          <w:sz w:val="24"/>
          <w:szCs w:val="24"/>
        </w:rPr>
        <w:t>as exportaciones de chocolate y materias primas derivadas del cacao presenta</w:t>
      </w:r>
      <w:r w:rsidR="004E2271">
        <w:rPr>
          <w:rFonts w:ascii="Arial" w:hAnsi="Arial" w:cs="Arial"/>
          <w:sz w:val="24"/>
          <w:szCs w:val="24"/>
        </w:rPr>
        <w:t>ron</w:t>
      </w:r>
      <w:r w:rsidR="00951AEC" w:rsidRPr="00B10AFF">
        <w:rPr>
          <w:rFonts w:ascii="Arial" w:hAnsi="Arial" w:cs="Arial"/>
          <w:sz w:val="24"/>
          <w:szCs w:val="24"/>
        </w:rPr>
        <w:t xml:space="preserve"> un crecimiento sostenido</w:t>
      </w:r>
      <w:r>
        <w:rPr>
          <w:rFonts w:ascii="Arial" w:hAnsi="Arial" w:cs="Arial"/>
          <w:sz w:val="24"/>
          <w:szCs w:val="24"/>
        </w:rPr>
        <w:t xml:space="preserve">. Lo anterior </w:t>
      </w:r>
      <w:r w:rsidR="00421DED" w:rsidRPr="00B10AFF">
        <w:rPr>
          <w:rFonts w:ascii="Arial" w:hAnsi="Arial" w:cs="Arial"/>
          <w:sz w:val="24"/>
          <w:szCs w:val="24"/>
        </w:rPr>
        <w:t xml:space="preserve">ha generado </w:t>
      </w:r>
      <w:r w:rsidR="004B4A07" w:rsidRPr="00B10AFF">
        <w:rPr>
          <w:rFonts w:ascii="Arial" w:hAnsi="Arial" w:cs="Arial"/>
          <w:sz w:val="24"/>
          <w:szCs w:val="24"/>
        </w:rPr>
        <w:t xml:space="preserve">un superávit comercial </w:t>
      </w:r>
      <w:r w:rsidR="00E548A3" w:rsidRPr="00B10AFF">
        <w:rPr>
          <w:rFonts w:ascii="Arial" w:hAnsi="Arial" w:cs="Arial"/>
          <w:sz w:val="24"/>
          <w:szCs w:val="24"/>
        </w:rPr>
        <w:t>(exportaciones mayores a las importaciones)</w:t>
      </w:r>
      <w:r w:rsidR="006F6B0F" w:rsidRPr="00B10AFF">
        <w:rPr>
          <w:rFonts w:ascii="Arial" w:hAnsi="Arial" w:cs="Arial"/>
          <w:sz w:val="24"/>
          <w:szCs w:val="24"/>
        </w:rPr>
        <w:t>.</w:t>
      </w:r>
      <w:r w:rsidR="00D3544A" w:rsidRPr="00B10AFF">
        <w:rPr>
          <w:rFonts w:ascii="Arial" w:hAnsi="Arial" w:cs="Arial"/>
          <w:sz w:val="24"/>
          <w:szCs w:val="24"/>
        </w:rPr>
        <w:t xml:space="preserve"> </w:t>
      </w:r>
      <w:r w:rsidRPr="003E189D">
        <w:rPr>
          <w:rFonts w:ascii="Arial" w:hAnsi="Arial" w:cs="Arial"/>
          <w:sz w:val="24"/>
          <w:szCs w:val="24"/>
        </w:rPr>
        <w:t xml:space="preserve">En 2022, </w:t>
      </w:r>
      <w:r w:rsidR="00FF62A2" w:rsidRPr="003E189D">
        <w:rPr>
          <w:rFonts w:ascii="Arial" w:hAnsi="Arial" w:cs="Arial"/>
          <w:sz w:val="24"/>
          <w:szCs w:val="24"/>
        </w:rPr>
        <w:t>l</w:t>
      </w:r>
      <w:r w:rsidR="00D3544A" w:rsidRPr="003E189D">
        <w:rPr>
          <w:rFonts w:ascii="Arial" w:hAnsi="Arial" w:cs="Arial"/>
          <w:sz w:val="24"/>
          <w:szCs w:val="24"/>
        </w:rPr>
        <w:t>as exportaciones de chocolate y materias primas derivadas del cacao crecieron 14.3 % respecto a 2021</w:t>
      </w:r>
      <w:r w:rsidR="00FF62A2" w:rsidRPr="003E189D">
        <w:rPr>
          <w:rFonts w:ascii="Arial" w:hAnsi="Arial" w:cs="Arial"/>
          <w:sz w:val="24"/>
          <w:szCs w:val="24"/>
        </w:rPr>
        <w:t xml:space="preserve"> y las</w:t>
      </w:r>
      <w:r w:rsidR="00D3544A" w:rsidRPr="003E189D">
        <w:rPr>
          <w:rFonts w:ascii="Arial" w:hAnsi="Arial" w:cs="Arial"/>
          <w:sz w:val="24"/>
          <w:szCs w:val="24"/>
        </w:rPr>
        <w:t xml:space="preserve"> </w:t>
      </w:r>
      <w:r w:rsidR="00A27EE2" w:rsidRPr="003E189D">
        <w:rPr>
          <w:rFonts w:ascii="Arial" w:hAnsi="Arial" w:cs="Arial"/>
          <w:sz w:val="24"/>
          <w:szCs w:val="24"/>
        </w:rPr>
        <w:t>importaciones</w:t>
      </w:r>
      <w:r w:rsidR="00AF719D">
        <w:rPr>
          <w:rFonts w:ascii="Arial" w:hAnsi="Arial" w:cs="Arial"/>
          <w:sz w:val="24"/>
          <w:szCs w:val="24"/>
        </w:rPr>
        <w:t>,</w:t>
      </w:r>
      <w:r w:rsidR="00D3544A" w:rsidRPr="003E189D">
        <w:rPr>
          <w:rFonts w:ascii="Arial" w:hAnsi="Arial" w:cs="Arial"/>
          <w:sz w:val="24"/>
          <w:szCs w:val="24"/>
        </w:rPr>
        <w:t xml:space="preserve"> 25.7 por ciento.</w:t>
      </w:r>
      <w:r w:rsidRPr="003E189D">
        <w:rPr>
          <w:rFonts w:ascii="Arial" w:hAnsi="Arial" w:cs="Arial"/>
          <w:sz w:val="24"/>
          <w:szCs w:val="24"/>
        </w:rPr>
        <w:t xml:space="preserve"> </w:t>
      </w:r>
      <w:r w:rsidR="00AA3837">
        <w:rPr>
          <w:rFonts w:ascii="Arial" w:hAnsi="Arial" w:cs="Arial"/>
          <w:sz w:val="24"/>
          <w:szCs w:val="24"/>
        </w:rPr>
        <w:t>L</w:t>
      </w:r>
      <w:r w:rsidR="00581DB2" w:rsidRPr="003E189D">
        <w:rPr>
          <w:rFonts w:ascii="Arial" w:hAnsi="Arial" w:cs="Arial"/>
          <w:sz w:val="24"/>
          <w:szCs w:val="24"/>
        </w:rPr>
        <w:t xml:space="preserve">as </w:t>
      </w:r>
      <w:r w:rsidR="003E189D" w:rsidRPr="003E189D">
        <w:rPr>
          <w:rFonts w:ascii="Arial" w:hAnsi="Arial" w:cs="Arial"/>
          <w:sz w:val="24"/>
          <w:szCs w:val="24"/>
        </w:rPr>
        <w:t>ex</w:t>
      </w:r>
      <w:r w:rsidR="00581DB2" w:rsidRPr="003E189D">
        <w:rPr>
          <w:rFonts w:ascii="Arial" w:hAnsi="Arial" w:cs="Arial"/>
          <w:sz w:val="24"/>
          <w:szCs w:val="24"/>
        </w:rPr>
        <w:t>portaciones</w:t>
      </w:r>
      <w:r w:rsidR="00581DB2" w:rsidRPr="00B10AF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confitería </w:t>
      </w:r>
      <w:r w:rsidR="00581DB2" w:rsidRPr="00B10AFF">
        <w:rPr>
          <w:rFonts w:ascii="Arial" w:hAnsi="Arial" w:cs="Arial"/>
          <w:sz w:val="24"/>
          <w:szCs w:val="24"/>
        </w:rPr>
        <w:t>aumentaron 25.</w:t>
      </w:r>
      <w:r w:rsidR="00C83AED" w:rsidRPr="00B10AFF">
        <w:rPr>
          <w:rFonts w:ascii="Arial" w:hAnsi="Arial" w:cs="Arial"/>
          <w:sz w:val="24"/>
          <w:szCs w:val="24"/>
        </w:rPr>
        <w:t>7</w:t>
      </w:r>
      <w:r w:rsidR="0086379B" w:rsidRPr="00B10AFF">
        <w:rPr>
          <w:rFonts w:ascii="Arial" w:hAnsi="Arial" w:cs="Arial"/>
          <w:sz w:val="24"/>
          <w:szCs w:val="24"/>
        </w:rPr>
        <w:t> </w:t>
      </w:r>
      <w:r w:rsidR="00581DB2" w:rsidRPr="00B10AFF">
        <w:rPr>
          <w:rFonts w:ascii="Arial" w:hAnsi="Arial" w:cs="Arial"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</w:t>
      </w:r>
      <w:r w:rsidR="00AA3837">
        <w:rPr>
          <w:rFonts w:ascii="Arial" w:hAnsi="Arial" w:cs="Arial"/>
          <w:sz w:val="24"/>
          <w:szCs w:val="24"/>
        </w:rPr>
        <w:t>e</w:t>
      </w:r>
      <w:r w:rsidR="00AA3837" w:rsidRPr="003E189D">
        <w:rPr>
          <w:rFonts w:ascii="Arial" w:hAnsi="Arial" w:cs="Arial"/>
          <w:sz w:val="24"/>
          <w:szCs w:val="24"/>
        </w:rPr>
        <w:t xml:space="preserve">n 2022 </w:t>
      </w:r>
      <w:r w:rsidR="00581DB2" w:rsidRPr="00B10AFF">
        <w:rPr>
          <w:rFonts w:ascii="Arial" w:hAnsi="Arial" w:cs="Arial"/>
          <w:sz w:val="24"/>
          <w:szCs w:val="24"/>
        </w:rPr>
        <w:t>respecto a 2021</w:t>
      </w:r>
      <w:r w:rsidR="00F17232">
        <w:rPr>
          <w:rFonts w:ascii="Arial" w:hAnsi="Arial" w:cs="Arial"/>
          <w:sz w:val="24"/>
          <w:szCs w:val="24"/>
        </w:rPr>
        <w:t xml:space="preserve"> y</w:t>
      </w:r>
      <w:r>
        <w:rPr>
          <w:rFonts w:ascii="Arial" w:hAnsi="Arial" w:cs="Arial"/>
          <w:sz w:val="24"/>
          <w:szCs w:val="24"/>
        </w:rPr>
        <w:t xml:space="preserve"> </w:t>
      </w:r>
      <w:r w:rsidR="00F17232">
        <w:rPr>
          <w:rFonts w:ascii="Arial" w:hAnsi="Arial" w:cs="Arial"/>
          <w:sz w:val="24"/>
          <w:szCs w:val="24"/>
        </w:rPr>
        <w:t>l</w:t>
      </w:r>
      <w:r w:rsidR="00C3525B" w:rsidRPr="00B10AFF">
        <w:rPr>
          <w:rFonts w:ascii="Arial" w:hAnsi="Arial" w:cs="Arial"/>
          <w:sz w:val="24"/>
          <w:szCs w:val="24"/>
        </w:rPr>
        <w:t>as importaciones</w:t>
      </w:r>
      <w:r w:rsidR="00AF719D">
        <w:rPr>
          <w:rFonts w:ascii="Arial" w:hAnsi="Arial" w:cs="Arial"/>
          <w:sz w:val="24"/>
          <w:szCs w:val="24"/>
        </w:rPr>
        <w:t>,</w:t>
      </w:r>
      <w:r w:rsidR="00C3525B" w:rsidRPr="00B10AFF">
        <w:rPr>
          <w:rFonts w:ascii="Arial" w:hAnsi="Arial" w:cs="Arial"/>
          <w:sz w:val="24"/>
          <w:szCs w:val="24"/>
        </w:rPr>
        <w:t xml:space="preserve"> </w:t>
      </w:r>
      <w:r w:rsidR="00550398" w:rsidRPr="00B10AFF">
        <w:rPr>
          <w:rFonts w:ascii="Arial" w:hAnsi="Arial" w:cs="Arial"/>
          <w:sz w:val="24"/>
          <w:szCs w:val="24"/>
        </w:rPr>
        <w:t>3</w:t>
      </w:r>
      <w:r w:rsidR="00036322" w:rsidRPr="00B10AFF">
        <w:rPr>
          <w:rFonts w:ascii="Arial" w:hAnsi="Arial" w:cs="Arial"/>
          <w:sz w:val="24"/>
          <w:szCs w:val="24"/>
        </w:rPr>
        <w:t>0</w:t>
      </w:r>
      <w:r w:rsidR="00550398" w:rsidRPr="00B10AFF">
        <w:rPr>
          <w:rFonts w:ascii="Arial" w:hAnsi="Arial" w:cs="Arial"/>
          <w:sz w:val="24"/>
          <w:szCs w:val="24"/>
        </w:rPr>
        <w:t>.</w:t>
      </w:r>
      <w:r w:rsidR="00A07CF9" w:rsidRPr="00B10AFF">
        <w:rPr>
          <w:rFonts w:ascii="Arial" w:hAnsi="Arial" w:cs="Arial"/>
          <w:sz w:val="24"/>
          <w:szCs w:val="24"/>
        </w:rPr>
        <w:t>3</w:t>
      </w:r>
      <w:r w:rsidR="00550398" w:rsidRPr="00B10AFF">
        <w:rPr>
          <w:rFonts w:ascii="Arial" w:hAnsi="Arial" w:cs="Arial"/>
          <w:sz w:val="24"/>
          <w:szCs w:val="24"/>
        </w:rPr>
        <w:t> </w:t>
      </w:r>
      <w:r w:rsidR="00C3525B" w:rsidRPr="00B10AFF">
        <w:rPr>
          <w:rFonts w:ascii="Arial" w:hAnsi="Arial" w:cs="Arial"/>
          <w:sz w:val="24"/>
          <w:szCs w:val="24"/>
        </w:rPr>
        <w:t>por ciento.</w:t>
      </w:r>
    </w:p>
    <w:p w14:paraId="2B75643E" w14:textId="77777777" w:rsidR="004B60D6" w:rsidRDefault="004B60D6" w:rsidP="004B60D6">
      <w:pPr>
        <w:spacing w:after="0" w:line="240" w:lineRule="auto"/>
        <w:ind w:left="-567" w:right="-516"/>
        <w:jc w:val="both"/>
        <w:rPr>
          <w:rFonts w:ascii="Arial" w:hAnsi="Arial" w:cs="Arial"/>
          <w:sz w:val="24"/>
          <w:szCs w:val="24"/>
        </w:rPr>
      </w:pPr>
    </w:p>
    <w:p w14:paraId="1E8A2DFE" w14:textId="43B337CE" w:rsidR="004B60D6" w:rsidRPr="00B10AFF" w:rsidRDefault="004B60D6" w:rsidP="00B10AFF">
      <w:pPr>
        <w:spacing w:after="0" w:line="240" w:lineRule="auto"/>
        <w:ind w:left="-567" w:right="-516"/>
        <w:jc w:val="center"/>
        <w:rPr>
          <w:rFonts w:ascii="Arial" w:hAnsi="Arial" w:cs="Arial"/>
          <w:sz w:val="20"/>
          <w:szCs w:val="20"/>
        </w:rPr>
      </w:pPr>
      <w:r w:rsidRPr="00B10AFF">
        <w:rPr>
          <w:rFonts w:ascii="Arial" w:hAnsi="Arial" w:cs="Arial"/>
          <w:sz w:val="20"/>
          <w:szCs w:val="20"/>
        </w:rPr>
        <w:lastRenderedPageBreak/>
        <w:t xml:space="preserve">Gráfica </w:t>
      </w:r>
      <w:r w:rsidR="005D626C">
        <w:rPr>
          <w:rFonts w:ascii="Arial" w:hAnsi="Arial" w:cs="Arial"/>
          <w:sz w:val="20"/>
          <w:szCs w:val="20"/>
        </w:rPr>
        <w:t>6</w:t>
      </w:r>
    </w:p>
    <w:p w14:paraId="6C451BCC" w14:textId="6C8F9D85" w:rsidR="00581DB2" w:rsidRPr="00B10AFF" w:rsidRDefault="00581DB2" w:rsidP="005250D5">
      <w:pPr>
        <w:spacing w:after="0" w:line="240" w:lineRule="auto"/>
        <w:ind w:left="-567" w:right="-516"/>
        <w:jc w:val="center"/>
        <w:rPr>
          <w:rFonts w:ascii="Arial Negrita" w:hAnsi="Arial Negrita" w:cs="Arial"/>
          <w:b/>
          <w:bCs/>
          <w:smallCaps/>
        </w:rPr>
      </w:pPr>
      <w:r w:rsidRPr="00B10AFF">
        <w:rPr>
          <w:rFonts w:ascii="Arial Negrita" w:hAnsi="Arial Negrita" w:cs="Arial"/>
          <w:b/>
          <w:bCs/>
          <w:smallCaps/>
        </w:rPr>
        <w:t>Comercio exterior del</w:t>
      </w:r>
      <w:r w:rsidR="0091521F" w:rsidRPr="00B10AFF">
        <w:rPr>
          <w:rFonts w:ascii="Arial Negrita" w:hAnsi="Arial Negrita" w:cs="Arial"/>
          <w:b/>
          <w:bCs/>
          <w:smallCaps/>
        </w:rPr>
        <w:t xml:space="preserve"> chocolate y materias primas derivadas del cacao y confitería</w:t>
      </w:r>
    </w:p>
    <w:p w14:paraId="63AEFC26" w14:textId="77777777" w:rsidR="00346CB7" w:rsidRDefault="00346CB7" w:rsidP="005250D5">
      <w:pPr>
        <w:spacing w:after="0" w:line="240" w:lineRule="auto"/>
        <w:ind w:right="-516"/>
        <w:jc w:val="center"/>
        <w:rPr>
          <w:rFonts w:ascii="Arial" w:hAnsi="Arial" w:cs="Arial"/>
          <w:sz w:val="18"/>
          <w:szCs w:val="18"/>
        </w:rPr>
      </w:pPr>
      <w:r w:rsidRPr="00B10AFF">
        <w:rPr>
          <w:rFonts w:ascii="Arial" w:hAnsi="Arial" w:cs="Arial"/>
          <w:sz w:val="18"/>
          <w:szCs w:val="18"/>
        </w:rPr>
        <w:t>(Millones de dólares)</w:t>
      </w:r>
    </w:p>
    <w:p w14:paraId="0FB43D03" w14:textId="77777777" w:rsidR="009541E2" w:rsidRDefault="009541E2" w:rsidP="005250D5">
      <w:pPr>
        <w:spacing w:after="0" w:line="240" w:lineRule="auto"/>
        <w:ind w:right="-516"/>
        <w:jc w:val="center"/>
        <w:rPr>
          <w:rFonts w:ascii="Arial" w:hAnsi="Arial" w:cs="Arial"/>
          <w:sz w:val="18"/>
          <w:szCs w:val="18"/>
        </w:rPr>
      </w:pPr>
    </w:p>
    <w:p w14:paraId="060C3330" w14:textId="77777777" w:rsidR="009541E2" w:rsidRPr="00B10AFF" w:rsidRDefault="009541E2" w:rsidP="005250D5">
      <w:pPr>
        <w:spacing w:after="0" w:line="240" w:lineRule="auto"/>
        <w:ind w:right="-516"/>
        <w:jc w:val="center"/>
        <w:rPr>
          <w:rFonts w:ascii="Arial" w:hAnsi="Arial" w:cs="Arial"/>
          <w:sz w:val="18"/>
          <w:szCs w:val="18"/>
        </w:rPr>
      </w:pPr>
    </w:p>
    <w:tbl>
      <w:tblPr>
        <w:tblStyle w:val="Tablaconcuadrcula"/>
        <w:tblW w:w="949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35"/>
        <w:gridCol w:w="4914"/>
      </w:tblGrid>
      <w:tr w:rsidR="004B4D4E" w:rsidRPr="00456CFB" w14:paraId="3E720A4F" w14:textId="77777777" w:rsidTr="00C053AD">
        <w:trPr>
          <w:jc w:val="center"/>
        </w:trPr>
        <w:tc>
          <w:tcPr>
            <w:tcW w:w="4288" w:type="dxa"/>
          </w:tcPr>
          <w:p w14:paraId="4502F2CD" w14:textId="77777777" w:rsidR="0086379B" w:rsidRPr="005C6E26" w:rsidRDefault="00346CB7" w:rsidP="005250D5">
            <w:pPr>
              <w:ind w:right="-516"/>
              <w:jc w:val="center"/>
              <w:rPr>
                <w:rFonts w:ascii="Arial Negrita" w:hAnsi="Arial Negrita" w:cs="Arial"/>
                <w:b/>
                <w:bCs/>
                <w:lang w:val="es-MX"/>
              </w:rPr>
            </w:pPr>
            <w:r w:rsidRPr="005C6E26">
              <w:rPr>
                <w:rFonts w:ascii="Arial Negrita" w:hAnsi="Arial Negrita" w:cs="Arial"/>
                <w:b/>
                <w:bCs/>
                <w:lang w:val="es-MX"/>
              </w:rPr>
              <w:t>Chocolate y materias primas</w:t>
            </w:r>
          </w:p>
          <w:p w14:paraId="1E6632ED" w14:textId="36F7B75D" w:rsidR="00346CB7" w:rsidRPr="005C6E26" w:rsidRDefault="0086379B" w:rsidP="005250D5">
            <w:pPr>
              <w:ind w:right="-516"/>
              <w:jc w:val="center"/>
              <w:rPr>
                <w:rFonts w:ascii="Arial Negrita" w:hAnsi="Arial Negrita" w:cs="Arial"/>
                <w:b/>
                <w:bCs/>
                <w:lang w:val="es-MX"/>
              </w:rPr>
            </w:pPr>
            <w:r w:rsidRPr="005C6E26">
              <w:rPr>
                <w:rFonts w:ascii="Arial Negrita" w:hAnsi="Arial Negrita" w:cs="Arial"/>
                <w:b/>
                <w:bCs/>
                <w:lang w:val="es-MX"/>
              </w:rPr>
              <w:t>d</w:t>
            </w:r>
            <w:r w:rsidR="00346CB7" w:rsidRPr="005C6E26">
              <w:rPr>
                <w:rFonts w:ascii="Arial Negrita" w:hAnsi="Arial Negrita" w:cs="Arial"/>
                <w:b/>
                <w:bCs/>
                <w:lang w:val="es-MX"/>
              </w:rPr>
              <w:t>erivadas</w:t>
            </w:r>
            <w:r w:rsidRPr="005C6E26">
              <w:rPr>
                <w:rFonts w:ascii="Arial Negrita" w:hAnsi="Arial Negrita" w:cs="Arial"/>
                <w:b/>
                <w:bCs/>
                <w:lang w:val="es-MX"/>
              </w:rPr>
              <w:t xml:space="preserve"> </w:t>
            </w:r>
            <w:r w:rsidR="00346CB7" w:rsidRPr="005C6E26">
              <w:rPr>
                <w:rFonts w:ascii="Arial Negrita" w:hAnsi="Arial Negrita" w:cs="Arial"/>
                <w:b/>
                <w:bCs/>
                <w:lang w:val="es-MX"/>
              </w:rPr>
              <w:t>del cacao</w:t>
            </w:r>
          </w:p>
          <w:p w14:paraId="6BF61992" w14:textId="3AEC13C6" w:rsidR="00D27D7B" w:rsidRPr="00456CFB" w:rsidRDefault="0059725B" w:rsidP="009D2249">
            <w:pPr>
              <w:ind w:right="-516"/>
              <w:jc w:val="both"/>
              <w:rPr>
                <w:rFonts w:ascii="Arial" w:hAnsi="Arial" w:cs="Arial"/>
                <w:lang w:val="es-MX"/>
              </w:rPr>
            </w:pPr>
            <w:r>
              <w:rPr>
                <w:noProof/>
              </w:rPr>
              <w:drawing>
                <wp:inline distT="0" distB="0" distL="0" distR="0" wp14:anchorId="0DBF5DC9" wp14:editId="721F9079">
                  <wp:extent cx="2981740" cy="2146300"/>
                  <wp:effectExtent l="0" t="0" r="0" b="6350"/>
                  <wp:docPr id="654021554" name="Gráfico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D1A3084-70CD-11C3-E5D3-F658404ADE2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5"/>
                    </a:graphicData>
                  </a:graphic>
                </wp:inline>
              </w:drawing>
            </w:r>
          </w:p>
        </w:tc>
        <w:tc>
          <w:tcPr>
            <w:tcW w:w="5205" w:type="dxa"/>
          </w:tcPr>
          <w:p w14:paraId="61A4E35F" w14:textId="190219F6" w:rsidR="00D27D7B" w:rsidRPr="005C6E26" w:rsidRDefault="00581DB2" w:rsidP="005250D5">
            <w:pPr>
              <w:ind w:right="-516"/>
              <w:jc w:val="center"/>
              <w:rPr>
                <w:rFonts w:ascii="Arial Negrita" w:hAnsi="Arial Negrita" w:cs="Arial"/>
                <w:b/>
                <w:bCs/>
                <w:lang w:val="es-MX"/>
              </w:rPr>
            </w:pPr>
            <w:r w:rsidRPr="005C6E26">
              <w:rPr>
                <w:rFonts w:ascii="Arial Negrita" w:hAnsi="Arial Negrita" w:cs="Arial"/>
                <w:b/>
                <w:bCs/>
                <w:lang w:val="es-MX"/>
              </w:rPr>
              <w:t>Confitería</w:t>
            </w:r>
          </w:p>
          <w:p w14:paraId="5B3FECF3" w14:textId="51BE73CC" w:rsidR="00D27D7B" w:rsidRPr="00456CFB" w:rsidRDefault="00C053AD" w:rsidP="009D2249">
            <w:pPr>
              <w:ind w:right="-516"/>
              <w:jc w:val="both"/>
              <w:rPr>
                <w:rFonts w:ascii="Arial" w:hAnsi="Arial" w:cs="Arial"/>
                <w:lang w:val="es-MX"/>
              </w:rPr>
            </w:pPr>
            <w:r>
              <w:rPr>
                <w:noProof/>
              </w:rPr>
              <w:drawing>
                <wp:inline distT="0" distB="0" distL="0" distR="0" wp14:anchorId="126D3845" wp14:editId="233B6486">
                  <wp:extent cx="3031711" cy="2305050"/>
                  <wp:effectExtent l="0" t="0" r="0" b="0"/>
                  <wp:docPr id="1682093223" name="Gráfico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E1480F1-0C48-E30E-A8A6-48CC3D29573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6"/>
                    </a:graphicData>
                  </a:graphic>
                </wp:inline>
              </w:drawing>
            </w:r>
          </w:p>
        </w:tc>
      </w:tr>
    </w:tbl>
    <w:p w14:paraId="74682725" w14:textId="15D34529" w:rsidR="00D27D7B" w:rsidRPr="001A636B" w:rsidRDefault="00DD1133" w:rsidP="00B10AFF">
      <w:pPr>
        <w:spacing w:after="0" w:line="240" w:lineRule="auto"/>
        <w:ind w:left="567" w:right="-93" w:hanging="709"/>
        <w:rPr>
          <w:rFonts w:ascii="Arial" w:hAnsi="Arial" w:cs="Arial"/>
          <w:sz w:val="18"/>
          <w:szCs w:val="18"/>
        </w:rPr>
      </w:pPr>
      <w:r w:rsidRPr="001A636B">
        <w:rPr>
          <w:rFonts w:ascii="Arial" w:hAnsi="Arial" w:cs="Arial"/>
          <w:sz w:val="18"/>
          <w:szCs w:val="18"/>
        </w:rPr>
        <w:t>Fuente: Servicio de Administración Tributaria, Secretaría de Economía, Banco de México e INEGI. Balanza Comercial de Mercancías de México</w:t>
      </w:r>
    </w:p>
    <w:p w14:paraId="241919BB" w14:textId="77777777" w:rsidR="00BB5398" w:rsidRDefault="00BB5398" w:rsidP="004D42A6">
      <w:pPr>
        <w:autoSpaceDE w:val="0"/>
        <w:autoSpaceDN w:val="0"/>
        <w:adjustRightInd w:val="0"/>
        <w:spacing w:after="0" w:line="240" w:lineRule="auto"/>
        <w:ind w:left="-579" w:right="-518"/>
        <w:jc w:val="both"/>
        <w:rPr>
          <w:rFonts w:ascii="Arial" w:hAnsi="Arial" w:cs="Arial"/>
          <w:sz w:val="24"/>
          <w:szCs w:val="24"/>
        </w:rPr>
      </w:pPr>
    </w:p>
    <w:p w14:paraId="19348F08" w14:textId="0BBA9281" w:rsidR="005C3673" w:rsidRPr="00B10AFF" w:rsidRDefault="005C3673" w:rsidP="004D42A6">
      <w:pPr>
        <w:autoSpaceDE w:val="0"/>
        <w:autoSpaceDN w:val="0"/>
        <w:adjustRightInd w:val="0"/>
        <w:spacing w:after="0" w:line="240" w:lineRule="auto"/>
        <w:ind w:left="-579" w:right="-518"/>
        <w:jc w:val="both"/>
        <w:rPr>
          <w:rFonts w:ascii="Arial" w:hAnsi="Arial" w:cs="Arial"/>
          <w:sz w:val="24"/>
          <w:szCs w:val="24"/>
        </w:rPr>
      </w:pPr>
      <w:r w:rsidRPr="00B10AFF">
        <w:rPr>
          <w:rFonts w:ascii="Arial" w:hAnsi="Arial" w:cs="Arial"/>
          <w:sz w:val="24"/>
          <w:szCs w:val="24"/>
        </w:rPr>
        <w:t xml:space="preserve">En 2021, </w:t>
      </w:r>
      <w:r w:rsidR="007B3D57" w:rsidRPr="007B3D57">
        <w:rPr>
          <w:rFonts w:ascii="Arial" w:hAnsi="Arial" w:cs="Arial"/>
          <w:sz w:val="24"/>
          <w:szCs w:val="24"/>
        </w:rPr>
        <w:t>Estados Unidos de América fue el principal destino de las exportaciones mexicanas de chocolates y sus productos, con 97.8 % del total y un valor de 750.8 millones de dólares. Nicaragua, Guatemala, Canadá y Puerto Rico tuvieron una participación</w:t>
      </w:r>
      <w:r w:rsidR="00830A04">
        <w:rPr>
          <w:rFonts w:ascii="Arial" w:hAnsi="Arial" w:cs="Arial"/>
          <w:sz w:val="24"/>
          <w:szCs w:val="24"/>
        </w:rPr>
        <w:t xml:space="preserve"> de menor magnitud</w:t>
      </w:r>
      <w:r w:rsidR="007B3D57" w:rsidRPr="007B3D57">
        <w:rPr>
          <w:rFonts w:ascii="Arial" w:hAnsi="Arial" w:cs="Arial"/>
          <w:sz w:val="24"/>
          <w:szCs w:val="24"/>
        </w:rPr>
        <w:t>.</w:t>
      </w:r>
    </w:p>
    <w:p w14:paraId="475CFF32" w14:textId="77777777" w:rsidR="005C3673" w:rsidRPr="00B10AFF" w:rsidRDefault="005C3673" w:rsidP="004D42A6">
      <w:pPr>
        <w:autoSpaceDE w:val="0"/>
        <w:autoSpaceDN w:val="0"/>
        <w:adjustRightInd w:val="0"/>
        <w:spacing w:after="0" w:line="240" w:lineRule="auto"/>
        <w:ind w:left="-579" w:right="-518"/>
        <w:jc w:val="both"/>
        <w:rPr>
          <w:rFonts w:ascii="Arial" w:hAnsi="Arial" w:cs="Arial"/>
          <w:sz w:val="24"/>
          <w:szCs w:val="24"/>
        </w:rPr>
      </w:pPr>
    </w:p>
    <w:p w14:paraId="08C82431" w14:textId="0BBED324" w:rsidR="005C3673" w:rsidRPr="00B10AFF" w:rsidRDefault="007B3D57" w:rsidP="004D42A6">
      <w:pPr>
        <w:autoSpaceDE w:val="0"/>
        <w:autoSpaceDN w:val="0"/>
        <w:adjustRightInd w:val="0"/>
        <w:ind w:left="-579" w:right="-518"/>
        <w:jc w:val="both"/>
        <w:rPr>
          <w:rFonts w:ascii="Arial" w:hAnsi="Arial" w:cs="Arial"/>
          <w:sz w:val="24"/>
          <w:szCs w:val="24"/>
        </w:rPr>
      </w:pPr>
      <w:r w:rsidRPr="007B3D57">
        <w:rPr>
          <w:rFonts w:ascii="Arial" w:hAnsi="Arial" w:cs="Arial"/>
          <w:sz w:val="24"/>
          <w:szCs w:val="24"/>
        </w:rPr>
        <w:t xml:space="preserve">En lo referente a las importaciones de chocolates y sus productos, también Estados Unidos de América destacó como el principal proveedor, </w:t>
      </w:r>
      <w:r w:rsidR="00EA46A1">
        <w:rPr>
          <w:rFonts w:ascii="Arial" w:hAnsi="Arial" w:cs="Arial"/>
          <w:sz w:val="24"/>
          <w:szCs w:val="24"/>
        </w:rPr>
        <w:t xml:space="preserve">con </w:t>
      </w:r>
      <w:r w:rsidRPr="007B3D57">
        <w:rPr>
          <w:rFonts w:ascii="Arial" w:hAnsi="Arial" w:cs="Arial"/>
          <w:sz w:val="24"/>
          <w:szCs w:val="24"/>
        </w:rPr>
        <w:t>198.6 millones de dólares (57.2 %). Siguieron Canadá, Países Bajos, Alemania, Bélgica, Italia, Ecuador, China, Malasia y España</w:t>
      </w:r>
      <w:r w:rsidR="005B64CF">
        <w:rPr>
          <w:rFonts w:ascii="Arial" w:hAnsi="Arial" w:cs="Arial"/>
          <w:sz w:val="24"/>
          <w:szCs w:val="24"/>
        </w:rPr>
        <w:t>.</w:t>
      </w:r>
    </w:p>
    <w:p w14:paraId="6DA8A4C0" w14:textId="77777777" w:rsidR="005C3673" w:rsidRPr="00B10AFF" w:rsidRDefault="005C3673" w:rsidP="005C3673">
      <w:pPr>
        <w:autoSpaceDE w:val="0"/>
        <w:autoSpaceDN w:val="0"/>
        <w:adjustRightInd w:val="0"/>
        <w:ind w:left="-579" w:right="-518"/>
        <w:rPr>
          <w:rFonts w:ascii="Arial" w:hAnsi="Arial" w:cs="Arial"/>
          <w:sz w:val="24"/>
          <w:szCs w:val="24"/>
        </w:rPr>
      </w:pPr>
    </w:p>
    <w:p w14:paraId="10CE9A51" w14:textId="5A1ED332" w:rsidR="00407C0F" w:rsidRDefault="00407C0F" w:rsidP="005C3673">
      <w:pPr>
        <w:autoSpaceDE w:val="0"/>
        <w:autoSpaceDN w:val="0"/>
        <w:adjustRightInd w:val="0"/>
        <w:ind w:left="-579" w:right="-518"/>
        <w:rPr>
          <w:rFonts w:ascii="Arial" w:hAnsi="Arial" w:cs="Arial"/>
          <w:sz w:val="24"/>
          <w:szCs w:val="24"/>
        </w:rPr>
      </w:pPr>
      <w:r w:rsidRPr="00B10AFF">
        <w:rPr>
          <w:rFonts w:ascii="Arial" w:hAnsi="Arial" w:cs="Arial"/>
          <w:sz w:val="24"/>
          <w:szCs w:val="24"/>
        </w:rPr>
        <w:t xml:space="preserve">Información más detallada se puede consultar en el documento disponible en internet: </w:t>
      </w:r>
    </w:p>
    <w:p w14:paraId="6B9202F6" w14:textId="202BE4CF" w:rsidR="00096BC4" w:rsidRPr="00ED37A4" w:rsidRDefault="00096BC4" w:rsidP="005C3673">
      <w:pPr>
        <w:autoSpaceDE w:val="0"/>
        <w:autoSpaceDN w:val="0"/>
        <w:adjustRightInd w:val="0"/>
        <w:ind w:left="-579" w:right="-518"/>
        <w:rPr>
          <w:rStyle w:val="Hipervnculo"/>
          <w:rFonts w:ascii="Arial" w:hAnsi="Arial" w:cs="Arial"/>
        </w:rPr>
      </w:pPr>
      <w:r w:rsidRPr="00096BC4">
        <w:rPr>
          <w:rStyle w:val="Hipervnculo"/>
          <w:rFonts w:ascii="Arial" w:hAnsi="Arial" w:cs="Arial"/>
        </w:rPr>
        <w:t>https://www.inegi.org.mx/app/biblioteca/ficha.html?upc=889463911999</w:t>
      </w:r>
    </w:p>
    <w:tbl>
      <w:tblPr>
        <w:tblStyle w:val="Tablaconcuadrcula"/>
        <w:tblW w:w="5786" w:type="dxa"/>
        <w:tblInd w:w="15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3234"/>
      </w:tblGrid>
      <w:tr w:rsidR="00B47558" w:rsidRPr="00456CFB" w14:paraId="5806BAAF" w14:textId="77777777" w:rsidTr="00F13624">
        <w:trPr>
          <w:trHeight w:val="470"/>
        </w:trPr>
        <w:tc>
          <w:tcPr>
            <w:tcW w:w="2552" w:type="dxa"/>
            <w:vAlign w:val="bottom"/>
          </w:tcPr>
          <w:p w14:paraId="6102D38A" w14:textId="6E7C6A44" w:rsidR="00B47558" w:rsidRPr="00456CFB" w:rsidRDefault="00000000" w:rsidP="00796F99">
            <w:pPr>
              <w:pStyle w:val="Piedepgina"/>
              <w:jc w:val="center"/>
              <w:rPr>
                <w:rStyle w:val="Hipervnculo"/>
                <w:rFonts w:ascii="Arial" w:hAnsi="Arial" w:cs="Arial"/>
                <w:color w:val="4472C4" w:themeColor="accent1"/>
                <w:lang w:val="es-MX"/>
              </w:rPr>
            </w:pPr>
            <w:hyperlink r:id="rId17" w:history="1">
              <w:r w:rsidR="001E280C" w:rsidRPr="001E280C">
                <w:rPr>
                  <w:rStyle w:val="Hipervnculo"/>
                  <w:rFonts w:ascii="Arial" w:hAnsi="Arial" w:cs="Arial"/>
                  <w:lang w:val="es-MX"/>
                </w:rPr>
                <w:t>https://inegi.org.mx/</w:t>
              </w:r>
            </w:hyperlink>
          </w:p>
          <w:p w14:paraId="447A453A" w14:textId="77777777" w:rsidR="00B47558" w:rsidRPr="00456CFB" w:rsidRDefault="00B47558" w:rsidP="00796F99">
            <w:pPr>
              <w:pStyle w:val="Piedepgina"/>
              <w:jc w:val="center"/>
              <w:rPr>
                <w:rFonts w:ascii="Arial" w:hAnsi="Arial" w:cs="Arial"/>
                <w:color w:val="4472C4" w:themeColor="accent1"/>
                <w:u w:val="single"/>
                <w:lang w:val="es-MX"/>
              </w:rPr>
            </w:pPr>
            <w:r w:rsidRPr="00456CFB">
              <w:rPr>
                <w:rStyle w:val="Hipervnculo"/>
                <w:rFonts w:ascii="Arial" w:hAnsi="Arial" w:cs="Arial"/>
                <w:color w:val="4472C4" w:themeColor="accent1"/>
                <w:lang w:val="es-MX"/>
              </w:rPr>
              <w:t>@INEGI_INFORMA</w:t>
            </w:r>
          </w:p>
        </w:tc>
        <w:tc>
          <w:tcPr>
            <w:tcW w:w="3234" w:type="dxa"/>
            <w:vAlign w:val="center"/>
          </w:tcPr>
          <w:p w14:paraId="21BE91B9" w14:textId="6CCE542C" w:rsidR="00937070" w:rsidRPr="00456CFB" w:rsidRDefault="00000000" w:rsidP="00937070">
            <w:pPr>
              <w:ind w:left="-109"/>
              <w:jc w:val="center"/>
              <w:rPr>
                <w:rFonts w:ascii="Arial" w:hAnsi="Arial" w:cs="Arial"/>
                <w:lang w:val="es-MX"/>
              </w:rPr>
            </w:pPr>
            <w:hyperlink r:id="rId18" w:history="1">
              <w:r w:rsidR="00AC1D04" w:rsidRPr="00456CFB">
                <w:rPr>
                  <w:rStyle w:val="Hipervnculo"/>
                  <w:rFonts w:ascii="Arial" w:hAnsi="Arial" w:cs="Arial"/>
                  <w:lang w:val="es-MX"/>
                </w:rPr>
                <w:t>https://confimex.org.mx/</w:t>
              </w:r>
            </w:hyperlink>
          </w:p>
          <w:p w14:paraId="26E91CE8" w14:textId="14ABC4C0" w:rsidR="00B47558" w:rsidRPr="00456CFB" w:rsidRDefault="00937070" w:rsidP="00937070">
            <w:pPr>
              <w:ind w:left="-109"/>
              <w:jc w:val="center"/>
              <w:rPr>
                <w:rFonts w:ascii="Arial" w:hAnsi="Arial" w:cs="Arial"/>
                <w:color w:val="4472C4" w:themeColor="accent1"/>
                <w:lang w:val="es-MX"/>
              </w:rPr>
            </w:pPr>
            <w:r w:rsidRPr="00456CFB">
              <w:rPr>
                <w:rFonts w:ascii="Arial" w:hAnsi="Arial" w:cs="Arial"/>
                <w:color w:val="4472C4" w:themeColor="accent1"/>
                <w:lang w:val="es-MX"/>
              </w:rPr>
              <w:t>@</w:t>
            </w:r>
            <w:r w:rsidR="00AC1D04" w:rsidRPr="00456CFB">
              <w:rPr>
                <w:rFonts w:ascii="Arial" w:hAnsi="Arial" w:cs="Arial"/>
                <w:color w:val="4472C4" w:themeColor="accent1"/>
                <w:lang w:val="es-MX"/>
              </w:rPr>
              <w:t xml:space="preserve">ASCHOCO </w:t>
            </w:r>
          </w:p>
        </w:tc>
      </w:tr>
    </w:tbl>
    <w:p w14:paraId="1534B394" w14:textId="4D70B76C" w:rsidR="00415EBB" w:rsidRDefault="00415EBB" w:rsidP="00DE0660">
      <w:pPr>
        <w:ind w:left="-567" w:right="-518"/>
        <w:jc w:val="center"/>
        <w:rPr>
          <w:rFonts w:ascii="Arial" w:hAnsi="Arial" w:cs="Arial"/>
          <w:b/>
        </w:rPr>
      </w:pPr>
    </w:p>
    <w:sectPr w:rsidR="00415EBB" w:rsidSect="00AC1D04">
      <w:headerReference w:type="default" r:id="rId19"/>
      <w:footerReference w:type="default" r:id="rId20"/>
      <w:type w:val="continuous"/>
      <w:pgSz w:w="12240" w:h="15840"/>
      <w:pgMar w:top="1417" w:right="1701" w:bottom="567" w:left="1701" w:header="568" w:footer="5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5F4574" w14:textId="77777777" w:rsidR="005B256B" w:rsidRDefault="005B256B" w:rsidP="00407C0F">
      <w:pPr>
        <w:spacing w:after="0" w:line="240" w:lineRule="auto"/>
      </w:pPr>
      <w:r>
        <w:separator/>
      </w:r>
    </w:p>
  </w:endnote>
  <w:endnote w:type="continuationSeparator" w:id="0">
    <w:p w14:paraId="3E94DA0F" w14:textId="77777777" w:rsidR="005B256B" w:rsidRDefault="005B256B" w:rsidP="00407C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egrita">
    <w:panose1 w:val="020B07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8FB599" w14:textId="77777777" w:rsidR="00B47558" w:rsidRPr="00B10AFF" w:rsidRDefault="00B47558" w:rsidP="00B47558">
    <w:pPr>
      <w:pStyle w:val="Piedepgina"/>
      <w:jc w:val="center"/>
      <w:rPr>
        <w:rFonts w:ascii="Arial" w:hAnsi="Arial" w:cs="Arial"/>
        <w:b/>
        <w:color w:val="002060"/>
        <w:sz w:val="20"/>
        <w:szCs w:val="20"/>
      </w:rPr>
    </w:pPr>
    <w:r w:rsidRPr="00B10AFF">
      <w:rPr>
        <w:rFonts w:ascii="Arial" w:hAnsi="Arial" w:cs="Arial"/>
        <w:b/>
        <w:color w:val="002060"/>
        <w:sz w:val="20"/>
        <w:szCs w:val="20"/>
      </w:rPr>
      <w:t>COMUNICACIÓN SOCIAL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142166" w14:textId="77777777" w:rsidR="005B256B" w:rsidRDefault="005B256B" w:rsidP="00407C0F">
      <w:pPr>
        <w:spacing w:after="0" w:line="240" w:lineRule="auto"/>
      </w:pPr>
      <w:r>
        <w:separator/>
      </w:r>
    </w:p>
  </w:footnote>
  <w:footnote w:type="continuationSeparator" w:id="0">
    <w:p w14:paraId="6C17A2F6" w14:textId="77777777" w:rsidR="005B256B" w:rsidRDefault="005B256B" w:rsidP="00407C0F">
      <w:pPr>
        <w:spacing w:after="0" w:line="240" w:lineRule="auto"/>
      </w:pPr>
      <w:r>
        <w:continuationSeparator/>
      </w:r>
    </w:p>
  </w:footnote>
  <w:footnote w:id="1">
    <w:p w14:paraId="7A3ED23A" w14:textId="3F986DFE" w:rsidR="0097737D" w:rsidRDefault="00BA6699" w:rsidP="002D2E05">
      <w:pPr>
        <w:pStyle w:val="Textonotapie"/>
        <w:ind w:left="-567"/>
        <w:jc w:val="both"/>
        <w:rPr>
          <w:rFonts w:ascii="Arial" w:hAnsi="Arial" w:cs="Arial"/>
          <w:sz w:val="18"/>
          <w:szCs w:val="18"/>
        </w:rPr>
      </w:pPr>
      <w:r w:rsidRPr="00BA6699">
        <w:rPr>
          <w:rStyle w:val="Refdenotaalpie"/>
          <w:rFonts w:ascii="Arial" w:hAnsi="Arial" w:cs="Arial"/>
          <w:sz w:val="18"/>
          <w:szCs w:val="18"/>
        </w:rPr>
        <w:footnoteRef/>
      </w:r>
      <w:r w:rsidRPr="00BA6699">
        <w:rPr>
          <w:rFonts w:ascii="Arial" w:hAnsi="Arial" w:cs="Arial"/>
          <w:sz w:val="18"/>
          <w:szCs w:val="18"/>
        </w:rPr>
        <w:t xml:space="preserve"> Para obtener el valor de la producción a precios constantes, se utilizó el Índice Nacional de Precios</w:t>
      </w:r>
      <w:r w:rsidR="003B15F0">
        <w:rPr>
          <w:rFonts w:ascii="Arial" w:hAnsi="Arial" w:cs="Arial"/>
          <w:sz w:val="18"/>
          <w:szCs w:val="18"/>
        </w:rPr>
        <w:t xml:space="preserve"> </w:t>
      </w:r>
      <w:r w:rsidRPr="00BA6699">
        <w:rPr>
          <w:rFonts w:ascii="Arial" w:hAnsi="Arial" w:cs="Arial"/>
          <w:sz w:val="18"/>
          <w:szCs w:val="18"/>
        </w:rPr>
        <w:t>Productor (INPP),</w:t>
      </w:r>
    </w:p>
    <w:p w14:paraId="498538B6" w14:textId="733AEE79" w:rsidR="00BA6699" w:rsidRPr="00BA6699" w:rsidRDefault="0097737D" w:rsidP="0097737D">
      <w:pPr>
        <w:pStyle w:val="Textonotapie"/>
        <w:ind w:left="-56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</w:t>
      </w:r>
      <w:r w:rsidR="00BA6699" w:rsidRPr="00BA6699">
        <w:rPr>
          <w:rFonts w:ascii="Arial" w:hAnsi="Arial" w:cs="Arial"/>
          <w:sz w:val="18"/>
          <w:szCs w:val="18"/>
        </w:rPr>
        <w:t>base julio 2019=100, correspondiente al chocolate y al de la confitería.</w:t>
      </w:r>
      <w:r w:rsidR="003B15F0">
        <w:rPr>
          <w:rFonts w:ascii="Arial" w:hAnsi="Arial" w:cs="Arial"/>
          <w:sz w:val="18"/>
          <w:szCs w:val="18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9298B1" w14:textId="792815BA" w:rsidR="00407C0F" w:rsidRPr="000D42D4" w:rsidRDefault="00210D70" w:rsidP="00407C0F">
    <w:pPr>
      <w:pStyle w:val="Encabezado"/>
      <w:tabs>
        <w:tab w:val="clear" w:pos="4419"/>
        <w:tab w:val="clear" w:pos="8838"/>
      </w:tabs>
      <w:spacing w:before="120"/>
      <w:ind w:left="425" w:right="-518"/>
      <w:jc w:val="right"/>
      <w:rPr>
        <w:rFonts w:ascii="Arial" w:hAnsi="Arial" w:cs="Arial"/>
        <w:b/>
        <w:color w:val="002060"/>
        <w:sz w:val="24"/>
        <w:szCs w:val="24"/>
      </w:rPr>
    </w:pPr>
    <w:r w:rsidRPr="000D42D4">
      <w:rPr>
        <w:rFonts w:ascii="Arial" w:hAnsi="Arial" w:cs="Arial"/>
        <w:noProof/>
        <w:sz w:val="24"/>
        <w:szCs w:val="24"/>
        <w:lang w:eastAsia="es-MX"/>
      </w:rPr>
      <w:drawing>
        <wp:anchor distT="0" distB="0" distL="114300" distR="114300" simplePos="0" relativeHeight="251659264" behindDoc="0" locked="0" layoutInCell="1" allowOverlap="1" wp14:anchorId="3DFB9D6E" wp14:editId="4BF681FA">
          <wp:simplePos x="0" y="0"/>
          <wp:positionH relativeFrom="margin">
            <wp:posOffset>-358775</wp:posOffset>
          </wp:positionH>
          <wp:positionV relativeFrom="margin">
            <wp:posOffset>-734060</wp:posOffset>
          </wp:positionV>
          <wp:extent cx="648335" cy="674370"/>
          <wp:effectExtent l="0" t="0" r="0" b="0"/>
          <wp:wrapSquare wrapText="bothSides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335" cy="674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b/>
        <w:noProof/>
        <w:color w:val="002060"/>
        <w:sz w:val="24"/>
        <w:szCs w:val="24"/>
      </w:rPr>
      <w:drawing>
        <wp:anchor distT="0" distB="0" distL="114300" distR="114300" simplePos="0" relativeHeight="251660288" behindDoc="0" locked="0" layoutInCell="1" allowOverlap="1" wp14:anchorId="315A2A4D" wp14:editId="020BDA0A">
          <wp:simplePos x="0" y="0"/>
          <wp:positionH relativeFrom="column">
            <wp:posOffset>507365</wp:posOffset>
          </wp:positionH>
          <wp:positionV relativeFrom="paragraph">
            <wp:posOffset>107950</wp:posOffset>
          </wp:positionV>
          <wp:extent cx="2421255" cy="500380"/>
          <wp:effectExtent l="0" t="0" r="0" b="0"/>
          <wp:wrapNone/>
          <wp:docPr id="1936027194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1255" cy="5003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E0660" w:rsidRPr="000D42D4">
      <w:rPr>
        <w:rFonts w:ascii="Arial" w:hAnsi="Arial" w:cs="Arial"/>
        <w:noProof/>
        <w:sz w:val="24"/>
        <w:szCs w:val="24"/>
        <w:lang w:eastAsia="es-MX"/>
      </w:rPr>
      <w:t xml:space="preserve"> </w:t>
    </w:r>
    <w:r w:rsidR="00407C0F" w:rsidRPr="000D42D4">
      <w:rPr>
        <w:rFonts w:ascii="Arial" w:hAnsi="Arial" w:cs="Arial"/>
        <w:b/>
        <w:color w:val="002060"/>
        <w:sz w:val="24"/>
        <w:szCs w:val="24"/>
      </w:rPr>
      <w:t xml:space="preserve">COMUNICADO DE PRENSA NÚM. </w:t>
    </w:r>
    <w:r w:rsidR="006C613B">
      <w:rPr>
        <w:rFonts w:ascii="Arial" w:hAnsi="Arial" w:cs="Arial"/>
        <w:b/>
        <w:color w:val="002060"/>
        <w:sz w:val="24"/>
        <w:szCs w:val="24"/>
      </w:rPr>
      <w:t>533</w:t>
    </w:r>
    <w:r w:rsidR="00407C0F" w:rsidRPr="000D42D4">
      <w:rPr>
        <w:rFonts w:ascii="Arial" w:hAnsi="Arial" w:cs="Arial"/>
        <w:b/>
        <w:color w:val="002060"/>
        <w:sz w:val="24"/>
        <w:szCs w:val="24"/>
      </w:rPr>
      <w:t>/2</w:t>
    </w:r>
    <w:r w:rsidR="0065491E">
      <w:rPr>
        <w:rFonts w:ascii="Arial" w:hAnsi="Arial" w:cs="Arial"/>
        <w:b/>
        <w:color w:val="002060"/>
        <w:sz w:val="24"/>
        <w:szCs w:val="24"/>
      </w:rPr>
      <w:t>3</w:t>
    </w:r>
  </w:p>
  <w:p w14:paraId="03F8772D" w14:textId="09CFCAC3" w:rsidR="00407C0F" w:rsidRPr="000D42D4" w:rsidRDefault="00210D70" w:rsidP="00407C0F">
    <w:pPr>
      <w:pStyle w:val="Encabezado"/>
      <w:tabs>
        <w:tab w:val="clear" w:pos="4419"/>
        <w:tab w:val="clear" w:pos="8838"/>
      </w:tabs>
      <w:ind w:left="4252" w:right="-518" w:hanging="3827"/>
      <w:jc w:val="right"/>
      <w:rPr>
        <w:rFonts w:ascii="Arial" w:hAnsi="Arial" w:cs="Arial"/>
        <w:b/>
        <w:color w:val="002060"/>
        <w:sz w:val="24"/>
        <w:szCs w:val="24"/>
      </w:rPr>
    </w:pPr>
    <w:r>
      <w:rPr>
        <w:rFonts w:ascii="Arial" w:hAnsi="Arial" w:cs="Arial"/>
        <w:b/>
        <w:color w:val="002060"/>
        <w:sz w:val="24"/>
        <w:szCs w:val="24"/>
      </w:rPr>
      <w:t>4</w:t>
    </w:r>
    <w:r w:rsidR="00407C0F" w:rsidRPr="000D42D4">
      <w:rPr>
        <w:rFonts w:ascii="Arial" w:hAnsi="Arial" w:cs="Arial"/>
        <w:b/>
        <w:color w:val="002060"/>
        <w:sz w:val="24"/>
        <w:szCs w:val="24"/>
      </w:rPr>
      <w:t xml:space="preserve"> DE </w:t>
    </w:r>
    <w:r w:rsidR="0065491E">
      <w:rPr>
        <w:rFonts w:ascii="Arial" w:hAnsi="Arial" w:cs="Arial"/>
        <w:b/>
        <w:color w:val="002060"/>
        <w:sz w:val="24"/>
        <w:szCs w:val="24"/>
      </w:rPr>
      <w:t>SEPTIEMBRE</w:t>
    </w:r>
    <w:r w:rsidR="00407C0F" w:rsidRPr="000D42D4">
      <w:rPr>
        <w:rFonts w:ascii="Arial" w:hAnsi="Arial" w:cs="Arial"/>
        <w:b/>
        <w:color w:val="002060"/>
        <w:sz w:val="24"/>
        <w:szCs w:val="24"/>
      </w:rPr>
      <w:t xml:space="preserve"> DE 202</w:t>
    </w:r>
    <w:r w:rsidR="0065491E">
      <w:rPr>
        <w:rFonts w:ascii="Arial" w:hAnsi="Arial" w:cs="Arial"/>
        <w:b/>
        <w:color w:val="002060"/>
        <w:sz w:val="24"/>
        <w:szCs w:val="24"/>
      </w:rPr>
      <w:t>3</w:t>
    </w:r>
  </w:p>
  <w:p w14:paraId="6E00A7A7" w14:textId="3EB2CE22" w:rsidR="00407C0F" w:rsidRPr="000D42D4" w:rsidRDefault="00407C0F" w:rsidP="00407C0F">
    <w:pPr>
      <w:pStyle w:val="Encabezado"/>
      <w:tabs>
        <w:tab w:val="clear" w:pos="4419"/>
        <w:tab w:val="clear" w:pos="8838"/>
      </w:tabs>
      <w:ind w:left="426" w:right="-518"/>
      <w:jc w:val="right"/>
      <w:rPr>
        <w:rFonts w:ascii="Arial" w:hAnsi="Arial" w:cs="Arial"/>
        <w:b/>
        <w:color w:val="002060"/>
        <w:sz w:val="24"/>
        <w:szCs w:val="24"/>
      </w:rPr>
    </w:pPr>
    <w:r w:rsidRPr="000D42D4">
      <w:rPr>
        <w:rFonts w:ascii="Arial" w:hAnsi="Arial" w:cs="Arial"/>
        <w:b/>
        <w:color w:val="002060"/>
        <w:sz w:val="24"/>
        <w:szCs w:val="24"/>
      </w:rPr>
      <w:t xml:space="preserve">PÁGINA </w:t>
    </w:r>
    <w:r w:rsidRPr="000D42D4">
      <w:rPr>
        <w:rFonts w:ascii="Arial" w:hAnsi="Arial" w:cs="Arial"/>
        <w:b/>
        <w:color w:val="002060"/>
        <w:sz w:val="24"/>
        <w:szCs w:val="24"/>
      </w:rPr>
      <w:fldChar w:fldCharType="begin"/>
    </w:r>
    <w:r w:rsidRPr="000D42D4">
      <w:rPr>
        <w:rFonts w:ascii="Arial" w:hAnsi="Arial" w:cs="Arial"/>
        <w:b/>
        <w:color w:val="002060"/>
        <w:sz w:val="24"/>
        <w:szCs w:val="24"/>
      </w:rPr>
      <w:instrText>PAGE</w:instrText>
    </w:r>
    <w:r w:rsidRPr="000D42D4">
      <w:rPr>
        <w:rFonts w:ascii="Arial" w:hAnsi="Arial" w:cs="Arial"/>
        <w:b/>
        <w:color w:val="002060"/>
        <w:sz w:val="24"/>
        <w:szCs w:val="24"/>
      </w:rPr>
      <w:fldChar w:fldCharType="separate"/>
    </w:r>
    <w:r>
      <w:rPr>
        <w:rFonts w:ascii="Arial" w:hAnsi="Arial" w:cs="Arial"/>
        <w:b/>
        <w:color w:val="002060"/>
        <w:sz w:val="24"/>
        <w:szCs w:val="24"/>
      </w:rPr>
      <w:t>1</w:t>
    </w:r>
    <w:r w:rsidRPr="000D42D4">
      <w:rPr>
        <w:rFonts w:ascii="Arial" w:hAnsi="Arial" w:cs="Arial"/>
        <w:b/>
        <w:color w:val="002060"/>
        <w:sz w:val="24"/>
        <w:szCs w:val="24"/>
      </w:rPr>
      <w:fldChar w:fldCharType="end"/>
    </w:r>
    <w:r w:rsidRPr="000D42D4">
      <w:rPr>
        <w:rFonts w:ascii="Arial" w:hAnsi="Arial" w:cs="Arial"/>
        <w:b/>
        <w:color w:val="002060"/>
        <w:sz w:val="24"/>
        <w:szCs w:val="24"/>
      </w:rPr>
      <w:t>/</w:t>
    </w:r>
    <w:r w:rsidR="002073B9">
      <w:rPr>
        <w:rFonts w:ascii="Arial" w:hAnsi="Arial" w:cs="Arial"/>
        <w:b/>
        <w:color w:val="002060"/>
        <w:sz w:val="24"/>
        <w:szCs w:val="24"/>
      </w:rPr>
      <w:t>4</w:t>
    </w:r>
  </w:p>
  <w:p w14:paraId="3B1BFCE0" w14:textId="77777777" w:rsidR="000F19C8" w:rsidRDefault="000F19C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DD0100"/>
    <w:multiLevelType w:val="hybridMultilevel"/>
    <w:tmpl w:val="FE6C3658"/>
    <w:lvl w:ilvl="0" w:tplc="04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 w15:restartNumberingAfterBreak="0">
    <w:nsid w:val="2A93795C"/>
    <w:multiLevelType w:val="hybridMultilevel"/>
    <w:tmpl w:val="9AC03476"/>
    <w:lvl w:ilvl="0" w:tplc="F2462368">
      <w:numFmt w:val="bullet"/>
      <w:lvlText w:val="-"/>
      <w:lvlJc w:val="left"/>
      <w:pPr>
        <w:ind w:left="-207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2" w15:restartNumberingAfterBreak="0">
    <w:nsid w:val="61B07A2B"/>
    <w:multiLevelType w:val="hybridMultilevel"/>
    <w:tmpl w:val="9EB4050E"/>
    <w:lvl w:ilvl="0" w:tplc="1A964CEC">
      <w:numFmt w:val="bullet"/>
      <w:lvlText w:val="-"/>
      <w:lvlJc w:val="left"/>
      <w:pPr>
        <w:ind w:left="153" w:hanging="360"/>
      </w:pPr>
      <w:rPr>
        <w:rFonts w:ascii="Calibri" w:eastAsiaTheme="minorHAnsi" w:hAnsi="Calibri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 w16cid:durableId="137185956">
    <w:abstractNumId w:val="2"/>
  </w:num>
  <w:num w:numId="2" w16cid:durableId="375391269">
    <w:abstractNumId w:val="1"/>
  </w:num>
  <w:num w:numId="3" w16cid:durableId="12305325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C0F"/>
    <w:rsid w:val="00013AB3"/>
    <w:rsid w:val="00020E10"/>
    <w:rsid w:val="00022A7D"/>
    <w:rsid w:val="00025071"/>
    <w:rsid w:val="00027279"/>
    <w:rsid w:val="00027FE7"/>
    <w:rsid w:val="00036322"/>
    <w:rsid w:val="00040E2C"/>
    <w:rsid w:val="00050072"/>
    <w:rsid w:val="0006263B"/>
    <w:rsid w:val="0006471F"/>
    <w:rsid w:val="000775D4"/>
    <w:rsid w:val="000823D5"/>
    <w:rsid w:val="00082FAD"/>
    <w:rsid w:val="00085270"/>
    <w:rsid w:val="000860CB"/>
    <w:rsid w:val="00094A0C"/>
    <w:rsid w:val="0009677C"/>
    <w:rsid w:val="00096BC4"/>
    <w:rsid w:val="000A3066"/>
    <w:rsid w:val="000B1A6E"/>
    <w:rsid w:val="000B37DD"/>
    <w:rsid w:val="000C0355"/>
    <w:rsid w:val="000C05D3"/>
    <w:rsid w:val="000C2594"/>
    <w:rsid w:val="000C4B45"/>
    <w:rsid w:val="000C4FCD"/>
    <w:rsid w:val="000D4DC2"/>
    <w:rsid w:val="000E128B"/>
    <w:rsid w:val="000E1834"/>
    <w:rsid w:val="000E6CC3"/>
    <w:rsid w:val="000E6E0E"/>
    <w:rsid w:val="000F0A80"/>
    <w:rsid w:val="000F19C8"/>
    <w:rsid w:val="000F514C"/>
    <w:rsid w:val="000F5CD4"/>
    <w:rsid w:val="00105B3A"/>
    <w:rsid w:val="00106522"/>
    <w:rsid w:val="00116D57"/>
    <w:rsid w:val="0013488E"/>
    <w:rsid w:val="00146CB2"/>
    <w:rsid w:val="00164E03"/>
    <w:rsid w:val="00177247"/>
    <w:rsid w:val="00190E0D"/>
    <w:rsid w:val="001957FF"/>
    <w:rsid w:val="001A08EB"/>
    <w:rsid w:val="001A5E16"/>
    <w:rsid w:val="001A636B"/>
    <w:rsid w:val="001B6B87"/>
    <w:rsid w:val="001C0A68"/>
    <w:rsid w:val="001C0BBE"/>
    <w:rsid w:val="001C334E"/>
    <w:rsid w:val="001C474E"/>
    <w:rsid w:val="001C641D"/>
    <w:rsid w:val="001D1389"/>
    <w:rsid w:val="001D2CAC"/>
    <w:rsid w:val="001D5439"/>
    <w:rsid w:val="001D7000"/>
    <w:rsid w:val="001D7484"/>
    <w:rsid w:val="001E280C"/>
    <w:rsid w:val="001E7AA2"/>
    <w:rsid w:val="001F6203"/>
    <w:rsid w:val="001F778C"/>
    <w:rsid w:val="00201B0C"/>
    <w:rsid w:val="002059CD"/>
    <w:rsid w:val="002073B9"/>
    <w:rsid w:val="00210D70"/>
    <w:rsid w:val="00216F07"/>
    <w:rsid w:val="00220B40"/>
    <w:rsid w:val="00226436"/>
    <w:rsid w:val="00250CD5"/>
    <w:rsid w:val="0025431E"/>
    <w:rsid w:val="0025453C"/>
    <w:rsid w:val="00254A21"/>
    <w:rsid w:val="00257469"/>
    <w:rsid w:val="0026189B"/>
    <w:rsid w:val="00262895"/>
    <w:rsid w:val="00265459"/>
    <w:rsid w:val="002659DD"/>
    <w:rsid w:val="00282B66"/>
    <w:rsid w:val="00290549"/>
    <w:rsid w:val="002955EF"/>
    <w:rsid w:val="002A112E"/>
    <w:rsid w:val="002B4825"/>
    <w:rsid w:val="002C616E"/>
    <w:rsid w:val="002D2E05"/>
    <w:rsid w:val="002E760B"/>
    <w:rsid w:val="002F3B95"/>
    <w:rsid w:val="00311F94"/>
    <w:rsid w:val="0031789C"/>
    <w:rsid w:val="00320ACC"/>
    <w:rsid w:val="00333F58"/>
    <w:rsid w:val="00336414"/>
    <w:rsid w:val="00340EB5"/>
    <w:rsid w:val="00343FB6"/>
    <w:rsid w:val="00346CB7"/>
    <w:rsid w:val="003562EF"/>
    <w:rsid w:val="00366E92"/>
    <w:rsid w:val="00367FDF"/>
    <w:rsid w:val="003723B0"/>
    <w:rsid w:val="00384893"/>
    <w:rsid w:val="00397E0B"/>
    <w:rsid w:val="003B15F0"/>
    <w:rsid w:val="003C33BC"/>
    <w:rsid w:val="003C4B71"/>
    <w:rsid w:val="003C6E3B"/>
    <w:rsid w:val="003D0082"/>
    <w:rsid w:val="003D12C2"/>
    <w:rsid w:val="003D2EA4"/>
    <w:rsid w:val="003D39B0"/>
    <w:rsid w:val="003D7065"/>
    <w:rsid w:val="003E189D"/>
    <w:rsid w:val="003E5BC7"/>
    <w:rsid w:val="003F11B6"/>
    <w:rsid w:val="00402DE0"/>
    <w:rsid w:val="00407C0F"/>
    <w:rsid w:val="00410B2F"/>
    <w:rsid w:val="00415EBB"/>
    <w:rsid w:val="00420E6F"/>
    <w:rsid w:val="00421DED"/>
    <w:rsid w:val="00424B4E"/>
    <w:rsid w:val="0043095D"/>
    <w:rsid w:val="00433FCE"/>
    <w:rsid w:val="004409DD"/>
    <w:rsid w:val="00441F01"/>
    <w:rsid w:val="00454F9A"/>
    <w:rsid w:val="00456CFB"/>
    <w:rsid w:val="00461AF0"/>
    <w:rsid w:val="00462DC8"/>
    <w:rsid w:val="004711FD"/>
    <w:rsid w:val="0047121F"/>
    <w:rsid w:val="0047423C"/>
    <w:rsid w:val="00487B88"/>
    <w:rsid w:val="00490A12"/>
    <w:rsid w:val="004A724E"/>
    <w:rsid w:val="004B342C"/>
    <w:rsid w:val="004B4A07"/>
    <w:rsid w:val="004B4D4E"/>
    <w:rsid w:val="004B60D6"/>
    <w:rsid w:val="004C12A4"/>
    <w:rsid w:val="004C2D74"/>
    <w:rsid w:val="004C6D0A"/>
    <w:rsid w:val="004C70AE"/>
    <w:rsid w:val="004D42A6"/>
    <w:rsid w:val="004E2271"/>
    <w:rsid w:val="004E32AB"/>
    <w:rsid w:val="004F343E"/>
    <w:rsid w:val="00503804"/>
    <w:rsid w:val="0050496E"/>
    <w:rsid w:val="00505874"/>
    <w:rsid w:val="005126B2"/>
    <w:rsid w:val="0051435B"/>
    <w:rsid w:val="005158D6"/>
    <w:rsid w:val="00517459"/>
    <w:rsid w:val="005217CC"/>
    <w:rsid w:val="00523953"/>
    <w:rsid w:val="00523A29"/>
    <w:rsid w:val="005250D5"/>
    <w:rsid w:val="00527293"/>
    <w:rsid w:val="005401F6"/>
    <w:rsid w:val="00545345"/>
    <w:rsid w:val="00545A17"/>
    <w:rsid w:val="00550398"/>
    <w:rsid w:val="005506BA"/>
    <w:rsid w:val="00551E9E"/>
    <w:rsid w:val="005544B8"/>
    <w:rsid w:val="0056302A"/>
    <w:rsid w:val="005646DD"/>
    <w:rsid w:val="0056778D"/>
    <w:rsid w:val="00571931"/>
    <w:rsid w:val="00581DB2"/>
    <w:rsid w:val="0059725B"/>
    <w:rsid w:val="005A4C7E"/>
    <w:rsid w:val="005B0DE1"/>
    <w:rsid w:val="005B256B"/>
    <w:rsid w:val="005B48CD"/>
    <w:rsid w:val="005B64CF"/>
    <w:rsid w:val="005C1A1B"/>
    <w:rsid w:val="005C25FC"/>
    <w:rsid w:val="005C3673"/>
    <w:rsid w:val="005C4DB2"/>
    <w:rsid w:val="005C6C98"/>
    <w:rsid w:val="005C6E26"/>
    <w:rsid w:val="005D0407"/>
    <w:rsid w:val="005D0A9E"/>
    <w:rsid w:val="005D1747"/>
    <w:rsid w:val="005D4518"/>
    <w:rsid w:val="005D5B83"/>
    <w:rsid w:val="005D626C"/>
    <w:rsid w:val="005E0612"/>
    <w:rsid w:val="005E72E2"/>
    <w:rsid w:val="005F285E"/>
    <w:rsid w:val="00610795"/>
    <w:rsid w:val="006164E0"/>
    <w:rsid w:val="006400A5"/>
    <w:rsid w:val="00642182"/>
    <w:rsid w:val="00645B87"/>
    <w:rsid w:val="00652F78"/>
    <w:rsid w:val="00653268"/>
    <w:rsid w:val="00653456"/>
    <w:rsid w:val="00653698"/>
    <w:rsid w:val="0065491E"/>
    <w:rsid w:val="006666A9"/>
    <w:rsid w:val="006676E2"/>
    <w:rsid w:val="0067418C"/>
    <w:rsid w:val="00676C25"/>
    <w:rsid w:val="00677935"/>
    <w:rsid w:val="006819E1"/>
    <w:rsid w:val="0068633E"/>
    <w:rsid w:val="00690BD4"/>
    <w:rsid w:val="00696A94"/>
    <w:rsid w:val="006A1DD8"/>
    <w:rsid w:val="006A283F"/>
    <w:rsid w:val="006A38EB"/>
    <w:rsid w:val="006A3E7D"/>
    <w:rsid w:val="006A46E7"/>
    <w:rsid w:val="006B47B0"/>
    <w:rsid w:val="006C613B"/>
    <w:rsid w:val="006D0C38"/>
    <w:rsid w:val="006E01DE"/>
    <w:rsid w:val="006E213F"/>
    <w:rsid w:val="006F492D"/>
    <w:rsid w:val="006F6B0F"/>
    <w:rsid w:val="00707262"/>
    <w:rsid w:val="0071461B"/>
    <w:rsid w:val="00720D24"/>
    <w:rsid w:val="00722F05"/>
    <w:rsid w:val="00726585"/>
    <w:rsid w:val="007266CB"/>
    <w:rsid w:val="00730E09"/>
    <w:rsid w:val="007315B9"/>
    <w:rsid w:val="007316D9"/>
    <w:rsid w:val="00747B67"/>
    <w:rsid w:val="007528F1"/>
    <w:rsid w:val="00760753"/>
    <w:rsid w:val="00762B45"/>
    <w:rsid w:val="0076487B"/>
    <w:rsid w:val="007875B2"/>
    <w:rsid w:val="00790C00"/>
    <w:rsid w:val="00795260"/>
    <w:rsid w:val="007A1860"/>
    <w:rsid w:val="007B3D57"/>
    <w:rsid w:val="007B5FBC"/>
    <w:rsid w:val="007B6718"/>
    <w:rsid w:val="007C08C3"/>
    <w:rsid w:val="007C1B3B"/>
    <w:rsid w:val="007C3FE4"/>
    <w:rsid w:val="007D10B3"/>
    <w:rsid w:val="007D6C4E"/>
    <w:rsid w:val="007E0073"/>
    <w:rsid w:val="007E1B61"/>
    <w:rsid w:val="00801655"/>
    <w:rsid w:val="00802101"/>
    <w:rsid w:val="008055D9"/>
    <w:rsid w:val="00814982"/>
    <w:rsid w:val="00830A04"/>
    <w:rsid w:val="00832F50"/>
    <w:rsid w:val="00841FF2"/>
    <w:rsid w:val="0085189C"/>
    <w:rsid w:val="0086379B"/>
    <w:rsid w:val="00871D68"/>
    <w:rsid w:val="008908AC"/>
    <w:rsid w:val="00892DFE"/>
    <w:rsid w:val="008958EB"/>
    <w:rsid w:val="0089773B"/>
    <w:rsid w:val="008A4AAC"/>
    <w:rsid w:val="008B119E"/>
    <w:rsid w:val="008B14F8"/>
    <w:rsid w:val="008C07B1"/>
    <w:rsid w:val="008C2420"/>
    <w:rsid w:val="008C3D47"/>
    <w:rsid w:val="008C718A"/>
    <w:rsid w:val="008D1289"/>
    <w:rsid w:val="008D258B"/>
    <w:rsid w:val="008E0D7A"/>
    <w:rsid w:val="008E5D50"/>
    <w:rsid w:val="008F00EF"/>
    <w:rsid w:val="008F2353"/>
    <w:rsid w:val="009118A9"/>
    <w:rsid w:val="00914A48"/>
    <w:rsid w:val="0091521F"/>
    <w:rsid w:val="0091705A"/>
    <w:rsid w:val="009177DC"/>
    <w:rsid w:val="00924833"/>
    <w:rsid w:val="00926200"/>
    <w:rsid w:val="0093462F"/>
    <w:rsid w:val="00937070"/>
    <w:rsid w:val="0094095A"/>
    <w:rsid w:val="00942EE1"/>
    <w:rsid w:val="00944E49"/>
    <w:rsid w:val="00951AEC"/>
    <w:rsid w:val="009541E2"/>
    <w:rsid w:val="0096082B"/>
    <w:rsid w:val="00962B54"/>
    <w:rsid w:val="00964FD4"/>
    <w:rsid w:val="0097447C"/>
    <w:rsid w:val="0097737D"/>
    <w:rsid w:val="0098433A"/>
    <w:rsid w:val="009954E2"/>
    <w:rsid w:val="009A247E"/>
    <w:rsid w:val="009A7E6D"/>
    <w:rsid w:val="009B1012"/>
    <w:rsid w:val="009B22C3"/>
    <w:rsid w:val="009B29B0"/>
    <w:rsid w:val="009B29EF"/>
    <w:rsid w:val="009B5743"/>
    <w:rsid w:val="009C5583"/>
    <w:rsid w:val="009D0167"/>
    <w:rsid w:val="009D06A6"/>
    <w:rsid w:val="009D2249"/>
    <w:rsid w:val="009D656C"/>
    <w:rsid w:val="009F011F"/>
    <w:rsid w:val="009F20AA"/>
    <w:rsid w:val="009F5DAC"/>
    <w:rsid w:val="009F7F7F"/>
    <w:rsid w:val="00A02951"/>
    <w:rsid w:val="00A07CF9"/>
    <w:rsid w:val="00A21268"/>
    <w:rsid w:val="00A22FA8"/>
    <w:rsid w:val="00A2704B"/>
    <w:rsid w:val="00A2705C"/>
    <w:rsid w:val="00A27EE2"/>
    <w:rsid w:val="00A407FB"/>
    <w:rsid w:val="00A54438"/>
    <w:rsid w:val="00A57ECD"/>
    <w:rsid w:val="00A60CA1"/>
    <w:rsid w:val="00A64494"/>
    <w:rsid w:val="00A716FE"/>
    <w:rsid w:val="00A874AC"/>
    <w:rsid w:val="00A97BEA"/>
    <w:rsid w:val="00AA3837"/>
    <w:rsid w:val="00AB3B15"/>
    <w:rsid w:val="00AC1D04"/>
    <w:rsid w:val="00AC2B49"/>
    <w:rsid w:val="00AE062D"/>
    <w:rsid w:val="00AE3D5E"/>
    <w:rsid w:val="00AF017B"/>
    <w:rsid w:val="00AF719D"/>
    <w:rsid w:val="00AF76B9"/>
    <w:rsid w:val="00B02A96"/>
    <w:rsid w:val="00B0319E"/>
    <w:rsid w:val="00B03263"/>
    <w:rsid w:val="00B05FF8"/>
    <w:rsid w:val="00B10AFF"/>
    <w:rsid w:val="00B149A8"/>
    <w:rsid w:val="00B1607F"/>
    <w:rsid w:val="00B179DA"/>
    <w:rsid w:val="00B23718"/>
    <w:rsid w:val="00B263DE"/>
    <w:rsid w:val="00B3056D"/>
    <w:rsid w:val="00B30783"/>
    <w:rsid w:val="00B32477"/>
    <w:rsid w:val="00B43652"/>
    <w:rsid w:val="00B438DC"/>
    <w:rsid w:val="00B461DA"/>
    <w:rsid w:val="00B47558"/>
    <w:rsid w:val="00B555E9"/>
    <w:rsid w:val="00B61C75"/>
    <w:rsid w:val="00B63051"/>
    <w:rsid w:val="00B7548C"/>
    <w:rsid w:val="00B873CF"/>
    <w:rsid w:val="00B875F4"/>
    <w:rsid w:val="00B90666"/>
    <w:rsid w:val="00B914F2"/>
    <w:rsid w:val="00B96679"/>
    <w:rsid w:val="00BA394A"/>
    <w:rsid w:val="00BA6699"/>
    <w:rsid w:val="00BB3A70"/>
    <w:rsid w:val="00BB5398"/>
    <w:rsid w:val="00BB5AFB"/>
    <w:rsid w:val="00BB7BC3"/>
    <w:rsid w:val="00BD0D82"/>
    <w:rsid w:val="00BD16E1"/>
    <w:rsid w:val="00BE5F74"/>
    <w:rsid w:val="00BE7045"/>
    <w:rsid w:val="00C053AD"/>
    <w:rsid w:val="00C14ED2"/>
    <w:rsid w:val="00C17E1E"/>
    <w:rsid w:val="00C21BA5"/>
    <w:rsid w:val="00C3525B"/>
    <w:rsid w:val="00C54BF7"/>
    <w:rsid w:val="00C57996"/>
    <w:rsid w:val="00C61F46"/>
    <w:rsid w:val="00C629C1"/>
    <w:rsid w:val="00C67968"/>
    <w:rsid w:val="00C82053"/>
    <w:rsid w:val="00C83AED"/>
    <w:rsid w:val="00CA15BC"/>
    <w:rsid w:val="00CA7811"/>
    <w:rsid w:val="00CB47E4"/>
    <w:rsid w:val="00CC2FDB"/>
    <w:rsid w:val="00CC4132"/>
    <w:rsid w:val="00CD1340"/>
    <w:rsid w:val="00CD4297"/>
    <w:rsid w:val="00CF2A92"/>
    <w:rsid w:val="00D06D6B"/>
    <w:rsid w:val="00D13749"/>
    <w:rsid w:val="00D147EB"/>
    <w:rsid w:val="00D23A7F"/>
    <w:rsid w:val="00D2422E"/>
    <w:rsid w:val="00D24A93"/>
    <w:rsid w:val="00D261B7"/>
    <w:rsid w:val="00D27D7B"/>
    <w:rsid w:val="00D3544A"/>
    <w:rsid w:val="00D41E73"/>
    <w:rsid w:val="00D536EC"/>
    <w:rsid w:val="00D62F07"/>
    <w:rsid w:val="00D638A3"/>
    <w:rsid w:val="00D67216"/>
    <w:rsid w:val="00D6738C"/>
    <w:rsid w:val="00D80B29"/>
    <w:rsid w:val="00D8520F"/>
    <w:rsid w:val="00D856E1"/>
    <w:rsid w:val="00D872EC"/>
    <w:rsid w:val="00D87D2B"/>
    <w:rsid w:val="00D913F0"/>
    <w:rsid w:val="00D96124"/>
    <w:rsid w:val="00DA6873"/>
    <w:rsid w:val="00DB2CDF"/>
    <w:rsid w:val="00DC0BD0"/>
    <w:rsid w:val="00DC6B4D"/>
    <w:rsid w:val="00DD1133"/>
    <w:rsid w:val="00DD79B7"/>
    <w:rsid w:val="00DE0660"/>
    <w:rsid w:val="00DE09FD"/>
    <w:rsid w:val="00DE43F9"/>
    <w:rsid w:val="00DE5B29"/>
    <w:rsid w:val="00DF2A52"/>
    <w:rsid w:val="00DF3C1D"/>
    <w:rsid w:val="00DF53AD"/>
    <w:rsid w:val="00E045DF"/>
    <w:rsid w:val="00E046FE"/>
    <w:rsid w:val="00E064A8"/>
    <w:rsid w:val="00E12F8B"/>
    <w:rsid w:val="00E15DCC"/>
    <w:rsid w:val="00E255CC"/>
    <w:rsid w:val="00E2778F"/>
    <w:rsid w:val="00E333E1"/>
    <w:rsid w:val="00E36670"/>
    <w:rsid w:val="00E52E36"/>
    <w:rsid w:val="00E52E61"/>
    <w:rsid w:val="00E530A2"/>
    <w:rsid w:val="00E530D1"/>
    <w:rsid w:val="00E542CF"/>
    <w:rsid w:val="00E548A3"/>
    <w:rsid w:val="00E65BB2"/>
    <w:rsid w:val="00E75B83"/>
    <w:rsid w:val="00E7670D"/>
    <w:rsid w:val="00E8360B"/>
    <w:rsid w:val="00E915DA"/>
    <w:rsid w:val="00E95CAD"/>
    <w:rsid w:val="00EA1592"/>
    <w:rsid w:val="00EA46A1"/>
    <w:rsid w:val="00EB27A4"/>
    <w:rsid w:val="00EC1485"/>
    <w:rsid w:val="00EC256D"/>
    <w:rsid w:val="00EC52E4"/>
    <w:rsid w:val="00EC7C1F"/>
    <w:rsid w:val="00ED1C0E"/>
    <w:rsid w:val="00ED2F24"/>
    <w:rsid w:val="00ED37A4"/>
    <w:rsid w:val="00EE1DBD"/>
    <w:rsid w:val="00EE55A3"/>
    <w:rsid w:val="00EF00FB"/>
    <w:rsid w:val="00EF07CA"/>
    <w:rsid w:val="00EF77BE"/>
    <w:rsid w:val="00F02FBB"/>
    <w:rsid w:val="00F066E6"/>
    <w:rsid w:val="00F13624"/>
    <w:rsid w:val="00F17232"/>
    <w:rsid w:val="00F17D22"/>
    <w:rsid w:val="00F24677"/>
    <w:rsid w:val="00F264C4"/>
    <w:rsid w:val="00F26AA9"/>
    <w:rsid w:val="00F306EA"/>
    <w:rsid w:val="00F373DF"/>
    <w:rsid w:val="00F45E47"/>
    <w:rsid w:val="00F520B2"/>
    <w:rsid w:val="00F53B13"/>
    <w:rsid w:val="00F64C52"/>
    <w:rsid w:val="00F66D28"/>
    <w:rsid w:val="00F67584"/>
    <w:rsid w:val="00F67D6D"/>
    <w:rsid w:val="00F702B4"/>
    <w:rsid w:val="00F70FC2"/>
    <w:rsid w:val="00F722A8"/>
    <w:rsid w:val="00F7397D"/>
    <w:rsid w:val="00F855B2"/>
    <w:rsid w:val="00F92A90"/>
    <w:rsid w:val="00FA6810"/>
    <w:rsid w:val="00FB5F23"/>
    <w:rsid w:val="00FD1D7C"/>
    <w:rsid w:val="00FD57CE"/>
    <w:rsid w:val="00FE3F01"/>
    <w:rsid w:val="00FF3D12"/>
    <w:rsid w:val="00FF4789"/>
    <w:rsid w:val="00FF54DA"/>
    <w:rsid w:val="00FF62A2"/>
    <w:rsid w:val="00FF7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88A8BC"/>
  <w15:chartTrackingRefBased/>
  <w15:docId w15:val="{35EC998C-9787-40C7-A7F4-C2971F1FE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295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407C0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407C0F"/>
  </w:style>
  <w:style w:type="paragraph" w:styleId="Piedepgina">
    <w:name w:val="footer"/>
    <w:basedOn w:val="Normal"/>
    <w:link w:val="PiedepginaCar"/>
    <w:uiPriority w:val="99"/>
    <w:unhideWhenUsed/>
    <w:rsid w:val="00407C0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07C0F"/>
  </w:style>
  <w:style w:type="character" w:styleId="Hipervnculo">
    <w:name w:val="Hyperlink"/>
    <w:basedOn w:val="Fuentedeprrafopredeter"/>
    <w:uiPriority w:val="99"/>
    <w:unhideWhenUsed/>
    <w:rsid w:val="00407C0F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407C0F"/>
    <w:pPr>
      <w:ind w:left="720"/>
      <w:contextualSpacing/>
    </w:pPr>
  </w:style>
  <w:style w:type="character" w:styleId="Mencinsinresolver">
    <w:name w:val="Unresolved Mention"/>
    <w:basedOn w:val="Fuentedeprrafopredeter"/>
    <w:uiPriority w:val="99"/>
    <w:semiHidden/>
    <w:unhideWhenUsed/>
    <w:rsid w:val="00B4755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rsid w:val="00B47558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  <w:lang w:val="es-ES" w:eastAsia="es-ES"/>
    </w:rPr>
  </w:style>
  <w:style w:type="table" w:styleId="Tablaconcuadrcula">
    <w:name w:val="Table Grid"/>
    <w:basedOn w:val="Tablanormal"/>
    <w:uiPriority w:val="39"/>
    <w:rsid w:val="00B47558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visitado">
    <w:name w:val="FollowedHyperlink"/>
    <w:basedOn w:val="Fuentedeprrafopredeter"/>
    <w:uiPriority w:val="99"/>
    <w:semiHidden/>
    <w:unhideWhenUsed/>
    <w:rsid w:val="00DE0660"/>
    <w:rPr>
      <w:color w:val="954F72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B47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47E4"/>
    <w:rPr>
      <w:rFonts w:ascii="Segoe UI" w:hAnsi="Segoe UI" w:cs="Segoe UI"/>
      <w:sz w:val="18"/>
      <w:szCs w:val="18"/>
    </w:rPr>
  </w:style>
  <w:style w:type="paragraph" w:styleId="Revisin">
    <w:name w:val="Revision"/>
    <w:hidden/>
    <w:uiPriority w:val="99"/>
    <w:semiHidden/>
    <w:rsid w:val="001A08EB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210D7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210D7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210D7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10D7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10D70"/>
    <w:rPr>
      <w:b/>
      <w:bCs/>
      <w:sz w:val="20"/>
      <w:szCs w:val="20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B10AFF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10AFF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B10AF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hyperlink" Target="https://confimex.org.mx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hyperlink" Target="https://inegi.org.mx/" TargetMode="External"/><Relationship Id="rId2" Type="http://schemas.openxmlformats.org/officeDocument/2006/relationships/numbering" Target="numbering.xml"/><Relationship Id="rId16" Type="http://schemas.openxmlformats.org/officeDocument/2006/relationships/chart" Target="charts/chart9.xm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chart" Target="charts/chart8.xml"/><Relationship Id="rId10" Type="http://schemas.openxmlformats.org/officeDocument/2006/relationships/chart" Target="charts/chart3.xm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package" Target="../embeddings/Microsoft_Excel_Worksheet1.xlsx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3.xm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package" Target="../embeddings/Microsoft_Excel_Worksheet2.xlsx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4.xml"/><Relationship Id="rId2" Type="http://schemas.microsoft.com/office/2011/relationships/chartColorStyle" Target="colors4.xml"/><Relationship Id="rId1" Type="http://schemas.microsoft.com/office/2011/relationships/chartStyle" Target="style4.xml"/><Relationship Id="rId4" Type="http://schemas.openxmlformats.org/officeDocument/2006/relationships/package" Target="../embeddings/Microsoft_Excel_Worksheet3.xlsx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5.xml"/><Relationship Id="rId2" Type="http://schemas.microsoft.com/office/2011/relationships/chartColorStyle" Target="colors5.xml"/><Relationship Id="rId1" Type="http://schemas.microsoft.com/office/2011/relationships/chartStyle" Target="style5.xml"/><Relationship Id="rId4" Type="http://schemas.openxmlformats.org/officeDocument/2006/relationships/package" Target="../embeddings/Microsoft_Excel_Worksheet4.xlsx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6.xml"/><Relationship Id="rId2" Type="http://schemas.microsoft.com/office/2011/relationships/chartColorStyle" Target="colors6.xml"/><Relationship Id="rId1" Type="http://schemas.microsoft.com/office/2011/relationships/chartStyle" Target="style6.xml"/><Relationship Id="rId4" Type="http://schemas.openxmlformats.org/officeDocument/2006/relationships/package" Target="../embeddings/Microsoft_Excel_Worksheet5.xlsx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7.xml"/><Relationship Id="rId2" Type="http://schemas.microsoft.com/office/2011/relationships/chartColorStyle" Target="colors7.xml"/><Relationship Id="rId1" Type="http://schemas.microsoft.com/office/2011/relationships/chartStyle" Target="style7.xml"/><Relationship Id="rId4" Type="http://schemas.openxmlformats.org/officeDocument/2006/relationships/package" Target="../embeddings/Microsoft_Excel_Worksheet6.xlsx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8.xml"/><Relationship Id="rId2" Type="http://schemas.microsoft.com/office/2011/relationships/chartColorStyle" Target="colors8.xml"/><Relationship Id="rId1" Type="http://schemas.microsoft.com/office/2011/relationships/chartStyle" Target="style8.xml"/><Relationship Id="rId4" Type="http://schemas.openxmlformats.org/officeDocument/2006/relationships/package" Target="../embeddings/Microsoft_Excel_Worksheet7.xlsx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9.xml"/><Relationship Id="rId2" Type="http://schemas.microsoft.com/office/2011/relationships/chartColorStyle" Target="colors9.xml"/><Relationship Id="rId1" Type="http://schemas.microsoft.com/office/2011/relationships/chartStyle" Target="style9.xml"/><Relationship Id="rId4" Type="http://schemas.openxmlformats.org/officeDocument/2006/relationships/package" Target="../embeddings/Microsoft_Excel_Worksheet8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5.1456038239823115E-2"/>
          <c:y val="3.1642745104198435E-2"/>
          <c:w val="0.93392030614335153"/>
          <c:h val="0.88213650956981482"/>
        </c:manualLayout>
      </c:layout>
      <c:lineChart>
        <c:grouping val="standard"/>
        <c:varyColors val="0"/>
        <c:ser>
          <c:idx val="2"/>
          <c:order val="0"/>
          <c:tx>
            <c:strRef>
              <c:f>Calc!$K$3</c:f>
              <c:strCache>
                <c:ptCount val="1"/>
                <c:pt idx="0">
                  <c:v>Industria del chocolate y confitería</c:v>
                </c:pt>
              </c:strCache>
            </c:strRef>
          </c:tx>
          <c:spPr>
            <a:ln w="28575" cap="rnd">
              <a:solidFill>
                <a:srgbClr val="70AD47">
                  <a:lumMod val="50000"/>
                </a:srgb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6C5200"/>
              </a:solidFill>
              <a:ln w="28575">
                <a:solidFill>
                  <a:srgbClr val="70AD47">
                    <a:lumMod val="50000"/>
                  </a:srgbClr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1.4623655616825485E-3"/>
                  <c:y val="5.439999847699038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4873-4B82-AD97-D5868283CE72}"/>
                </c:ext>
              </c:extLst>
            </c:dLbl>
            <c:dLbl>
              <c:idx val="1"/>
              <c:layout>
                <c:manualLayout>
                  <c:x val="-1.4623655616825754E-3"/>
                  <c:y val="4.029629516814101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4873-4B82-AD97-D5868283CE72}"/>
                </c:ext>
              </c:extLst>
            </c:dLbl>
            <c:dLbl>
              <c:idx val="2"/>
              <c:layout>
                <c:manualLayout>
                  <c:x val="0"/>
                  <c:y val="3.626666565132694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4873-4B82-AD97-D5868283CE72}"/>
                </c:ext>
              </c:extLst>
            </c:dLbl>
            <c:dLbl>
              <c:idx val="3"/>
              <c:layout>
                <c:manualLayout>
                  <c:x val="-2.9247311233651509E-3"/>
                  <c:y val="-3.022222137610580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4873-4B82-AD97-D5868283CE7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Calc!$H$4:$H$8</c:f>
              <c:strCache>
                <c:ptCount val="5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  <c:pt idx="3">
                  <c:v>2021</c:v>
                </c:pt>
                <c:pt idx="4">
                  <c:v>2022</c:v>
                </c:pt>
              </c:strCache>
            </c:strRef>
          </c:cat>
          <c:val>
            <c:numRef>
              <c:f>Calc!$K$4:$K$8</c:f>
              <c:numCache>
                <c:formatCode>#,##0.0</c:formatCode>
                <c:ptCount val="5"/>
                <c:pt idx="0">
                  <c:v>54.752398762105159</c:v>
                </c:pt>
                <c:pt idx="1">
                  <c:v>56.064380186810823</c:v>
                </c:pt>
                <c:pt idx="2">
                  <c:v>55.556343963078405</c:v>
                </c:pt>
                <c:pt idx="3">
                  <c:v>60.797447857907486</c:v>
                </c:pt>
                <c:pt idx="4">
                  <c:v>58.352012174044155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4873-4B82-AD97-D5868283CE7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027644640"/>
        <c:axId val="845632416"/>
      </c:lineChart>
      <c:catAx>
        <c:axId val="10276446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38100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845632416"/>
        <c:crosses val="autoZero"/>
        <c:auto val="1"/>
        <c:lblAlgn val="ctr"/>
        <c:lblOffset val="100"/>
        <c:noMultiLvlLbl val="0"/>
      </c:catAx>
      <c:valAx>
        <c:axId val="845632416"/>
        <c:scaling>
          <c:orientation val="minMax"/>
          <c:min val="0"/>
        </c:scaling>
        <c:delete val="0"/>
        <c:axPos val="l"/>
        <c:numFmt formatCode="#,##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102764464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s-MX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4485800209997521"/>
          <c:y val="2.4775472282440383E-2"/>
          <c:w val="0.80533443620656764"/>
          <c:h val="0.8593265265812043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Tablas!$F$8</c:f>
              <c:strCache>
                <c:ptCount val="1"/>
                <c:pt idx="0">
                  <c:v>Unidades económicas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7030A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DB16-400A-A1DD-B14069E594DA}"/>
              </c:ext>
            </c:extLst>
          </c:dPt>
          <c:dPt>
            <c:idx val="1"/>
            <c:invertIfNegative val="0"/>
            <c:bubble3D val="0"/>
            <c:spPr>
              <a:solidFill>
                <a:schemeClr val="accent2">
                  <a:lumMod val="60000"/>
                  <a:lumOff val="40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DB16-400A-A1DD-B14069E594DA}"/>
              </c:ext>
            </c:extLst>
          </c:dPt>
          <c:dPt>
            <c:idx val="2"/>
            <c:invertIfNegative val="0"/>
            <c:bubble3D val="0"/>
            <c:spPr>
              <a:solidFill>
                <a:schemeClr val="accent6">
                  <a:lumMod val="60000"/>
                  <a:lumOff val="40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5-DB16-400A-A1DD-B14069E594DA}"/>
              </c:ext>
            </c:extLst>
          </c:dPt>
          <c:dPt>
            <c:idx val="3"/>
            <c:invertIfNegative val="0"/>
            <c:bubble3D val="0"/>
            <c:spPr>
              <a:solidFill>
                <a:srgbClr val="FF0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7-DB16-400A-A1DD-B14069E594DA}"/>
              </c:ext>
            </c:extLst>
          </c:dPt>
          <c:dPt>
            <c:idx val="4"/>
            <c:invertIfNegative val="0"/>
            <c:bubble3D val="0"/>
            <c:spPr>
              <a:solidFill>
                <a:schemeClr val="accent6">
                  <a:lumMod val="50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9-DB16-400A-A1DD-B14069E594DA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0">
                <a:spAutoFit/>
              </a:bodyPr>
              <a:lstStyle/>
              <a:p>
                <a:pPr algn="just">
                  <a:defRPr sz="10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Tablas!$E$9:$E$10</c:f>
              <c:numCache>
                <c:formatCode>General</c:formatCode>
                <c:ptCount val="2"/>
                <c:pt idx="0">
                  <c:v>2018</c:v>
                </c:pt>
                <c:pt idx="1">
                  <c:v>2021</c:v>
                </c:pt>
              </c:numCache>
            </c:numRef>
          </c:cat>
          <c:val>
            <c:numRef>
              <c:f>Tablas!$F$9:$F$10</c:f>
              <c:numCache>
                <c:formatCode>###\ ###\ ###</c:formatCode>
                <c:ptCount val="2"/>
                <c:pt idx="0">
                  <c:v>498</c:v>
                </c:pt>
                <c:pt idx="1">
                  <c:v>534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DB16-400A-A1DD-B14069E594D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0"/>
        <c:overlap val="-27"/>
        <c:axId val="190023200"/>
        <c:axId val="190013600"/>
      </c:barChart>
      <c:catAx>
        <c:axId val="1900232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38100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190013600"/>
        <c:crosses val="autoZero"/>
        <c:auto val="1"/>
        <c:lblAlgn val="ctr"/>
        <c:lblOffset val="100"/>
        <c:noMultiLvlLbl val="0"/>
      </c:catAx>
      <c:valAx>
        <c:axId val="190013600"/>
        <c:scaling>
          <c:orientation val="minMax"/>
          <c:max val="3500"/>
          <c:min val="0"/>
        </c:scaling>
        <c:delete val="0"/>
        <c:axPos val="l"/>
        <c:numFmt formatCode="###\ ###\ ###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19002320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s-MX"/>
    </a:p>
  </c:txPr>
  <c:externalData r:id="rId4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4531859988089724"/>
          <c:y val="2.4775472282440383E-2"/>
          <c:w val="0.80471546780022929"/>
          <c:h val="0.8593265265812043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Tablas!$F$2</c:f>
              <c:strCache>
                <c:ptCount val="1"/>
                <c:pt idx="0">
                  <c:v>Unidades económicas</c:v>
                </c:pt>
              </c:strCache>
            </c:strRef>
          </c:tx>
          <c:spPr>
            <a:solidFill>
              <a:srgbClr val="7030A0"/>
            </a:solidFill>
            <a:ln>
              <a:noFill/>
            </a:ln>
            <a:effectLst/>
          </c:spPr>
          <c:invertIfNegative val="0"/>
          <c:dPt>
            <c:idx val="1"/>
            <c:invertIfNegative val="0"/>
            <c:bubble3D val="0"/>
            <c:spPr>
              <a:solidFill>
                <a:schemeClr val="accent2">
                  <a:lumMod val="60000"/>
                  <a:lumOff val="40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690A-429F-83A3-8C18E581D276}"/>
              </c:ext>
            </c:extLst>
          </c:dPt>
          <c:dPt>
            <c:idx val="2"/>
            <c:invertIfNegative val="0"/>
            <c:bubble3D val="0"/>
            <c:spPr>
              <a:solidFill>
                <a:schemeClr val="accent6">
                  <a:lumMod val="60000"/>
                  <a:lumOff val="40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690A-429F-83A3-8C18E581D276}"/>
              </c:ext>
            </c:extLst>
          </c:dPt>
          <c:dPt>
            <c:idx val="3"/>
            <c:invertIfNegative val="0"/>
            <c:bubble3D val="0"/>
            <c:spPr>
              <a:solidFill>
                <a:schemeClr val="accent2">
                  <a:lumMod val="75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5-690A-429F-83A3-8C18E581D276}"/>
              </c:ext>
            </c:extLst>
          </c:dPt>
          <c:dPt>
            <c:idx val="4"/>
            <c:invertIfNegative val="0"/>
            <c:bubble3D val="0"/>
            <c:spPr>
              <a:solidFill>
                <a:schemeClr val="accent6">
                  <a:lumMod val="50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7-690A-429F-83A3-8C18E581D276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Tablas!$E$3:$E$4</c:f>
              <c:numCache>
                <c:formatCode>General</c:formatCode>
                <c:ptCount val="2"/>
                <c:pt idx="0">
                  <c:v>2018</c:v>
                </c:pt>
                <c:pt idx="1">
                  <c:v>2021</c:v>
                </c:pt>
              </c:numCache>
            </c:numRef>
          </c:cat>
          <c:val>
            <c:numRef>
              <c:f>Tablas!$F$3:$F$4</c:f>
              <c:numCache>
                <c:formatCode>###\ ###\ ###</c:formatCode>
                <c:ptCount val="2"/>
                <c:pt idx="0">
                  <c:v>3032</c:v>
                </c:pt>
                <c:pt idx="1">
                  <c:v>3127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690A-429F-83A3-8C18E581D27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0"/>
        <c:overlap val="-27"/>
        <c:axId val="190028960"/>
        <c:axId val="179349712"/>
      </c:barChart>
      <c:catAx>
        <c:axId val="1900289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38100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179349712"/>
        <c:crosses val="autoZero"/>
        <c:auto val="1"/>
        <c:lblAlgn val="ctr"/>
        <c:lblOffset val="100"/>
        <c:noMultiLvlLbl val="0"/>
      </c:catAx>
      <c:valAx>
        <c:axId val="179349712"/>
        <c:scaling>
          <c:orientation val="minMax"/>
          <c:min val="0"/>
        </c:scaling>
        <c:delete val="0"/>
        <c:axPos val="l"/>
        <c:numFmt formatCode="###\ ###\ ###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19002896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s-MX"/>
    </a:p>
  </c:txPr>
  <c:externalData r:id="rId4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rgbClr val="FC7A3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Hoja1!$B$5:$B$8</c:f>
              <c:numCache>
                <c:formatCode>General</c:formatCode>
                <c:ptCount val="4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  <c:pt idx="3">
                  <c:v>2022</c:v>
                </c:pt>
              </c:numCache>
            </c:numRef>
          </c:cat>
          <c:val>
            <c:numRef>
              <c:f>Hoja1!$C$5:$C$8</c:f>
              <c:numCache>
                <c:formatCode>General</c:formatCode>
                <c:ptCount val="4"/>
                <c:pt idx="0">
                  <c:v>2.1</c:v>
                </c:pt>
                <c:pt idx="1">
                  <c:v>-2.4</c:v>
                </c:pt>
                <c:pt idx="2">
                  <c:v>4.4000000000000004</c:v>
                </c:pt>
                <c:pt idx="3">
                  <c:v>7.9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38F-4A2F-BF75-26AF1766DD8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0"/>
        <c:overlap val="-27"/>
        <c:axId val="1783531520"/>
        <c:axId val="1105238448"/>
      </c:barChart>
      <c:catAx>
        <c:axId val="17835315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38100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1105238448"/>
        <c:crosses val="autoZero"/>
        <c:auto val="1"/>
        <c:lblAlgn val="ctr"/>
        <c:lblOffset val="100"/>
        <c:noMultiLvlLbl val="0"/>
      </c:catAx>
      <c:valAx>
        <c:axId val="110523844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178353152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s-MX"/>
    </a:p>
  </c:txPr>
  <c:externalData r:id="rId4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4.6574172739378764E-2"/>
          <c:y val="0.17290420561409672"/>
          <c:w val="0.93729249409666671"/>
          <c:h val="0.7048935633675513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Tablas!$F$11</c:f>
              <c:strCache>
                <c:ptCount val="1"/>
                <c:pt idx="0">
                  <c:v>Mujeres</c:v>
                </c:pt>
              </c:strCache>
            </c:strRef>
          </c:tx>
          <c:spPr>
            <a:solidFill>
              <a:schemeClr val="accent5">
                <a:lumMod val="60000"/>
                <a:lumOff val="4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Tablas!$E$12:$E$15</c:f>
              <c:numCache>
                <c:formatCode>General</c:formatCode>
                <c:ptCount val="4"/>
                <c:pt idx="0">
                  <c:v>2003</c:v>
                </c:pt>
                <c:pt idx="1">
                  <c:v>2008</c:v>
                </c:pt>
                <c:pt idx="2">
                  <c:v>2013</c:v>
                </c:pt>
                <c:pt idx="3">
                  <c:v>2018</c:v>
                </c:pt>
              </c:numCache>
            </c:numRef>
          </c:cat>
          <c:val>
            <c:numRef>
              <c:f>Tablas!$F$12:$F$15</c:f>
              <c:numCache>
                <c:formatCode>0.0</c:formatCode>
                <c:ptCount val="4"/>
                <c:pt idx="0">
                  <c:v>47.7</c:v>
                </c:pt>
                <c:pt idx="1">
                  <c:v>49.9</c:v>
                </c:pt>
                <c:pt idx="2">
                  <c:v>53.8</c:v>
                </c:pt>
                <c:pt idx="3">
                  <c:v>52.3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EAB-45F7-B263-6B4AB2951079}"/>
            </c:ext>
          </c:extLst>
        </c:ser>
        <c:ser>
          <c:idx val="1"/>
          <c:order val="1"/>
          <c:tx>
            <c:strRef>
              <c:f>Tablas!$G$11</c:f>
              <c:strCache>
                <c:ptCount val="1"/>
                <c:pt idx="0">
                  <c:v>Hombres</c:v>
                </c:pt>
              </c:strCache>
            </c:strRef>
          </c:tx>
          <c:spPr>
            <a:solidFill>
              <a:schemeClr val="accent5">
                <a:lumMod val="75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Tablas!$E$12:$E$15</c:f>
              <c:numCache>
                <c:formatCode>General</c:formatCode>
                <c:ptCount val="4"/>
                <c:pt idx="0">
                  <c:v>2003</c:v>
                </c:pt>
                <c:pt idx="1">
                  <c:v>2008</c:v>
                </c:pt>
                <c:pt idx="2">
                  <c:v>2013</c:v>
                </c:pt>
                <c:pt idx="3">
                  <c:v>2018</c:v>
                </c:pt>
              </c:numCache>
            </c:numRef>
          </c:cat>
          <c:val>
            <c:numRef>
              <c:f>Tablas!$G$12:$G$15</c:f>
              <c:numCache>
                <c:formatCode>0.0</c:formatCode>
                <c:ptCount val="4"/>
                <c:pt idx="0">
                  <c:v>52.3</c:v>
                </c:pt>
                <c:pt idx="1">
                  <c:v>50.1</c:v>
                </c:pt>
                <c:pt idx="2">
                  <c:v>46.2</c:v>
                </c:pt>
                <c:pt idx="3">
                  <c:v>47.7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EAB-45F7-B263-6B4AB295107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40"/>
        <c:overlap val="-11"/>
        <c:axId val="224321952"/>
        <c:axId val="2124322576"/>
      </c:barChart>
      <c:catAx>
        <c:axId val="2243219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38100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2124322576"/>
        <c:crosses val="autoZero"/>
        <c:auto val="1"/>
        <c:lblAlgn val="ctr"/>
        <c:lblOffset val="100"/>
        <c:noMultiLvlLbl val="0"/>
      </c:catAx>
      <c:valAx>
        <c:axId val="2124322576"/>
        <c:scaling>
          <c:orientation val="minMax"/>
          <c:min val="0"/>
        </c:scaling>
        <c:delete val="0"/>
        <c:axPos val="l"/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22432195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7680398217939295"/>
          <c:y val="3.5047445265815325E-2"/>
          <c:w val="0.42528931915006685"/>
          <c:h val="8.4378054758268567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s-MX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s-MX"/>
    </a:p>
  </c:txPr>
  <c:externalData r:id="rId4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4.6437591131570415E-2"/>
          <c:y val="0.11966878223351665"/>
          <c:w val="0.93747638768992181"/>
          <c:h val="0.7880736790541770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Tablas!$F$3</c:f>
              <c:strCache>
                <c:ptCount val="1"/>
                <c:pt idx="0">
                  <c:v>Mujeres</c:v>
                </c:pt>
              </c:strCache>
            </c:strRef>
          </c:tx>
          <c:spPr>
            <a:solidFill>
              <a:schemeClr val="accent5">
                <a:lumMod val="60000"/>
                <a:lumOff val="4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Tablas!$E$4:$E$7</c:f>
              <c:numCache>
                <c:formatCode>General</c:formatCode>
                <c:ptCount val="4"/>
                <c:pt idx="0">
                  <c:v>2003</c:v>
                </c:pt>
                <c:pt idx="1">
                  <c:v>2008</c:v>
                </c:pt>
                <c:pt idx="2">
                  <c:v>2013</c:v>
                </c:pt>
                <c:pt idx="3">
                  <c:v>2018</c:v>
                </c:pt>
              </c:numCache>
            </c:numRef>
          </c:cat>
          <c:val>
            <c:numRef>
              <c:f>Tablas!$F$4:$F$7</c:f>
              <c:numCache>
                <c:formatCode>0.0</c:formatCode>
                <c:ptCount val="4"/>
                <c:pt idx="0">
                  <c:v>48.5</c:v>
                </c:pt>
                <c:pt idx="1">
                  <c:v>48.5</c:v>
                </c:pt>
                <c:pt idx="2">
                  <c:v>47.8</c:v>
                </c:pt>
                <c:pt idx="3">
                  <c:v>49.6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F78-4928-8C41-C07E78CBFD27}"/>
            </c:ext>
          </c:extLst>
        </c:ser>
        <c:ser>
          <c:idx val="1"/>
          <c:order val="1"/>
          <c:tx>
            <c:strRef>
              <c:f>Tablas!$G$3</c:f>
              <c:strCache>
                <c:ptCount val="1"/>
                <c:pt idx="0">
                  <c:v>Hombres</c:v>
                </c:pt>
              </c:strCache>
            </c:strRef>
          </c:tx>
          <c:spPr>
            <a:solidFill>
              <a:schemeClr val="accent5">
                <a:lumMod val="75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Tablas!$E$4:$E$7</c:f>
              <c:numCache>
                <c:formatCode>General</c:formatCode>
                <c:ptCount val="4"/>
                <c:pt idx="0">
                  <c:v>2003</c:v>
                </c:pt>
                <c:pt idx="1">
                  <c:v>2008</c:v>
                </c:pt>
                <c:pt idx="2">
                  <c:v>2013</c:v>
                </c:pt>
                <c:pt idx="3">
                  <c:v>2018</c:v>
                </c:pt>
              </c:numCache>
            </c:numRef>
          </c:cat>
          <c:val>
            <c:numRef>
              <c:f>Tablas!$G$4:$G$7</c:f>
              <c:numCache>
                <c:formatCode>0.0</c:formatCode>
                <c:ptCount val="4"/>
                <c:pt idx="0">
                  <c:v>51.5</c:v>
                </c:pt>
                <c:pt idx="1">
                  <c:v>51.5</c:v>
                </c:pt>
                <c:pt idx="2">
                  <c:v>52.2</c:v>
                </c:pt>
                <c:pt idx="3">
                  <c:v>50.4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F78-4928-8C41-C07E78CBFD2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40"/>
        <c:overlap val="-11"/>
        <c:axId val="234060704"/>
        <c:axId val="2053864560"/>
      </c:barChart>
      <c:catAx>
        <c:axId val="2340607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38100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2053864560"/>
        <c:crosses val="autoZero"/>
        <c:auto val="1"/>
        <c:lblAlgn val="ctr"/>
        <c:lblOffset val="100"/>
        <c:noMultiLvlLbl val="0"/>
      </c:catAx>
      <c:valAx>
        <c:axId val="2053864560"/>
        <c:scaling>
          <c:orientation val="minMax"/>
          <c:min val="0"/>
        </c:scaling>
        <c:delete val="0"/>
        <c:axPos val="l"/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23406070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986961502791366"/>
          <c:y val="2.3413562666368831E-2"/>
          <c:w val="0.39772074580062972"/>
          <c:h val="6.65999268428854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tx1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s-MX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 algn="just">
        <a:defRPr/>
      </a:pPr>
      <a:endParaRPr lang="es-MX"/>
    </a:p>
  </c:txPr>
  <c:externalData r:id="rId4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5.4855289715919936E-2"/>
          <c:y val="1.651941861013001E-2"/>
          <c:w val="0.85554383059424699"/>
          <c:h val="0.83355431058683771"/>
        </c:manualLayout>
      </c:layout>
      <c:lineChart>
        <c:grouping val="standard"/>
        <c:varyColors val="0"/>
        <c:ser>
          <c:idx val="1"/>
          <c:order val="0"/>
          <c:tx>
            <c:strRef>
              <c:f>Tabla!$H$2</c:f>
              <c:strCache>
                <c:ptCount val="1"/>
                <c:pt idx="0">
                  <c:v>Chocolate y productos de confitería</c:v>
                </c:pt>
              </c:strCache>
            </c:strRef>
          </c:tx>
          <c:spPr>
            <a:ln w="38100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cat>
            <c:multiLvlStrRef>
              <c:f>Tabla!$E$3:$F$44</c:f>
              <c:multiLvlStrCache>
                <c:ptCount val="42"/>
                <c:lvl>
                  <c:pt idx="0">
                    <c:v>Ago</c:v>
                  </c:pt>
                  <c:pt idx="1">
                    <c:v>Sep</c:v>
                  </c:pt>
                  <c:pt idx="2">
                    <c:v>Oct</c:v>
                  </c:pt>
                  <c:pt idx="3">
                    <c:v>Nov</c:v>
                  </c:pt>
                  <c:pt idx="4">
                    <c:v>Dic</c:v>
                  </c:pt>
                  <c:pt idx="5">
                    <c:v>Ene</c:v>
                  </c:pt>
                  <c:pt idx="6">
                    <c:v>Feb</c:v>
                  </c:pt>
                  <c:pt idx="7">
                    <c:v>Mar</c:v>
                  </c:pt>
                  <c:pt idx="8">
                    <c:v>Abr</c:v>
                  </c:pt>
                  <c:pt idx="9">
                    <c:v>May</c:v>
                  </c:pt>
                  <c:pt idx="10">
                    <c:v>Jun</c:v>
                  </c:pt>
                  <c:pt idx="11">
                    <c:v>Jul</c:v>
                  </c:pt>
                  <c:pt idx="12">
                    <c:v>Ago</c:v>
                  </c:pt>
                  <c:pt idx="13">
                    <c:v>Sep</c:v>
                  </c:pt>
                  <c:pt idx="14">
                    <c:v>Oct</c:v>
                  </c:pt>
                  <c:pt idx="15">
                    <c:v>Nov</c:v>
                  </c:pt>
                  <c:pt idx="16">
                    <c:v>Dic</c:v>
                  </c:pt>
                  <c:pt idx="17">
                    <c:v>Ene</c:v>
                  </c:pt>
                  <c:pt idx="18">
                    <c:v>Feb</c:v>
                  </c:pt>
                  <c:pt idx="19">
                    <c:v>Mar</c:v>
                  </c:pt>
                  <c:pt idx="20">
                    <c:v>Abr</c:v>
                  </c:pt>
                  <c:pt idx="21">
                    <c:v>May</c:v>
                  </c:pt>
                  <c:pt idx="22">
                    <c:v>Jun</c:v>
                  </c:pt>
                  <c:pt idx="23">
                    <c:v>Jul</c:v>
                  </c:pt>
                  <c:pt idx="24">
                    <c:v>Ago</c:v>
                  </c:pt>
                  <c:pt idx="25">
                    <c:v>Sep</c:v>
                  </c:pt>
                  <c:pt idx="26">
                    <c:v>Oct</c:v>
                  </c:pt>
                  <c:pt idx="27">
                    <c:v>Nov</c:v>
                  </c:pt>
                  <c:pt idx="28">
                    <c:v>Dic</c:v>
                  </c:pt>
                  <c:pt idx="29">
                    <c:v>Ene</c:v>
                  </c:pt>
                  <c:pt idx="30">
                    <c:v>Feb</c:v>
                  </c:pt>
                  <c:pt idx="31">
                    <c:v>Mar</c:v>
                  </c:pt>
                  <c:pt idx="32">
                    <c:v>Abr</c:v>
                  </c:pt>
                  <c:pt idx="33">
                    <c:v>May</c:v>
                  </c:pt>
                  <c:pt idx="34">
                    <c:v>Jun</c:v>
                  </c:pt>
                  <c:pt idx="35">
                    <c:v>Jul</c:v>
                  </c:pt>
                  <c:pt idx="36">
                    <c:v>Ago</c:v>
                  </c:pt>
                  <c:pt idx="37">
                    <c:v>Sep</c:v>
                  </c:pt>
                  <c:pt idx="38">
                    <c:v>Oct</c:v>
                  </c:pt>
                  <c:pt idx="39">
                    <c:v>Nov</c:v>
                  </c:pt>
                  <c:pt idx="40">
                    <c:v>Dic</c:v>
                  </c:pt>
                  <c:pt idx="41">
                    <c:v>Ene</c:v>
                  </c:pt>
                </c:lvl>
                <c:lvl>
                  <c:pt idx="0">
                    <c:v>2019</c:v>
                  </c:pt>
                  <c:pt idx="5">
                    <c:v>2020</c:v>
                  </c:pt>
                  <c:pt idx="17">
                    <c:v>2021</c:v>
                  </c:pt>
                  <c:pt idx="29">
                    <c:v>2022</c:v>
                  </c:pt>
                  <c:pt idx="41">
                    <c:v>2023</c:v>
                  </c:pt>
                </c:lvl>
              </c:multiLvlStrCache>
            </c:multiLvlStrRef>
          </c:cat>
          <c:val>
            <c:numRef>
              <c:f>Tabla!$H$3:$H$44</c:f>
              <c:numCache>
                <c:formatCode>0.0</c:formatCode>
                <c:ptCount val="42"/>
                <c:pt idx="0">
                  <c:v>4.0738490953089999</c:v>
                </c:pt>
                <c:pt idx="1">
                  <c:v>4.3364478541649998</c:v>
                </c:pt>
                <c:pt idx="2">
                  <c:v>4.2605570886860002</c:v>
                </c:pt>
                <c:pt idx="3">
                  <c:v>3.8109469475809998</c:v>
                </c:pt>
                <c:pt idx="4">
                  <c:v>4.0028457654420002</c:v>
                </c:pt>
                <c:pt idx="5">
                  <c:v>3.9560980411459998</c:v>
                </c:pt>
                <c:pt idx="6">
                  <c:v>4.256573517274</c:v>
                </c:pt>
                <c:pt idx="7">
                  <c:v>4.4584738451890003</c:v>
                </c:pt>
                <c:pt idx="8">
                  <c:v>4.6730709031149997</c:v>
                </c:pt>
                <c:pt idx="9">
                  <c:v>4.9848178137649999</c:v>
                </c:pt>
                <c:pt idx="10">
                  <c:v>5.1808661851300002</c:v>
                </c:pt>
                <c:pt idx="11">
                  <c:v>5.5916486736579998</c:v>
                </c:pt>
                <c:pt idx="12">
                  <c:v>5.791679424372</c:v>
                </c:pt>
                <c:pt idx="13">
                  <c:v>5.9415383148160004</c:v>
                </c:pt>
                <c:pt idx="14">
                  <c:v>6.2486908502330003</c:v>
                </c:pt>
                <c:pt idx="15">
                  <c:v>7.07612819584</c:v>
                </c:pt>
                <c:pt idx="16">
                  <c:v>7.2291789385680003</c:v>
                </c:pt>
                <c:pt idx="17">
                  <c:v>7.7228266530310004</c:v>
                </c:pt>
                <c:pt idx="18">
                  <c:v>7.8272261177709996</c:v>
                </c:pt>
                <c:pt idx="19">
                  <c:v>8.0173805323020009</c:v>
                </c:pt>
                <c:pt idx="20">
                  <c:v>7.9541312698009996</c:v>
                </c:pt>
                <c:pt idx="21">
                  <c:v>7.8016945695900004</c:v>
                </c:pt>
                <c:pt idx="22">
                  <c:v>7.5144561809940003</c:v>
                </c:pt>
                <c:pt idx="23">
                  <c:v>7.1057556255419998</c:v>
                </c:pt>
                <c:pt idx="24">
                  <c:v>6.6693800027129999</c:v>
                </c:pt>
                <c:pt idx="25">
                  <c:v>6.7407840842600004</c:v>
                </c:pt>
                <c:pt idx="26">
                  <c:v>6.6733576478809997</c:v>
                </c:pt>
                <c:pt idx="27">
                  <c:v>6.4010683285110002</c:v>
                </c:pt>
                <c:pt idx="28">
                  <c:v>6.6310482620520004</c:v>
                </c:pt>
                <c:pt idx="29">
                  <c:v>6.8184415241950003</c:v>
                </c:pt>
                <c:pt idx="30">
                  <c:v>7.2433112779590001</c:v>
                </c:pt>
                <c:pt idx="31">
                  <c:v>7.4674845133319998</c:v>
                </c:pt>
                <c:pt idx="32">
                  <c:v>8.0009003393589992</c:v>
                </c:pt>
                <c:pt idx="33">
                  <c:v>7.8201049101380002</c:v>
                </c:pt>
                <c:pt idx="34">
                  <c:v>7.8511513368849997</c:v>
                </c:pt>
                <c:pt idx="35">
                  <c:v>8.2639415660240001</c:v>
                </c:pt>
                <c:pt idx="36">
                  <c:v>8.5951212067260006</c:v>
                </c:pt>
                <c:pt idx="37">
                  <c:v>9.0425307616410002</c:v>
                </c:pt>
                <c:pt idx="38">
                  <c:v>9.0389784946240006</c:v>
                </c:pt>
                <c:pt idx="39">
                  <c:v>9.4314521189809994</c:v>
                </c:pt>
                <c:pt idx="40">
                  <c:v>9.4742702352360002</c:v>
                </c:pt>
                <c:pt idx="41">
                  <c:v>9.2707493293399992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2F73-4F08-A81A-43AC5E2BF80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713404927"/>
        <c:axId val="1713414079"/>
      </c:lineChart>
      <c:catAx>
        <c:axId val="1713404927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38100" cap="flat" cmpd="sng" algn="ctr">
            <a:noFill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1713414079"/>
        <c:crosses val="autoZero"/>
        <c:auto val="1"/>
        <c:lblAlgn val="ctr"/>
        <c:lblOffset val="100"/>
        <c:noMultiLvlLbl val="0"/>
      </c:catAx>
      <c:valAx>
        <c:axId val="1713414079"/>
        <c:scaling>
          <c:orientation val="minMax"/>
          <c:max val="10"/>
          <c:min val="0"/>
        </c:scaling>
        <c:delete val="0"/>
        <c:axPos val="l"/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1713404927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38100" cap="flat" cmpd="sng" algn="ctr">
      <a:noFill/>
      <a:round/>
    </a:ln>
    <a:effectLst/>
  </c:spPr>
  <c:txPr>
    <a:bodyPr/>
    <a:lstStyle/>
    <a:p>
      <a:pPr>
        <a:defRPr/>
      </a:pPr>
      <a:endParaRPr lang="es-MX"/>
    </a:p>
  </c:txPr>
  <c:externalData r:id="rId4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1427668005925275"/>
          <c:y val="2.6434794763080652E-2"/>
          <c:w val="0.86892977312798803"/>
          <c:h val="0.81662162791781201"/>
        </c:manualLayout>
      </c:layout>
      <c:lineChart>
        <c:grouping val="standard"/>
        <c:varyColors val="0"/>
        <c:ser>
          <c:idx val="0"/>
          <c:order val="0"/>
          <c:tx>
            <c:strRef>
              <c:f>Hoja2!$G$3</c:f>
              <c:strCache>
                <c:ptCount val="1"/>
                <c:pt idx="0">
                  <c:v>Exportaciones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strRef>
              <c:f>Hoja2!$D$4:$D$19</c:f>
              <c:strCache>
                <c:ptCount val="16"/>
                <c:pt idx="0">
                  <c:v>2007</c:v>
                </c:pt>
                <c:pt idx="1">
                  <c:v>2008</c:v>
                </c:pt>
                <c:pt idx="2">
                  <c:v>2009</c:v>
                </c:pt>
                <c:pt idx="3">
                  <c:v>2010</c:v>
                </c:pt>
                <c:pt idx="4">
                  <c:v>2011</c:v>
                </c:pt>
                <c:pt idx="5">
                  <c:v>2012</c:v>
                </c:pt>
                <c:pt idx="6">
                  <c:v>2013</c:v>
                </c:pt>
                <c:pt idx="7">
                  <c:v>2014</c:v>
                </c:pt>
                <c:pt idx="8">
                  <c:v>2015</c:v>
                </c:pt>
                <c:pt idx="9">
                  <c:v>2016</c:v>
                </c:pt>
                <c:pt idx="10">
                  <c:v>2017</c:v>
                </c:pt>
                <c:pt idx="11">
                  <c:v>2018</c:v>
                </c:pt>
                <c:pt idx="12">
                  <c:v>2019</c:v>
                </c:pt>
                <c:pt idx="13">
                  <c:v>2020</c:v>
                </c:pt>
                <c:pt idx="14">
                  <c:v>2021</c:v>
                </c:pt>
                <c:pt idx="15">
                  <c:v>2022</c:v>
                </c:pt>
              </c:strCache>
            </c:strRef>
          </c:cat>
          <c:val>
            <c:numRef>
              <c:f>Hoja2!$G$4:$G$19</c:f>
              <c:numCache>
                <c:formatCode>0</c:formatCode>
                <c:ptCount val="16"/>
                <c:pt idx="0">
                  <c:v>185.55</c:v>
                </c:pt>
                <c:pt idx="1">
                  <c:v>263.65199999999999</c:v>
                </c:pt>
                <c:pt idx="2">
                  <c:v>412.57299999999998</c:v>
                </c:pt>
                <c:pt idx="3">
                  <c:v>530.67999999999995</c:v>
                </c:pt>
                <c:pt idx="4">
                  <c:v>631.28599999999994</c:v>
                </c:pt>
                <c:pt idx="5">
                  <c:v>626.76099999999997</c:v>
                </c:pt>
                <c:pt idx="6">
                  <c:v>621.44000000000005</c:v>
                </c:pt>
                <c:pt idx="7">
                  <c:v>610.67700000000002</c:v>
                </c:pt>
                <c:pt idx="8">
                  <c:v>631.89800000000002</c:v>
                </c:pt>
                <c:pt idx="9">
                  <c:v>660.78800000000001</c:v>
                </c:pt>
                <c:pt idx="10">
                  <c:v>685.42600000000004</c:v>
                </c:pt>
                <c:pt idx="11">
                  <c:v>655.61400000000003</c:v>
                </c:pt>
                <c:pt idx="12">
                  <c:v>743.26700000000005</c:v>
                </c:pt>
                <c:pt idx="13">
                  <c:v>685.12</c:v>
                </c:pt>
                <c:pt idx="14">
                  <c:v>673.92899999999997</c:v>
                </c:pt>
                <c:pt idx="15">
                  <c:v>770.596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EA5A-44FA-95A3-8C07FE1559F2}"/>
            </c:ext>
          </c:extLst>
        </c:ser>
        <c:ser>
          <c:idx val="1"/>
          <c:order val="1"/>
          <c:tx>
            <c:strRef>
              <c:f>Hoja2!$H$3</c:f>
              <c:strCache>
                <c:ptCount val="1"/>
                <c:pt idx="0">
                  <c:v>Importaciones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cat>
            <c:strRef>
              <c:f>Hoja2!$D$4:$D$19</c:f>
              <c:strCache>
                <c:ptCount val="16"/>
                <c:pt idx="0">
                  <c:v>2007</c:v>
                </c:pt>
                <c:pt idx="1">
                  <c:v>2008</c:v>
                </c:pt>
                <c:pt idx="2">
                  <c:v>2009</c:v>
                </c:pt>
                <c:pt idx="3">
                  <c:v>2010</c:v>
                </c:pt>
                <c:pt idx="4">
                  <c:v>2011</c:v>
                </c:pt>
                <c:pt idx="5">
                  <c:v>2012</c:v>
                </c:pt>
                <c:pt idx="6">
                  <c:v>2013</c:v>
                </c:pt>
                <c:pt idx="7">
                  <c:v>2014</c:v>
                </c:pt>
                <c:pt idx="8">
                  <c:v>2015</c:v>
                </c:pt>
                <c:pt idx="9">
                  <c:v>2016</c:v>
                </c:pt>
                <c:pt idx="10">
                  <c:v>2017</c:v>
                </c:pt>
                <c:pt idx="11">
                  <c:v>2018</c:v>
                </c:pt>
                <c:pt idx="12">
                  <c:v>2019</c:v>
                </c:pt>
                <c:pt idx="13">
                  <c:v>2020</c:v>
                </c:pt>
                <c:pt idx="14">
                  <c:v>2021</c:v>
                </c:pt>
                <c:pt idx="15">
                  <c:v>2022</c:v>
                </c:pt>
              </c:strCache>
            </c:strRef>
          </c:cat>
          <c:val>
            <c:numRef>
              <c:f>Hoja2!$H$4:$H$19</c:f>
              <c:numCache>
                <c:formatCode>0</c:formatCode>
                <c:ptCount val="16"/>
                <c:pt idx="0">
                  <c:v>326.62</c:v>
                </c:pt>
                <c:pt idx="1">
                  <c:v>387.39400000000001</c:v>
                </c:pt>
                <c:pt idx="2">
                  <c:v>325.89</c:v>
                </c:pt>
                <c:pt idx="3">
                  <c:v>421.59699999999998</c:v>
                </c:pt>
                <c:pt idx="4">
                  <c:v>547.41899999999998</c:v>
                </c:pt>
                <c:pt idx="5">
                  <c:v>533.66700000000003</c:v>
                </c:pt>
                <c:pt idx="6">
                  <c:v>540.125</c:v>
                </c:pt>
                <c:pt idx="7">
                  <c:v>552.48800000000006</c:v>
                </c:pt>
                <c:pt idx="8">
                  <c:v>426.70100000000002</c:v>
                </c:pt>
                <c:pt idx="9">
                  <c:v>546.80899999999997</c:v>
                </c:pt>
                <c:pt idx="10">
                  <c:v>506.18</c:v>
                </c:pt>
                <c:pt idx="11">
                  <c:v>526.06500000000005</c:v>
                </c:pt>
                <c:pt idx="12">
                  <c:v>542.13</c:v>
                </c:pt>
                <c:pt idx="13">
                  <c:v>442.64800000000002</c:v>
                </c:pt>
                <c:pt idx="14">
                  <c:v>528.625</c:v>
                </c:pt>
                <c:pt idx="15">
                  <c:v>664.702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EA5A-44FA-95A3-8C07FE1559F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789548095"/>
        <c:axId val="1789551455"/>
      </c:lineChart>
      <c:catAx>
        <c:axId val="1789548095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1789551455"/>
        <c:crosses val="autoZero"/>
        <c:auto val="1"/>
        <c:lblAlgn val="ctr"/>
        <c:lblOffset val="100"/>
        <c:noMultiLvlLbl val="0"/>
      </c:catAx>
      <c:valAx>
        <c:axId val="1789551455"/>
        <c:scaling>
          <c:orientation val="minMax"/>
          <c:max val="1200"/>
        </c:scaling>
        <c:delete val="0"/>
        <c:axPos val="l"/>
        <c:numFmt formatCode="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1789548095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2094836978433186"/>
          <c:y val="7.355583672165783E-2"/>
          <c:w val="0.61392532530242483"/>
          <c:h val="0.11512326949770905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tx1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s-MX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s-MX"/>
    </a:p>
  </c:txPr>
  <c:externalData r:id="rId4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1023489432242023"/>
          <c:y val="6.5050266114725017E-2"/>
          <c:w val="0.86914977206796518"/>
          <c:h val="0.77882952647447989"/>
        </c:manualLayout>
      </c:layout>
      <c:lineChart>
        <c:grouping val="standard"/>
        <c:varyColors val="0"/>
        <c:ser>
          <c:idx val="0"/>
          <c:order val="0"/>
          <c:tx>
            <c:strRef>
              <c:f>Hoja2!$E$3</c:f>
              <c:strCache>
                <c:ptCount val="1"/>
                <c:pt idx="0">
                  <c:v>Exportaciones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strRef>
              <c:f>Hoja2!$D$4:$D$19</c:f>
              <c:strCache>
                <c:ptCount val="16"/>
                <c:pt idx="0">
                  <c:v>2007</c:v>
                </c:pt>
                <c:pt idx="1">
                  <c:v>2008</c:v>
                </c:pt>
                <c:pt idx="2">
                  <c:v>2009</c:v>
                </c:pt>
                <c:pt idx="3">
                  <c:v>2010</c:v>
                </c:pt>
                <c:pt idx="4">
                  <c:v>2011</c:v>
                </c:pt>
                <c:pt idx="5">
                  <c:v>2012</c:v>
                </c:pt>
                <c:pt idx="6">
                  <c:v>2013</c:v>
                </c:pt>
                <c:pt idx="7">
                  <c:v>2014</c:v>
                </c:pt>
                <c:pt idx="8">
                  <c:v>2015</c:v>
                </c:pt>
                <c:pt idx="9">
                  <c:v>2016</c:v>
                </c:pt>
                <c:pt idx="10">
                  <c:v>2017</c:v>
                </c:pt>
                <c:pt idx="11">
                  <c:v>2018</c:v>
                </c:pt>
                <c:pt idx="12">
                  <c:v>2019</c:v>
                </c:pt>
                <c:pt idx="13">
                  <c:v>2020</c:v>
                </c:pt>
                <c:pt idx="14">
                  <c:v>2021</c:v>
                </c:pt>
                <c:pt idx="15">
                  <c:v>2022</c:v>
                </c:pt>
              </c:strCache>
            </c:strRef>
          </c:cat>
          <c:val>
            <c:numRef>
              <c:f>Hoja2!$E$4:$E$19</c:f>
              <c:numCache>
                <c:formatCode>0</c:formatCode>
                <c:ptCount val="16"/>
                <c:pt idx="0">
                  <c:v>451.30099999999999</c:v>
                </c:pt>
                <c:pt idx="1">
                  <c:v>497.06</c:v>
                </c:pt>
                <c:pt idx="2">
                  <c:v>490.96199999999999</c:v>
                </c:pt>
                <c:pt idx="3">
                  <c:v>502.04399999999998</c:v>
                </c:pt>
                <c:pt idx="4">
                  <c:v>513.88300000000004</c:v>
                </c:pt>
                <c:pt idx="5">
                  <c:v>520.52599999999995</c:v>
                </c:pt>
                <c:pt idx="6">
                  <c:v>565.54700000000003</c:v>
                </c:pt>
                <c:pt idx="7">
                  <c:v>604.803</c:v>
                </c:pt>
                <c:pt idx="8">
                  <c:v>604.58900000000006</c:v>
                </c:pt>
                <c:pt idx="9">
                  <c:v>643.67899999999997</c:v>
                </c:pt>
                <c:pt idx="10">
                  <c:v>774.01</c:v>
                </c:pt>
                <c:pt idx="11">
                  <c:v>732.45299999999997</c:v>
                </c:pt>
                <c:pt idx="12">
                  <c:v>813.83100000000002</c:v>
                </c:pt>
                <c:pt idx="13">
                  <c:v>743.66899999999998</c:v>
                </c:pt>
                <c:pt idx="14">
                  <c:v>905.14099999999996</c:v>
                </c:pt>
                <c:pt idx="15">
                  <c:v>1137.6869999999999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307A-4776-AF0E-24FBB74A04B9}"/>
            </c:ext>
          </c:extLst>
        </c:ser>
        <c:ser>
          <c:idx val="1"/>
          <c:order val="1"/>
          <c:tx>
            <c:strRef>
              <c:f>Hoja2!$F$3</c:f>
              <c:strCache>
                <c:ptCount val="1"/>
                <c:pt idx="0">
                  <c:v>Importaciones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cat>
            <c:strRef>
              <c:f>Hoja2!$D$4:$D$19</c:f>
              <c:strCache>
                <c:ptCount val="16"/>
                <c:pt idx="0">
                  <c:v>2007</c:v>
                </c:pt>
                <c:pt idx="1">
                  <c:v>2008</c:v>
                </c:pt>
                <c:pt idx="2">
                  <c:v>2009</c:v>
                </c:pt>
                <c:pt idx="3">
                  <c:v>2010</c:v>
                </c:pt>
                <c:pt idx="4">
                  <c:v>2011</c:v>
                </c:pt>
                <c:pt idx="5">
                  <c:v>2012</c:v>
                </c:pt>
                <c:pt idx="6">
                  <c:v>2013</c:v>
                </c:pt>
                <c:pt idx="7">
                  <c:v>2014</c:v>
                </c:pt>
                <c:pt idx="8">
                  <c:v>2015</c:v>
                </c:pt>
                <c:pt idx="9">
                  <c:v>2016</c:v>
                </c:pt>
                <c:pt idx="10">
                  <c:v>2017</c:v>
                </c:pt>
                <c:pt idx="11">
                  <c:v>2018</c:v>
                </c:pt>
                <c:pt idx="12">
                  <c:v>2019</c:v>
                </c:pt>
                <c:pt idx="13">
                  <c:v>2020</c:v>
                </c:pt>
                <c:pt idx="14">
                  <c:v>2021</c:v>
                </c:pt>
                <c:pt idx="15">
                  <c:v>2022</c:v>
                </c:pt>
              </c:strCache>
            </c:strRef>
          </c:cat>
          <c:val>
            <c:numRef>
              <c:f>Hoja2!$F$4:$F$19</c:f>
              <c:numCache>
                <c:formatCode>0</c:formatCode>
                <c:ptCount val="16"/>
                <c:pt idx="0">
                  <c:v>86.981999999999999</c:v>
                </c:pt>
                <c:pt idx="1">
                  <c:v>93.09</c:v>
                </c:pt>
                <c:pt idx="2">
                  <c:v>78.067999999999998</c:v>
                </c:pt>
                <c:pt idx="3">
                  <c:v>93.194000000000003</c:v>
                </c:pt>
                <c:pt idx="4">
                  <c:v>98.39</c:v>
                </c:pt>
                <c:pt idx="5">
                  <c:v>94.171000000000006</c:v>
                </c:pt>
                <c:pt idx="6">
                  <c:v>106.149</c:v>
                </c:pt>
                <c:pt idx="7">
                  <c:v>100.328</c:v>
                </c:pt>
                <c:pt idx="8">
                  <c:v>109.961</c:v>
                </c:pt>
                <c:pt idx="9">
                  <c:v>110.37</c:v>
                </c:pt>
                <c:pt idx="10">
                  <c:v>104.12</c:v>
                </c:pt>
                <c:pt idx="11">
                  <c:v>118.03</c:v>
                </c:pt>
                <c:pt idx="12">
                  <c:v>120.67</c:v>
                </c:pt>
                <c:pt idx="13">
                  <c:v>88.504000000000005</c:v>
                </c:pt>
                <c:pt idx="14">
                  <c:v>112.322</c:v>
                </c:pt>
                <c:pt idx="15">
                  <c:v>146.34200000000001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307A-4776-AF0E-24FBB74A04B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024841935"/>
        <c:axId val="1024845295"/>
      </c:lineChart>
      <c:catAx>
        <c:axId val="1024841935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1024845295"/>
        <c:crosses val="autoZero"/>
        <c:auto val="1"/>
        <c:lblAlgn val="ctr"/>
        <c:lblOffset val="100"/>
        <c:noMultiLvlLbl val="0"/>
      </c:catAx>
      <c:valAx>
        <c:axId val="1024845295"/>
        <c:scaling>
          <c:orientation val="minMax"/>
        </c:scaling>
        <c:delete val="0"/>
        <c:axPos val="l"/>
        <c:numFmt formatCode="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1024841935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2888439125118498"/>
          <c:y val="0.12160860879971318"/>
          <c:w val="0.40407431405243482"/>
          <c:h val="0.11679153648076664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tx1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s-MX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s-MX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4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5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6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7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8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9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3A12C9-86B0-495D-B84A-50B3BA030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822</Words>
  <Characters>4526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COLLAZO GALLEGOS MARCOS DARIO</dc:creator>
  <cp:keywords/>
  <dc:description/>
  <cp:lastModifiedBy>MORONES RUIZ FABIOLA CRISTINA</cp:lastModifiedBy>
  <cp:revision>3</cp:revision>
  <dcterms:created xsi:type="dcterms:W3CDTF">2023-09-04T15:32:00Z</dcterms:created>
  <dcterms:modified xsi:type="dcterms:W3CDTF">2023-09-04T15:41:00Z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93c8ac28254f8151fb4f4d790bed8384d40b4cfa70fb71216a463167f63aa382</vt:lpwstr>
  </property>
</Properties>
</file>