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05A92" w14:textId="3CED16C4" w:rsidR="00A47B7F" w:rsidRPr="002F0483" w:rsidRDefault="00491354" w:rsidP="0044482B">
      <w:pPr>
        <w:pStyle w:val="Default"/>
        <w:widowControl w:val="0"/>
        <w:jc w:val="center"/>
        <w:rPr>
          <w:rFonts w:ascii="Garamond" w:hAnsi="Garamond"/>
          <w:b/>
          <w:bCs/>
          <w:color w:val="auto"/>
          <w:sz w:val="26"/>
          <w:szCs w:val="26"/>
          <w:lang w:val="es-ES_tradnl" w:eastAsia="es-ES"/>
        </w:rPr>
      </w:pPr>
      <w:bookmarkStart w:id="0" w:name="_GoBack"/>
      <w:r w:rsidRPr="002F0483">
        <w:rPr>
          <w:rFonts w:ascii="Garamond" w:hAnsi="Garamond"/>
          <w:b/>
          <w:bCs/>
          <w:sz w:val="26"/>
          <w:szCs w:val="26"/>
        </w:rPr>
        <w:t>NOTA INFORMATIVA</w:t>
      </w:r>
      <w:bookmarkEnd w:id="0"/>
      <w:r w:rsidRPr="002F0483">
        <w:rPr>
          <w:rFonts w:ascii="Garamond" w:hAnsi="Garamond"/>
          <w:b/>
          <w:bCs/>
          <w:color w:val="auto"/>
          <w:sz w:val="26"/>
          <w:szCs w:val="26"/>
          <w:lang w:val="es-ES_tradnl" w:eastAsia="es-ES"/>
        </w:rPr>
        <w:br/>
      </w:r>
    </w:p>
    <w:p w14:paraId="0DE26340" w14:textId="77777777" w:rsidR="002F0483" w:rsidRDefault="006E5D30" w:rsidP="0044482B">
      <w:pPr>
        <w:pStyle w:val="Default"/>
        <w:widowControl w:val="0"/>
        <w:jc w:val="center"/>
        <w:rPr>
          <w:rFonts w:ascii="Garamond" w:hAnsi="Garamond"/>
          <w:b/>
          <w:bCs/>
          <w:color w:val="auto"/>
          <w:sz w:val="26"/>
          <w:szCs w:val="26"/>
          <w:lang w:val="es-ES_tradnl" w:eastAsia="es-ES"/>
        </w:rPr>
      </w:pPr>
      <w:r w:rsidRPr="002F0483">
        <w:rPr>
          <w:rFonts w:ascii="Garamond" w:hAnsi="Garamond"/>
          <w:b/>
          <w:bCs/>
          <w:color w:val="auto"/>
          <w:sz w:val="26"/>
          <w:szCs w:val="26"/>
          <w:lang w:val="es-ES_tradnl" w:eastAsia="es-ES"/>
        </w:rPr>
        <w:t>EL INEGI D</w:t>
      </w:r>
      <w:r w:rsidR="00A47B7F" w:rsidRPr="002F0483">
        <w:rPr>
          <w:rFonts w:ascii="Garamond" w:hAnsi="Garamond"/>
          <w:b/>
          <w:bCs/>
          <w:color w:val="auto"/>
          <w:sz w:val="26"/>
          <w:szCs w:val="26"/>
          <w:lang w:val="es-ES_tradnl" w:eastAsia="es-ES"/>
        </w:rPr>
        <w:t>A A CONOCER NUEVAS</w:t>
      </w:r>
      <w:r w:rsidRPr="002F0483">
        <w:rPr>
          <w:rFonts w:ascii="Garamond" w:hAnsi="Garamond"/>
          <w:b/>
          <w:bCs/>
          <w:color w:val="auto"/>
          <w:sz w:val="26"/>
          <w:szCs w:val="26"/>
          <w:lang w:val="es-ES_tradnl" w:eastAsia="es-ES"/>
        </w:rPr>
        <w:t xml:space="preserve"> SERIES ESTADÍSTICAS DE </w:t>
      </w:r>
      <w:r w:rsidR="0044482B" w:rsidRPr="002F0483">
        <w:rPr>
          <w:rFonts w:ascii="Garamond" w:hAnsi="Garamond"/>
          <w:b/>
          <w:bCs/>
          <w:color w:val="auto"/>
          <w:sz w:val="26"/>
          <w:szCs w:val="26"/>
          <w:lang w:val="es-ES_tradnl" w:eastAsia="es-ES"/>
        </w:rPr>
        <w:t xml:space="preserve">LAS </w:t>
      </w:r>
    </w:p>
    <w:p w14:paraId="7B00253B" w14:textId="631092F3" w:rsidR="0044482B" w:rsidRPr="002F0483" w:rsidRDefault="0044482B" w:rsidP="0044482B">
      <w:pPr>
        <w:pStyle w:val="Default"/>
        <w:widowControl w:val="0"/>
        <w:jc w:val="center"/>
        <w:rPr>
          <w:rFonts w:ascii="Garamond" w:hAnsi="Garamond"/>
          <w:b/>
          <w:bCs/>
          <w:color w:val="auto"/>
          <w:sz w:val="26"/>
          <w:szCs w:val="26"/>
          <w:lang w:val="es-ES_tradnl" w:eastAsia="es-ES"/>
        </w:rPr>
      </w:pPr>
      <w:r w:rsidRPr="002F0483">
        <w:rPr>
          <w:rFonts w:ascii="Garamond" w:hAnsi="Garamond"/>
          <w:b/>
          <w:bCs/>
          <w:color w:val="auto"/>
          <w:sz w:val="26"/>
          <w:szCs w:val="26"/>
          <w:lang w:val="es-ES_tradnl" w:eastAsia="es-ES"/>
        </w:rPr>
        <w:t>ENCUESTAS ECONÓMICAS NACIONALES</w:t>
      </w:r>
    </w:p>
    <w:p w14:paraId="19E6EB21" w14:textId="77777777" w:rsidR="00491354" w:rsidRPr="002F0483" w:rsidRDefault="00491354" w:rsidP="0044482B">
      <w:pPr>
        <w:pStyle w:val="Default"/>
        <w:widowControl w:val="0"/>
        <w:jc w:val="center"/>
        <w:rPr>
          <w:rFonts w:ascii="Garamond" w:hAnsi="Garamond"/>
          <w:color w:val="auto"/>
          <w:sz w:val="26"/>
          <w:szCs w:val="26"/>
          <w:lang w:val="es-ES_tradnl" w:eastAsia="es-ES"/>
        </w:rPr>
      </w:pPr>
    </w:p>
    <w:p w14:paraId="361D63E8" w14:textId="5B09E8BC" w:rsidR="00A47B7F" w:rsidRPr="002F0483" w:rsidRDefault="00034AF4" w:rsidP="00491354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</w:pP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El Instituto Nacional de Estadística y Geografía (INEGI) informa que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, a partir de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junio de 2023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, 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pondrá a disposición de</w:t>
      </w:r>
      <w:r w:rsidR="00411447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l público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usuario </w:t>
      </w:r>
      <w:r w:rsidR="006E5D30" w:rsidRPr="002F0483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 xml:space="preserve">nuevas series estadísticas de las </w:t>
      </w:r>
      <w:r w:rsidRPr="002F0483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>Encuestas Económicas Nacionales</w:t>
      </w:r>
      <w:r w:rsidR="00A47B7F" w:rsidRPr="002F0483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 xml:space="preserve"> (EEN)</w:t>
      </w:r>
      <w:r w:rsidR="00A47B7F" w:rsidRPr="00EC5A6B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.</w:t>
      </w:r>
      <w:r w:rsidR="00A47B7F" w:rsidRPr="002F0483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 xml:space="preserve"> 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El objetivo es suministrar información —mensual y anual— de los sectores Construcción, </w:t>
      </w:r>
      <w:r w:rsidR="00B91E00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Industrias </w:t>
      </w:r>
      <w:r w:rsidR="00AA162C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manufactureras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, Comercio y Servicios </w:t>
      </w:r>
      <w:r w:rsidR="00AA162C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p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rivados </w:t>
      </w:r>
      <w:r w:rsidR="00AA162C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n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o </w:t>
      </w:r>
      <w:r w:rsidR="00AA162C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f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inancieros, que sea representativa de la dinámica productiva y </w:t>
      </w:r>
      <w:r w:rsidR="006F1BD4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de 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la </w:t>
      </w:r>
      <w:r w:rsidR="008500BA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actualidad 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del país.</w:t>
      </w:r>
    </w:p>
    <w:p w14:paraId="2F79C8C9" w14:textId="77777777" w:rsidR="00A47B7F" w:rsidRPr="002F0483" w:rsidRDefault="00A47B7F" w:rsidP="00491354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</w:pPr>
    </w:p>
    <w:p w14:paraId="72278E99" w14:textId="26324E10" w:rsidR="00034AF4" w:rsidRPr="002F0483" w:rsidRDefault="00A47B7F" w:rsidP="00491354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En 2020, inició l</w:t>
      </w:r>
      <w:r w:rsidR="00034AF4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a actualización de las 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EEN</w:t>
      </w:r>
      <w:r w:rsidR="00034AF4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con la consulta pública en la que se captaron las opiniones y necesidades de</w:t>
      </w:r>
      <w:r w:rsidR="008500BA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las y</w:t>
      </w:r>
      <w:r w:rsidR="00034AF4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los</w:t>
      </w:r>
      <w:r w:rsidR="00034AF4" w:rsidRPr="002F0483">
        <w:rPr>
          <w:rFonts w:ascii="Garamond" w:hAnsi="Garamond" w:cs="Arial"/>
          <w:b w:val="0"/>
          <w:color w:val="FF0000"/>
          <w:spacing w:val="0"/>
          <w:sz w:val="26"/>
          <w:szCs w:val="26"/>
          <w:lang w:val="es-ES_tradnl"/>
        </w:rPr>
        <w:t xml:space="preserve"> </w:t>
      </w:r>
      <w:r w:rsidR="00034AF4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usuarios de los diversos sectores, entre los que destacan</w:t>
      </w:r>
      <w:r w:rsidR="00DF419C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:</w:t>
      </w:r>
      <w:r w:rsidR="00034AF4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las Unidades de</w:t>
      </w:r>
      <w:r w:rsidR="00F45D7F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l</w:t>
      </w:r>
      <w:r w:rsidR="00034AF4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Estado, instituciones académicas y financieras, cámaras y asociaciones empresariales, así como las organizaciones de la sociedad en general.</w:t>
      </w:r>
    </w:p>
    <w:p w14:paraId="729681C2" w14:textId="77777777" w:rsidR="00034AF4" w:rsidRPr="002F0483" w:rsidRDefault="00034AF4" w:rsidP="00491354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</w:p>
    <w:p w14:paraId="2B12AE57" w14:textId="34698AA4" w:rsidR="00A47B7F" w:rsidRPr="002F0483" w:rsidRDefault="00BD5029" w:rsidP="00A47B7F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Entre las innovaciones d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estaca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n</w:t>
      </w:r>
      <w:r w:rsidR="00F349DF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: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la adopción d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el «Sistema de Clasificación Industrial de América del Norte (SCIAN) 2018»</w:t>
      </w:r>
      <w:r w:rsidR="00F349DF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,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la aplicación de los diseños estadísticos </w:t>
      </w:r>
      <w:r w:rsidR="00894A9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que provienen 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de un nuevo marco </w:t>
      </w:r>
      <w:r w:rsidR="00B34C7D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con base en 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el Registro Estadístico de Negocios de México (RENEM), el uso de nuevos ponderadores </w:t>
      </w:r>
      <w:r w:rsidR="00260BC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a partir 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de los Censos Económicos 2019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, además del cambio de año base</w:t>
      </w:r>
      <w:r w:rsidR="008B6B37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,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a 2018</w:t>
      </w:r>
      <w:r w:rsidR="008B6B37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,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de los índices</w:t>
      </w:r>
      <w:r w:rsidR="008043CE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que serán difundidos</w:t>
      </w:r>
      <w:r w:rsidR="00A47B7F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.</w:t>
      </w:r>
    </w:p>
    <w:p w14:paraId="0BD73FB9" w14:textId="77777777" w:rsidR="00034AF4" w:rsidRPr="002F0483" w:rsidRDefault="00034AF4" w:rsidP="00491354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</w:p>
    <w:p w14:paraId="40A8E884" w14:textId="2886B10E" w:rsidR="00A47B7F" w:rsidRPr="002F0483" w:rsidRDefault="00A47B7F" w:rsidP="00A47B7F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Las nuevas series registran las siguientes actualizaciones:</w:t>
      </w:r>
    </w:p>
    <w:p w14:paraId="6927390E" w14:textId="77777777" w:rsidR="00A47B7F" w:rsidRPr="002F0483" w:rsidRDefault="00A47B7F" w:rsidP="00A47B7F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</w:p>
    <w:p w14:paraId="7B530E9A" w14:textId="4FF8774A" w:rsidR="00A47B7F" w:rsidRPr="002F0483" w:rsidRDefault="00A47B7F" w:rsidP="009809BD">
      <w:pPr>
        <w:pStyle w:val="bullet"/>
        <w:keepLines w:val="0"/>
        <w:widowControl w:val="0"/>
        <w:numPr>
          <w:ilvl w:val="0"/>
          <w:numId w:val="10"/>
        </w:numPr>
        <w:tabs>
          <w:tab w:val="left" w:pos="8364"/>
          <w:tab w:val="left" w:pos="8789"/>
        </w:tabs>
        <w:spacing w:before="0" w:after="0"/>
        <w:ind w:right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  <w:r w:rsidRPr="002F0483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>Encuesta Mensual de Opinión Empresarial</w:t>
      </w:r>
      <w:r w:rsidR="009F2373" w:rsidRPr="00EC5A6B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>.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Amplía la desagregación de los indicadores del sector Comercio en comercio al por mayor y comercio al por menor.</w:t>
      </w:r>
    </w:p>
    <w:p w14:paraId="3C642C19" w14:textId="77777777" w:rsidR="00A47B7F" w:rsidRPr="002F0483" w:rsidRDefault="00A47B7F" w:rsidP="00A47B7F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</w:pPr>
    </w:p>
    <w:p w14:paraId="69FC8230" w14:textId="40868D3D" w:rsidR="00A47B7F" w:rsidRPr="002F0483" w:rsidRDefault="00A47B7F" w:rsidP="009809BD">
      <w:pPr>
        <w:pStyle w:val="bullet"/>
        <w:keepLines w:val="0"/>
        <w:widowControl w:val="0"/>
        <w:numPr>
          <w:ilvl w:val="0"/>
          <w:numId w:val="10"/>
        </w:numPr>
        <w:tabs>
          <w:tab w:val="left" w:pos="8364"/>
          <w:tab w:val="left" w:pos="8789"/>
        </w:tabs>
        <w:spacing w:before="0" w:after="0"/>
        <w:ind w:right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  <w:r w:rsidRPr="002F0483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>Encuestas mensual y anual de la Industria Manufacturera</w:t>
      </w:r>
      <w:r w:rsidR="00AA5793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>.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Su diseño estadístico alcanza una cobertura de 91 % del valor de los ingresos totales de este sector. Además, incrementan las clases de actividad con diseño probabilístico</w:t>
      </w:r>
      <w:r w:rsidR="00626C58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de 4 a 25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.</w:t>
      </w:r>
    </w:p>
    <w:p w14:paraId="171B53BE" w14:textId="77777777" w:rsidR="00A47B7F" w:rsidRPr="002F0483" w:rsidRDefault="00A47B7F" w:rsidP="00A47B7F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</w:p>
    <w:p w14:paraId="0E684D82" w14:textId="70A7BB1F" w:rsidR="00A47B7F" w:rsidRPr="002F0483" w:rsidRDefault="00A47B7F" w:rsidP="009809BD">
      <w:pPr>
        <w:pStyle w:val="bullet"/>
        <w:keepLines w:val="0"/>
        <w:widowControl w:val="0"/>
        <w:numPr>
          <w:ilvl w:val="0"/>
          <w:numId w:val="10"/>
        </w:numPr>
        <w:tabs>
          <w:tab w:val="left" w:pos="8364"/>
          <w:tab w:val="left" w:pos="8789"/>
        </w:tabs>
        <w:spacing w:before="0" w:after="0"/>
        <w:ind w:right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  <w:r w:rsidRPr="002F0483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>Encuestas mensual y anual de Comercio</w:t>
      </w:r>
      <w:r w:rsidR="00AA5793" w:rsidRPr="00EC5A6B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>.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Instrumentan un diseño que permite generar resultados para el total de comercio al por mayor. Asimismo, incrementa su oferta estadística mensual con nuevos índices de variables específicas.</w:t>
      </w:r>
    </w:p>
    <w:p w14:paraId="52723184" w14:textId="77777777" w:rsidR="00A47B7F" w:rsidRPr="002F0483" w:rsidRDefault="00A47B7F" w:rsidP="00A47B7F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</w:p>
    <w:p w14:paraId="01E28520" w14:textId="661D47F5" w:rsidR="00A47B7F" w:rsidRPr="002F0483" w:rsidRDefault="00A47B7F" w:rsidP="009809BD">
      <w:pPr>
        <w:pStyle w:val="bullet"/>
        <w:keepLines w:val="0"/>
        <w:widowControl w:val="0"/>
        <w:numPr>
          <w:ilvl w:val="0"/>
          <w:numId w:val="10"/>
        </w:numPr>
        <w:tabs>
          <w:tab w:val="left" w:pos="8364"/>
          <w:tab w:val="left" w:pos="8789"/>
        </w:tabs>
        <w:spacing w:before="0" w:after="0"/>
        <w:ind w:right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  <w:r w:rsidRPr="002F0483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>Encuestas mensual y anual de Servicios Privados No Financieros</w:t>
      </w:r>
      <w:r w:rsidR="005813DC" w:rsidRPr="00EC5A6B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>.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Aplican un diseño estadístico que mantiene una cobertura de 85 % del valor de los ingresos totales del sector. </w:t>
      </w:r>
    </w:p>
    <w:p w14:paraId="6A19CCE0" w14:textId="77777777" w:rsidR="00A47B7F" w:rsidRPr="002F0483" w:rsidRDefault="00A47B7F" w:rsidP="00A47B7F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</w:p>
    <w:p w14:paraId="7AD5ACAD" w14:textId="0C5E74F3" w:rsidR="00A47B7F" w:rsidRPr="002F0483" w:rsidRDefault="00A47B7F" w:rsidP="009809BD">
      <w:pPr>
        <w:pStyle w:val="bullet"/>
        <w:keepLines w:val="0"/>
        <w:widowControl w:val="0"/>
        <w:numPr>
          <w:ilvl w:val="0"/>
          <w:numId w:val="10"/>
        </w:numPr>
        <w:tabs>
          <w:tab w:val="left" w:pos="8364"/>
          <w:tab w:val="left" w:pos="8789"/>
        </w:tabs>
        <w:spacing w:before="0" w:after="0"/>
        <w:ind w:right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  <w:r w:rsidRPr="002F0483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>Encuestas mensual y anual de Empresas Constructoras</w:t>
      </w:r>
      <w:r w:rsidR="005813DC" w:rsidRPr="00EC5A6B">
        <w:rPr>
          <w:rFonts w:ascii="Garamond" w:hAnsi="Garamond" w:cs="Arial"/>
          <w:bCs/>
          <w:color w:val="auto"/>
          <w:spacing w:val="0"/>
          <w:sz w:val="26"/>
          <w:szCs w:val="26"/>
          <w:lang w:val="es-ES_tradnl"/>
        </w:rPr>
        <w:t>.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Su diseño estadístico permite generar resultados por subsector de actividad, a nivel nacional y por entidad federativa. </w:t>
      </w:r>
    </w:p>
    <w:p w14:paraId="5B800E60" w14:textId="77777777" w:rsidR="00034AF4" w:rsidRPr="002F0483" w:rsidRDefault="00034AF4" w:rsidP="00A47B7F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</w:p>
    <w:p w14:paraId="5AB4588F" w14:textId="16157B26" w:rsidR="00034AF4" w:rsidRPr="002F0483" w:rsidRDefault="00034AF4" w:rsidP="00BD5029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La difusión de cada una de las E</w:t>
      </w:r>
      <w:r w:rsidR="00242D5C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EN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se realizará conforme a las fechas establecidas en el Calendario de </w:t>
      </w:r>
      <w:r w:rsidR="00010C09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D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ifusión de </w:t>
      </w:r>
      <w:r w:rsidR="00010C09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I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nformación </w:t>
      </w:r>
      <w:r w:rsidR="00010C09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E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stadística y </w:t>
      </w:r>
      <w:r w:rsidR="00242D5C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G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eográfica y de Interés Nacional</w:t>
      </w:r>
      <w:r w:rsidR="00242D5C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2023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del INEGI.</w:t>
      </w:r>
    </w:p>
    <w:p w14:paraId="06742810" w14:textId="77777777" w:rsidR="00A47B7F" w:rsidRPr="002F0483" w:rsidRDefault="00A47B7F" w:rsidP="00491354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51"/>
        <w:gridCol w:w="3045"/>
      </w:tblGrid>
      <w:tr w:rsidR="00A47B7F" w:rsidRPr="002F0483" w14:paraId="52558050" w14:textId="77777777" w:rsidTr="00022760">
        <w:tc>
          <w:tcPr>
            <w:tcW w:w="3507" w:type="pct"/>
            <w:shd w:val="clear" w:color="auto" w:fill="B4C6E7" w:themeFill="accent1" w:themeFillTint="66"/>
          </w:tcPr>
          <w:p w14:paraId="3B1317D8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ENCUESTAS MENSUALES</w:t>
            </w:r>
          </w:p>
        </w:tc>
        <w:tc>
          <w:tcPr>
            <w:tcW w:w="1493" w:type="pct"/>
            <w:shd w:val="clear" w:color="auto" w:fill="B4C6E7" w:themeFill="accent1" w:themeFillTint="66"/>
          </w:tcPr>
          <w:p w14:paraId="6686897D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DIFUSIÓN</w:t>
            </w:r>
          </w:p>
        </w:tc>
      </w:tr>
      <w:tr w:rsidR="00A47B7F" w:rsidRPr="002F0483" w14:paraId="0E8925DC" w14:textId="77777777" w:rsidTr="00022760">
        <w:tc>
          <w:tcPr>
            <w:tcW w:w="3507" w:type="pct"/>
          </w:tcPr>
          <w:p w14:paraId="3528593A" w14:textId="77777777" w:rsidR="00A47B7F" w:rsidRPr="002F0483" w:rsidRDefault="00A47B7F" w:rsidP="00022760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 Mensual de Opinión Empresarial (EMOE)</w:t>
            </w:r>
          </w:p>
        </w:tc>
        <w:tc>
          <w:tcPr>
            <w:tcW w:w="1493" w:type="pct"/>
          </w:tcPr>
          <w:p w14:paraId="67F3C994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1 de junio de 2023</w:t>
            </w:r>
          </w:p>
        </w:tc>
      </w:tr>
      <w:tr w:rsidR="00A47B7F" w:rsidRPr="002F0483" w14:paraId="2FEA26F6" w14:textId="77777777" w:rsidTr="00022760">
        <w:tc>
          <w:tcPr>
            <w:tcW w:w="3507" w:type="pct"/>
          </w:tcPr>
          <w:p w14:paraId="3E7E1C66" w14:textId="77777777" w:rsidR="00A47B7F" w:rsidRPr="002F0483" w:rsidRDefault="00A47B7F" w:rsidP="00022760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 Mensual de la Industria Manufacturera (EMIM)</w:t>
            </w:r>
          </w:p>
        </w:tc>
        <w:tc>
          <w:tcPr>
            <w:tcW w:w="1493" w:type="pct"/>
          </w:tcPr>
          <w:p w14:paraId="071446BB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14 de junio de 2023</w:t>
            </w:r>
          </w:p>
        </w:tc>
      </w:tr>
      <w:tr w:rsidR="00A47B7F" w:rsidRPr="002F0483" w14:paraId="084B2770" w14:textId="77777777" w:rsidTr="00022760">
        <w:tc>
          <w:tcPr>
            <w:tcW w:w="3507" w:type="pct"/>
          </w:tcPr>
          <w:p w14:paraId="44E57998" w14:textId="77777777" w:rsidR="00A47B7F" w:rsidRPr="002F0483" w:rsidRDefault="00A47B7F" w:rsidP="00022760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 Mensual sobre Empresas Comerciales (EMEC)</w:t>
            </w:r>
          </w:p>
        </w:tc>
        <w:tc>
          <w:tcPr>
            <w:tcW w:w="1493" w:type="pct"/>
          </w:tcPr>
          <w:p w14:paraId="327687F9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20 de junio de 2023</w:t>
            </w:r>
          </w:p>
        </w:tc>
      </w:tr>
      <w:tr w:rsidR="00A47B7F" w:rsidRPr="002F0483" w14:paraId="5CC6B092" w14:textId="77777777" w:rsidTr="00022760">
        <w:tc>
          <w:tcPr>
            <w:tcW w:w="3507" w:type="pct"/>
          </w:tcPr>
          <w:p w14:paraId="4634AE35" w14:textId="77777777" w:rsidR="00A47B7F" w:rsidRPr="002F0483" w:rsidRDefault="00A47B7F" w:rsidP="00022760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 Mensual de Servicios (EMS)</w:t>
            </w:r>
          </w:p>
        </w:tc>
        <w:tc>
          <w:tcPr>
            <w:tcW w:w="1493" w:type="pct"/>
          </w:tcPr>
          <w:p w14:paraId="6E0BFBC5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20 de junio de 2023</w:t>
            </w:r>
          </w:p>
        </w:tc>
      </w:tr>
      <w:tr w:rsidR="00A47B7F" w:rsidRPr="002F0483" w14:paraId="533C89FC" w14:textId="77777777" w:rsidTr="00022760">
        <w:tc>
          <w:tcPr>
            <w:tcW w:w="3507" w:type="pct"/>
          </w:tcPr>
          <w:p w14:paraId="4D70C28E" w14:textId="77777777" w:rsidR="00A47B7F" w:rsidRPr="002F0483" w:rsidRDefault="00A47B7F" w:rsidP="00022760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 Nacional de Empresas Constructoras (ENEC)</w:t>
            </w:r>
          </w:p>
        </w:tc>
        <w:tc>
          <w:tcPr>
            <w:tcW w:w="1493" w:type="pct"/>
          </w:tcPr>
          <w:p w14:paraId="79E4A28A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22 de junio de 2023</w:t>
            </w:r>
          </w:p>
        </w:tc>
      </w:tr>
      <w:tr w:rsidR="00A47B7F" w:rsidRPr="002F0483" w14:paraId="5E9663A1" w14:textId="77777777" w:rsidTr="00022760">
        <w:tc>
          <w:tcPr>
            <w:tcW w:w="3507" w:type="pct"/>
            <w:shd w:val="clear" w:color="auto" w:fill="B4C6E7" w:themeFill="accent1" w:themeFillTint="66"/>
          </w:tcPr>
          <w:p w14:paraId="54865A25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ENCUESTAS ANUALES</w:t>
            </w:r>
          </w:p>
        </w:tc>
        <w:tc>
          <w:tcPr>
            <w:tcW w:w="1493" w:type="pct"/>
            <w:shd w:val="clear" w:color="auto" w:fill="B4C6E7" w:themeFill="accent1" w:themeFillTint="66"/>
          </w:tcPr>
          <w:p w14:paraId="413D0FDD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</w:p>
        </w:tc>
      </w:tr>
      <w:tr w:rsidR="00A47B7F" w:rsidRPr="002F0483" w14:paraId="345EFEF3" w14:textId="77777777" w:rsidTr="00022760">
        <w:tc>
          <w:tcPr>
            <w:tcW w:w="3507" w:type="pct"/>
          </w:tcPr>
          <w:p w14:paraId="4A79093B" w14:textId="77777777" w:rsidR="00A47B7F" w:rsidRPr="002F0483" w:rsidRDefault="00A47B7F" w:rsidP="00022760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 Anual de Empresas Constructoras (EAEC)</w:t>
            </w:r>
          </w:p>
        </w:tc>
        <w:tc>
          <w:tcPr>
            <w:tcW w:w="1493" w:type="pct"/>
          </w:tcPr>
          <w:p w14:paraId="2063EBEF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4 de diciembre de 2023</w:t>
            </w:r>
          </w:p>
        </w:tc>
      </w:tr>
      <w:tr w:rsidR="00A47B7F" w:rsidRPr="002F0483" w14:paraId="33126EED" w14:textId="77777777" w:rsidTr="00022760">
        <w:tc>
          <w:tcPr>
            <w:tcW w:w="3507" w:type="pct"/>
          </w:tcPr>
          <w:p w14:paraId="3B6782ED" w14:textId="77777777" w:rsidR="00A47B7F" w:rsidRPr="002F0483" w:rsidRDefault="00A47B7F" w:rsidP="00022760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 Anual de la Industria Manufacturera (EAIM)</w:t>
            </w:r>
          </w:p>
        </w:tc>
        <w:tc>
          <w:tcPr>
            <w:tcW w:w="1493" w:type="pct"/>
          </w:tcPr>
          <w:p w14:paraId="0D167EFD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5 de diciembre de 2023</w:t>
            </w:r>
          </w:p>
        </w:tc>
      </w:tr>
      <w:tr w:rsidR="00A47B7F" w:rsidRPr="002F0483" w14:paraId="3DAFC3C3" w14:textId="77777777" w:rsidTr="00022760">
        <w:tc>
          <w:tcPr>
            <w:tcW w:w="3507" w:type="pct"/>
          </w:tcPr>
          <w:p w14:paraId="65364AB8" w14:textId="77777777" w:rsidR="00A47B7F" w:rsidRPr="002F0483" w:rsidRDefault="00A47B7F" w:rsidP="00022760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 Anual de Transportes (EAT)</w:t>
            </w:r>
          </w:p>
        </w:tc>
        <w:tc>
          <w:tcPr>
            <w:tcW w:w="1493" w:type="pct"/>
          </w:tcPr>
          <w:p w14:paraId="6EDD5FC4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6 de diciembre de 2023</w:t>
            </w:r>
          </w:p>
        </w:tc>
      </w:tr>
      <w:tr w:rsidR="00A47B7F" w:rsidRPr="002F0483" w14:paraId="06D6987C" w14:textId="77777777" w:rsidTr="00022760">
        <w:tc>
          <w:tcPr>
            <w:tcW w:w="3507" w:type="pct"/>
          </w:tcPr>
          <w:p w14:paraId="1AF5D680" w14:textId="77777777" w:rsidR="00A47B7F" w:rsidRPr="002F0483" w:rsidRDefault="00A47B7F" w:rsidP="00022760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 Anual de Comercio (EAC)</w:t>
            </w:r>
          </w:p>
        </w:tc>
        <w:tc>
          <w:tcPr>
            <w:tcW w:w="1493" w:type="pct"/>
          </w:tcPr>
          <w:p w14:paraId="6432AAFD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7 de diciembre de 2023</w:t>
            </w:r>
          </w:p>
        </w:tc>
      </w:tr>
      <w:tr w:rsidR="00A47B7F" w:rsidRPr="002F0483" w14:paraId="06A22B1F" w14:textId="77777777" w:rsidTr="00022760">
        <w:tc>
          <w:tcPr>
            <w:tcW w:w="3507" w:type="pct"/>
          </w:tcPr>
          <w:p w14:paraId="71A48816" w14:textId="77777777" w:rsidR="00A47B7F" w:rsidRPr="002F0483" w:rsidRDefault="00A47B7F" w:rsidP="00022760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Encuesta Anual de Servicios Privados no Financieros (EASPNF)</w:t>
            </w:r>
          </w:p>
        </w:tc>
        <w:tc>
          <w:tcPr>
            <w:tcW w:w="1493" w:type="pct"/>
          </w:tcPr>
          <w:p w14:paraId="5005B94A" w14:textId="77777777" w:rsidR="00A47B7F" w:rsidRPr="002F0483" w:rsidRDefault="00A47B7F" w:rsidP="00A47B7F">
            <w:pPr>
              <w:pStyle w:val="bullet"/>
              <w:keepLines w:val="0"/>
              <w:widowControl w:val="0"/>
              <w:tabs>
                <w:tab w:val="left" w:pos="8364"/>
                <w:tab w:val="left" w:pos="8789"/>
              </w:tabs>
              <w:spacing w:before="0" w:after="0"/>
              <w:ind w:left="0" w:right="0" w:firstLine="0"/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</w:pPr>
            <w:r w:rsidRPr="002F0483">
              <w:rPr>
                <w:rFonts w:ascii="Garamond" w:hAnsi="Garamond" w:cs="Arial"/>
                <w:b w:val="0"/>
                <w:color w:val="auto"/>
                <w:spacing w:val="0"/>
                <w:sz w:val="26"/>
                <w:szCs w:val="26"/>
                <w:lang w:val="es-ES_tradnl"/>
              </w:rPr>
              <w:t>8 de diciembre de 2023</w:t>
            </w:r>
          </w:p>
        </w:tc>
      </w:tr>
    </w:tbl>
    <w:p w14:paraId="55C67F6B" w14:textId="77777777" w:rsidR="00A47B7F" w:rsidRPr="002F0483" w:rsidRDefault="00A47B7F" w:rsidP="00491354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</w:p>
    <w:p w14:paraId="76A31602" w14:textId="55AB957F" w:rsidR="00034AF4" w:rsidRPr="002F0483" w:rsidRDefault="00034AF4" w:rsidP="00491354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</w:pP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Las nuevas series estadísticas de cada uno de los sectores económicos, así como los documentos que </w:t>
      </w:r>
      <w:r w:rsidR="001B7D6A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detallan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los aspectos conceptuales y metodológicos aplicados en esta nueva serie, se encontrarán a disposición de</w:t>
      </w:r>
      <w:r w:rsidR="00B056A0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l público 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usuario en el</w:t>
      </w:r>
      <w:r w:rsidR="00AA5B48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</w:t>
      </w:r>
      <w:r w:rsidR="00B056A0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s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itio del INEGI (</w:t>
      </w:r>
      <w:hyperlink r:id="rId8" w:history="1">
        <w:r w:rsidRPr="002F0483">
          <w:rPr>
            <w:rFonts w:ascii="Garamond" w:hAnsi="Garamond"/>
            <w:color w:val="auto"/>
            <w:sz w:val="26"/>
            <w:szCs w:val="26"/>
          </w:rPr>
          <w:t>www.inegi.org.mx</w:t>
        </w:r>
      </w:hyperlink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)</w:t>
      </w:r>
      <w:r w:rsidR="00072462"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 xml:space="preserve"> en las fechas señaladas</w:t>
      </w:r>
      <w:r w:rsidRPr="002F0483">
        <w:rPr>
          <w:rFonts w:ascii="Garamond" w:hAnsi="Garamond" w:cs="Arial"/>
          <w:b w:val="0"/>
          <w:color w:val="auto"/>
          <w:spacing w:val="0"/>
          <w:sz w:val="26"/>
          <w:szCs w:val="26"/>
          <w:lang w:val="es-ES_tradnl"/>
        </w:rPr>
        <w:t>.</w:t>
      </w:r>
    </w:p>
    <w:p w14:paraId="1719FE90" w14:textId="5C3BC1B0" w:rsidR="003E73F8" w:rsidRPr="002F0483" w:rsidRDefault="003E73F8" w:rsidP="00A47B7F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cs="Arial"/>
          <w:b w:val="0"/>
          <w:color w:val="auto"/>
          <w:spacing w:val="0"/>
          <w:sz w:val="26"/>
          <w:szCs w:val="26"/>
          <w:lang w:val="es-ES_tradnl"/>
        </w:rPr>
      </w:pPr>
    </w:p>
    <w:p w14:paraId="5A694D1E" w14:textId="77777777" w:rsidR="003E73F8" w:rsidRPr="002F0483" w:rsidRDefault="003E73F8" w:rsidP="00A47B7F">
      <w:pPr>
        <w:pStyle w:val="bullet"/>
        <w:keepLines w:val="0"/>
        <w:widowControl w:val="0"/>
        <w:tabs>
          <w:tab w:val="left" w:pos="8364"/>
          <w:tab w:val="left" w:pos="8789"/>
        </w:tabs>
        <w:spacing w:before="0" w:after="0"/>
        <w:ind w:left="0" w:right="0" w:firstLine="0"/>
        <w:rPr>
          <w:rFonts w:cs="Arial"/>
          <w:b w:val="0"/>
          <w:color w:val="auto"/>
          <w:spacing w:val="0"/>
          <w:sz w:val="26"/>
          <w:szCs w:val="26"/>
          <w:lang w:val="es-ES_tradnl"/>
        </w:rPr>
      </w:pPr>
    </w:p>
    <w:p w14:paraId="1A5C72F3" w14:textId="5ED1BB30" w:rsidR="00034AF4" w:rsidRDefault="00A51E53" w:rsidP="003E73F8">
      <w:pPr>
        <w:pStyle w:val="Body"/>
        <w:jc w:val="center"/>
      </w:pPr>
      <w:r w:rsidRPr="002F0483">
        <w:rPr>
          <w:b/>
          <w:bCs/>
          <w:sz w:val="26"/>
          <w:szCs w:val="26"/>
          <w:lang w:val="nl-NL"/>
        </w:rPr>
        <w:t>--ooOOo</w:t>
      </w:r>
      <w:r>
        <w:rPr>
          <w:b/>
          <w:bCs/>
          <w:lang w:val="nl-NL"/>
        </w:rPr>
        <w:t>o</w:t>
      </w:r>
      <w:r w:rsidR="00072462">
        <w:rPr>
          <w:b/>
          <w:bCs/>
          <w:lang w:val="nl-NL"/>
        </w:rPr>
        <w:t>--</w:t>
      </w:r>
    </w:p>
    <w:sectPr w:rsidR="00034AF4" w:rsidSect="003E73F8">
      <w:headerReference w:type="default" r:id="rId9"/>
      <w:footerReference w:type="default" r:id="rId10"/>
      <w:pgSz w:w="12240" w:h="15840"/>
      <w:pgMar w:top="1588" w:right="1030" w:bottom="1855" w:left="1004" w:header="74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1C91F" w14:textId="77777777" w:rsidR="005B7202" w:rsidRDefault="005B7202">
      <w:r>
        <w:separator/>
      </w:r>
    </w:p>
  </w:endnote>
  <w:endnote w:type="continuationSeparator" w:id="0">
    <w:p w14:paraId="682B3915" w14:textId="77777777" w:rsidR="005B7202" w:rsidRDefault="005B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A6BC" w14:textId="0F93C33E" w:rsidR="008315E8" w:rsidRPr="003D19D4" w:rsidRDefault="0008483D" w:rsidP="003D19D4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3D19D4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B9A63" w14:textId="77777777" w:rsidR="005B7202" w:rsidRDefault="005B7202">
      <w:r>
        <w:separator/>
      </w:r>
    </w:p>
  </w:footnote>
  <w:footnote w:type="continuationSeparator" w:id="0">
    <w:p w14:paraId="49E8867C" w14:textId="77777777" w:rsidR="005B7202" w:rsidRDefault="005B7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C5D8D" w14:textId="77777777" w:rsidR="00491354" w:rsidRDefault="00491354" w:rsidP="0044482B">
    <w:pPr>
      <w:ind w:left="-426"/>
      <w:jc w:val="right"/>
      <w:rPr>
        <w:rFonts w:ascii="Arial Narrow" w:hAnsi="Arial Narrow"/>
        <w:b/>
        <w:bCs/>
        <w:lang w:val="es-MX"/>
      </w:rPr>
    </w:pPr>
  </w:p>
  <w:p w14:paraId="0B084337" w14:textId="77777777" w:rsidR="00491354" w:rsidRDefault="00491354" w:rsidP="0044482B">
    <w:pPr>
      <w:ind w:left="-426"/>
      <w:jc w:val="right"/>
      <w:rPr>
        <w:rFonts w:ascii="Arial Narrow" w:hAnsi="Arial Narrow"/>
        <w:b/>
        <w:bCs/>
        <w:lang w:val="es-MX"/>
      </w:rPr>
    </w:pPr>
  </w:p>
  <w:p w14:paraId="4B76B911" w14:textId="77777777" w:rsidR="00491354" w:rsidRDefault="00491354" w:rsidP="0044482B">
    <w:pPr>
      <w:ind w:left="-426"/>
      <w:jc w:val="right"/>
      <w:rPr>
        <w:rFonts w:ascii="Arial Narrow" w:hAnsi="Arial Narrow"/>
        <w:b/>
        <w:bCs/>
        <w:lang w:val="es-MX"/>
      </w:rPr>
    </w:pPr>
  </w:p>
  <w:p w14:paraId="35ADEB26" w14:textId="42610D86" w:rsidR="00387AE9" w:rsidRPr="003D19D4" w:rsidRDefault="00784636" w:rsidP="00491354">
    <w:pPr>
      <w:tabs>
        <w:tab w:val="left" w:pos="660"/>
        <w:tab w:val="right" w:pos="8498"/>
      </w:tabs>
      <w:spacing w:line="360" w:lineRule="auto"/>
      <w:jc w:val="right"/>
      <w:rPr>
        <w:rFonts w:ascii="Garamond" w:hAnsi="Garamond"/>
        <w:lang w:val="es-MX"/>
      </w:rPr>
    </w:pPr>
    <w:r>
      <w:rPr>
        <w:rFonts w:ascii="Garamond" w:hAnsi="Garamond"/>
        <w:lang w:val="es-MX"/>
      </w:rPr>
      <w:t>26</w:t>
    </w:r>
    <w:r w:rsidR="00491354" w:rsidRPr="003D19D4">
      <w:rPr>
        <w:rFonts w:ascii="Garamond" w:hAnsi="Garamond"/>
        <w:lang w:val="es-MX"/>
      </w:rPr>
      <w:t xml:space="preserve"> de abril de 2023</w:t>
    </w:r>
    <w:r w:rsidR="000C6693">
      <w:rPr>
        <w:noProof/>
      </w:rPr>
      <w:drawing>
        <wp:anchor distT="0" distB="0" distL="0" distR="0" simplePos="0" relativeHeight="251671552" behindDoc="1" locked="0" layoutInCell="1" allowOverlap="1" wp14:anchorId="13DA3386" wp14:editId="0BE156BF">
          <wp:simplePos x="0" y="0"/>
          <wp:positionH relativeFrom="page">
            <wp:posOffset>734400</wp:posOffset>
          </wp:positionH>
          <wp:positionV relativeFrom="page">
            <wp:posOffset>633600</wp:posOffset>
          </wp:positionV>
          <wp:extent cx="1520441" cy="302400"/>
          <wp:effectExtent l="0" t="0" r="3810" b="254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876" cy="345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50F3"/>
    <w:multiLevelType w:val="hybridMultilevel"/>
    <w:tmpl w:val="67C8F1DC"/>
    <w:lvl w:ilvl="0" w:tplc="080A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2316396D"/>
    <w:multiLevelType w:val="hybridMultilevel"/>
    <w:tmpl w:val="98FEE8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13AA"/>
    <w:multiLevelType w:val="hybridMultilevel"/>
    <w:tmpl w:val="C77A2434"/>
    <w:lvl w:ilvl="0" w:tplc="948AFC2C">
      <w:start w:val="14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7F30"/>
    <w:multiLevelType w:val="hybridMultilevel"/>
    <w:tmpl w:val="DE90D684"/>
    <w:lvl w:ilvl="0" w:tplc="71566DD4">
      <w:start w:val="5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A2458"/>
    <w:multiLevelType w:val="hybridMultilevel"/>
    <w:tmpl w:val="DFC8B89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309FD"/>
    <w:multiLevelType w:val="hybridMultilevel"/>
    <w:tmpl w:val="590ED61C"/>
    <w:numStyleLink w:val="ImportedStyle1"/>
  </w:abstractNum>
  <w:abstractNum w:abstractNumId="6" w15:restartNumberingAfterBreak="0">
    <w:nsid w:val="520C552C"/>
    <w:multiLevelType w:val="hybridMultilevel"/>
    <w:tmpl w:val="A7BE9D8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77178"/>
    <w:multiLevelType w:val="hybridMultilevel"/>
    <w:tmpl w:val="D5CE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04B6C"/>
    <w:multiLevelType w:val="hybridMultilevel"/>
    <w:tmpl w:val="590ED61C"/>
    <w:styleLink w:val="ImportedStyle1"/>
    <w:lvl w:ilvl="0" w:tplc="6E0096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CA4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42C5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F241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98D43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18BD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7A5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22149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C646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2D47CFB"/>
    <w:multiLevelType w:val="hybridMultilevel"/>
    <w:tmpl w:val="E6E214A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E9"/>
    <w:rsid w:val="00010C09"/>
    <w:rsid w:val="00030EE2"/>
    <w:rsid w:val="000328D4"/>
    <w:rsid w:val="00034AF4"/>
    <w:rsid w:val="00062326"/>
    <w:rsid w:val="00072462"/>
    <w:rsid w:val="0008483D"/>
    <w:rsid w:val="00091B8B"/>
    <w:rsid w:val="000C6693"/>
    <w:rsid w:val="000D03F9"/>
    <w:rsid w:val="000F6DAE"/>
    <w:rsid w:val="00133456"/>
    <w:rsid w:val="00140C5C"/>
    <w:rsid w:val="00147EF9"/>
    <w:rsid w:val="0016073B"/>
    <w:rsid w:val="00194E98"/>
    <w:rsid w:val="001A3D79"/>
    <w:rsid w:val="001A4E68"/>
    <w:rsid w:val="001B7D6A"/>
    <w:rsid w:val="001D3CD3"/>
    <w:rsid w:val="001E528B"/>
    <w:rsid w:val="001F13BC"/>
    <w:rsid w:val="00242D5C"/>
    <w:rsid w:val="00260BC3"/>
    <w:rsid w:val="00284008"/>
    <w:rsid w:val="00287492"/>
    <w:rsid w:val="00293A53"/>
    <w:rsid w:val="002E1836"/>
    <w:rsid w:val="002F0296"/>
    <w:rsid w:val="002F0483"/>
    <w:rsid w:val="003002FE"/>
    <w:rsid w:val="0031550D"/>
    <w:rsid w:val="00344B9C"/>
    <w:rsid w:val="00371BF0"/>
    <w:rsid w:val="00387AE9"/>
    <w:rsid w:val="00390318"/>
    <w:rsid w:val="003940C0"/>
    <w:rsid w:val="003A4901"/>
    <w:rsid w:val="003B73F1"/>
    <w:rsid w:val="003D19D4"/>
    <w:rsid w:val="003D6E9D"/>
    <w:rsid w:val="003E73F8"/>
    <w:rsid w:val="00403077"/>
    <w:rsid w:val="00411447"/>
    <w:rsid w:val="0044482B"/>
    <w:rsid w:val="00491354"/>
    <w:rsid w:val="00512585"/>
    <w:rsid w:val="005455EC"/>
    <w:rsid w:val="005813DC"/>
    <w:rsid w:val="00583641"/>
    <w:rsid w:val="005B7202"/>
    <w:rsid w:val="005C0D06"/>
    <w:rsid w:val="00626C58"/>
    <w:rsid w:val="00631E8F"/>
    <w:rsid w:val="00695319"/>
    <w:rsid w:val="006E5D30"/>
    <w:rsid w:val="006F1BD4"/>
    <w:rsid w:val="0072596B"/>
    <w:rsid w:val="007420AE"/>
    <w:rsid w:val="00745E23"/>
    <w:rsid w:val="00751347"/>
    <w:rsid w:val="00752D63"/>
    <w:rsid w:val="00784636"/>
    <w:rsid w:val="007A0BD2"/>
    <w:rsid w:val="007A6F1F"/>
    <w:rsid w:val="007B0BBC"/>
    <w:rsid w:val="007B2A44"/>
    <w:rsid w:val="007B6264"/>
    <w:rsid w:val="007C0A5A"/>
    <w:rsid w:val="008043CE"/>
    <w:rsid w:val="008153B4"/>
    <w:rsid w:val="008315E8"/>
    <w:rsid w:val="008500BA"/>
    <w:rsid w:val="0086776D"/>
    <w:rsid w:val="008679B1"/>
    <w:rsid w:val="00894A93"/>
    <w:rsid w:val="008A34E8"/>
    <w:rsid w:val="008A3F2B"/>
    <w:rsid w:val="008B6B37"/>
    <w:rsid w:val="008E72D3"/>
    <w:rsid w:val="00936734"/>
    <w:rsid w:val="009742FB"/>
    <w:rsid w:val="00974B32"/>
    <w:rsid w:val="009809BD"/>
    <w:rsid w:val="009951B3"/>
    <w:rsid w:val="009A5A80"/>
    <w:rsid w:val="009A68C7"/>
    <w:rsid w:val="009B7661"/>
    <w:rsid w:val="009F1BDE"/>
    <w:rsid w:val="009F2373"/>
    <w:rsid w:val="00A05043"/>
    <w:rsid w:val="00A41E73"/>
    <w:rsid w:val="00A4721C"/>
    <w:rsid w:val="00A47B7F"/>
    <w:rsid w:val="00A51E53"/>
    <w:rsid w:val="00A55447"/>
    <w:rsid w:val="00A6057B"/>
    <w:rsid w:val="00A61944"/>
    <w:rsid w:val="00A7367A"/>
    <w:rsid w:val="00A77065"/>
    <w:rsid w:val="00AA162C"/>
    <w:rsid w:val="00AA5793"/>
    <w:rsid w:val="00AA5B48"/>
    <w:rsid w:val="00AB4102"/>
    <w:rsid w:val="00AE3A0D"/>
    <w:rsid w:val="00AE7ED2"/>
    <w:rsid w:val="00B00ECF"/>
    <w:rsid w:val="00B056A0"/>
    <w:rsid w:val="00B112EC"/>
    <w:rsid w:val="00B34C7D"/>
    <w:rsid w:val="00B376E9"/>
    <w:rsid w:val="00B377E6"/>
    <w:rsid w:val="00B41871"/>
    <w:rsid w:val="00B47D52"/>
    <w:rsid w:val="00B50524"/>
    <w:rsid w:val="00B52BBF"/>
    <w:rsid w:val="00B91E00"/>
    <w:rsid w:val="00B939DB"/>
    <w:rsid w:val="00BC014D"/>
    <w:rsid w:val="00BD5029"/>
    <w:rsid w:val="00BF604F"/>
    <w:rsid w:val="00C002DF"/>
    <w:rsid w:val="00C46B9E"/>
    <w:rsid w:val="00C94BEC"/>
    <w:rsid w:val="00CB1C59"/>
    <w:rsid w:val="00CC4F63"/>
    <w:rsid w:val="00CD1815"/>
    <w:rsid w:val="00CE390D"/>
    <w:rsid w:val="00D01DCB"/>
    <w:rsid w:val="00D210BC"/>
    <w:rsid w:val="00D33265"/>
    <w:rsid w:val="00D36B6E"/>
    <w:rsid w:val="00D97FEE"/>
    <w:rsid w:val="00DC1E34"/>
    <w:rsid w:val="00DC4F70"/>
    <w:rsid w:val="00DC584E"/>
    <w:rsid w:val="00DD5376"/>
    <w:rsid w:val="00DF419C"/>
    <w:rsid w:val="00E84983"/>
    <w:rsid w:val="00E92616"/>
    <w:rsid w:val="00E95A74"/>
    <w:rsid w:val="00EC5A6B"/>
    <w:rsid w:val="00EE1CEE"/>
    <w:rsid w:val="00F21238"/>
    <w:rsid w:val="00F349DF"/>
    <w:rsid w:val="00F45D7F"/>
    <w:rsid w:val="00F72BE3"/>
    <w:rsid w:val="00F823E3"/>
    <w:rsid w:val="00FB07C3"/>
    <w:rsid w:val="00FE4E61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87ED2"/>
  <w15:docId w15:val="{047226C8-170B-E74F-B5EC-161263F4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MX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Montserrat" w:eastAsia="Montserrat" w:hAnsi="Montserrat" w:cs="Montserrat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Montserrat" w:eastAsia="Montserrat" w:hAnsi="Montserrat" w:cs="Montserrat"/>
      <w:color w:val="000000"/>
      <w:sz w:val="22"/>
      <w:szCs w:val="22"/>
      <w:u w:color="000000"/>
      <w:lang w:val="es-ES_tradnl"/>
    </w:rPr>
  </w:style>
  <w:style w:type="paragraph" w:customStyle="1" w:styleId="Body">
    <w:name w:val="Body"/>
    <w:rPr>
      <w:rFonts w:ascii="Montserrat" w:eastAsia="Montserrat" w:hAnsi="Montserrat" w:cs="Montserrat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uiPriority w:val="34"/>
    <w:qFormat/>
    <w:pPr>
      <w:ind w:left="720"/>
    </w:pPr>
    <w:rPr>
      <w:rFonts w:ascii="Montserrat" w:eastAsia="Montserrat" w:hAnsi="Montserrat" w:cs="Montserrat"/>
      <w:color w:val="000000"/>
      <w:sz w:val="22"/>
      <w:szCs w:val="22"/>
      <w:u w:color="000000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sin">
    <w:name w:val="Revision"/>
    <w:hidden/>
    <w:uiPriority w:val="99"/>
    <w:semiHidden/>
    <w:rsid w:val="003D19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Default">
    <w:name w:val="Default"/>
    <w:rsid w:val="00444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eastAsia="es-MX"/>
    </w:rPr>
  </w:style>
  <w:style w:type="paragraph" w:customStyle="1" w:styleId="bullet">
    <w:name w:val="bullet"/>
    <w:basedOn w:val="Normal"/>
    <w:rsid w:val="00034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ind w:left="1418" w:right="901" w:hanging="284"/>
      <w:jc w:val="both"/>
    </w:pPr>
    <w:rPr>
      <w:rFonts w:ascii="Arial" w:eastAsia="Times New Roman" w:hAnsi="Arial"/>
      <w:b/>
      <w:color w:val="0000FF"/>
      <w:spacing w:val="10"/>
      <w:szCs w:val="20"/>
      <w:bdr w:val="none" w:sz="0" w:space="0" w:color="auto"/>
      <w:lang w:val="es-MX" w:eastAsia="es-ES"/>
    </w:rPr>
  </w:style>
  <w:style w:type="table" w:styleId="Tablaconcuadrcula">
    <w:name w:val="Table Grid"/>
    <w:basedOn w:val="Tablanormal"/>
    <w:rsid w:val="00034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SimSun"/>
      <w:bdr w:val="none" w:sz="0" w:space="0" w:color="auto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34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47B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7B7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7B7F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5D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5D7F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3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34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egi.org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EADC-B2A5-451F-BEC7-FE938862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Informativa. El INEGI da a conocer nuevas series estadísticas de las Encuestas Económicas Nacionales.</vt:lpstr>
    </vt:vector>
  </TitlesOfParts>
  <Manager>INEGI</Manager>
  <Company>INEGI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El INEGI da a conocer nuevas series estadísticas de las Encuestas Económicas Nacionales.</dc:title>
  <dc:creator>INEGI</dc:creator>
  <cp:keywords>Nota Informativa. El INEGI da a conocer nuevas series estadísticas de las Encuestas Económicas Nacionales.</cp:keywords>
  <cp:lastModifiedBy>GUILLEN MEDINA MOISES</cp:lastModifiedBy>
  <cp:revision>6</cp:revision>
  <cp:lastPrinted>2022-04-30T00:06:00Z</cp:lastPrinted>
  <dcterms:created xsi:type="dcterms:W3CDTF">2023-04-25T20:56:00Z</dcterms:created>
  <dcterms:modified xsi:type="dcterms:W3CDTF">2023-04-25T21:37:00Z</dcterms:modified>
</cp:coreProperties>
</file>